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C5F8D" w14:textId="77777777" w:rsidR="00920FC2" w:rsidRDefault="00920FC2">
      <w:pPr>
        <w:rPr>
          <w:noProof/>
        </w:rPr>
      </w:pPr>
    </w:p>
    <w:p w14:paraId="6A8828CD" w14:textId="77777777" w:rsidR="000C0C2F" w:rsidRPr="00D45ECC" w:rsidRDefault="000C0C2F"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D45ECC">
        <w:rPr>
          <w:rFonts w:ascii="Calibri" w:eastAsia="Times New Roman" w:hAnsi="Calibri" w:cs="Calibri"/>
          <w:b/>
          <w:bCs/>
          <w:kern w:val="36"/>
          <w:lang w:eastAsia="en-GB"/>
          <w14:ligatures w14:val="none"/>
        </w:rPr>
        <w:t xml:space="preserve">Title Page </w:t>
      </w:r>
    </w:p>
    <w:p w14:paraId="0492264E" w14:textId="77777777" w:rsidR="000C0C2F" w:rsidRPr="00D45ECC" w:rsidRDefault="000C0C2F"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D45ECC">
        <w:rPr>
          <w:rFonts w:ascii="Calibri" w:eastAsia="Times New Roman" w:hAnsi="Calibri" w:cs="Calibri"/>
          <w:b/>
          <w:bCs/>
          <w:kern w:val="36"/>
          <w:lang w:eastAsia="en-GB"/>
          <w14:ligatures w14:val="none"/>
        </w:rPr>
        <w:t xml:space="preserve">University of Wales Trinity Saint David </w:t>
      </w:r>
    </w:p>
    <w:p w14:paraId="75D42C0A"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Name:</w:t>
      </w:r>
      <w:r w:rsidRPr="00D45ECC">
        <w:rPr>
          <w:rFonts w:ascii="Calibri" w:eastAsia="Times New Roman" w:hAnsi="Calibri" w:cs="Calibri"/>
          <w:kern w:val="0"/>
          <w:lang w:eastAsia="en-GB"/>
          <w14:ligatures w14:val="none"/>
        </w:rPr>
        <w:t xml:space="preserve"> Riccardo Sterling </w:t>
      </w:r>
    </w:p>
    <w:p w14:paraId="67AA7431"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Student ID:</w:t>
      </w:r>
      <w:r w:rsidRPr="00D45ECC">
        <w:rPr>
          <w:rFonts w:ascii="Calibri" w:eastAsia="Times New Roman" w:hAnsi="Calibri" w:cs="Calibri"/>
          <w:kern w:val="0"/>
          <w:lang w:eastAsia="en-GB"/>
          <w14:ligatures w14:val="none"/>
        </w:rPr>
        <w:t xml:space="preserve"> 2334990</w:t>
      </w:r>
    </w:p>
    <w:p w14:paraId="11385FAF"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Programme:</w:t>
      </w:r>
      <w:r w:rsidRPr="00D45ECC">
        <w:rPr>
          <w:rFonts w:ascii="Calibri" w:eastAsia="Times New Roman" w:hAnsi="Calibri" w:cs="Calibri"/>
          <w:kern w:val="0"/>
          <w:lang w:eastAsia="en-GB"/>
          <w14:ligatures w14:val="none"/>
        </w:rPr>
        <w:t xml:space="preserve"> BA (Hons) Leadership and Management Skills for the Workplace</w:t>
      </w:r>
    </w:p>
    <w:p w14:paraId="3ABB74EC"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Module Code:</w:t>
      </w:r>
      <w:r w:rsidRPr="00D45ECC">
        <w:rPr>
          <w:rFonts w:ascii="Calibri" w:eastAsia="Times New Roman" w:hAnsi="Calibri" w:cs="Calibri"/>
          <w:kern w:val="0"/>
          <w:lang w:eastAsia="en-GB"/>
          <w14:ligatures w14:val="none"/>
        </w:rPr>
        <w:t xml:space="preserve"> LCLM 5003 </w:t>
      </w:r>
    </w:p>
    <w:p w14:paraId="44814BFD"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Module Title</w:t>
      </w:r>
      <w:r w:rsidRPr="00D45ECC">
        <w:rPr>
          <w:rFonts w:ascii="Calibri" w:eastAsia="Times New Roman" w:hAnsi="Calibri" w:cs="Calibri"/>
          <w:kern w:val="0"/>
          <w:lang w:eastAsia="en-GB"/>
          <w14:ligatures w14:val="none"/>
        </w:rPr>
        <w:t xml:space="preserve">: Project Management </w:t>
      </w:r>
    </w:p>
    <w:p w14:paraId="2F4D02FA" w14:textId="77777777"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Assignment Title:</w:t>
      </w:r>
      <w:r w:rsidRPr="00D45ECC">
        <w:rPr>
          <w:rFonts w:ascii="Calibri" w:eastAsia="Times New Roman" w:hAnsi="Calibri" w:cs="Calibri"/>
          <w:kern w:val="0"/>
          <w:lang w:eastAsia="en-GB"/>
          <w14:ligatures w14:val="none"/>
        </w:rPr>
        <w:t xml:space="preserve"> A Project Portfolio </w:t>
      </w:r>
    </w:p>
    <w:p w14:paraId="6C66B34B" w14:textId="1B2D6388" w:rsidR="000C0C2F" w:rsidRPr="00D45ECC" w:rsidRDefault="000C0C2F"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b/>
          <w:bCs/>
          <w:kern w:val="0"/>
          <w:lang w:eastAsia="en-GB"/>
          <w14:ligatures w14:val="none"/>
        </w:rPr>
        <w:t>Lecturer:</w:t>
      </w:r>
      <w:r w:rsidRPr="00D45ECC">
        <w:rPr>
          <w:rFonts w:ascii="Calibri" w:eastAsia="Times New Roman" w:hAnsi="Calibri" w:cs="Calibri"/>
          <w:kern w:val="0"/>
          <w:lang w:eastAsia="en-GB"/>
          <w14:ligatures w14:val="none"/>
        </w:rPr>
        <w:t xml:space="preserve"> Samson Oladejo</w:t>
      </w:r>
    </w:p>
    <w:p w14:paraId="50A436C6" w14:textId="77777777" w:rsidR="00C67583" w:rsidRPr="00D45ECC" w:rsidRDefault="00C67583" w:rsidP="005E3656">
      <w:pPr>
        <w:spacing w:line="360" w:lineRule="auto"/>
        <w:rPr>
          <w:rFonts w:ascii="Calibri" w:hAnsi="Calibri" w:cs="Calibri"/>
          <w:noProof/>
        </w:rPr>
      </w:pPr>
    </w:p>
    <w:p w14:paraId="20AB484B" w14:textId="77777777" w:rsidR="00C67583" w:rsidRPr="00D45ECC" w:rsidRDefault="00C67583" w:rsidP="005E3656">
      <w:pPr>
        <w:spacing w:line="360" w:lineRule="auto"/>
        <w:rPr>
          <w:rFonts w:ascii="Calibri" w:hAnsi="Calibri" w:cs="Calibri"/>
          <w:noProof/>
        </w:rPr>
      </w:pPr>
    </w:p>
    <w:p w14:paraId="53633FC6" w14:textId="77777777" w:rsidR="00C67583" w:rsidRPr="00D45ECC" w:rsidRDefault="00C67583" w:rsidP="005E3656">
      <w:pPr>
        <w:spacing w:line="360" w:lineRule="auto"/>
        <w:rPr>
          <w:rFonts w:ascii="Calibri" w:hAnsi="Calibri" w:cs="Calibri"/>
          <w:noProof/>
        </w:rPr>
      </w:pPr>
    </w:p>
    <w:p w14:paraId="0B25C415" w14:textId="77777777" w:rsidR="00C67583" w:rsidRPr="00D45ECC" w:rsidRDefault="00C67583" w:rsidP="005E3656">
      <w:pPr>
        <w:spacing w:line="360" w:lineRule="auto"/>
        <w:rPr>
          <w:rFonts w:ascii="Calibri" w:hAnsi="Calibri" w:cs="Calibri"/>
          <w:noProof/>
        </w:rPr>
      </w:pPr>
    </w:p>
    <w:p w14:paraId="2ADBFA08" w14:textId="77777777" w:rsidR="00C67583" w:rsidRPr="00D45ECC" w:rsidRDefault="00C67583" w:rsidP="005E3656">
      <w:pPr>
        <w:spacing w:line="360" w:lineRule="auto"/>
        <w:rPr>
          <w:rFonts w:ascii="Calibri" w:hAnsi="Calibri" w:cs="Calibri"/>
          <w:noProof/>
        </w:rPr>
      </w:pPr>
    </w:p>
    <w:p w14:paraId="15A081BD" w14:textId="77777777" w:rsidR="00C67583" w:rsidRPr="00D45ECC" w:rsidRDefault="00C67583" w:rsidP="005E3656">
      <w:pPr>
        <w:spacing w:line="360" w:lineRule="auto"/>
        <w:rPr>
          <w:rFonts w:ascii="Calibri" w:hAnsi="Calibri" w:cs="Calibri"/>
          <w:noProof/>
        </w:rPr>
      </w:pPr>
    </w:p>
    <w:p w14:paraId="4BA36A6B" w14:textId="77777777" w:rsidR="00C67583" w:rsidRPr="00D45ECC" w:rsidRDefault="00C67583" w:rsidP="005E3656">
      <w:pPr>
        <w:spacing w:line="360" w:lineRule="auto"/>
        <w:rPr>
          <w:rFonts w:ascii="Calibri" w:hAnsi="Calibri" w:cs="Calibri"/>
          <w:noProof/>
        </w:rPr>
      </w:pPr>
    </w:p>
    <w:p w14:paraId="5C5530B4" w14:textId="77777777" w:rsidR="00C67583" w:rsidRPr="00D45ECC" w:rsidRDefault="00C67583" w:rsidP="005E3656">
      <w:pPr>
        <w:spacing w:line="360" w:lineRule="auto"/>
        <w:rPr>
          <w:rFonts w:ascii="Calibri" w:hAnsi="Calibri" w:cs="Calibri"/>
          <w:noProof/>
        </w:rPr>
      </w:pPr>
    </w:p>
    <w:p w14:paraId="15997B74" w14:textId="77777777" w:rsidR="00C67583" w:rsidRPr="00D45ECC" w:rsidRDefault="00C67583" w:rsidP="005E3656">
      <w:pPr>
        <w:spacing w:line="360" w:lineRule="auto"/>
        <w:rPr>
          <w:rFonts w:ascii="Calibri" w:hAnsi="Calibri" w:cs="Calibri"/>
          <w:noProof/>
        </w:rPr>
      </w:pPr>
    </w:p>
    <w:p w14:paraId="7732EB0D" w14:textId="77777777" w:rsidR="00C67583" w:rsidRPr="00D45ECC" w:rsidRDefault="00C67583" w:rsidP="005E3656">
      <w:pPr>
        <w:spacing w:line="360" w:lineRule="auto"/>
        <w:rPr>
          <w:rFonts w:ascii="Calibri" w:hAnsi="Calibri" w:cs="Calibri"/>
          <w:noProof/>
        </w:rPr>
      </w:pPr>
    </w:p>
    <w:p w14:paraId="2726EF56" w14:textId="77777777" w:rsidR="00C67583" w:rsidRPr="00D45ECC" w:rsidRDefault="00C67583" w:rsidP="005E3656">
      <w:pPr>
        <w:spacing w:line="360" w:lineRule="auto"/>
        <w:rPr>
          <w:rFonts w:ascii="Calibri" w:hAnsi="Calibri" w:cs="Calibri"/>
          <w:noProof/>
        </w:rPr>
      </w:pPr>
    </w:p>
    <w:p w14:paraId="0D74813E" w14:textId="77777777" w:rsidR="00C67583" w:rsidRPr="00D45ECC" w:rsidRDefault="00C67583" w:rsidP="005E3656">
      <w:pPr>
        <w:spacing w:line="360" w:lineRule="auto"/>
        <w:rPr>
          <w:rFonts w:ascii="Calibri" w:hAnsi="Calibri" w:cs="Calibri"/>
          <w:noProof/>
        </w:rPr>
      </w:pPr>
    </w:p>
    <w:p w14:paraId="2CC47EF8" w14:textId="77777777" w:rsidR="006E3B37" w:rsidRPr="00D45ECC" w:rsidRDefault="006E3B37" w:rsidP="005E3656">
      <w:pPr>
        <w:spacing w:before="100" w:beforeAutospacing="1" w:after="100" w:afterAutospacing="1" w:line="360" w:lineRule="auto"/>
        <w:outlineLvl w:val="0"/>
        <w:rPr>
          <w:rFonts w:ascii="Calibri" w:eastAsia="Times New Roman" w:hAnsi="Calibri" w:cs="Calibri"/>
          <w:kern w:val="0"/>
          <w:lang w:eastAsia="en-GB"/>
          <w14:ligatures w14:val="none"/>
        </w:rPr>
      </w:pPr>
    </w:p>
    <w:p w14:paraId="06CCCBEA" w14:textId="77777777" w:rsidR="00D065C7" w:rsidRPr="00D45ECC" w:rsidRDefault="00D065C7"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p>
    <w:p w14:paraId="2546F012" w14:textId="1B8C6E6F" w:rsidR="00CA08F2" w:rsidRPr="00D45ECC" w:rsidRDefault="00CA08F2"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D45ECC">
        <w:rPr>
          <w:rFonts w:ascii="Calibri" w:eastAsia="Times New Roman" w:hAnsi="Calibri" w:cs="Calibri"/>
          <w:b/>
          <w:bCs/>
          <w:kern w:val="36"/>
          <w:lang w:eastAsia="en-GB"/>
          <w14:ligatures w14:val="none"/>
        </w:rPr>
        <w:t xml:space="preserve"> E</w:t>
      </w:r>
      <w:r w:rsidR="00332DDD" w:rsidRPr="00D45ECC">
        <w:rPr>
          <w:rFonts w:ascii="Calibri" w:eastAsia="Times New Roman" w:hAnsi="Calibri" w:cs="Calibri"/>
          <w:b/>
          <w:bCs/>
          <w:kern w:val="36"/>
          <w:lang w:eastAsia="en-GB"/>
          <w14:ligatures w14:val="none"/>
        </w:rPr>
        <w:t>xecutive Summary</w:t>
      </w:r>
    </w:p>
    <w:p w14:paraId="2D7498B7" w14:textId="2A73547D" w:rsidR="00CA08F2" w:rsidRPr="00D45ECC" w:rsidRDefault="00CA08F2"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kern w:val="0"/>
          <w:lang w:eastAsia="en-GB"/>
          <w14:ligatures w14:val="none"/>
        </w:rPr>
        <w:t>This report presents a structured project management plan for</w:t>
      </w:r>
      <w:r w:rsidR="00603C55" w:rsidRPr="00D45ECC">
        <w:rPr>
          <w:rFonts w:ascii="Calibri" w:eastAsia="Times New Roman" w:hAnsi="Calibri" w:cs="Calibri"/>
          <w:kern w:val="0"/>
          <w:lang w:eastAsia="en-GB"/>
          <w14:ligatures w14:val="none"/>
        </w:rPr>
        <w:t xml:space="preserve"> the</w:t>
      </w:r>
      <w:r w:rsidRPr="00D45ECC">
        <w:rPr>
          <w:rFonts w:ascii="Calibri" w:eastAsia="Times New Roman" w:hAnsi="Calibri" w:cs="Calibri"/>
          <w:kern w:val="0"/>
          <w:lang w:eastAsia="en-GB"/>
          <w14:ligatures w14:val="none"/>
        </w:rPr>
        <w:t xml:space="preserve"> reopening a flood-damaged highway</w:t>
      </w:r>
      <w:r w:rsidR="00677883" w:rsidRPr="00D45ECC">
        <w:rPr>
          <w:rFonts w:ascii="Calibri" w:eastAsia="Times New Roman" w:hAnsi="Calibri" w:cs="Calibri"/>
          <w:kern w:val="0"/>
          <w:lang w:eastAsia="en-GB"/>
          <w14:ligatures w14:val="none"/>
        </w:rPr>
        <w:t xml:space="preserve"> at the River </w:t>
      </w:r>
      <w:r w:rsidR="00332DDD" w:rsidRPr="00D45ECC">
        <w:rPr>
          <w:rFonts w:ascii="Calibri" w:eastAsia="Times New Roman" w:hAnsi="Calibri" w:cs="Calibri"/>
          <w:kern w:val="0"/>
          <w:lang w:eastAsia="en-GB"/>
          <w14:ligatures w14:val="none"/>
        </w:rPr>
        <w:t>Severn</w:t>
      </w:r>
      <w:r w:rsidRPr="00D45ECC">
        <w:rPr>
          <w:rFonts w:ascii="Calibri" w:eastAsia="Times New Roman" w:hAnsi="Calibri" w:cs="Calibri"/>
          <w:kern w:val="0"/>
          <w:lang w:eastAsia="en-GB"/>
          <w14:ligatures w14:val="none"/>
        </w:rPr>
        <w:t xml:space="preserve"> in the West Midlands</w:t>
      </w:r>
      <w:r w:rsidR="00D35B88" w:rsidRPr="00D45ECC">
        <w:rPr>
          <w:rFonts w:ascii="Calibri" w:eastAsia="Times New Roman" w:hAnsi="Calibri" w:cs="Calibri"/>
          <w:kern w:val="0"/>
          <w:lang w:eastAsia="en-GB"/>
          <w14:ligatures w14:val="none"/>
        </w:rPr>
        <w:t xml:space="preserve"> area</w:t>
      </w:r>
      <w:r w:rsidR="00BD24EB" w:rsidRPr="00D45ECC">
        <w:rPr>
          <w:rFonts w:ascii="Calibri" w:eastAsia="Times New Roman" w:hAnsi="Calibri" w:cs="Calibri"/>
          <w:kern w:val="0"/>
          <w:lang w:eastAsia="en-GB"/>
          <w14:ligatures w14:val="none"/>
        </w:rPr>
        <w:t xml:space="preserve">, </w:t>
      </w:r>
      <w:r w:rsidRPr="00D45ECC">
        <w:rPr>
          <w:rFonts w:ascii="Calibri" w:eastAsia="Times New Roman" w:hAnsi="Calibri" w:cs="Calibri"/>
          <w:kern w:val="0"/>
          <w:lang w:eastAsia="en-GB"/>
          <w14:ligatures w14:val="none"/>
        </w:rPr>
        <w:t xml:space="preserve">using </w:t>
      </w:r>
      <w:proofErr w:type="spellStart"/>
      <w:r w:rsidRPr="00D45ECC">
        <w:rPr>
          <w:rFonts w:ascii="Calibri" w:eastAsia="Times New Roman" w:hAnsi="Calibri" w:cs="Calibri"/>
          <w:kern w:val="0"/>
          <w:lang w:eastAsia="en-GB"/>
          <w14:ligatures w14:val="none"/>
        </w:rPr>
        <w:t>Resix</w:t>
      </w:r>
      <w:proofErr w:type="spellEnd"/>
      <w:r w:rsidRPr="00D45ECC">
        <w:rPr>
          <w:rFonts w:ascii="Calibri" w:eastAsia="Times New Roman" w:hAnsi="Calibri" w:cs="Calibri"/>
          <w:kern w:val="0"/>
          <w:lang w:eastAsia="en-GB"/>
          <w14:ligatures w14:val="none"/>
        </w:rPr>
        <w:t xml:space="preserve"> robotic systems, drone technology, and human expertise. The project responds to infrastructure disruption caused by flooding, aiming to restore transport functionality, economic activity, and community access.</w:t>
      </w:r>
    </w:p>
    <w:p w14:paraId="6D136478" w14:textId="77777777" w:rsidR="00CA08F2" w:rsidRPr="00D45ECC" w:rsidRDefault="00CA08F2"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kern w:val="0"/>
          <w:lang w:eastAsia="en-GB"/>
          <w14:ligatures w14:val="none"/>
        </w:rPr>
        <w:t>The report integrates key project management tools, including Work Breakdown Structure (WBS), Gantt chart scheduling, QUAD analysis, stakeholder mapping, resource allocation, and risk management. These tools provide a systematic and methodical framework to ensure efficient planning, coordination, and delivery within time, cost, and quality constraints.</w:t>
      </w:r>
    </w:p>
    <w:p w14:paraId="1C022E15" w14:textId="77777777" w:rsidR="00CA08F2" w:rsidRPr="00D45ECC" w:rsidRDefault="00CA08F2"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kern w:val="0"/>
          <w:lang w:eastAsia="en-GB"/>
          <w14:ligatures w14:val="none"/>
        </w:rPr>
        <w:t>Part A outlines the project visually through a poster, while Part B reflects critically on its development using Gibbs’ Reflective Cycle, highlighting the importance of feedback, analytical depth, and theory integration. Part C provides a detailed project plan, demonstrating how structured methodologies and technological innovation support operational effectiveness.</w:t>
      </w:r>
    </w:p>
    <w:p w14:paraId="1AAE910E" w14:textId="10456E71" w:rsidR="00CA08F2" w:rsidRPr="00D45ECC" w:rsidRDefault="00CA08F2" w:rsidP="005E3656">
      <w:pPr>
        <w:spacing w:before="100" w:beforeAutospacing="1" w:after="100" w:afterAutospacing="1" w:line="360" w:lineRule="auto"/>
        <w:rPr>
          <w:rFonts w:ascii="Calibri" w:eastAsia="Times New Roman" w:hAnsi="Calibri" w:cs="Calibri"/>
          <w:kern w:val="0"/>
          <w:lang w:eastAsia="en-GB"/>
          <w14:ligatures w14:val="none"/>
        </w:rPr>
      </w:pPr>
      <w:r w:rsidRPr="00D45ECC">
        <w:rPr>
          <w:rFonts w:ascii="Calibri" w:eastAsia="Times New Roman" w:hAnsi="Calibri" w:cs="Calibri"/>
          <w:kern w:val="0"/>
          <w:lang w:eastAsia="en-GB"/>
          <w14:ligatures w14:val="none"/>
        </w:rPr>
        <w:t>Overall, the report concludes that combining robotics, drones, and human collaboration enhances safety, efficiency, and resilience. The project offers a practical, achievable, and sustainable model for future infrastructure recovery in high-risk environments</w:t>
      </w:r>
      <w:r w:rsidR="00B31628" w:rsidRPr="00D45ECC">
        <w:rPr>
          <w:rFonts w:ascii="Calibri" w:eastAsia="Times New Roman" w:hAnsi="Calibri" w:cs="Calibri"/>
          <w:kern w:val="0"/>
          <w:lang w:eastAsia="en-GB"/>
          <w14:ligatures w14:val="none"/>
        </w:rPr>
        <w:t xml:space="preserve"> within Communities</w:t>
      </w:r>
      <w:r w:rsidR="00EA1520" w:rsidRPr="00D45ECC">
        <w:rPr>
          <w:rFonts w:ascii="Calibri" w:eastAsia="Times New Roman" w:hAnsi="Calibri" w:cs="Calibri"/>
          <w:kern w:val="0"/>
          <w:lang w:eastAsia="en-GB"/>
          <w14:ligatures w14:val="none"/>
        </w:rPr>
        <w:t>.</w:t>
      </w:r>
    </w:p>
    <w:p w14:paraId="46F4A5BB" w14:textId="77777777" w:rsidR="00561EDF" w:rsidRPr="00D45ECC" w:rsidRDefault="00561EDF" w:rsidP="005E3656">
      <w:pPr>
        <w:spacing w:line="360" w:lineRule="auto"/>
        <w:rPr>
          <w:rFonts w:ascii="Calibri" w:hAnsi="Calibri" w:cs="Calibri"/>
          <w:b/>
          <w:bCs/>
          <w:noProof/>
        </w:rPr>
      </w:pPr>
    </w:p>
    <w:p w14:paraId="773DE208" w14:textId="77777777" w:rsidR="00561EDF" w:rsidRPr="00D45ECC" w:rsidRDefault="00561EDF" w:rsidP="005E3656">
      <w:pPr>
        <w:spacing w:line="360" w:lineRule="auto"/>
        <w:rPr>
          <w:rFonts w:ascii="Calibri" w:hAnsi="Calibri" w:cs="Calibri"/>
          <w:b/>
          <w:bCs/>
          <w:noProof/>
        </w:rPr>
      </w:pPr>
    </w:p>
    <w:p w14:paraId="78027F81" w14:textId="77777777" w:rsidR="00561EDF" w:rsidRPr="00D45ECC" w:rsidRDefault="00561EDF" w:rsidP="005E3656">
      <w:pPr>
        <w:spacing w:line="360" w:lineRule="auto"/>
        <w:rPr>
          <w:rFonts w:ascii="Calibri" w:hAnsi="Calibri" w:cs="Calibri"/>
          <w:b/>
          <w:bCs/>
          <w:noProof/>
        </w:rPr>
      </w:pPr>
    </w:p>
    <w:p w14:paraId="1139C323" w14:textId="77777777" w:rsidR="00561EDF" w:rsidRPr="00D45ECC" w:rsidRDefault="00561EDF" w:rsidP="005E3656">
      <w:pPr>
        <w:spacing w:line="360" w:lineRule="auto"/>
        <w:rPr>
          <w:rFonts w:ascii="Calibri" w:hAnsi="Calibri" w:cs="Calibri"/>
          <w:b/>
          <w:bCs/>
          <w:noProof/>
        </w:rPr>
      </w:pPr>
    </w:p>
    <w:p w14:paraId="1319E17F" w14:textId="77777777" w:rsidR="001042A1" w:rsidRPr="001042A1" w:rsidRDefault="001042A1"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1042A1">
        <w:rPr>
          <w:rFonts w:ascii="Calibri" w:eastAsia="Times New Roman" w:hAnsi="Calibri" w:cs="Calibri"/>
          <w:b/>
          <w:bCs/>
          <w:kern w:val="36"/>
          <w:lang w:eastAsia="en-GB"/>
          <w14:ligatures w14:val="none"/>
        </w:rPr>
        <w:t>Table of Contents</w:t>
      </w:r>
    </w:p>
    <w:p w14:paraId="62EC92FC" w14:textId="77777777" w:rsidR="001042A1" w:rsidRPr="001042A1" w:rsidRDefault="001042A1" w:rsidP="005E3656">
      <w:p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Title Page ............................................................................. 1</w:t>
      </w:r>
      <w:r w:rsidRPr="001042A1">
        <w:rPr>
          <w:rFonts w:ascii="Calibri" w:eastAsia="Times New Roman" w:hAnsi="Calibri" w:cs="Calibri"/>
          <w:kern w:val="0"/>
          <w:lang w:eastAsia="en-GB"/>
          <w14:ligatures w14:val="none"/>
        </w:rPr>
        <w:br/>
        <w:t>Executive Summary ................................................................. 2</w:t>
      </w:r>
      <w:r w:rsidRPr="001042A1">
        <w:rPr>
          <w:rFonts w:ascii="Calibri" w:eastAsia="Times New Roman" w:hAnsi="Calibri" w:cs="Calibri"/>
          <w:kern w:val="0"/>
          <w:lang w:eastAsia="en-GB"/>
          <w14:ligatures w14:val="none"/>
        </w:rPr>
        <w:br/>
        <w:t>Table of Contents ................................................................. 3</w:t>
      </w:r>
      <w:r w:rsidRPr="001042A1">
        <w:rPr>
          <w:rFonts w:ascii="Calibri" w:eastAsia="Times New Roman" w:hAnsi="Calibri" w:cs="Calibri"/>
          <w:kern w:val="0"/>
          <w:lang w:eastAsia="en-GB"/>
          <w14:ligatures w14:val="none"/>
        </w:rPr>
        <w:br/>
        <w:t>List of Figures ........................................................................ 4</w:t>
      </w:r>
    </w:p>
    <w:p w14:paraId="28CFC330" w14:textId="77777777" w:rsidR="001042A1" w:rsidRPr="001042A1" w:rsidRDefault="001042A1" w:rsidP="005E3656">
      <w:p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b/>
          <w:bCs/>
          <w:kern w:val="0"/>
          <w:lang w:eastAsia="en-GB"/>
          <w14:ligatures w14:val="none"/>
        </w:rPr>
        <w:t>Part A: Project Proposal Poster</w:t>
      </w:r>
      <w:r w:rsidRPr="001042A1">
        <w:rPr>
          <w:rFonts w:ascii="Calibri" w:eastAsia="Times New Roman" w:hAnsi="Calibri" w:cs="Calibri"/>
          <w:kern w:val="0"/>
          <w:lang w:eastAsia="en-GB"/>
          <w14:ligatures w14:val="none"/>
        </w:rPr>
        <w:br/>
        <w:t>Reopening of the Highway .................................................. 5</w:t>
      </w:r>
    </w:p>
    <w:p w14:paraId="457FC2A8" w14:textId="77777777" w:rsidR="001042A1" w:rsidRPr="001042A1" w:rsidRDefault="001042A1" w:rsidP="005E3656">
      <w:p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b/>
          <w:bCs/>
          <w:kern w:val="0"/>
          <w:lang w:eastAsia="en-GB"/>
          <w14:ligatures w14:val="none"/>
        </w:rPr>
        <w:t>Part B: Reflection of the Highway Reopening Project</w:t>
      </w:r>
    </w:p>
    <w:p w14:paraId="515B860A"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Introduction ...................................................................... 6 </w:t>
      </w:r>
    </w:p>
    <w:p w14:paraId="3F3213C3"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Description ....................................................................... 6 </w:t>
      </w:r>
    </w:p>
    <w:p w14:paraId="7F2CE96A"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Evaluation ........................................................................ 7 </w:t>
      </w:r>
    </w:p>
    <w:p w14:paraId="790395F1"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Personal Reflection Insights ............................................. 7 </w:t>
      </w:r>
    </w:p>
    <w:p w14:paraId="199C4A4B"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Reflective Feedback ......................................................... 8 </w:t>
      </w:r>
    </w:p>
    <w:p w14:paraId="1BDAEFF2"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Analysis ........................................................................... 8 </w:t>
      </w:r>
    </w:p>
    <w:p w14:paraId="3933E271"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Conclusion ........................................................................ 9 </w:t>
      </w:r>
    </w:p>
    <w:p w14:paraId="1682E67D" w14:textId="77777777" w:rsidR="001042A1" w:rsidRPr="001042A1" w:rsidRDefault="001042A1" w:rsidP="005E3656">
      <w:pPr>
        <w:numPr>
          <w:ilvl w:val="0"/>
          <w:numId w:val="25"/>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Reflection Summary .......................................................... 9 </w:t>
      </w:r>
    </w:p>
    <w:p w14:paraId="36D1104B" w14:textId="77777777" w:rsidR="001042A1" w:rsidRPr="001042A1" w:rsidRDefault="001042A1" w:rsidP="005E3656">
      <w:p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b/>
          <w:bCs/>
          <w:kern w:val="0"/>
          <w:lang w:eastAsia="en-GB"/>
          <w14:ligatures w14:val="none"/>
        </w:rPr>
        <w:t>Part C: Project Management Plan</w:t>
      </w:r>
    </w:p>
    <w:p w14:paraId="0D6AE0A5"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Introduction ...................................................................... 10 </w:t>
      </w:r>
    </w:p>
    <w:p w14:paraId="5838D3C9"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Project Description .......................................................... 12 </w:t>
      </w:r>
    </w:p>
    <w:p w14:paraId="1721A88E"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Scope .............................................................................. 14 </w:t>
      </w:r>
    </w:p>
    <w:p w14:paraId="014BFD99"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Work Breakdown Structure (WBS) .................................... 16 </w:t>
      </w:r>
    </w:p>
    <w:p w14:paraId="5B4C77EC"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QUAD Chart ..................................................................... 17 </w:t>
      </w:r>
    </w:p>
    <w:p w14:paraId="1FA1926C"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Gantt Chart ...................................................................... 18 </w:t>
      </w:r>
    </w:p>
    <w:p w14:paraId="147AF794"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Stakeholder Involvement .................................................. 19 </w:t>
      </w:r>
    </w:p>
    <w:p w14:paraId="4C78A109"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Allocation of Resources ................................................... 20 </w:t>
      </w:r>
    </w:p>
    <w:p w14:paraId="4AC6BFEB"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 xml:space="preserve">Risk Analysis .................................................................... 21 </w:t>
      </w:r>
    </w:p>
    <w:p w14:paraId="45BD788E" w14:textId="77777777" w:rsidR="001042A1" w:rsidRPr="001042A1" w:rsidRDefault="001042A1" w:rsidP="005E3656">
      <w:pPr>
        <w:numPr>
          <w:ilvl w:val="0"/>
          <w:numId w:val="26"/>
        </w:num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lastRenderedPageBreak/>
        <w:t xml:space="preserve">Conclusion ..................................................................... 22 </w:t>
      </w:r>
    </w:p>
    <w:p w14:paraId="10C6C5CB" w14:textId="77777777" w:rsidR="001042A1" w:rsidRPr="001042A1" w:rsidRDefault="001042A1" w:rsidP="005E3656">
      <w:pPr>
        <w:spacing w:before="100" w:beforeAutospacing="1" w:after="100" w:afterAutospacing="1" w:line="360" w:lineRule="auto"/>
        <w:rPr>
          <w:rFonts w:ascii="Calibri" w:eastAsia="Times New Roman" w:hAnsi="Calibri" w:cs="Calibri"/>
          <w:kern w:val="0"/>
          <w:lang w:eastAsia="en-GB"/>
          <w14:ligatures w14:val="none"/>
        </w:rPr>
      </w:pPr>
      <w:r w:rsidRPr="001042A1">
        <w:rPr>
          <w:rFonts w:ascii="Calibri" w:eastAsia="Times New Roman" w:hAnsi="Calibri" w:cs="Calibri"/>
          <w:kern w:val="0"/>
          <w:lang w:eastAsia="en-GB"/>
          <w14:ligatures w14:val="none"/>
        </w:rPr>
        <w:t>Reference List ...................................................................... 23–24</w:t>
      </w:r>
    </w:p>
    <w:p w14:paraId="41ED58F3" w14:textId="77777777" w:rsidR="00561EDF" w:rsidRPr="00D45ECC" w:rsidRDefault="00561EDF" w:rsidP="005E3656">
      <w:pPr>
        <w:spacing w:line="360" w:lineRule="auto"/>
        <w:rPr>
          <w:rFonts w:ascii="Calibri" w:hAnsi="Calibri" w:cs="Calibri"/>
          <w:b/>
          <w:bCs/>
          <w:noProof/>
        </w:rPr>
      </w:pPr>
    </w:p>
    <w:p w14:paraId="6835496F" w14:textId="77777777" w:rsidR="008E6B93" w:rsidRPr="00D45ECC" w:rsidRDefault="008E6B93" w:rsidP="005E3656">
      <w:pPr>
        <w:spacing w:line="360" w:lineRule="auto"/>
        <w:rPr>
          <w:rFonts w:ascii="Calibri" w:hAnsi="Calibri" w:cs="Calibri"/>
          <w:b/>
          <w:bCs/>
          <w:noProof/>
        </w:rPr>
      </w:pPr>
    </w:p>
    <w:p w14:paraId="7611ACBC" w14:textId="77777777" w:rsidR="008E6B93" w:rsidRPr="00D45ECC" w:rsidRDefault="008E6B93" w:rsidP="005E3656">
      <w:pPr>
        <w:spacing w:line="360" w:lineRule="auto"/>
        <w:rPr>
          <w:rFonts w:ascii="Calibri" w:hAnsi="Calibri" w:cs="Calibri"/>
          <w:b/>
          <w:bCs/>
          <w:noProof/>
        </w:rPr>
      </w:pPr>
    </w:p>
    <w:p w14:paraId="29A7062E" w14:textId="77777777" w:rsidR="008E6B93" w:rsidRPr="00D45ECC" w:rsidRDefault="008E6B93" w:rsidP="005E3656">
      <w:pPr>
        <w:spacing w:line="360" w:lineRule="auto"/>
        <w:rPr>
          <w:rFonts w:ascii="Calibri" w:hAnsi="Calibri" w:cs="Calibri"/>
          <w:b/>
          <w:bCs/>
          <w:noProof/>
        </w:rPr>
      </w:pPr>
    </w:p>
    <w:p w14:paraId="59EBF33C" w14:textId="77777777" w:rsidR="008E6B93" w:rsidRPr="00D45ECC" w:rsidRDefault="008E6B93" w:rsidP="005E3656">
      <w:pPr>
        <w:spacing w:line="360" w:lineRule="auto"/>
        <w:rPr>
          <w:rFonts w:ascii="Calibri" w:hAnsi="Calibri" w:cs="Calibri"/>
          <w:b/>
          <w:bCs/>
          <w:noProof/>
        </w:rPr>
      </w:pPr>
    </w:p>
    <w:p w14:paraId="4AA6F960" w14:textId="77777777" w:rsidR="008E6B93" w:rsidRPr="00D45ECC" w:rsidRDefault="008E6B93" w:rsidP="005E3656">
      <w:pPr>
        <w:spacing w:line="360" w:lineRule="auto"/>
        <w:rPr>
          <w:rFonts w:ascii="Calibri" w:hAnsi="Calibri" w:cs="Calibri"/>
          <w:b/>
          <w:bCs/>
          <w:noProof/>
        </w:rPr>
      </w:pPr>
    </w:p>
    <w:p w14:paraId="2B590ED5" w14:textId="77777777" w:rsidR="008E6B93" w:rsidRPr="00D45ECC" w:rsidRDefault="008E6B93" w:rsidP="005E3656">
      <w:pPr>
        <w:spacing w:line="360" w:lineRule="auto"/>
        <w:rPr>
          <w:rFonts w:ascii="Calibri" w:hAnsi="Calibri" w:cs="Calibri"/>
          <w:b/>
          <w:bCs/>
          <w:noProof/>
        </w:rPr>
      </w:pPr>
    </w:p>
    <w:p w14:paraId="1EFDD95D" w14:textId="77777777" w:rsidR="00E45E6D" w:rsidRPr="00D45ECC" w:rsidRDefault="00E45E6D" w:rsidP="005E3656">
      <w:pPr>
        <w:spacing w:line="360" w:lineRule="auto"/>
        <w:rPr>
          <w:rFonts w:ascii="Calibri" w:hAnsi="Calibri" w:cs="Calibri"/>
          <w:b/>
          <w:bCs/>
          <w:noProof/>
        </w:rPr>
      </w:pPr>
    </w:p>
    <w:p w14:paraId="66D08641" w14:textId="77777777" w:rsidR="0053353C" w:rsidRPr="0053353C" w:rsidRDefault="0053353C"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53353C">
        <w:rPr>
          <w:rFonts w:ascii="Calibri" w:eastAsia="Times New Roman" w:hAnsi="Calibri" w:cs="Calibri"/>
          <w:b/>
          <w:bCs/>
          <w:kern w:val="36"/>
          <w:lang w:eastAsia="en-GB"/>
          <w14:ligatures w14:val="none"/>
        </w:rPr>
        <w:t>List of Figures</w:t>
      </w:r>
    </w:p>
    <w:p w14:paraId="68BB6332" w14:textId="4C401559" w:rsidR="0053353C" w:rsidRPr="0053353C" w:rsidRDefault="0053353C" w:rsidP="005E3656">
      <w:pPr>
        <w:spacing w:before="100" w:beforeAutospacing="1" w:after="100" w:afterAutospacing="1" w:line="360" w:lineRule="auto"/>
        <w:rPr>
          <w:rFonts w:ascii="Calibri" w:eastAsia="Times New Roman" w:hAnsi="Calibri" w:cs="Calibri"/>
          <w:kern w:val="0"/>
          <w:lang w:eastAsia="en-GB"/>
          <w14:ligatures w14:val="none"/>
        </w:rPr>
      </w:pPr>
      <w:r w:rsidRPr="0053353C">
        <w:rPr>
          <w:rFonts w:ascii="Calibri" w:eastAsia="Times New Roman" w:hAnsi="Calibri" w:cs="Calibri"/>
          <w:kern w:val="0"/>
          <w:lang w:eastAsia="en-GB"/>
          <w14:ligatures w14:val="none"/>
        </w:rPr>
        <w:t>Figure 1: PESTLE Analysis Framework ................................. 1</w:t>
      </w:r>
      <w:r w:rsidR="00230532" w:rsidRPr="00D45ECC">
        <w:rPr>
          <w:rFonts w:ascii="Calibri" w:eastAsia="Times New Roman" w:hAnsi="Calibri" w:cs="Calibri"/>
          <w:kern w:val="0"/>
          <w:lang w:eastAsia="en-GB"/>
          <w14:ligatures w14:val="none"/>
        </w:rPr>
        <w:t>0</w:t>
      </w:r>
      <w:r w:rsidRPr="0053353C">
        <w:rPr>
          <w:rFonts w:ascii="Calibri" w:eastAsia="Times New Roman" w:hAnsi="Calibri" w:cs="Calibri"/>
          <w:kern w:val="0"/>
          <w:lang w:eastAsia="en-GB"/>
          <w14:ligatures w14:val="none"/>
        </w:rPr>
        <w:br/>
        <w:t>Figure 2: SWOT Analysis Diagram ......................................... 12</w:t>
      </w:r>
    </w:p>
    <w:p w14:paraId="56C25F95" w14:textId="77777777" w:rsidR="008E6B93" w:rsidRPr="00D45ECC" w:rsidRDefault="008E6B93" w:rsidP="005E3656">
      <w:pPr>
        <w:spacing w:line="360" w:lineRule="auto"/>
        <w:rPr>
          <w:rFonts w:ascii="Calibri" w:hAnsi="Calibri" w:cs="Calibri"/>
          <w:b/>
          <w:bCs/>
          <w:noProof/>
        </w:rPr>
      </w:pPr>
    </w:p>
    <w:p w14:paraId="3116185E" w14:textId="77777777" w:rsidR="008E6B93" w:rsidRPr="00D45ECC" w:rsidRDefault="008E6B93" w:rsidP="005E3656">
      <w:pPr>
        <w:spacing w:line="360" w:lineRule="auto"/>
        <w:rPr>
          <w:rFonts w:ascii="Calibri" w:hAnsi="Calibri" w:cs="Calibri"/>
          <w:b/>
          <w:bCs/>
          <w:noProof/>
        </w:rPr>
      </w:pPr>
    </w:p>
    <w:p w14:paraId="34CE6EDC" w14:textId="77777777" w:rsidR="008E6B93" w:rsidRPr="00D45ECC" w:rsidRDefault="008E6B93" w:rsidP="005E3656">
      <w:pPr>
        <w:spacing w:line="360" w:lineRule="auto"/>
        <w:rPr>
          <w:rFonts w:ascii="Calibri" w:hAnsi="Calibri" w:cs="Calibri"/>
          <w:b/>
          <w:bCs/>
          <w:noProof/>
        </w:rPr>
      </w:pPr>
    </w:p>
    <w:p w14:paraId="36561E91" w14:textId="77777777" w:rsidR="008E6B93" w:rsidRPr="00D45ECC" w:rsidRDefault="008E6B93" w:rsidP="005E3656">
      <w:pPr>
        <w:spacing w:line="360" w:lineRule="auto"/>
        <w:rPr>
          <w:rFonts w:ascii="Calibri" w:hAnsi="Calibri" w:cs="Calibri"/>
          <w:b/>
          <w:bCs/>
          <w:noProof/>
        </w:rPr>
      </w:pPr>
    </w:p>
    <w:p w14:paraId="35978C37" w14:textId="77777777" w:rsidR="008E6B93" w:rsidRPr="00D45ECC" w:rsidRDefault="008E6B93" w:rsidP="005E3656">
      <w:pPr>
        <w:spacing w:line="360" w:lineRule="auto"/>
        <w:rPr>
          <w:rFonts w:ascii="Calibri" w:hAnsi="Calibri" w:cs="Calibri"/>
          <w:b/>
          <w:bCs/>
          <w:noProof/>
        </w:rPr>
      </w:pPr>
    </w:p>
    <w:p w14:paraId="7DEECD14" w14:textId="77777777" w:rsidR="008E6B93" w:rsidRPr="00D45ECC" w:rsidRDefault="008E6B93" w:rsidP="005E3656">
      <w:pPr>
        <w:spacing w:line="360" w:lineRule="auto"/>
        <w:rPr>
          <w:rFonts w:ascii="Calibri" w:hAnsi="Calibri" w:cs="Calibri"/>
          <w:b/>
          <w:bCs/>
          <w:noProof/>
        </w:rPr>
      </w:pPr>
    </w:p>
    <w:p w14:paraId="6F4774DB" w14:textId="77777777" w:rsidR="008E6B93" w:rsidRPr="00D45ECC" w:rsidRDefault="008E6B93" w:rsidP="005E3656">
      <w:pPr>
        <w:spacing w:line="360" w:lineRule="auto"/>
        <w:rPr>
          <w:rFonts w:ascii="Calibri" w:hAnsi="Calibri" w:cs="Calibri"/>
          <w:b/>
          <w:bCs/>
          <w:noProof/>
        </w:rPr>
      </w:pPr>
    </w:p>
    <w:p w14:paraId="73EC27A6" w14:textId="77777777" w:rsidR="008E6B93" w:rsidRPr="00D45ECC" w:rsidRDefault="008E6B93" w:rsidP="005E3656">
      <w:pPr>
        <w:spacing w:line="360" w:lineRule="auto"/>
        <w:rPr>
          <w:rFonts w:ascii="Calibri" w:hAnsi="Calibri" w:cs="Calibri"/>
          <w:b/>
          <w:bCs/>
          <w:noProof/>
        </w:rPr>
      </w:pPr>
    </w:p>
    <w:p w14:paraId="0D77EAA1" w14:textId="77777777" w:rsidR="008E6B93" w:rsidRPr="00D45ECC" w:rsidRDefault="008E6B93" w:rsidP="005E3656">
      <w:pPr>
        <w:spacing w:line="360" w:lineRule="auto"/>
        <w:rPr>
          <w:rFonts w:ascii="Calibri" w:hAnsi="Calibri" w:cs="Calibri"/>
          <w:b/>
          <w:bCs/>
          <w:noProof/>
        </w:rPr>
      </w:pPr>
    </w:p>
    <w:p w14:paraId="20C74B27" w14:textId="77777777" w:rsidR="008E6B93" w:rsidRPr="00D45ECC" w:rsidRDefault="008E6B93" w:rsidP="005E3656">
      <w:pPr>
        <w:spacing w:line="360" w:lineRule="auto"/>
        <w:rPr>
          <w:rFonts w:ascii="Calibri" w:hAnsi="Calibri" w:cs="Calibri"/>
          <w:b/>
          <w:bCs/>
          <w:noProof/>
        </w:rPr>
      </w:pPr>
    </w:p>
    <w:p w14:paraId="090EA312" w14:textId="77777777" w:rsidR="008E6B93" w:rsidRPr="00D45ECC" w:rsidRDefault="008E6B93" w:rsidP="005E3656">
      <w:pPr>
        <w:spacing w:line="360" w:lineRule="auto"/>
        <w:rPr>
          <w:rFonts w:ascii="Calibri" w:hAnsi="Calibri" w:cs="Calibri"/>
          <w:b/>
          <w:bCs/>
          <w:noProof/>
        </w:rPr>
      </w:pPr>
    </w:p>
    <w:p w14:paraId="3E962B89" w14:textId="77777777" w:rsidR="008E6B93" w:rsidRPr="00D45ECC" w:rsidRDefault="008E6B93" w:rsidP="005E3656">
      <w:pPr>
        <w:spacing w:line="360" w:lineRule="auto"/>
        <w:rPr>
          <w:rFonts w:ascii="Calibri" w:hAnsi="Calibri" w:cs="Calibri"/>
          <w:b/>
          <w:bCs/>
          <w:noProof/>
        </w:rPr>
      </w:pPr>
    </w:p>
    <w:p w14:paraId="7E0CB7F9" w14:textId="77777777" w:rsidR="008E6B93" w:rsidRPr="00D45ECC" w:rsidRDefault="008E6B93" w:rsidP="005E3656">
      <w:pPr>
        <w:spacing w:line="360" w:lineRule="auto"/>
        <w:rPr>
          <w:rFonts w:ascii="Calibri" w:hAnsi="Calibri" w:cs="Calibri"/>
          <w:b/>
          <w:bCs/>
          <w:noProof/>
        </w:rPr>
      </w:pPr>
    </w:p>
    <w:p w14:paraId="5EA0869F" w14:textId="77777777" w:rsidR="00412009" w:rsidRPr="00D45ECC" w:rsidRDefault="00412009" w:rsidP="005E3656">
      <w:pPr>
        <w:spacing w:line="360" w:lineRule="auto"/>
        <w:rPr>
          <w:rFonts w:ascii="Calibri" w:hAnsi="Calibri" w:cs="Calibri"/>
          <w:b/>
          <w:bCs/>
          <w:noProof/>
        </w:rPr>
      </w:pPr>
    </w:p>
    <w:p w14:paraId="3709DBD8" w14:textId="77777777" w:rsidR="00412009" w:rsidRPr="00D45ECC" w:rsidRDefault="00412009" w:rsidP="005E3656">
      <w:pPr>
        <w:spacing w:line="360" w:lineRule="auto"/>
        <w:rPr>
          <w:rFonts w:ascii="Calibri" w:hAnsi="Calibri" w:cs="Calibri"/>
          <w:b/>
          <w:bCs/>
          <w:noProof/>
        </w:rPr>
      </w:pPr>
    </w:p>
    <w:p w14:paraId="6F9AF100" w14:textId="77777777" w:rsidR="00561EDF" w:rsidRPr="00D45ECC" w:rsidRDefault="00561EDF" w:rsidP="005E3656">
      <w:pPr>
        <w:spacing w:line="360" w:lineRule="auto"/>
        <w:rPr>
          <w:rFonts w:ascii="Calibri" w:hAnsi="Calibri" w:cs="Calibri"/>
          <w:b/>
          <w:bCs/>
          <w:noProof/>
        </w:rPr>
      </w:pPr>
    </w:p>
    <w:p w14:paraId="1247DEA0" w14:textId="77777777" w:rsidR="00412009" w:rsidRPr="00D45ECC" w:rsidRDefault="00412009" w:rsidP="005E3656">
      <w:pPr>
        <w:spacing w:line="360" w:lineRule="auto"/>
        <w:rPr>
          <w:rFonts w:ascii="Calibri" w:hAnsi="Calibri" w:cs="Calibri"/>
          <w:b/>
          <w:bCs/>
          <w:noProof/>
        </w:rPr>
      </w:pPr>
    </w:p>
    <w:p w14:paraId="76639680" w14:textId="77777777" w:rsidR="00412009" w:rsidRPr="00D45ECC" w:rsidRDefault="00412009" w:rsidP="005E3656">
      <w:pPr>
        <w:spacing w:line="360" w:lineRule="auto"/>
        <w:rPr>
          <w:rFonts w:ascii="Calibri" w:hAnsi="Calibri" w:cs="Calibri"/>
          <w:b/>
          <w:bCs/>
          <w:noProof/>
        </w:rPr>
      </w:pPr>
    </w:p>
    <w:p w14:paraId="15F4A826" w14:textId="77777777" w:rsidR="00E45E6D" w:rsidRPr="00D45ECC" w:rsidRDefault="00E45E6D" w:rsidP="005E3656">
      <w:pPr>
        <w:spacing w:line="360" w:lineRule="auto"/>
        <w:rPr>
          <w:rFonts w:ascii="Calibri" w:hAnsi="Calibri" w:cs="Calibri"/>
          <w:b/>
          <w:bCs/>
          <w:noProof/>
        </w:rPr>
      </w:pPr>
    </w:p>
    <w:p w14:paraId="61DE4993" w14:textId="77777777" w:rsidR="00E45E6D" w:rsidRPr="00D45ECC" w:rsidRDefault="00E45E6D" w:rsidP="005E3656">
      <w:pPr>
        <w:spacing w:line="360" w:lineRule="auto"/>
        <w:rPr>
          <w:rFonts w:ascii="Calibri" w:hAnsi="Calibri" w:cs="Calibri"/>
          <w:b/>
          <w:bCs/>
          <w:noProof/>
        </w:rPr>
      </w:pPr>
    </w:p>
    <w:p w14:paraId="1245DFA6" w14:textId="77777777" w:rsidR="00E45E6D" w:rsidRPr="00D45ECC" w:rsidRDefault="00E45E6D" w:rsidP="005E3656">
      <w:pPr>
        <w:spacing w:line="360" w:lineRule="auto"/>
        <w:rPr>
          <w:rFonts w:ascii="Calibri" w:hAnsi="Calibri" w:cs="Calibri"/>
          <w:b/>
          <w:bCs/>
          <w:noProof/>
        </w:rPr>
      </w:pPr>
    </w:p>
    <w:p w14:paraId="5ED9BD85" w14:textId="77777777" w:rsidR="00E45E6D" w:rsidRPr="00D45ECC" w:rsidRDefault="00E45E6D" w:rsidP="005E3656">
      <w:pPr>
        <w:spacing w:line="360" w:lineRule="auto"/>
        <w:rPr>
          <w:rFonts w:ascii="Calibri" w:hAnsi="Calibri" w:cs="Calibri"/>
          <w:b/>
          <w:bCs/>
          <w:noProof/>
        </w:rPr>
      </w:pPr>
    </w:p>
    <w:p w14:paraId="12A520A0" w14:textId="77777777" w:rsidR="00E45E6D" w:rsidRPr="00D45ECC" w:rsidRDefault="00E45E6D" w:rsidP="005E3656">
      <w:pPr>
        <w:spacing w:line="360" w:lineRule="auto"/>
        <w:rPr>
          <w:rFonts w:ascii="Calibri" w:hAnsi="Calibri" w:cs="Calibri"/>
          <w:b/>
          <w:bCs/>
          <w:noProof/>
        </w:rPr>
      </w:pPr>
    </w:p>
    <w:p w14:paraId="56D7EE31" w14:textId="77777777" w:rsidR="00E45E6D" w:rsidRPr="00D45ECC" w:rsidRDefault="00E45E6D" w:rsidP="005E3656">
      <w:pPr>
        <w:spacing w:line="360" w:lineRule="auto"/>
        <w:rPr>
          <w:rFonts w:ascii="Calibri" w:hAnsi="Calibri" w:cs="Calibri"/>
          <w:b/>
          <w:bCs/>
          <w:noProof/>
        </w:rPr>
      </w:pPr>
    </w:p>
    <w:p w14:paraId="7AAF5AC4" w14:textId="63E1571D" w:rsidR="00920FC2" w:rsidRPr="00D45ECC" w:rsidRDefault="00920FC2" w:rsidP="005E3656">
      <w:pPr>
        <w:spacing w:line="360" w:lineRule="auto"/>
        <w:rPr>
          <w:rFonts w:ascii="Calibri" w:hAnsi="Calibri" w:cs="Calibri"/>
          <w:b/>
          <w:bCs/>
          <w:noProof/>
        </w:rPr>
      </w:pPr>
      <w:r w:rsidRPr="00D45ECC">
        <w:rPr>
          <w:rFonts w:ascii="Calibri" w:hAnsi="Calibri" w:cs="Calibri"/>
          <w:b/>
          <w:bCs/>
          <w:noProof/>
        </w:rPr>
        <w:t>Part A</w:t>
      </w:r>
      <w:r w:rsidR="00B56B2B" w:rsidRPr="00D45ECC">
        <w:rPr>
          <w:rFonts w:ascii="Calibri" w:hAnsi="Calibri" w:cs="Calibri"/>
          <w:b/>
          <w:bCs/>
          <w:noProof/>
        </w:rPr>
        <w:t xml:space="preserve">) </w:t>
      </w:r>
      <w:r w:rsidR="00CB293C" w:rsidRPr="00D45ECC">
        <w:rPr>
          <w:rFonts w:ascii="Calibri" w:hAnsi="Calibri" w:cs="Calibri"/>
          <w:b/>
          <w:bCs/>
          <w:noProof/>
        </w:rPr>
        <w:t xml:space="preserve">Project Proposal Poster </w:t>
      </w:r>
      <w:r w:rsidRPr="00D45ECC">
        <w:rPr>
          <w:rFonts w:ascii="Calibri" w:hAnsi="Calibri" w:cs="Calibri"/>
          <w:b/>
          <w:bCs/>
          <w:noProof/>
        </w:rPr>
        <w:t xml:space="preserve"> </w:t>
      </w:r>
      <w:r w:rsidR="003C45B4" w:rsidRPr="00D45ECC">
        <w:rPr>
          <w:rFonts w:ascii="Calibri" w:hAnsi="Calibri" w:cs="Calibri"/>
          <w:b/>
          <w:bCs/>
          <w:noProof/>
        </w:rPr>
        <w:t xml:space="preserve">Reopening </w:t>
      </w:r>
      <w:r w:rsidR="00D02802" w:rsidRPr="00D45ECC">
        <w:rPr>
          <w:rFonts w:ascii="Calibri" w:hAnsi="Calibri" w:cs="Calibri"/>
          <w:b/>
          <w:bCs/>
          <w:noProof/>
        </w:rPr>
        <w:t>of</w:t>
      </w:r>
      <w:r w:rsidR="00F10D05" w:rsidRPr="00D45ECC">
        <w:rPr>
          <w:rFonts w:ascii="Calibri" w:hAnsi="Calibri" w:cs="Calibri"/>
          <w:b/>
          <w:bCs/>
          <w:noProof/>
        </w:rPr>
        <w:t xml:space="preserve"> the Highway </w:t>
      </w:r>
    </w:p>
    <w:p w14:paraId="3133A61E" w14:textId="77777777" w:rsidR="00920FC2" w:rsidRPr="00D45ECC" w:rsidRDefault="00920FC2" w:rsidP="005E3656">
      <w:pPr>
        <w:spacing w:line="360" w:lineRule="auto"/>
        <w:rPr>
          <w:rFonts w:ascii="Calibri" w:hAnsi="Calibri" w:cs="Calibri"/>
          <w:noProof/>
        </w:rPr>
      </w:pPr>
    </w:p>
    <w:p w14:paraId="1F5CA0F3" w14:textId="609A436E" w:rsidR="00920FC2" w:rsidRPr="00D45ECC" w:rsidRDefault="00AC70C5" w:rsidP="005E3656">
      <w:pPr>
        <w:spacing w:line="360" w:lineRule="auto"/>
        <w:rPr>
          <w:rFonts w:ascii="Calibri" w:hAnsi="Calibri" w:cs="Calibri"/>
          <w:noProof/>
        </w:rPr>
      </w:pPr>
      <w:r w:rsidRPr="00D45ECC">
        <w:rPr>
          <w:rFonts w:ascii="Calibri" w:hAnsi="Calibri" w:cs="Calibri"/>
          <w:noProof/>
        </w:rPr>
        <w:lastRenderedPageBreak/>
        <w:drawing>
          <wp:inline distT="0" distB="0" distL="0" distR="0" wp14:anchorId="1919BE7C" wp14:editId="79AB6621">
            <wp:extent cx="6019800" cy="3359150"/>
            <wp:effectExtent l="0" t="0" r="0" b="0"/>
            <wp:docPr id="1758933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933275" name=""/>
                    <pic:cNvPicPr/>
                  </pic:nvPicPr>
                  <pic:blipFill>
                    <a:blip r:embed="rId7"/>
                    <a:stretch>
                      <a:fillRect/>
                    </a:stretch>
                  </pic:blipFill>
                  <pic:spPr>
                    <a:xfrm>
                      <a:off x="0" y="0"/>
                      <a:ext cx="6019800" cy="3359150"/>
                    </a:xfrm>
                    <a:prstGeom prst="rect">
                      <a:avLst/>
                    </a:prstGeom>
                  </pic:spPr>
                </pic:pic>
              </a:graphicData>
            </a:graphic>
          </wp:inline>
        </w:drawing>
      </w:r>
    </w:p>
    <w:p w14:paraId="597E305D" w14:textId="77777777" w:rsidR="00920FC2" w:rsidRPr="00D45ECC" w:rsidRDefault="00920FC2"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551E05EF" w14:textId="77777777" w:rsidR="00332DDD" w:rsidRPr="00D45ECC" w:rsidRDefault="00332DDD"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6E169D25" w14:textId="77777777" w:rsidR="00332DDD" w:rsidRPr="00D45ECC" w:rsidRDefault="00332DDD"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71D8C19B" w14:textId="77777777" w:rsidR="00332DDD" w:rsidRPr="00D45ECC" w:rsidRDefault="00332DDD"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194005D8" w14:textId="77777777" w:rsidR="000358B3" w:rsidRPr="00D45ECC" w:rsidRDefault="000358B3"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7A1EE9FA" w14:textId="5A87727D" w:rsidR="00F254C1" w:rsidRPr="00D45ECC" w:rsidRDefault="00F254C1"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r w:rsidRPr="00D45ECC">
        <w:rPr>
          <w:rFonts w:ascii="Calibri" w:eastAsia="Times New Roman" w:hAnsi="Calibri" w:cs="Calibri"/>
          <w:b/>
          <w:bCs/>
          <w:color w:val="222222"/>
          <w:kern w:val="36"/>
          <w:lang w:eastAsia="en-GB"/>
          <w14:ligatures w14:val="none"/>
        </w:rPr>
        <w:t xml:space="preserve">Part B) </w:t>
      </w:r>
    </w:p>
    <w:p w14:paraId="0F031F53" w14:textId="6020E361" w:rsidR="00F254C1" w:rsidRPr="00D45ECC" w:rsidRDefault="00F254C1"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r w:rsidRPr="00D45ECC">
        <w:rPr>
          <w:rFonts w:ascii="Calibri" w:eastAsia="Times New Roman" w:hAnsi="Calibri" w:cs="Calibri"/>
          <w:b/>
          <w:bCs/>
          <w:color w:val="222222"/>
          <w:kern w:val="36"/>
          <w:lang w:eastAsia="en-GB"/>
          <w14:ligatures w14:val="none"/>
        </w:rPr>
        <w:t>Reflection of the Highway Reopening Project</w:t>
      </w:r>
    </w:p>
    <w:p w14:paraId="05D55E3D" w14:textId="77777777"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1) Introduction</w:t>
      </w:r>
    </w:p>
    <w:p w14:paraId="79982FF5" w14:textId="11693200" w:rsidR="004221B7"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This reflection critically evaluates the development of the highway reopening project poster using Gibbs’ Reflective Cycle (Gibbs, 1988). It includes key project management components’ introduction, project description, scope, WBS, QUAD chart, Gantt chart, stakeholder involvement, resource allocation, risk </w:t>
      </w:r>
      <w:r w:rsidR="00E7461D" w:rsidRPr="00D45ECC">
        <w:rPr>
          <w:rFonts w:ascii="Calibri" w:eastAsia="Times New Roman" w:hAnsi="Calibri" w:cs="Calibri"/>
          <w:color w:val="222222"/>
          <w:kern w:val="0"/>
          <w:lang w:eastAsia="en-GB"/>
          <w14:ligatures w14:val="none"/>
        </w:rPr>
        <w:t>analysis,</w:t>
      </w:r>
      <w:r w:rsidRPr="00D45ECC">
        <w:rPr>
          <w:rFonts w:ascii="Calibri" w:eastAsia="Times New Roman" w:hAnsi="Calibri" w:cs="Calibri"/>
          <w:color w:val="222222"/>
          <w:kern w:val="0"/>
          <w:lang w:eastAsia="en-GB"/>
          <w14:ligatures w14:val="none"/>
        </w:rPr>
        <w:t xml:space="preserve"> and a conclusion. Tutor and peer feedback strengthened depth, structure, and critical integration (APM, 2009), showing how </w:t>
      </w:r>
      <w:r w:rsidRPr="00D45ECC">
        <w:rPr>
          <w:rFonts w:ascii="Calibri" w:eastAsia="Times New Roman" w:hAnsi="Calibri" w:cs="Calibri"/>
          <w:color w:val="222222"/>
          <w:kern w:val="0"/>
          <w:lang w:eastAsia="en-GB"/>
          <w14:ligatures w14:val="none"/>
        </w:rPr>
        <w:lastRenderedPageBreak/>
        <w:t>project management principles supported practical planning for reopening a flood-damaged highway and consideration of operational limitations.</w:t>
      </w:r>
    </w:p>
    <w:p w14:paraId="6F77AA87" w14:textId="16D4B7B4"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2) Description</w:t>
      </w:r>
    </w:p>
    <w:p w14:paraId="1619A5D1" w14:textId="0BAFEB1E"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The first poster proposed the reopening of a flood-damaged highway using robotic systems, drone </w:t>
      </w:r>
      <w:r w:rsidR="00E7461D" w:rsidRPr="00D45ECC">
        <w:rPr>
          <w:rFonts w:ascii="Calibri" w:eastAsia="Times New Roman" w:hAnsi="Calibri" w:cs="Calibri"/>
          <w:color w:val="222222"/>
          <w:kern w:val="0"/>
          <w:lang w:eastAsia="en-GB"/>
          <w14:ligatures w14:val="none"/>
        </w:rPr>
        <w:t>technology,</w:t>
      </w:r>
      <w:r w:rsidRPr="00D45ECC">
        <w:rPr>
          <w:rFonts w:ascii="Calibri" w:eastAsia="Times New Roman" w:hAnsi="Calibri" w:cs="Calibri"/>
          <w:color w:val="222222"/>
          <w:kern w:val="0"/>
          <w:lang w:eastAsia="en-GB"/>
          <w14:ligatures w14:val="none"/>
        </w:rPr>
        <w:t xml:space="preserve"> and human support. The second poster was </w:t>
      </w:r>
      <w:r w:rsidR="004302E8" w:rsidRPr="00D45ECC">
        <w:rPr>
          <w:rFonts w:ascii="Calibri" w:eastAsia="Times New Roman" w:hAnsi="Calibri" w:cs="Calibri"/>
          <w:color w:val="222222"/>
          <w:kern w:val="0"/>
          <w:lang w:eastAsia="en-GB"/>
          <w14:ligatures w14:val="none"/>
        </w:rPr>
        <w:t>enhanced</w:t>
      </w:r>
      <w:r w:rsidRPr="00D45ECC">
        <w:rPr>
          <w:rFonts w:ascii="Calibri" w:eastAsia="Times New Roman" w:hAnsi="Calibri" w:cs="Calibri"/>
          <w:color w:val="222222"/>
          <w:kern w:val="0"/>
          <w:lang w:eastAsia="en-GB"/>
          <w14:ligatures w14:val="none"/>
        </w:rPr>
        <w:t xml:space="preserve"> significantly through peer and tutor feedback. It integrated project management tools to show practical application </w:t>
      </w:r>
      <w:r w:rsidR="00C047FF" w:rsidRPr="00D45ECC">
        <w:rPr>
          <w:rFonts w:ascii="Calibri" w:eastAsia="Times New Roman" w:hAnsi="Calibri" w:cs="Calibri"/>
          <w:color w:val="222222"/>
          <w:kern w:val="0"/>
          <w:lang w:eastAsia="en-GB"/>
          <w14:ligatures w14:val="none"/>
        </w:rPr>
        <w:t>(Pinto</w:t>
      </w:r>
      <w:r w:rsidRPr="00D45ECC">
        <w:rPr>
          <w:rFonts w:ascii="Calibri" w:eastAsia="Times New Roman" w:hAnsi="Calibri" w:cs="Calibri"/>
          <w:color w:val="222222"/>
          <w:kern w:val="0"/>
          <w:lang w:eastAsia="en-GB"/>
          <w14:ligatures w14:val="none"/>
        </w:rPr>
        <w:t>, 2010).</w:t>
      </w:r>
    </w:p>
    <w:p w14:paraId="70FAEE88" w14:textId="77777777"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Key elements:</w:t>
      </w:r>
    </w:p>
    <w:p w14:paraId="659DCCAB" w14:textId="77777777" w:rsidR="00F254C1" w:rsidRPr="00D45ECC" w:rsidRDefault="00F254C1" w:rsidP="005E3656">
      <w:pPr>
        <w:numPr>
          <w:ilvl w:val="0"/>
          <w:numId w:val="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QUAD chart summarising objectives</w:t>
      </w:r>
    </w:p>
    <w:p w14:paraId="71C1A04C" w14:textId="77777777" w:rsidR="00F254C1" w:rsidRPr="00D45ECC" w:rsidRDefault="00F254C1" w:rsidP="005E3656">
      <w:pPr>
        <w:numPr>
          <w:ilvl w:val="0"/>
          <w:numId w:val="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Stakeholder mapping</w:t>
      </w:r>
    </w:p>
    <w:p w14:paraId="2C2F7E32" w14:textId="77777777" w:rsidR="00F254C1" w:rsidRPr="00D45ECC" w:rsidRDefault="00F254C1" w:rsidP="005E3656">
      <w:pPr>
        <w:numPr>
          <w:ilvl w:val="0"/>
          <w:numId w:val="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WBS organising tasks.</w:t>
      </w:r>
    </w:p>
    <w:p w14:paraId="3508FDEF" w14:textId="77777777" w:rsidR="00F254C1" w:rsidRPr="00D45ECC" w:rsidRDefault="00F254C1" w:rsidP="005E3656">
      <w:pPr>
        <w:numPr>
          <w:ilvl w:val="0"/>
          <w:numId w:val="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Gantt chart scheduling</w:t>
      </w:r>
    </w:p>
    <w:p w14:paraId="3F29CF75" w14:textId="7FC9A29A" w:rsidR="00F254C1" w:rsidRPr="00D45ECC" w:rsidRDefault="00F254C1" w:rsidP="005E3656">
      <w:pPr>
        <w:numPr>
          <w:ilvl w:val="0"/>
          <w:numId w:val="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Resource allocation and risk analysis</w:t>
      </w:r>
    </w:p>
    <w:p w14:paraId="420882D6" w14:textId="2E9CE113"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Peer feedback highlighted strong visual structure but noted weaknesses in critical depth and integration. Tutor feedback emphasised the need for clearer justification and stronger links between theory and principles. These insights required</w:t>
      </w:r>
      <w:r w:rsidR="00591E55" w:rsidRPr="00D45ECC">
        <w:rPr>
          <w:rFonts w:ascii="Calibri" w:eastAsia="Times New Roman" w:hAnsi="Calibri" w:cs="Calibri"/>
          <w:color w:val="222222"/>
          <w:kern w:val="0"/>
          <w:lang w:eastAsia="en-GB"/>
          <w14:ligatures w14:val="none"/>
        </w:rPr>
        <w:t xml:space="preserve"> some</w:t>
      </w:r>
      <w:r w:rsidRPr="00D45ECC">
        <w:rPr>
          <w:rFonts w:ascii="Calibri" w:eastAsia="Times New Roman" w:hAnsi="Calibri" w:cs="Calibri"/>
          <w:color w:val="222222"/>
          <w:kern w:val="0"/>
          <w:lang w:eastAsia="en-GB"/>
          <w14:ligatures w14:val="none"/>
        </w:rPr>
        <w:t xml:space="preserve"> revisions, improving clarity, alignment, and critical thinking, particularly in linking key frameworks to operational decisions.</w:t>
      </w:r>
    </w:p>
    <w:p w14:paraId="5B902295" w14:textId="77777777"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3) Evaluation</w:t>
      </w:r>
    </w:p>
    <w:p w14:paraId="438B9BF9" w14:textId="77777777"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poster effectively applied core project tools:</w:t>
      </w:r>
    </w:p>
    <w:p w14:paraId="5DEB843C" w14:textId="77777777" w:rsidR="00F254C1" w:rsidRPr="00D45ECC" w:rsidRDefault="00F254C1" w:rsidP="005E3656">
      <w:pPr>
        <w:numPr>
          <w:ilvl w:val="0"/>
          <w:numId w:val="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WBS organised tasks efficiently</w:t>
      </w:r>
    </w:p>
    <w:p w14:paraId="2F3CD767" w14:textId="77777777" w:rsidR="00F254C1" w:rsidRPr="00D45ECC" w:rsidRDefault="00F254C1" w:rsidP="005E3656">
      <w:pPr>
        <w:numPr>
          <w:ilvl w:val="0"/>
          <w:numId w:val="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Gantt chart visualised scheduling and connections.</w:t>
      </w:r>
    </w:p>
    <w:p w14:paraId="4C204995" w14:textId="77777777" w:rsidR="00F254C1" w:rsidRPr="00D45ECC" w:rsidRDefault="00F254C1" w:rsidP="005E3656">
      <w:pPr>
        <w:numPr>
          <w:ilvl w:val="0"/>
          <w:numId w:val="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QUAD chart clarified strategic intent (Straw, 2015).</w:t>
      </w:r>
    </w:p>
    <w:p w14:paraId="0DB3B7B1" w14:textId="77777777" w:rsidR="00F254C1" w:rsidRPr="00D45ECC" w:rsidRDefault="00F254C1" w:rsidP="005E3656">
      <w:pPr>
        <w:numPr>
          <w:ilvl w:val="0"/>
          <w:numId w:val="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Risk analysis showed operational challenges.</w:t>
      </w:r>
    </w:p>
    <w:p w14:paraId="429ABD9E" w14:textId="77777777"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p>
    <w:p w14:paraId="70B13737" w14:textId="756FE72D"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These tools support planning and coordination in complex highway projects (APM, 2009</w:t>
      </w:r>
      <w:r w:rsidR="00591A81" w:rsidRPr="00D45ECC">
        <w:rPr>
          <w:rFonts w:ascii="Calibri" w:eastAsia="Times New Roman" w:hAnsi="Calibri" w:cs="Calibri"/>
          <w:color w:val="222222"/>
          <w:kern w:val="0"/>
          <w:lang w:eastAsia="en-GB"/>
          <w14:ligatures w14:val="none"/>
        </w:rPr>
        <w:t xml:space="preserve"> and </w:t>
      </w:r>
      <w:r w:rsidRPr="00D45ECC">
        <w:rPr>
          <w:rFonts w:ascii="Calibri" w:eastAsia="Times New Roman" w:hAnsi="Calibri" w:cs="Calibri"/>
          <w:color w:val="222222"/>
          <w:kern w:val="0"/>
          <w:lang w:eastAsia="en-GB"/>
          <w14:ligatures w14:val="none"/>
        </w:rPr>
        <w:t>Lock, 2020). Multiple sections were descriptive rather than detailed. The tutor's feedback highlighted that high-level work requires evaluative judgement rather than simple presentation, emphasising a stronger academic grounding (Kerzner, 2017).</w:t>
      </w:r>
    </w:p>
    <w:p w14:paraId="71E13BDA" w14:textId="773FF720"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4) Personal Reflection Insights</w:t>
      </w:r>
    </w:p>
    <w:p w14:paraId="70ADCC63" w14:textId="06EE3E5A"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Engaging with tutor and peer feedback initially caused me uncertainty and frustration, consistent with Gibbs’ feelings stage (Gibbs, 1988). Despite this, the process encouraged a deeper reflection and improved justification of project decisions, helping me recognise the importance of evaluating practical outcomes alongside basic ideas. </w:t>
      </w:r>
    </w:p>
    <w:p w14:paraId="5686E7FA" w14:textId="77777777"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5) Reflective Feedback</w:t>
      </w:r>
    </w:p>
    <w:p w14:paraId="107E3EF6" w14:textId="77777777" w:rsidR="00F254C1" w:rsidRPr="00D45ECC" w:rsidRDefault="00F254C1" w:rsidP="005E3656">
      <w:pPr>
        <w:numPr>
          <w:ilvl w:val="0"/>
          <w:numId w:val="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Analytical depth needed improvement.</w:t>
      </w:r>
    </w:p>
    <w:p w14:paraId="56420E60" w14:textId="77777777" w:rsidR="00F254C1" w:rsidRPr="00D45ECC" w:rsidRDefault="00F254C1" w:rsidP="005E3656">
      <w:pPr>
        <w:numPr>
          <w:ilvl w:val="0"/>
          <w:numId w:val="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Integration between WBS, Gantt chart, and stakeholder planning development.</w:t>
      </w:r>
    </w:p>
    <w:p w14:paraId="70A936D2" w14:textId="3F6E2C47" w:rsidR="00F254C1" w:rsidRPr="00D45ECC" w:rsidRDefault="00F254C1" w:rsidP="005E3656">
      <w:pPr>
        <w:numPr>
          <w:ilvl w:val="0"/>
          <w:numId w:val="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Decisions required clearer justification.</w:t>
      </w:r>
    </w:p>
    <w:p w14:paraId="3D7ACC6C" w14:textId="03767FAD"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My feedback prompted reflective implications. Peer comments emphasised stronger points, whilst the tutor reinforced the importance of critical evaluation. This changed my approach from within my presentation, improving my confidence and theory application (Bourne, 2015), while reinforcing the value of integrating peer and tutor perspectives in decision making.</w:t>
      </w:r>
    </w:p>
    <w:p w14:paraId="2B01126B" w14:textId="77777777"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6) Analysis</w:t>
      </w:r>
    </w:p>
    <w:p w14:paraId="632C5BC6" w14:textId="77777777"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Feedback encouraged a deeper evaluation of how principles informed design decisions. Improvements included:</w:t>
      </w:r>
    </w:p>
    <w:p w14:paraId="37C9B104" w14:textId="77777777" w:rsidR="00F254C1" w:rsidRPr="00D45ECC" w:rsidRDefault="00F254C1" w:rsidP="005E3656">
      <w:pPr>
        <w:numPr>
          <w:ilvl w:val="0"/>
          <w:numId w:val="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Drone inspections are reducing operational risk.</w:t>
      </w:r>
    </w:p>
    <w:p w14:paraId="4F98CA7B" w14:textId="77777777" w:rsidR="00F254C1" w:rsidRPr="00D45ECC" w:rsidRDefault="00F254C1" w:rsidP="005E3656">
      <w:pPr>
        <w:numPr>
          <w:ilvl w:val="0"/>
          <w:numId w:val="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Phased repair supporting realistic scheduling.</w:t>
      </w:r>
    </w:p>
    <w:p w14:paraId="339CBD55" w14:textId="77777777" w:rsidR="00F254C1" w:rsidRPr="00D45ECC" w:rsidRDefault="00F254C1" w:rsidP="005E3656">
      <w:pPr>
        <w:numPr>
          <w:ilvl w:val="0"/>
          <w:numId w:val="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Targeted resource allocation improves efficiency.</w:t>
      </w:r>
    </w:p>
    <w:p w14:paraId="1BFAB473" w14:textId="735AF837" w:rsidR="00F254C1"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These reflect the Iron Triangle balancing time, cost, and performance (Atkinson, 1999</w:t>
      </w:r>
      <w:r w:rsidR="00591E55" w:rsidRPr="00D45ECC">
        <w:rPr>
          <w:rFonts w:ascii="Calibri" w:eastAsia="Times New Roman" w:hAnsi="Calibri" w:cs="Calibri"/>
          <w:color w:val="222222"/>
          <w:kern w:val="0"/>
          <w:lang w:eastAsia="en-GB"/>
          <w14:ligatures w14:val="none"/>
        </w:rPr>
        <w:t xml:space="preserve"> and</w:t>
      </w:r>
      <w:r w:rsidRPr="00D45ECC">
        <w:rPr>
          <w:rFonts w:ascii="Calibri" w:eastAsia="Times New Roman" w:hAnsi="Calibri" w:cs="Calibri"/>
          <w:color w:val="222222"/>
          <w:kern w:val="0"/>
          <w:lang w:eastAsia="en-GB"/>
          <w14:ligatures w14:val="none"/>
        </w:rPr>
        <w:t xml:space="preserve"> Turner, 2009). Stakeholder analysis was </w:t>
      </w:r>
      <w:r w:rsidR="004302E8" w:rsidRPr="00D45ECC">
        <w:rPr>
          <w:rFonts w:ascii="Calibri" w:eastAsia="Times New Roman" w:hAnsi="Calibri" w:cs="Calibri"/>
          <w:color w:val="222222"/>
          <w:kern w:val="0"/>
          <w:lang w:eastAsia="en-GB"/>
          <w14:ligatures w14:val="none"/>
        </w:rPr>
        <w:t xml:space="preserve">developed </w:t>
      </w:r>
      <w:r w:rsidRPr="00D45ECC">
        <w:rPr>
          <w:rFonts w:ascii="Calibri" w:eastAsia="Times New Roman" w:hAnsi="Calibri" w:cs="Calibri"/>
          <w:color w:val="222222"/>
          <w:kern w:val="0"/>
          <w:lang w:eastAsia="en-GB"/>
          <w14:ligatures w14:val="none"/>
        </w:rPr>
        <w:t xml:space="preserve">using the power–interest grid, improving </w:t>
      </w:r>
      <w:r w:rsidRPr="00D45ECC">
        <w:rPr>
          <w:rFonts w:ascii="Calibri" w:eastAsia="Times New Roman" w:hAnsi="Calibri" w:cs="Calibri"/>
          <w:color w:val="222222"/>
          <w:kern w:val="0"/>
          <w:lang w:eastAsia="en-GB"/>
          <w14:ligatures w14:val="none"/>
        </w:rPr>
        <w:lastRenderedPageBreak/>
        <w:t>communication strategies (Johnson and Scholes, 2002). Visual clarity was improved via simplified words, structure, and logical flow, proving how key models directly support scheduling and resource allocation decisions.</w:t>
      </w:r>
    </w:p>
    <w:p w14:paraId="7BE96023" w14:textId="77777777"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7) Conclusion</w:t>
      </w:r>
    </w:p>
    <w:p w14:paraId="538CF89F" w14:textId="5327C7A0" w:rsidR="00D73A3C"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revised poster showed improved, deeper insights, clearer core links, and stronger integration between components. Feedback shifted work from descriptive presentation to evaluative reflection, enhancing academic quality, reflective learning, and relevance to professions. (Environment Agency, 2022; NIC, 2023).</w:t>
      </w:r>
    </w:p>
    <w:p w14:paraId="6CA5467C" w14:textId="2BD2DD9F" w:rsidR="00F254C1" w:rsidRPr="00D45ECC" w:rsidRDefault="00F254C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8) Reflection Summary</w:t>
      </w:r>
    </w:p>
    <w:p w14:paraId="31AEF6AA" w14:textId="26DE061A" w:rsidR="00470F08" w:rsidRPr="00D45ECC" w:rsidRDefault="00F254C1"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Structured feedback and the Gibbs’ model supported improvement. This strengthened my ability to apply principles to practice, supporting higher-level academic performance in infrastructure project planning, and ensuring practical outcomes were achievable within time, cost, and quality constraints.</w:t>
      </w:r>
    </w:p>
    <w:p w14:paraId="0A53DEB3" w14:textId="77777777" w:rsidR="00FC0DA7" w:rsidRPr="00D45ECC" w:rsidRDefault="00FC0DA7"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7DB7D2B3" w14:textId="77777777" w:rsidR="00FC0DA7" w:rsidRPr="00D45ECC" w:rsidRDefault="00FC0DA7"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77E1B8C5" w14:textId="77777777" w:rsidR="00FC0DA7" w:rsidRPr="00D45ECC" w:rsidRDefault="00FC0DA7"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570A3946" w14:textId="77777777" w:rsidR="00FC0DA7" w:rsidRPr="00D45ECC" w:rsidRDefault="00FC0DA7"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p>
    <w:p w14:paraId="71B0BB9A" w14:textId="297A61E4" w:rsidR="007926A9" w:rsidRPr="00D45ECC" w:rsidRDefault="007926A9"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r w:rsidRPr="00D45ECC">
        <w:rPr>
          <w:rFonts w:ascii="Calibri" w:eastAsia="Times New Roman" w:hAnsi="Calibri" w:cs="Calibri"/>
          <w:b/>
          <w:bCs/>
          <w:color w:val="222222"/>
          <w:kern w:val="36"/>
          <w:lang w:eastAsia="en-GB"/>
          <w14:ligatures w14:val="none"/>
        </w:rPr>
        <w:t xml:space="preserve">Part </w:t>
      </w:r>
      <w:r w:rsidR="0017443D" w:rsidRPr="00D45ECC">
        <w:rPr>
          <w:rFonts w:ascii="Calibri" w:eastAsia="Times New Roman" w:hAnsi="Calibri" w:cs="Calibri"/>
          <w:b/>
          <w:bCs/>
          <w:color w:val="222222"/>
          <w:kern w:val="36"/>
          <w:lang w:eastAsia="en-GB"/>
          <w14:ligatures w14:val="none"/>
        </w:rPr>
        <w:t>C</w:t>
      </w:r>
    </w:p>
    <w:p w14:paraId="5FF404F6" w14:textId="1A64518C" w:rsidR="002F2696" w:rsidRPr="00D45ECC" w:rsidRDefault="002F2696" w:rsidP="005E3656">
      <w:pPr>
        <w:shd w:val="clear" w:color="auto" w:fill="FFFFFF"/>
        <w:spacing w:before="100" w:beforeAutospacing="1" w:after="100" w:afterAutospacing="1" w:line="360" w:lineRule="auto"/>
        <w:outlineLvl w:val="0"/>
        <w:rPr>
          <w:rFonts w:ascii="Calibri" w:eastAsia="Times New Roman" w:hAnsi="Calibri" w:cs="Calibri"/>
          <w:b/>
          <w:bCs/>
          <w:color w:val="222222"/>
          <w:kern w:val="36"/>
          <w:lang w:eastAsia="en-GB"/>
          <w14:ligatures w14:val="none"/>
        </w:rPr>
      </w:pPr>
      <w:r w:rsidRPr="00D45ECC">
        <w:rPr>
          <w:rFonts w:ascii="Calibri" w:eastAsia="Times New Roman" w:hAnsi="Calibri" w:cs="Calibri"/>
          <w:b/>
          <w:bCs/>
          <w:color w:val="222222"/>
          <w:kern w:val="36"/>
          <w:lang w:eastAsia="en-GB"/>
          <w14:ligatures w14:val="none"/>
        </w:rPr>
        <w:t>P</w:t>
      </w:r>
      <w:r w:rsidR="00EE5E10" w:rsidRPr="00D45ECC">
        <w:rPr>
          <w:rFonts w:ascii="Calibri" w:eastAsia="Times New Roman" w:hAnsi="Calibri" w:cs="Calibri"/>
          <w:b/>
          <w:bCs/>
          <w:color w:val="222222"/>
          <w:kern w:val="36"/>
          <w:lang w:eastAsia="en-GB"/>
          <w14:ligatures w14:val="none"/>
        </w:rPr>
        <w:t>roject Management Plan</w:t>
      </w:r>
      <w:r w:rsidR="009F57B8" w:rsidRPr="00D45ECC">
        <w:rPr>
          <w:rFonts w:ascii="Calibri" w:eastAsia="Times New Roman" w:hAnsi="Calibri" w:cs="Calibri"/>
          <w:b/>
          <w:bCs/>
          <w:color w:val="222222"/>
          <w:kern w:val="36"/>
          <w:lang w:eastAsia="en-GB"/>
          <w14:ligatures w14:val="none"/>
        </w:rPr>
        <w:t xml:space="preserve">: </w:t>
      </w:r>
      <w:r w:rsidR="00887439" w:rsidRPr="00D45ECC">
        <w:rPr>
          <w:rFonts w:ascii="Calibri" w:eastAsia="Times New Roman" w:hAnsi="Calibri" w:cs="Calibri"/>
          <w:b/>
          <w:bCs/>
          <w:color w:val="222222"/>
          <w:kern w:val="36"/>
          <w:lang w:eastAsia="en-GB"/>
          <w14:ligatures w14:val="none"/>
        </w:rPr>
        <w:t>Reopening of</w:t>
      </w:r>
      <w:r w:rsidR="009F57B8" w:rsidRPr="00D45ECC">
        <w:rPr>
          <w:rFonts w:ascii="Calibri" w:eastAsia="Times New Roman" w:hAnsi="Calibri" w:cs="Calibri"/>
          <w:b/>
          <w:bCs/>
          <w:color w:val="222222"/>
          <w:kern w:val="36"/>
          <w:lang w:eastAsia="en-GB"/>
          <w14:ligatures w14:val="none"/>
        </w:rPr>
        <w:t xml:space="preserve"> the</w:t>
      </w:r>
      <w:r w:rsidRPr="00D45ECC">
        <w:rPr>
          <w:rFonts w:ascii="Calibri" w:eastAsia="Times New Roman" w:hAnsi="Calibri" w:cs="Calibri"/>
          <w:b/>
          <w:bCs/>
          <w:color w:val="222222"/>
          <w:kern w:val="36"/>
          <w:lang w:eastAsia="en-GB"/>
          <w14:ligatures w14:val="none"/>
        </w:rPr>
        <w:t xml:space="preserve"> H</w:t>
      </w:r>
      <w:r w:rsidR="009F57B8" w:rsidRPr="00D45ECC">
        <w:rPr>
          <w:rFonts w:ascii="Calibri" w:eastAsia="Times New Roman" w:hAnsi="Calibri" w:cs="Calibri"/>
          <w:b/>
          <w:bCs/>
          <w:color w:val="222222"/>
          <w:kern w:val="36"/>
          <w:lang w:eastAsia="en-GB"/>
          <w14:ligatures w14:val="none"/>
        </w:rPr>
        <w:t>ighway</w:t>
      </w:r>
    </w:p>
    <w:p w14:paraId="59858325" w14:textId="3E0F22CB"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1. Introduction</w:t>
      </w:r>
    </w:p>
    <w:p w14:paraId="394D074E" w14:textId="77777777" w:rsidR="007941B4"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July 2025 flooding across the West Midlands caused severe disruption to</w:t>
      </w:r>
      <w:r w:rsidR="00F31857" w:rsidRPr="00D45ECC">
        <w:rPr>
          <w:rFonts w:ascii="Calibri" w:eastAsia="Times New Roman" w:hAnsi="Calibri" w:cs="Calibri"/>
          <w:color w:val="222222"/>
          <w:kern w:val="0"/>
          <w:lang w:eastAsia="en-GB"/>
          <w14:ligatures w14:val="none"/>
        </w:rPr>
        <w:t xml:space="preserve"> the</w:t>
      </w:r>
      <w:r w:rsidRPr="00D45ECC">
        <w:rPr>
          <w:rFonts w:ascii="Calibri" w:eastAsia="Times New Roman" w:hAnsi="Calibri" w:cs="Calibri"/>
          <w:color w:val="222222"/>
          <w:kern w:val="0"/>
          <w:lang w:eastAsia="en-GB"/>
          <w14:ligatures w14:val="none"/>
        </w:rPr>
        <w:t xml:space="preserve"> infrastructure, with highways experiencing structural damage</w:t>
      </w:r>
      <w:r w:rsidR="006F443B"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 xml:space="preserve">and </w:t>
      </w:r>
      <w:r w:rsidR="00F76743" w:rsidRPr="00D45ECC">
        <w:rPr>
          <w:rFonts w:ascii="Calibri" w:eastAsia="Times New Roman" w:hAnsi="Calibri" w:cs="Calibri"/>
          <w:color w:val="222222"/>
          <w:kern w:val="0"/>
          <w:lang w:eastAsia="en-GB"/>
          <w14:ligatures w14:val="none"/>
        </w:rPr>
        <w:t>closures</w:t>
      </w:r>
      <w:r w:rsidRPr="00D45ECC">
        <w:rPr>
          <w:rFonts w:ascii="Calibri" w:eastAsia="Times New Roman" w:hAnsi="Calibri" w:cs="Calibri"/>
          <w:color w:val="222222"/>
          <w:kern w:val="0"/>
          <w:lang w:eastAsia="en-GB"/>
          <w14:ligatures w14:val="none"/>
        </w:rPr>
        <w:t xml:space="preserve">. The reopening of critical transport routes is essential to restore economic activity, emergency access, and community mobility. Project management provides a structured approach to delivering </w:t>
      </w:r>
      <w:r w:rsidRPr="00D45ECC">
        <w:rPr>
          <w:rFonts w:ascii="Calibri" w:eastAsia="Times New Roman" w:hAnsi="Calibri" w:cs="Calibri"/>
          <w:color w:val="222222"/>
          <w:kern w:val="0"/>
          <w:lang w:eastAsia="en-GB"/>
          <w14:ligatures w14:val="none"/>
        </w:rPr>
        <w:lastRenderedPageBreak/>
        <w:t xml:space="preserve">complex recovery operations within </w:t>
      </w:r>
      <w:r w:rsidR="00F76743" w:rsidRPr="00D45ECC">
        <w:rPr>
          <w:rFonts w:ascii="Calibri" w:eastAsia="Times New Roman" w:hAnsi="Calibri" w:cs="Calibri"/>
          <w:color w:val="222222"/>
          <w:kern w:val="0"/>
          <w:lang w:eastAsia="en-GB"/>
          <w14:ligatures w14:val="none"/>
        </w:rPr>
        <w:t xml:space="preserve">a </w:t>
      </w:r>
      <w:r w:rsidR="007E520F" w:rsidRPr="00D45ECC">
        <w:rPr>
          <w:rFonts w:ascii="Calibri" w:eastAsia="Times New Roman" w:hAnsi="Calibri" w:cs="Calibri"/>
          <w:color w:val="222222"/>
          <w:kern w:val="0"/>
          <w:lang w:eastAsia="en-GB"/>
          <w14:ligatures w14:val="none"/>
        </w:rPr>
        <w:t>time limit</w:t>
      </w:r>
      <w:r w:rsidRPr="00D45ECC">
        <w:rPr>
          <w:rFonts w:ascii="Calibri" w:eastAsia="Times New Roman" w:hAnsi="Calibri" w:cs="Calibri"/>
          <w:color w:val="222222"/>
          <w:kern w:val="0"/>
          <w:lang w:eastAsia="en-GB"/>
          <w14:ligatures w14:val="none"/>
        </w:rPr>
        <w:t>, cost, and quality (PMI, 2004).</w:t>
      </w:r>
      <w:r w:rsidR="000D2B42"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Th</w:t>
      </w:r>
      <w:r w:rsidR="00F76743" w:rsidRPr="00D45ECC">
        <w:rPr>
          <w:rFonts w:ascii="Calibri" w:eastAsia="Times New Roman" w:hAnsi="Calibri" w:cs="Calibri"/>
          <w:color w:val="222222"/>
          <w:kern w:val="0"/>
          <w:lang w:eastAsia="en-GB"/>
          <w14:ligatures w14:val="none"/>
        </w:rPr>
        <w:t>e</w:t>
      </w:r>
      <w:r w:rsidRPr="00D45ECC">
        <w:rPr>
          <w:rFonts w:ascii="Calibri" w:eastAsia="Times New Roman" w:hAnsi="Calibri" w:cs="Calibri"/>
          <w:color w:val="222222"/>
          <w:kern w:val="0"/>
          <w:lang w:eastAsia="en-GB"/>
          <w14:ligatures w14:val="none"/>
        </w:rPr>
        <w:t xml:space="preserve"> project focuses on the reopening of a flood-damaged highway using Resix robotic technology, integrating drones, automation, and human </w:t>
      </w:r>
      <w:r w:rsidR="008A6254" w:rsidRPr="00D45ECC">
        <w:rPr>
          <w:rFonts w:ascii="Calibri" w:eastAsia="Times New Roman" w:hAnsi="Calibri" w:cs="Calibri"/>
          <w:color w:val="222222"/>
          <w:kern w:val="0"/>
          <w:lang w:eastAsia="en-GB"/>
          <w14:ligatures w14:val="none"/>
        </w:rPr>
        <w:t>planning</w:t>
      </w:r>
      <w:r w:rsidRPr="00D45ECC">
        <w:rPr>
          <w:rFonts w:ascii="Calibri" w:eastAsia="Times New Roman" w:hAnsi="Calibri" w:cs="Calibri"/>
          <w:color w:val="222222"/>
          <w:kern w:val="0"/>
          <w:lang w:eastAsia="en-GB"/>
          <w14:ligatures w14:val="none"/>
        </w:rPr>
        <w:t xml:space="preserve"> to enhance efficiency and safety. </w:t>
      </w:r>
    </w:p>
    <w:p w14:paraId="57D96128" w14:textId="49541240" w:rsidR="00EC7DA0"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According to Maylor (2010), effective project planning requires clear scope, structured scheduling, and risk control. These principles are essential in post-disaster environments where uncertainty is high.</w:t>
      </w:r>
      <w:r w:rsidR="00FD459A"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The project adopts</w:t>
      </w:r>
      <w:r w:rsidR="00FD459A" w:rsidRPr="00D45ECC">
        <w:rPr>
          <w:rFonts w:ascii="Calibri" w:eastAsia="Times New Roman" w:hAnsi="Calibri" w:cs="Calibri"/>
          <w:color w:val="222222"/>
          <w:kern w:val="0"/>
          <w:lang w:eastAsia="en-GB"/>
          <w14:ligatures w14:val="none"/>
        </w:rPr>
        <w:t xml:space="preserve"> </w:t>
      </w:r>
      <w:r w:rsidR="00F900CB" w:rsidRPr="00D45ECC">
        <w:rPr>
          <w:rFonts w:ascii="Calibri" w:eastAsia="Times New Roman" w:hAnsi="Calibri" w:cs="Calibri"/>
          <w:color w:val="222222"/>
          <w:kern w:val="0"/>
          <w:lang w:eastAsia="en-GB"/>
          <w14:ligatures w14:val="none"/>
        </w:rPr>
        <w:t>Specific Measurable Achiev</w:t>
      </w:r>
      <w:r w:rsidR="00410289" w:rsidRPr="00D45ECC">
        <w:rPr>
          <w:rFonts w:ascii="Calibri" w:eastAsia="Times New Roman" w:hAnsi="Calibri" w:cs="Calibri"/>
          <w:color w:val="222222"/>
          <w:kern w:val="0"/>
          <w:lang w:eastAsia="en-GB"/>
          <w14:ligatures w14:val="none"/>
        </w:rPr>
        <w:t>able</w:t>
      </w:r>
      <w:r w:rsidR="00F900CB" w:rsidRPr="00D45ECC">
        <w:rPr>
          <w:rFonts w:ascii="Calibri" w:eastAsia="Times New Roman" w:hAnsi="Calibri" w:cs="Calibri"/>
          <w:color w:val="222222"/>
          <w:kern w:val="0"/>
          <w:lang w:eastAsia="en-GB"/>
          <w14:ligatures w14:val="none"/>
        </w:rPr>
        <w:t xml:space="preserve"> </w:t>
      </w:r>
      <w:r w:rsidR="008A6254" w:rsidRPr="00D45ECC">
        <w:rPr>
          <w:rFonts w:ascii="Calibri" w:eastAsia="Times New Roman" w:hAnsi="Calibri" w:cs="Calibri"/>
          <w:color w:val="222222"/>
          <w:kern w:val="0"/>
          <w:lang w:eastAsia="en-GB"/>
          <w14:ligatures w14:val="none"/>
        </w:rPr>
        <w:t xml:space="preserve">Relevant </w:t>
      </w:r>
      <w:r w:rsidR="00F900CB" w:rsidRPr="00D45ECC">
        <w:rPr>
          <w:rFonts w:ascii="Calibri" w:eastAsia="Times New Roman" w:hAnsi="Calibri" w:cs="Calibri"/>
          <w:color w:val="222222"/>
          <w:kern w:val="0"/>
          <w:lang w:eastAsia="en-GB"/>
          <w14:ligatures w14:val="none"/>
        </w:rPr>
        <w:t>Timed</w:t>
      </w:r>
      <w:r w:rsidR="00410289" w:rsidRPr="00D45ECC">
        <w:rPr>
          <w:rFonts w:ascii="Calibri" w:eastAsia="Times New Roman" w:hAnsi="Calibri" w:cs="Calibri"/>
          <w:color w:val="222222"/>
          <w:kern w:val="0"/>
          <w:lang w:eastAsia="en-GB"/>
          <w14:ligatures w14:val="none"/>
        </w:rPr>
        <w:t xml:space="preserve"> Bound</w:t>
      </w:r>
      <w:r w:rsidR="00FD459A" w:rsidRPr="00D45ECC">
        <w:rPr>
          <w:rFonts w:ascii="Calibri" w:eastAsia="Times New Roman" w:hAnsi="Calibri" w:cs="Calibri"/>
          <w:color w:val="222222"/>
          <w:kern w:val="0"/>
          <w:lang w:eastAsia="en-GB"/>
          <w14:ligatures w14:val="none"/>
        </w:rPr>
        <w:t xml:space="preserve"> </w:t>
      </w:r>
      <w:r w:rsidR="00FF615E" w:rsidRPr="00D45ECC">
        <w:rPr>
          <w:rFonts w:ascii="Calibri" w:eastAsia="Times New Roman" w:hAnsi="Calibri" w:cs="Calibri"/>
          <w:color w:val="222222"/>
          <w:kern w:val="0"/>
          <w:lang w:eastAsia="en-GB"/>
          <w14:ligatures w14:val="none"/>
        </w:rPr>
        <w:t>(</w:t>
      </w:r>
      <w:r w:rsidR="007926A9" w:rsidRPr="00D45ECC">
        <w:rPr>
          <w:rFonts w:ascii="Calibri" w:eastAsia="Times New Roman" w:hAnsi="Calibri" w:cs="Calibri"/>
          <w:color w:val="222222"/>
          <w:kern w:val="0"/>
          <w:lang w:eastAsia="en-GB"/>
          <w14:ligatures w14:val="none"/>
        </w:rPr>
        <w:t>SMART)</w:t>
      </w:r>
      <w:r w:rsidR="00FF615E"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 xml:space="preserve">objectives and aligns with the Iron Triangle framework, ensuring that delivery remains balanced across time, cost, and performance (Straw, 2015). Key components include scope definition, Work Breakdown Structure (WBS), Gantt scheduling, stakeholder engagement, resource allocation, and risk analysis. Roberts (2011) highlights that structured planning improves coordination and reduces uncertainty, particularly in infrastructure recovery </w:t>
      </w:r>
      <w:r w:rsidR="00E747ED" w:rsidRPr="00D45ECC">
        <w:rPr>
          <w:rFonts w:ascii="Calibri" w:eastAsia="Times New Roman" w:hAnsi="Calibri" w:cs="Calibri"/>
          <w:color w:val="222222"/>
          <w:kern w:val="0"/>
          <w:lang w:eastAsia="en-GB"/>
          <w14:ligatures w14:val="none"/>
        </w:rPr>
        <w:t>projects.</w:t>
      </w:r>
    </w:p>
    <w:p w14:paraId="6C57DE8E" w14:textId="3B747CF7" w:rsidR="00E747ED" w:rsidRPr="00D45ECC" w:rsidRDefault="00E747ED"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In the current context</w:t>
      </w:r>
      <w:r w:rsidRPr="00D45ECC">
        <w:rPr>
          <w:rStyle w:val="Strong"/>
          <w:rFonts w:ascii="Calibri" w:eastAsiaTheme="majorEastAsia" w:hAnsi="Calibri" w:cs="Calibri"/>
        </w:rPr>
        <w:t>,</w:t>
      </w:r>
      <w:r w:rsidRPr="00D45ECC">
        <w:rPr>
          <w:rFonts w:ascii="Calibri" w:hAnsi="Calibri" w:cs="Calibri"/>
        </w:rPr>
        <w:t xml:space="preserve"> </w:t>
      </w:r>
      <w:r w:rsidR="0016519B" w:rsidRPr="00D45ECC">
        <w:rPr>
          <w:rFonts w:ascii="Calibri" w:hAnsi="Calibri" w:cs="Calibri"/>
        </w:rPr>
        <w:t>project environments increasingly require integrating</w:t>
      </w:r>
      <w:r w:rsidRPr="00D45ECC">
        <w:rPr>
          <w:rFonts w:ascii="Calibri" w:hAnsi="Calibri" w:cs="Calibri"/>
        </w:rPr>
        <w:t xml:space="preserve"> digital innovation alongside traditional management frameworks. The use of robotics and drone technology reflects a wider shift towards automated infrastructure solutions, particularly in high-risk environments where safety and efficiency are critical. This approach supports improved data accuracy, enabling more informed decision-making throughout the project lifecycle. Furthermore, </w:t>
      </w:r>
      <w:r w:rsidR="00115F06" w:rsidRPr="00D45ECC">
        <w:rPr>
          <w:rFonts w:ascii="Calibri" w:hAnsi="Calibri" w:cs="Calibri"/>
        </w:rPr>
        <w:t>strategies</w:t>
      </w:r>
      <w:r w:rsidRPr="00D45ECC">
        <w:rPr>
          <w:rFonts w:ascii="Calibri" w:hAnsi="Calibri" w:cs="Calibri"/>
        </w:rPr>
        <w:t xml:space="preserve"> such as lifecycle planning and phased delivery enhance control and accountability across each stage of the project.</w:t>
      </w:r>
    </w:p>
    <w:p w14:paraId="2921B161" w14:textId="757E160D" w:rsidR="0041469A" w:rsidRPr="00D45ECC" w:rsidRDefault="00E747ED"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A key consideration is that</w:t>
      </w:r>
      <w:r w:rsidRPr="00D45ECC">
        <w:rPr>
          <w:rFonts w:ascii="Calibri" w:hAnsi="Calibri" w:cs="Calibri"/>
        </w:rPr>
        <w:t xml:space="preserve"> combining technological systems with human </w:t>
      </w:r>
      <w:r w:rsidR="0061097E" w:rsidRPr="00D45ECC">
        <w:rPr>
          <w:rFonts w:ascii="Calibri" w:hAnsi="Calibri" w:cs="Calibri"/>
        </w:rPr>
        <w:t>workforce</w:t>
      </w:r>
      <w:r w:rsidRPr="00D45ECC">
        <w:rPr>
          <w:rFonts w:ascii="Calibri" w:hAnsi="Calibri" w:cs="Calibri"/>
        </w:rPr>
        <w:t xml:space="preserve"> strengthens operational effectiveness and reduces uncertainty in complex projects (Kerzner, 2017). Similarly, Turner (2014) suggests that clearly defined governance structures improve strategic alignment and delivery </w:t>
      </w:r>
      <w:r w:rsidR="00B91C87" w:rsidRPr="00D45ECC">
        <w:rPr>
          <w:rFonts w:ascii="Calibri" w:hAnsi="Calibri" w:cs="Calibri"/>
        </w:rPr>
        <w:t>outcomes. This</w:t>
      </w:r>
      <w:r w:rsidRPr="00D45ECC">
        <w:rPr>
          <w:rFonts w:ascii="Calibri" w:hAnsi="Calibri" w:cs="Calibri"/>
        </w:rPr>
        <w:t xml:space="preserve"> integrated approach ensures that the project remains adaptable, controlled, and aligned with long-term infrastructure resilience objectives within a post-disaster recovery </w:t>
      </w:r>
      <w:r w:rsidR="000C434A" w:rsidRPr="00D45ECC">
        <w:rPr>
          <w:rFonts w:ascii="Calibri" w:hAnsi="Calibri" w:cs="Calibri"/>
        </w:rPr>
        <w:t>project.</w:t>
      </w:r>
    </w:p>
    <w:p w14:paraId="535618C8" w14:textId="1BA11606" w:rsidR="002A6D4D" w:rsidRPr="00D45ECC" w:rsidRDefault="002A6D4D" w:rsidP="005E3656">
      <w:pPr>
        <w:pStyle w:val="NormalWeb"/>
        <w:spacing w:line="360" w:lineRule="auto"/>
        <w:rPr>
          <w:rFonts w:ascii="Calibri" w:hAnsi="Calibri" w:cs="Calibri"/>
        </w:rPr>
      </w:pPr>
      <w:r w:rsidRPr="00D45ECC">
        <w:rPr>
          <w:rFonts w:ascii="Calibri" w:hAnsi="Calibri" w:cs="Calibri"/>
        </w:rPr>
        <w:t>This reinforces a structured yet flexible delivery model, ensuring that both technological innovation and human expertise operate collaboratively.</w:t>
      </w:r>
    </w:p>
    <w:p w14:paraId="2B4A8E42" w14:textId="1924B378"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2. Project Description</w:t>
      </w:r>
    </w:p>
    <w:p w14:paraId="2A36BD7E" w14:textId="7DFBAA5A" w:rsidR="00386B43" w:rsidRPr="00D45ECC" w:rsidRDefault="002F2696" w:rsidP="005E3656">
      <w:pPr>
        <w:pStyle w:val="NormalWeb"/>
        <w:spacing w:line="360" w:lineRule="auto"/>
        <w:rPr>
          <w:rFonts w:ascii="Calibri" w:hAnsi="Calibri" w:cs="Calibri"/>
          <w:color w:val="222222"/>
        </w:rPr>
      </w:pPr>
      <w:r w:rsidRPr="00D45ECC">
        <w:rPr>
          <w:rFonts w:ascii="Calibri" w:hAnsi="Calibri" w:cs="Calibri"/>
          <w:color w:val="222222"/>
        </w:rPr>
        <w:lastRenderedPageBreak/>
        <w:t>The project involves reopening a section of highway severely damaged by flooding along the River Severn corridor. The flooding caused road surface collapse, debris accumulation, drainage failure, and structural instability, making the route unsafe for public use.</w:t>
      </w:r>
      <w:r w:rsidR="001F7007" w:rsidRPr="00D45ECC">
        <w:rPr>
          <w:rFonts w:ascii="Calibri" w:hAnsi="Calibri" w:cs="Calibri"/>
          <w:color w:val="222222"/>
        </w:rPr>
        <w:t xml:space="preserve"> </w:t>
      </w:r>
      <w:r w:rsidRPr="00D45ECC">
        <w:rPr>
          <w:rFonts w:ascii="Calibri" w:hAnsi="Calibri" w:cs="Calibri"/>
          <w:color w:val="222222"/>
        </w:rPr>
        <w:t>Th</w:t>
      </w:r>
      <w:r w:rsidR="00727769" w:rsidRPr="00D45ECC">
        <w:rPr>
          <w:rFonts w:ascii="Calibri" w:hAnsi="Calibri" w:cs="Calibri"/>
          <w:color w:val="222222"/>
        </w:rPr>
        <w:t xml:space="preserve">is </w:t>
      </w:r>
      <w:r w:rsidRPr="00D45ECC">
        <w:rPr>
          <w:rFonts w:ascii="Calibri" w:hAnsi="Calibri" w:cs="Calibri"/>
          <w:color w:val="222222"/>
        </w:rPr>
        <w:t xml:space="preserve">recovery approach incorporates robotic systems and drone technology to conduct inspections, remove debris, and support reconstruction. Robotics enhances safety by reducing human exposure to hazardous environments, while drones provide </w:t>
      </w:r>
      <w:r w:rsidR="004407C9" w:rsidRPr="00D45ECC">
        <w:rPr>
          <w:rFonts w:ascii="Calibri" w:hAnsi="Calibri" w:cs="Calibri"/>
          <w:color w:val="222222"/>
        </w:rPr>
        <w:t>accurate. Structural</w:t>
      </w:r>
      <w:r w:rsidRPr="00D45ECC">
        <w:rPr>
          <w:rFonts w:ascii="Calibri" w:hAnsi="Calibri" w:cs="Calibri"/>
          <w:color w:val="222222"/>
        </w:rPr>
        <w:t xml:space="preserve"> data for decision-making (Heagney, 2016).</w:t>
      </w:r>
      <w:r w:rsidR="00EA5F1A" w:rsidRPr="00D45ECC">
        <w:rPr>
          <w:rFonts w:ascii="Calibri" w:hAnsi="Calibri" w:cs="Calibri"/>
        </w:rPr>
        <w:t xml:space="preserve"> “Figure 1 illustrates the PESTLE framework </w:t>
      </w:r>
      <w:r w:rsidR="00A411F8" w:rsidRPr="00D45ECC">
        <w:rPr>
          <w:rFonts w:ascii="Calibri" w:hAnsi="Calibri" w:cs="Calibri"/>
        </w:rPr>
        <w:t>of</w:t>
      </w:r>
      <w:r w:rsidR="00EA5F1A" w:rsidRPr="00D45ECC">
        <w:rPr>
          <w:rFonts w:ascii="Calibri" w:hAnsi="Calibri" w:cs="Calibri"/>
        </w:rPr>
        <w:t xml:space="preserve"> external factors affecting the project.</w:t>
      </w:r>
    </w:p>
    <w:p w14:paraId="47FC4BA0" w14:textId="77777777" w:rsidR="004407C9" w:rsidRPr="00D45ECC" w:rsidRDefault="00386B43" w:rsidP="005E3656">
      <w:pPr>
        <w:pStyle w:val="NormalWeb"/>
        <w:spacing w:line="360" w:lineRule="auto"/>
        <w:jc w:val="center"/>
        <w:rPr>
          <w:rFonts w:ascii="Calibri" w:hAnsi="Calibri" w:cs="Calibri"/>
        </w:rPr>
      </w:pPr>
      <w:r w:rsidRPr="00D45ECC">
        <w:rPr>
          <w:rFonts w:ascii="Calibri" w:hAnsi="Calibri" w:cs="Calibri"/>
          <w:noProof/>
          <w:color w:val="222222"/>
        </w:rPr>
        <w:drawing>
          <wp:inline distT="0" distB="0" distL="0" distR="0" wp14:anchorId="19BE6343" wp14:editId="65223013">
            <wp:extent cx="4060190" cy="2026920"/>
            <wp:effectExtent l="0" t="0" r="0" b="0"/>
            <wp:docPr id="5310461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0190" cy="2026920"/>
                    </a:xfrm>
                    <a:prstGeom prst="rect">
                      <a:avLst/>
                    </a:prstGeom>
                    <a:noFill/>
                  </pic:spPr>
                </pic:pic>
              </a:graphicData>
            </a:graphic>
          </wp:inline>
        </w:drawing>
      </w:r>
    </w:p>
    <w:p w14:paraId="34EE094D" w14:textId="2B25DCC3" w:rsidR="004407C9" w:rsidRPr="00D45ECC" w:rsidRDefault="004407C9" w:rsidP="005E3656">
      <w:pPr>
        <w:shd w:val="clear" w:color="auto" w:fill="FFFFFF"/>
        <w:spacing w:before="100" w:beforeAutospacing="1" w:after="100" w:afterAutospacing="1" w:line="360" w:lineRule="auto"/>
        <w:ind w:firstLine="720"/>
        <w:outlineLvl w:val="1"/>
        <w:rPr>
          <w:rFonts w:ascii="Calibri" w:eastAsia="Times New Roman" w:hAnsi="Calibri" w:cs="Calibri"/>
          <w:b/>
          <w:bCs/>
          <w:color w:val="222222"/>
          <w:kern w:val="0"/>
          <w:lang w:eastAsia="en-GB"/>
          <w14:ligatures w14:val="none"/>
        </w:rPr>
      </w:pPr>
      <w:r w:rsidRPr="00D45ECC">
        <w:rPr>
          <w:rFonts w:ascii="Calibri" w:hAnsi="Calibri" w:cs="Calibri"/>
        </w:rPr>
        <w:t xml:space="preserve">Figure 1: PESTLE </w:t>
      </w:r>
      <w:r w:rsidR="008E4278" w:rsidRPr="00D45ECC">
        <w:rPr>
          <w:rFonts w:ascii="Calibri" w:hAnsi="Calibri" w:cs="Calibri"/>
        </w:rPr>
        <w:t>Analysis (</w:t>
      </w:r>
      <w:r w:rsidRPr="00D45ECC">
        <w:rPr>
          <w:rFonts w:ascii="Calibri" w:hAnsi="Calibri" w:cs="Calibri"/>
        </w:rPr>
        <w:t>Johnson et al., 2017; Toolshero, 2024)</w:t>
      </w:r>
    </w:p>
    <w:p w14:paraId="579F8C0C" w14:textId="77777777" w:rsidR="00FC0DA7" w:rsidRPr="00D45ECC" w:rsidRDefault="00FC0DA7" w:rsidP="005E3656">
      <w:pPr>
        <w:pStyle w:val="NormalWeb"/>
        <w:spacing w:line="360" w:lineRule="auto"/>
        <w:jc w:val="center"/>
        <w:rPr>
          <w:rFonts w:ascii="Calibri" w:hAnsi="Calibri" w:cs="Calibri"/>
          <w:color w:val="222222"/>
        </w:rPr>
      </w:pPr>
    </w:p>
    <w:p w14:paraId="272D0A62" w14:textId="77777777" w:rsidR="00FC0DA7" w:rsidRPr="00D45ECC" w:rsidRDefault="00FC0DA7" w:rsidP="005E3656">
      <w:pPr>
        <w:pStyle w:val="NormalWeb"/>
        <w:spacing w:line="360" w:lineRule="auto"/>
        <w:jc w:val="center"/>
        <w:rPr>
          <w:rFonts w:ascii="Calibri" w:hAnsi="Calibri" w:cs="Calibri"/>
          <w:color w:val="222222"/>
        </w:rPr>
      </w:pPr>
    </w:p>
    <w:p w14:paraId="0773ED4A" w14:textId="77777777" w:rsidR="00DD5217" w:rsidRPr="00D45ECC" w:rsidRDefault="00DD5217" w:rsidP="005E3656">
      <w:pPr>
        <w:pStyle w:val="NormalWeb"/>
        <w:spacing w:line="360" w:lineRule="auto"/>
        <w:jc w:val="center"/>
        <w:rPr>
          <w:rFonts w:ascii="Calibri" w:hAnsi="Calibri" w:cs="Calibri"/>
          <w:b/>
          <w:bCs/>
          <w:color w:val="222222"/>
        </w:rPr>
      </w:pPr>
    </w:p>
    <w:p w14:paraId="40354551" w14:textId="775B5FB7" w:rsidR="001B79E4" w:rsidRPr="00D45ECC" w:rsidRDefault="001B79E4" w:rsidP="005E3656">
      <w:pPr>
        <w:pStyle w:val="NormalWeb"/>
        <w:spacing w:line="360" w:lineRule="auto"/>
        <w:jc w:val="center"/>
        <w:rPr>
          <w:rFonts w:ascii="Calibri" w:hAnsi="Calibri" w:cs="Calibri"/>
          <w:b/>
          <w:bCs/>
          <w:color w:val="222222"/>
        </w:rPr>
      </w:pPr>
      <w:r w:rsidRPr="00D45ECC">
        <w:rPr>
          <w:rFonts w:ascii="Calibri" w:hAnsi="Calibri" w:cs="Calibri"/>
          <w:b/>
          <w:bCs/>
          <w:color w:val="222222"/>
        </w:rPr>
        <w:t>PESTLE Analysis External influences:</w:t>
      </w:r>
    </w:p>
    <w:p w14:paraId="56B10A4B" w14:textId="77777777"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Political: Government priority for infrastructure resilience</w:t>
      </w:r>
    </w:p>
    <w:p w14:paraId="60E4BF3A" w14:textId="77777777"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Economic: Highway supports regional trade and coordination</w:t>
      </w:r>
    </w:p>
    <w:p w14:paraId="4289080F" w14:textId="77777777"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Social: Community access to services is Limited </w:t>
      </w:r>
    </w:p>
    <w:p w14:paraId="1E07082F" w14:textId="77777777"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Technological: Robotics improves efficiency and safety</w:t>
      </w:r>
    </w:p>
    <w:p w14:paraId="0ED1B9A9" w14:textId="77777777"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Legal: Compliance with UK safety and environmental laws</w:t>
      </w:r>
    </w:p>
    <w:p w14:paraId="29DDE209" w14:textId="211B572D" w:rsidR="001B79E4" w:rsidRPr="00D45ECC" w:rsidRDefault="001B79E4" w:rsidP="005E3656">
      <w:pPr>
        <w:numPr>
          <w:ilvl w:val="0"/>
          <w:numId w:val="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Environmental: Ongoing flood risks require resilient solutions</w:t>
      </w:r>
    </w:p>
    <w:p w14:paraId="2AE79016" w14:textId="24A04907" w:rsidR="004407C9" w:rsidRPr="00D45ECC" w:rsidRDefault="004407C9"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The project aligns with SMART</w:t>
      </w:r>
      <w:r w:rsidR="00115F06" w:rsidRPr="00D45ECC">
        <w:rPr>
          <w:rFonts w:ascii="Calibri" w:eastAsia="Times New Roman" w:hAnsi="Calibri" w:cs="Calibri"/>
          <w:color w:val="222222"/>
          <w:kern w:val="0"/>
          <w:lang w:eastAsia="en-GB"/>
          <w14:ligatures w14:val="none"/>
        </w:rPr>
        <w:t xml:space="preserve"> Specified Measurable Achievable Relevant Time-Bound</w:t>
      </w:r>
      <w:r w:rsidRPr="00D45ECC">
        <w:rPr>
          <w:rFonts w:ascii="Calibri" w:eastAsia="Times New Roman" w:hAnsi="Calibri" w:cs="Calibri"/>
          <w:color w:val="222222"/>
          <w:kern w:val="0"/>
          <w:lang w:eastAsia="en-GB"/>
          <w14:ligatures w14:val="none"/>
        </w:rPr>
        <w:t xml:space="preserve"> </w:t>
      </w:r>
      <w:r w:rsidR="00115F06" w:rsidRPr="00D45ECC">
        <w:rPr>
          <w:rFonts w:ascii="Calibri" w:eastAsia="Times New Roman" w:hAnsi="Calibri" w:cs="Calibri"/>
          <w:color w:val="222222"/>
          <w:kern w:val="0"/>
          <w:lang w:eastAsia="en-GB"/>
          <w14:ligatures w14:val="none"/>
        </w:rPr>
        <w:t>theories</w:t>
      </w:r>
      <w:r w:rsidRPr="00D45ECC">
        <w:rPr>
          <w:rFonts w:ascii="Calibri" w:eastAsia="Times New Roman" w:hAnsi="Calibri" w:cs="Calibri"/>
          <w:color w:val="222222"/>
          <w:kern w:val="0"/>
          <w:lang w:eastAsia="en-GB"/>
          <w14:ligatures w14:val="none"/>
        </w:rPr>
        <w:t>, ensuring measurable and achievable outcomes. (Maylor ,2010) emphasises that clearly defined objectives improve alignment and performance.</w:t>
      </w:r>
    </w:p>
    <w:p w14:paraId="108F6FEA" w14:textId="77777777" w:rsidR="004407C9" w:rsidRPr="00D45ECC" w:rsidRDefault="004407C9"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Within this framework,</w:t>
      </w:r>
      <w:r w:rsidRPr="00D45ECC">
        <w:rPr>
          <w:rFonts w:ascii="Calibri" w:hAnsi="Calibri" w:cs="Calibri"/>
        </w:rPr>
        <w:t xml:space="preserve"> the implementation of advanced inspection technologies enables real-time data collection, improving the accuracy of structural assessments. This allows project teams to prioritise critical repairs and allocate resources more effectively. The integration of robotics within hazardous environments also supports compliance with health and safety standards by reducing direct human exposure to unstable conditions.</w:t>
      </w:r>
    </w:p>
    <w:p w14:paraId="533B751A" w14:textId="1433ABB5" w:rsidR="00386B43" w:rsidRPr="00D45ECC" w:rsidRDefault="004407C9"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A central feature of the project is</w:t>
      </w:r>
      <w:r w:rsidRPr="00D45ECC">
        <w:rPr>
          <w:rFonts w:ascii="Calibri" w:hAnsi="Calibri" w:cs="Calibri"/>
        </w:rPr>
        <w:t xml:space="preserve"> the embedding of environmental monitoring systems to track ongoing risks, such as water levels and soil stability. This contributes to an initiative-taking approach has oppose to reactive management. According to Lock (2020), the use of integrated systems enhances project visibility and supports informed decision-making across complex operations. (Meredith and Mantel, 2017) highlight that technological innovation improves efficiency and reduces uncertainty in infrastructure projects. </w:t>
      </w:r>
    </w:p>
    <w:p w14:paraId="286DB02C" w14:textId="26DF6126" w:rsidR="00FC0DA7" w:rsidRPr="00D45ECC" w:rsidRDefault="002A6D4D" w:rsidP="005E3656">
      <w:pPr>
        <w:pStyle w:val="NormalWeb"/>
        <w:spacing w:line="360" w:lineRule="auto"/>
        <w:rPr>
          <w:rFonts w:ascii="Calibri" w:hAnsi="Calibri" w:cs="Calibri"/>
        </w:rPr>
      </w:pPr>
      <w:r w:rsidRPr="00D45ECC">
        <w:rPr>
          <w:rFonts w:ascii="Calibri" w:hAnsi="Calibri" w:cs="Calibri"/>
        </w:rPr>
        <w:t>This combined approach ensures that operational decisions are data-driven and responsive to changing environmental conditions. It strengthens project reliability, enhances safety outcomes, and supports a more resilient and sustainable infrastructure recovery process.</w:t>
      </w:r>
    </w:p>
    <w:p w14:paraId="6A90D215" w14:textId="30CFA159" w:rsidR="00D73A3C"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3. Scop</w:t>
      </w:r>
      <w:r w:rsidR="004407C9" w:rsidRPr="00D45ECC">
        <w:rPr>
          <w:rFonts w:ascii="Calibri" w:eastAsia="Times New Roman" w:hAnsi="Calibri" w:cs="Calibri"/>
          <w:b/>
          <w:bCs/>
          <w:color w:val="222222"/>
          <w:kern w:val="0"/>
          <w:lang w:eastAsia="en-GB"/>
          <w14:ligatures w14:val="none"/>
        </w:rPr>
        <w:t>e</w:t>
      </w:r>
    </w:p>
    <w:p w14:paraId="3C1ABA98" w14:textId="77777777" w:rsidR="00164A2F" w:rsidRPr="00D45ECC" w:rsidRDefault="00D73A3C"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color w:val="222222"/>
          <w:kern w:val="0"/>
          <w:lang w:eastAsia="en-GB"/>
          <w14:ligatures w14:val="none"/>
        </w:rPr>
        <w:t>T</w:t>
      </w:r>
      <w:r w:rsidR="002F2696" w:rsidRPr="00D45ECC">
        <w:rPr>
          <w:rFonts w:ascii="Calibri" w:eastAsia="Times New Roman" w:hAnsi="Calibri" w:cs="Calibri"/>
          <w:color w:val="222222"/>
          <w:kern w:val="0"/>
          <w:lang w:eastAsia="en-GB"/>
          <w14:ligatures w14:val="none"/>
        </w:rPr>
        <w:t>he project scope defines the boundaries, deliverables, and limitations of the highway reopening initiative.</w:t>
      </w:r>
    </w:p>
    <w:p w14:paraId="54F8075D" w14:textId="06F46412" w:rsidR="002F2696" w:rsidRPr="00D45ECC" w:rsidRDefault="00164A2F"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I</w:t>
      </w:r>
      <w:r w:rsidR="002F2696" w:rsidRPr="00D45ECC">
        <w:rPr>
          <w:rFonts w:ascii="Calibri" w:eastAsia="Times New Roman" w:hAnsi="Calibri" w:cs="Calibri"/>
          <w:b/>
          <w:bCs/>
          <w:color w:val="222222"/>
          <w:kern w:val="0"/>
          <w:lang w:eastAsia="en-GB"/>
          <w14:ligatures w14:val="none"/>
        </w:rPr>
        <w:t>n-Scope Activities</w:t>
      </w:r>
    </w:p>
    <w:p w14:paraId="4A3F6F86" w14:textId="420C33DF"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Structural inspection using </w:t>
      </w:r>
      <w:r w:rsidR="001B79E4" w:rsidRPr="00D45ECC">
        <w:rPr>
          <w:rFonts w:ascii="Calibri" w:eastAsia="Times New Roman" w:hAnsi="Calibri" w:cs="Calibri"/>
          <w:color w:val="222222"/>
          <w:kern w:val="0"/>
          <w:lang w:eastAsia="en-GB"/>
          <w14:ligatures w14:val="none"/>
        </w:rPr>
        <w:t>drones.</w:t>
      </w:r>
    </w:p>
    <w:p w14:paraId="7EA6415E" w14:textId="77777777"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Robotic debris removal</w:t>
      </w:r>
    </w:p>
    <w:p w14:paraId="4B269D3F" w14:textId="77777777"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Drainage system restoration</w:t>
      </w:r>
    </w:p>
    <w:p w14:paraId="236B5B85" w14:textId="77777777"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Roadbed stabilisation</w:t>
      </w:r>
    </w:p>
    <w:p w14:paraId="68A2CACA" w14:textId="77777777"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Surface reconstruction</w:t>
      </w:r>
    </w:p>
    <w:p w14:paraId="484AA08B" w14:textId="77777777"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Installation of monitoring sensors</w:t>
      </w:r>
    </w:p>
    <w:p w14:paraId="2F3AFDED" w14:textId="46C9FB1A" w:rsidR="002F2696" w:rsidRPr="00D45ECC" w:rsidRDefault="002F2696" w:rsidP="005E3656">
      <w:pPr>
        <w:numPr>
          <w:ilvl w:val="0"/>
          <w:numId w:val="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Final safety inspections and reopening</w:t>
      </w:r>
    </w:p>
    <w:p w14:paraId="052C3E8C"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Out-of-Scope Activities</w:t>
      </w:r>
    </w:p>
    <w:p w14:paraId="0D684559" w14:textId="77777777" w:rsidR="002F2696" w:rsidRPr="00D45ECC" w:rsidRDefault="002F2696" w:rsidP="005E3656">
      <w:pPr>
        <w:numPr>
          <w:ilvl w:val="0"/>
          <w:numId w:val="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Bridge reconstruction</w:t>
      </w:r>
    </w:p>
    <w:p w14:paraId="74391B8E" w14:textId="77777777" w:rsidR="002F2696" w:rsidRPr="00D45ECC" w:rsidRDefault="002F2696" w:rsidP="005E3656">
      <w:pPr>
        <w:numPr>
          <w:ilvl w:val="0"/>
          <w:numId w:val="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Regional infrastructure redevelopment</w:t>
      </w:r>
    </w:p>
    <w:p w14:paraId="4DE30794" w14:textId="77777777" w:rsidR="002F2696" w:rsidRPr="00D45ECC" w:rsidRDefault="002F2696" w:rsidP="005E3656">
      <w:pPr>
        <w:numPr>
          <w:ilvl w:val="0"/>
          <w:numId w:val="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Residential property repairs</w:t>
      </w:r>
    </w:p>
    <w:p w14:paraId="45EEB375" w14:textId="02035EF6" w:rsidR="00D1365F" w:rsidRPr="00D45ECC" w:rsidRDefault="002F2696" w:rsidP="005E3656">
      <w:pPr>
        <w:numPr>
          <w:ilvl w:val="0"/>
          <w:numId w:val="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Long-term flood defence systems</w:t>
      </w:r>
    </w:p>
    <w:p w14:paraId="5EA01751" w14:textId="6752B61A" w:rsidR="00E553A0" w:rsidRPr="00D45ECC" w:rsidRDefault="00E553A0" w:rsidP="005E3656">
      <w:pPr>
        <w:shd w:val="clear" w:color="auto" w:fill="FFFFFF"/>
        <w:spacing w:before="100" w:beforeAutospacing="1" w:after="100" w:afterAutospacing="1" w:line="360" w:lineRule="auto"/>
        <w:rPr>
          <w:rFonts w:ascii="Calibri" w:eastAsia="Times New Roman" w:hAnsi="Calibri" w:cs="Calibri"/>
          <w:b/>
          <w:bCs/>
          <w:noProof/>
          <w:color w:val="222222"/>
          <w:kern w:val="0"/>
          <w:lang w:eastAsia="en-GB"/>
        </w:rPr>
      </w:pPr>
      <w:r w:rsidRPr="00D45ECC">
        <w:rPr>
          <w:rFonts w:ascii="Calibri" w:hAnsi="Calibri" w:cs="Calibri"/>
        </w:rPr>
        <w:t>“Figure 2 illustrates a structured SWOT analysis used to assess strengths, weaknesses, opportunities, and threats (Essays, 2018).</w:t>
      </w:r>
    </w:p>
    <w:p w14:paraId="52A7695C" w14:textId="77777777" w:rsidR="00E553A0" w:rsidRPr="00D45ECC" w:rsidRDefault="00E553A0" w:rsidP="005E3656">
      <w:pPr>
        <w:shd w:val="clear" w:color="auto" w:fill="FFFFFF"/>
        <w:spacing w:before="100" w:beforeAutospacing="1" w:after="100" w:afterAutospacing="1" w:line="360" w:lineRule="auto"/>
        <w:rPr>
          <w:rFonts w:ascii="Calibri" w:eastAsia="Times New Roman" w:hAnsi="Calibri" w:cs="Calibri"/>
          <w:b/>
          <w:bCs/>
          <w:noProof/>
          <w:color w:val="222222"/>
          <w:kern w:val="0"/>
          <w:lang w:eastAsia="en-GB"/>
        </w:rPr>
      </w:pPr>
    </w:p>
    <w:p w14:paraId="2248304A" w14:textId="3EAB74AA" w:rsidR="00AD4F6E" w:rsidRPr="00D45ECC" w:rsidRDefault="00A5467E" w:rsidP="005E3656">
      <w:pPr>
        <w:shd w:val="clear" w:color="auto" w:fill="FFFFFF"/>
        <w:spacing w:before="100" w:beforeAutospacing="1" w:after="100" w:afterAutospacing="1" w:line="360" w:lineRule="auto"/>
        <w:rPr>
          <w:rFonts w:ascii="Calibri" w:eastAsia="Times New Roman" w:hAnsi="Calibri" w:cs="Calibri"/>
          <w:b/>
          <w:bCs/>
          <w:color w:val="222222"/>
          <w:kern w:val="0"/>
          <w:lang w:eastAsia="en-GB"/>
          <w14:ligatures w14:val="none"/>
        </w:rPr>
      </w:pPr>
      <w:r w:rsidRPr="00D45ECC">
        <w:rPr>
          <w:rFonts w:ascii="Calibri" w:eastAsia="Times New Roman" w:hAnsi="Calibri" w:cs="Calibri"/>
          <w:b/>
          <w:bCs/>
          <w:noProof/>
          <w:color w:val="222222"/>
          <w:kern w:val="0"/>
          <w:lang w:eastAsia="en-GB"/>
        </w:rPr>
        <w:drawing>
          <wp:inline distT="0" distB="0" distL="0" distR="0" wp14:anchorId="3AC919B0" wp14:editId="1876B9BB">
            <wp:extent cx="5478780" cy="2880360"/>
            <wp:effectExtent l="0" t="0" r="7620" b="0"/>
            <wp:docPr id="20759601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960138" name="Picture 2075960138"/>
                    <pic:cNvPicPr/>
                  </pic:nvPicPr>
                  <pic:blipFill>
                    <a:blip r:embed="rId9">
                      <a:extLst>
                        <a:ext uri="{28A0092B-C50C-407E-A947-70E740481C1C}">
                          <a14:useLocalDpi xmlns:a14="http://schemas.microsoft.com/office/drawing/2010/main" val="0"/>
                        </a:ext>
                      </a:extLst>
                    </a:blip>
                    <a:stretch>
                      <a:fillRect/>
                    </a:stretch>
                  </pic:blipFill>
                  <pic:spPr>
                    <a:xfrm>
                      <a:off x="0" y="0"/>
                      <a:ext cx="5478780" cy="2880360"/>
                    </a:xfrm>
                    <a:prstGeom prst="rect">
                      <a:avLst/>
                    </a:prstGeom>
                  </pic:spPr>
                </pic:pic>
              </a:graphicData>
            </a:graphic>
          </wp:inline>
        </w:drawing>
      </w:r>
    </w:p>
    <w:p w14:paraId="7137B097" w14:textId="77777777" w:rsidR="00164A2F" w:rsidRPr="00D45ECC" w:rsidRDefault="00164A2F" w:rsidP="005E3656">
      <w:pPr>
        <w:spacing w:before="100" w:beforeAutospacing="1" w:after="100" w:afterAutospacing="1" w:line="360" w:lineRule="auto"/>
        <w:outlineLvl w:val="2"/>
        <w:rPr>
          <w:rFonts w:ascii="Calibri" w:eastAsia="Times New Roman" w:hAnsi="Calibri" w:cs="Calibri"/>
          <w:b/>
          <w:bCs/>
          <w:kern w:val="0"/>
          <w:lang w:eastAsia="en-GB"/>
          <w14:ligatures w14:val="none"/>
        </w:rPr>
      </w:pPr>
    </w:p>
    <w:p w14:paraId="29AF30CC" w14:textId="4F42CADF" w:rsidR="00AD4F6E" w:rsidRPr="00D45ECC" w:rsidRDefault="00584482" w:rsidP="005E3656">
      <w:pPr>
        <w:spacing w:before="100" w:beforeAutospacing="1" w:after="100" w:afterAutospacing="1" w:line="360" w:lineRule="auto"/>
        <w:outlineLvl w:val="2"/>
        <w:rPr>
          <w:rFonts w:ascii="Calibri" w:eastAsia="Times New Roman" w:hAnsi="Calibri" w:cs="Calibri"/>
          <w:b/>
          <w:bCs/>
          <w:kern w:val="0"/>
          <w:lang w:eastAsia="en-GB"/>
          <w14:ligatures w14:val="none"/>
        </w:rPr>
      </w:pPr>
      <w:r w:rsidRPr="00D45ECC">
        <w:rPr>
          <w:rFonts w:ascii="Calibri" w:eastAsia="Times New Roman" w:hAnsi="Calibri" w:cs="Calibri"/>
          <w:b/>
          <w:bCs/>
          <w:kern w:val="0"/>
          <w:lang w:eastAsia="en-GB"/>
          <w14:ligatures w14:val="none"/>
        </w:rPr>
        <w:t xml:space="preserve">Figure </w:t>
      </w:r>
      <w:r w:rsidR="0001204A" w:rsidRPr="00D45ECC">
        <w:rPr>
          <w:rFonts w:ascii="Calibri" w:eastAsia="Times New Roman" w:hAnsi="Calibri" w:cs="Calibri"/>
          <w:b/>
          <w:bCs/>
          <w:kern w:val="0"/>
          <w:lang w:eastAsia="en-GB"/>
          <w14:ligatures w14:val="none"/>
        </w:rPr>
        <w:t>2</w:t>
      </w:r>
      <w:r w:rsidRPr="00D45ECC">
        <w:rPr>
          <w:rFonts w:ascii="Calibri" w:eastAsia="Times New Roman" w:hAnsi="Calibri" w:cs="Calibri"/>
          <w:b/>
          <w:bCs/>
          <w:kern w:val="0"/>
          <w:lang w:eastAsia="en-GB"/>
          <w14:ligatures w14:val="none"/>
        </w:rPr>
        <w:t>: SWOT Analysis Guide Diagram</w:t>
      </w:r>
      <w:r w:rsidR="00164A2F" w:rsidRPr="00D45ECC">
        <w:rPr>
          <w:rFonts w:ascii="Calibri" w:eastAsia="Times New Roman" w:hAnsi="Calibri" w:cs="Calibri"/>
          <w:b/>
          <w:bCs/>
          <w:kern w:val="0"/>
          <w:lang w:eastAsia="en-GB"/>
          <w14:ligatures w14:val="none"/>
        </w:rPr>
        <w:t xml:space="preserve"> </w:t>
      </w:r>
      <w:r w:rsidRPr="00D45ECC">
        <w:rPr>
          <w:rFonts w:ascii="Calibri" w:eastAsia="Times New Roman" w:hAnsi="Calibri" w:cs="Calibri"/>
          <w:i/>
          <w:iCs/>
          <w:kern w:val="0"/>
          <w:lang w:eastAsia="en-GB"/>
          <w14:ligatures w14:val="none"/>
        </w:rPr>
        <w:t>Essays (2018).</w:t>
      </w:r>
    </w:p>
    <w:p w14:paraId="6864E462" w14:textId="0D08FDEF"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b/>
          <w:bCs/>
          <w:color w:val="222222"/>
          <w:kern w:val="0"/>
          <w:lang w:eastAsia="en-GB"/>
          <w14:ligatures w14:val="none"/>
        </w:rPr>
        <w:t xml:space="preserve">A SWOT analysis supports scope </w:t>
      </w:r>
      <w:r w:rsidR="002858B7" w:rsidRPr="00D45ECC">
        <w:rPr>
          <w:rFonts w:ascii="Calibri" w:eastAsia="Times New Roman" w:hAnsi="Calibri" w:cs="Calibri"/>
          <w:b/>
          <w:bCs/>
          <w:color w:val="222222"/>
          <w:kern w:val="0"/>
          <w:lang w:eastAsia="en-GB"/>
          <w14:ligatures w14:val="none"/>
        </w:rPr>
        <w:t>Integration:</w:t>
      </w:r>
    </w:p>
    <w:p w14:paraId="019A67B6" w14:textId="77777777" w:rsidR="002F2696" w:rsidRPr="00D45ECC" w:rsidRDefault="002F2696" w:rsidP="005E3656">
      <w:pPr>
        <w:numPr>
          <w:ilvl w:val="0"/>
          <w:numId w:val="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Strengths: Advanced robotics, efficient operations</w:t>
      </w:r>
    </w:p>
    <w:p w14:paraId="1B895802" w14:textId="77777777" w:rsidR="002F2696" w:rsidRPr="00D45ECC" w:rsidRDefault="002F2696" w:rsidP="005E3656">
      <w:pPr>
        <w:numPr>
          <w:ilvl w:val="0"/>
          <w:numId w:val="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Weaknesses: Limited access during flooding</w:t>
      </w:r>
    </w:p>
    <w:p w14:paraId="7F02029D" w14:textId="70610983" w:rsidR="002F2696" w:rsidRPr="00D45ECC" w:rsidRDefault="002F2696" w:rsidP="005E3656">
      <w:pPr>
        <w:numPr>
          <w:ilvl w:val="0"/>
          <w:numId w:val="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Opportunities: Integration of infrastructure</w:t>
      </w:r>
    </w:p>
    <w:p w14:paraId="0B2B4E17" w14:textId="77777777" w:rsidR="002F2696" w:rsidRPr="00D45ECC" w:rsidRDefault="002F2696" w:rsidP="005E3656">
      <w:pPr>
        <w:numPr>
          <w:ilvl w:val="0"/>
          <w:numId w:val="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Threats: Weather disruption, cost overruns</w:t>
      </w:r>
    </w:p>
    <w:p w14:paraId="6B652B51" w14:textId="77777777" w:rsidR="00A431C3" w:rsidRPr="00D45ECC" w:rsidRDefault="00A431C3"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p>
    <w:p w14:paraId="57393BFC" w14:textId="4183767B"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Roberts (2011) argues that clear scope definition prevents project drift and improves resource plannin</w:t>
      </w:r>
      <w:r w:rsidR="0068291F" w:rsidRPr="00D45ECC">
        <w:rPr>
          <w:rFonts w:ascii="Calibri" w:eastAsia="Times New Roman" w:hAnsi="Calibri" w:cs="Calibri"/>
          <w:color w:val="222222"/>
          <w:kern w:val="0"/>
          <w:lang w:eastAsia="en-GB"/>
          <w14:ligatures w14:val="none"/>
        </w:rPr>
        <w:t>g. The</w:t>
      </w:r>
      <w:r w:rsidRPr="00D45ECC">
        <w:rPr>
          <w:rFonts w:ascii="Calibri" w:eastAsia="Times New Roman" w:hAnsi="Calibri" w:cs="Calibri"/>
          <w:color w:val="222222"/>
          <w:kern w:val="0"/>
          <w:lang w:eastAsia="en-GB"/>
          <w14:ligatures w14:val="none"/>
        </w:rPr>
        <w:t xml:space="preserve"> scope ensures that the project remains focused, achievable, and aligned with its </w:t>
      </w:r>
      <w:r w:rsidR="0068291F" w:rsidRPr="00D45ECC">
        <w:rPr>
          <w:rFonts w:ascii="Calibri" w:eastAsia="Times New Roman" w:hAnsi="Calibri" w:cs="Calibri"/>
          <w:color w:val="222222"/>
          <w:kern w:val="0"/>
          <w:lang w:eastAsia="en-GB"/>
          <w14:ligatures w14:val="none"/>
        </w:rPr>
        <w:t>objectives.</w:t>
      </w:r>
      <w:r w:rsidR="0068291F" w:rsidRPr="00D45ECC">
        <w:rPr>
          <w:rStyle w:val="Strong"/>
          <w:rFonts w:ascii="Calibri" w:hAnsi="Calibri" w:cs="Calibri"/>
          <w:b w:val="0"/>
          <w:bCs w:val="0"/>
        </w:rPr>
        <w:t xml:space="preserve"> At this stage,</w:t>
      </w:r>
      <w:r w:rsidR="0068291F" w:rsidRPr="00D45ECC">
        <w:rPr>
          <w:rFonts w:ascii="Calibri" w:hAnsi="Calibri" w:cs="Calibri"/>
        </w:rPr>
        <w:t xml:space="preserve"> effective scope management requires continuous monitoring to ensure that project deliverables remain aligned with objectives throughout the lifecycle. This involves regular review processes to identify any differences or emerging requirements that may impact the project. </w:t>
      </w:r>
    </w:p>
    <w:p w14:paraId="12D00337" w14:textId="61721B2A" w:rsidR="0068291F" w:rsidRPr="00D45ECC" w:rsidRDefault="0068291F" w:rsidP="005E3656">
      <w:pPr>
        <w:shd w:val="clear" w:color="auto" w:fill="FFFFFF"/>
        <w:spacing w:before="100" w:beforeAutospacing="1" w:after="100" w:afterAutospacing="1" w:line="360" w:lineRule="auto"/>
        <w:outlineLvl w:val="1"/>
        <w:rPr>
          <w:rFonts w:ascii="Calibri" w:hAnsi="Calibri" w:cs="Calibri"/>
        </w:rPr>
      </w:pPr>
      <w:r w:rsidRPr="00D45ECC">
        <w:rPr>
          <w:rFonts w:ascii="Calibri" w:hAnsi="Calibri" w:cs="Calibri"/>
        </w:rPr>
        <w:t xml:space="preserve"> These procedures ensure that all changes are </w:t>
      </w:r>
      <w:r w:rsidR="00A431C3" w:rsidRPr="00D45ECC">
        <w:rPr>
          <w:rFonts w:ascii="Calibri" w:hAnsi="Calibri" w:cs="Calibri"/>
        </w:rPr>
        <w:t>assessed</w:t>
      </w:r>
      <w:r w:rsidRPr="00D45ECC">
        <w:rPr>
          <w:rFonts w:ascii="Calibri" w:hAnsi="Calibri" w:cs="Calibri"/>
        </w:rPr>
        <w:t xml:space="preserve">, approved, and recorded systematically. Kerzner (2017) argues that structured scope control enhances project efficiency and reduces the likelihood of delays. Furthermore, Turner (2014) emphasises that clear scope definition supports accountability and improves overall project performance. Consequently, maintaining strict </w:t>
      </w:r>
      <w:r w:rsidR="00A431C3" w:rsidRPr="00D45ECC">
        <w:rPr>
          <w:rFonts w:ascii="Calibri" w:hAnsi="Calibri" w:cs="Calibri"/>
        </w:rPr>
        <w:t xml:space="preserve">and </w:t>
      </w:r>
      <w:r w:rsidRPr="00D45ECC">
        <w:rPr>
          <w:rFonts w:ascii="Calibri" w:hAnsi="Calibri" w:cs="Calibri"/>
        </w:rPr>
        <w:t xml:space="preserve">flexible scope management ensures that the project remains focused while adapting to evolving conditions within a complex recovery </w:t>
      </w:r>
      <w:r w:rsidR="00A431C3" w:rsidRPr="00D45ECC">
        <w:rPr>
          <w:rFonts w:ascii="Calibri" w:hAnsi="Calibri" w:cs="Calibri"/>
        </w:rPr>
        <w:t>environment.</w:t>
      </w:r>
    </w:p>
    <w:p w14:paraId="3B1FA88C" w14:textId="0CACF932" w:rsidR="00D1365F" w:rsidRPr="00D45ECC" w:rsidRDefault="00D1365F" w:rsidP="005E3656">
      <w:pPr>
        <w:pStyle w:val="NormalWeb"/>
        <w:spacing w:line="360" w:lineRule="auto"/>
        <w:rPr>
          <w:rFonts w:ascii="Calibri" w:hAnsi="Calibri" w:cs="Calibri"/>
        </w:rPr>
      </w:pPr>
      <w:r w:rsidRPr="00D45ECC">
        <w:rPr>
          <w:rFonts w:ascii="Calibri" w:hAnsi="Calibri" w:cs="Calibri"/>
        </w:rPr>
        <w:t>This structured approach to scope management also ensures clarity across all project phases, reducing ambiguity and enhancing accountability. It enables consistent progress tracking while maintaining alignment with overall project objectives and delivery expectations.</w:t>
      </w:r>
    </w:p>
    <w:p w14:paraId="48F710EA" w14:textId="77777777" w:rsidR="001D0CC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4. Work Breakdown Structure (WBS)</w:t>
      </w:r>
    </w:p>
    <w:p w14:paraId="673B129D" w14:textId="46A5BF2F"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color w:val="222222"/>
          <w:kern w:val="0"/>
          <w:lang w:eastAsia="en-GB"/>
          <w14:ligatures w14:val="none"/>
        </w:rPr>
        <w:t>The WBS divides the project into manageable components, enabling effective planning and control (Maylor, 2010)</w:t>
      </w:r>
      <w:r w:rsidR="00E7461D"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WBS ensures logical sequencing and accountability. Roberts (2011) highlights that structured task breakdown reduces delays and improves coordination.</w:t>
      </w:r>
    </w:p>
    <w:p w14:paraId="039820E6" w14:textId="77777777" w:rsidR="001D0CC6" w:rsidRPr="00D45ECC" w:rsidRDefault="001D0CC6" w:rsidP="005E3656">
      <w:pPr>
        <w:pStyle w:val="NormalWeb"/>
        <w:spacing w:line="360" w:lineRule="auto"/>
        <w:rPr>
          <w:rFonts w:ascii="Calibri" w:hAnsi="Calibri" w:cs="Calibri"/>
        </w:rPr>
      </w:pPr>
      <w:r w:rsidRPr="00D45ECC">
        <w:rPr>
          <w:rStyle w:val="Strong"/>
          <w:rFonts w:ascii="Calibri" w:eastAsiaTheme="majorEastAsia" w:hAnsi="Calibri" w:cs="Calibri"/>
        </w:rPr>
        <w:t>Project Initiation</w:t>
      </w:r>
      <w:r w:rsidRPr="00D45ECC">
        <w:rPr>
          <w:rFonts w:ascii="Calibri" w:hAnsi="Calibri" w:cs="Calibri"/>
        </w:rPr>
        <w:t xml:space="preserve"> </w:t>
      </w:r>
      <w:r w:rsidRPr="00D45ECC">
        <w:rPr>
          <w:rFonts w:ascii="Calibri" w:hAnsi="Calibri" w:cs="Calibri"/>
        </w:rPr>
        <w:t> </w:t>
      </w:r>
    </w:p>
    <w:p w14:paraId="2C61600E" w14:textId="7F4134EB"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Define objectives. </w:t>
      </w:r>
    </w:p>
    <w:p w14:paraId="7BD7D844"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Appoint team. </w:t>
      </w:r>
      <w:r w:rsidRPr="00D45ECC">
        <w:rPr>
          <w:rFonts w:ascii="Calibri" w:hAnsi="Calibri" w:cs="Calibri"/>
        </w:rPr>
        <w:t> </w:t>
      </w:r>
    </w:p>
    <w:p w14:paraId="16A41345" w14:textId="7E32BF0A" w:rsidR="001D0CC6" w:rsidRPr="00D45ECC" w:rsidRDefault="001D0CC6" w:rsidP="005E3656">
      <w:pPr>
        <w:pStyle w:val="NormalWeb"/>
        <w:spacing w:line="360" w:lineRule="auto"/>
        <w:rPr>
          <w:rFonts w:ascii="Calibri" w:hAnsi="Calibri" w:cs="Calibri"/>
        </w:rPr>
      </w:pPr>
      <w:r w:rsidRPr="00D45ECC">
        <w:rPr>
          <w:rFonts w:ascii="Calibri" w:hAnsi="Calibri" w:cs="Calibri"/>
        </w:rPr>
        <w:lastRenderedPageBreak/>
        <w:t>• Stakeholder engagement</w:t>
      </w:r>
    </w:p>
    <w:p w14:paraId="23B51222"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w:t>
      </w:r>
      <w:r w:rsidRPr="00D45ECC">
        <w:rPr>
          <w:rStyle w:val="Strong"/>
          <w:rFonts w:ascii="Calibri" w:eastAsiaTheme="majorEastAsia" w:hAnsi="Calibri" w:cs="Calibri"/>
        </w:rPr>
        <w:t>Assessment Phase</w:t>
      </w:r>
      <w:r w:rsidRPr="00D45ECC">
        <w:rPr>
          <w:rFonts w:ascii="Calibri" w:hAnsi="Calibri" w:cs="Calibri"/>
        </w:rPr>
        <w:t xml:space="preserve"> </w:t>
      </w:r>
      <w:r w:rsidRPr="00D45ECC">
        <w:rPr>
          <w:rFonts w:ascii="Calibri" w:hAnsi="Calibri" w:cs="Calibri"/>
        </w:rPr>
        <w:t> </w:t>
      </w:r>
    </w:p>
    <w:p w14:paraId="3BE104AD"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Drone surveys </w:t>
      </w:r>
      <w:r w:rsidRPr="00D45ECC">
        <w:rPr>
          <w:rFonts w:ascii="Calibri" w:hAnsi="Calibri" w:cs="Calibri"/>
        </w:rPr>
        <w:t> </w:t>
      </w:r>
    </w:p>
    <w:p w14:paraId="5A66766B"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Structural inspections </w:t>
      </w:r>
      <w:r w:rsidRPr="00D45ECC">
        <w:rPr>
          <w:rFonts w:ascii="Calibri" w:hAnsi="Calibri" w:cs="Calibri"/>
        </w:rPr>
        <w:t> </w:t>
      </w:r>
    </w:p>
    <w:p w14:paraId="2F83F511" w14:textId="427D4254" w:rsidR="001D0CC6" w:rsidRPr="00D45ECC" w:rsidRDefault="001D0CC6" w:rsidP="005E3656">
      <w:pPr>
        <w:pStyle w:val="NormalWeb"/>
        <w:spacing w:line="360" w:lineRule="auto"/>
        <w:rPr>
          <w:rFonts w:ascii="Calibri" w:hAnsi="Calibri" w:cs="Calibri"/>
        </w:rPr>
      </w:pPr>
      <w:r w:rsidRPr="00D45ECC">
        <w:rPr>
          <w:rFonts w:ascii="Calibri" w:hAnsi="Calibri" w:cs="Calibri"/>
        </w:rPr>
        <w:t>• Risk identification</w:t>
      </w:r>
    </w:p>
    <w:p w14:paraId="67F0D5B8"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w:t>
      </w:r>
      <w:r w:rsidRPr="00D45ECC">
        <w:rPr>
          <w:rStyle w:val="Strong"/>
          <w:rFonts w:ascii="Calibri" w:eastAsiaTheme="majorEastAsia" w:hAnsi="Calibri" w:cs="Calibri"/>
        </w:rPr>
        <w:t>Clearance Phase</w:t>
      </w:r>
      <w:r w:rsidRPr="00D45ECC">
        <w:rPr>
          <w:rFonts w:ascii="Calibri" w:hAnsi="Calibri" w:cs="Calibri"/>
        </w:rPr>
        <w:t xml:space="preserve"> </w:t>
      </w:r>
      <w:r w:rsidRPr="00D45ECC">
        <w:rPr>
          <w:rFonts w:ascii="Calibri" w:hAnsi="Calibri" w:cs="Calibri"/>
        </w:rPr>
        <w:t> </w:t>
      </w:r>
    </w:p>
    <w:p w14:paraId="4EC33266"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Robotic debris removal </w:t>
      </w:r>
      <w:r w:rsidRPr="00D45ECC">
        <w:rPr>
          <w:rFonts w:ascii="Calibri" w:hAnsi="Calibri" w:cs="Calibri"/>
        </w:rPr>
        <w:t> </w:t>
      </w:r>
    </w:p>
    <w:p w14:paraId="745D4D16" w14:textId="1D43D806" w:rsidR="001D0CC6" w:rsidRPr="00D45ECC" w:rsidRDefault="001D0CC6" w:rsidP="005E3656">
      <w:pPr>
        <w:pStyle w:val="NormalWeb"/>
        <w:spacing w:line="360" w:lineRule="auto"/>
        <w:rPr>
          <w:rFonts w:ascii="Calibri" w:hAnsi="Calibri" w:cs="Calibri"/>
        </w:rPr>
      </w:pPr>
      <w:r w:rsidRPr="00D45ECC">
        <w:rPr>
          <w:rFonts w:ascii="Calibri" w:hAnsi="Calibri" w:cs="Calibri"/>
        </w:rPr>
        <w:t>• Hazard mitigation</w:t>
      </w:r>
    </w:p>
    <w:p w14:paraId="639133FF"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w:t>
      </w:r>
      <w:r w:rsidRPr="00D45ECC">
        <w:rPr>
          <w:rStyle w:val="Strong"/>
          <w:rFonts w:ascii="Calibri" w:eastAsiaTheme="majorEastAsia" w:hAnsi="Calibri" w:cs="Calibri"/>
        </w:rPr>
        <w:t>Repair Phase</w:t>
      </w:r>
      <w:r w:rsidRPr="00D45ECC">
        <w:rPr>
          <w:rFonts w:ascii="Calibri" w:hAnsi="Calibri" w:cs="Calibri"/>
        </w:rPr>
        <w:t xml:space="preserve"> </w:t>
      </w:r>
      <w:r w:rsidRPr="00D45ECC">
        <w:rPr>
          <w:rFonts w:ascii="Calibri" w:hAnsi="Calibri" w:cs="Calibri"/>
        </w:rPr>
        <w:t> </w:t>
      </w:r>
    </w:p>
    <w:p w14:paraId="033FF51C"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Drainage restoration </w:t>
      </w:r>
      <w:r w:rsidRPr="00D45ECC">
        <w:rPr>
          <w:rFonts w:ascii="Calibri" w:hAnsi="Calibri" w:cs="Calibri"/>
        </w:rPr>
        <w:t> </w:t>
      </w:r>
    </w:p>
    <w:p w14:paraId="01EC4528"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Roadbed stabilisation </w:t>
      </w:r>
      <w:r w:rsidRPr="00D45ECC">
        <w:rPr>
          <w:rFonts w:ascii="Calibri" w:hAnsi="Calibri" w:cs="Calibri"/>
        </w:rPr>
        <w:t> </w:t>
      </w:r>
    </w:p>
    <w:p w14:paraId="3A6342DF" w14:textId="47AAE3A6" w:rsidR="001D0CC6" w:rsidRPr="00D45ECC" w:rsidRDefault="001D0CC6" w:rsidP="005E3656">
      <w:pPr>
        <w:pStyle w:val="NormalWeb"/>
        <w:spacing w:line="360" w:lineRule="auto"/>
        <w:rPr>
          <w:rFonts w:ascii="Calibri" w:hAnsi="Calibri" w:cs="Calibri"/>
        </w:rPr>
      </w:pPr>
      <w:r w:rsidRPr="00D45ECC">
        <w:rPr>
          <w:rFonts w:ascii="Calibri" w:hAnsi="Calibri" w:cs="Calibri"/>
        </w:rPr>
        <w:t>• Resurfacing</w:t>
      </w:r>
    </w:p>
    <w:p w14:paraId="52F0A300"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w:t>
      </w:r>
      <w:r w:rsidRPr="00D45ECC">
        <w:rPr>
          <w:rStyle w:val="Strong"/>
          <w:rFonts w:ascii="Calibri" w:eastAsiaTheme="majorEastAsia" w:hAnsi="Calibri" w:cs="Calibri"/>
        </w:rPr>
        <w:t>Testing Phase</w:t>
      </w:r>
      <w:r w:rsidRPr="00D45ECC">
        <w:rPr>
          <w:rFonts w:ascii="Calibri" w:hAnsi="Calibri" w:cs="Calibri"/>
        </w:rPr>
        <w:t xml:space="preserve"> </w:t>
      </w:r>
    </w:p>
    <w:p w14:paraId="4AC596F9" w14:textId="74AA1DB9"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Safety inspections </w:t>
      </w:r>
      <w:r w:rsidRPr="00D45ECC">
        <w:rPr>
          <w:rFonts w:ascii="Calibri" w:hAnsi="Calibri" w:cs="Calibri"/>
        </w:rPr>
        <w:t> </w:t>
      </w:r>
    </w:p>
    <w:p w14:paraId="0D0944D9" w14:textId="52B6D2E6" w:rsidR="001D0CC6" w:rsidRPr="00D45ECC" w:rsidRDefault="001D0CC6" w:rsidP="005E3656">
      <w:pPr>
        <w:pStyle w:val="NormalWeb"/>
        <w:spacing w:line="360" w:lineRule="auto"/>
        <w:rPr>
          <w:rFonts w:ascii="Calibri" w:hAnsi="Calibri" w:cs="Calibri"/>
        </w:rPr>
      </w:pPr>
      <w:r w:rsidRPr="00D45ECC">
        <w:rPr>
          <w:rFonts w:ascii="Calibri" w:hAnsi="Calibri" w:cs="Calibri"/>
        </w:rPr>
        <w:t>• Load testing</w:t>
      </w:r>
    </w:p>
    <w:p w14:paraId="6DD5B89F"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w:t>
      </w:r>
      <w:r w:rsidRPr="00D45ECC">
        <w:rPr>
          <w:rStyle w:val="Strong"/>
          <w:rFonts w:ascii="Calibri" w:eastAsiaTheme="majorEastAsia" w:hAnsi="Calibri" w:cs="Calibri"/>
        </w:rPr>
        <w:t>Closure</w:t>
      </w:r>
      <w:r w:rsidRPr="00D45ECC">
        <w:rPr>
          <w:rFonts w:ascii="Calibri" w:hAnsi="Calibri" w:cs="Calibri"/>
        </w:rPr>
        <w:t xml:space="preserve"> </w:t>
      </w:r>
      <w:r w:rsidRPr="00D45ECC">
        <w:rPr>
          <w:rFonts w:ascii="Calibri" w:hAnsi="Calibri" w:cs="Calibri"/>
        </w:rPr>
        <w:t> </w:t>
      </w:r>
    </w:p>
    <w:p w14:paraId="3D3C2C76" w14:textId="77777777" w:rsidR="001D0CC6" w:rsidRPr="00D45ECC" w:rsidRDefault="001D0CC6" w:rsidP="005E3656">
      <w:pPr>
        <w:pStyle w:val="NormalWeb"/>
        <w:spacing w:line="360" w:lineRule="auto"/>
        <w:rPr>
          <w:rFonts w:ascii="Calibri" w:hAnsi="Calibri" w:cs="Calibri"/>
        </w:rPr>
      </w:pPr>
      <w:r w:rsidRPr="00D45ECC">
        <w:rPr>
          <w:rFonts w:ascii="Calibri" w:hAnsi="Calibri" w:cs="Calibri"/>
        </w:rPr>
        <w:t xml:space="preserve">• Handover </w:t>
      </w:r>
      <w:r w:rsidRPr="00D45ECC">
        <w:rPr>
          <w:rFonts w:ascii="Calibri" w:hAnsi="Calibri" w:cs="Calibri"/>
        </w:rPr>
        <w:t> </w:t>
      </w:r>
    </w:p>
    <w:p w14:paraId="37A2F886" w14:textId="3B18B09C" w:rsidR="001D0CC6" w:rsidRPr="00D45ECC" w:rsidRDefault="001D0CC6" w:rsidP="005E3656">
      <w:pPr>
        <w:pStyle w:val="NormalWeb"/>
        <w:spacing w:line="360" w:lineRule="auto"/>
        <w:rPr>
          <w:rFonts w:ascii="Calibri" w:hAnsi="Calibri" w:cs="Calibri"/>
        </w:rPr>
      </w:pPr>
      <w:r w:rsidRPr="00D45ECC">
        <w:rPr>
          <w:rFonts w:ascii="Calibri" w:hAnsi="Calibri" w:cs="Calibri"/>
        </w:rPr>
        <w:t>• Final reporting</w:t>
      </w:r>
    </w:p>
    <w:p w14:paraId="78336C65" w14:textId="48CF1BA7"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 xml:space="preserve">The structure of the project is </w:t>
      </w:r>
      <w:r w:rsidR="00E7461D" w:rsidRPr="00D45ECC">
        <w:rPr>
          <w:rStyle w:val="Strong"/>
          <w:rFonts w:ascii="Calibri" w:eastAsiaTheme="majorEastAsia" w:hAnsi="Calibri" w:cs="Calibri"/>
          <w:b w:val="0"/>
          <w:bCs w:val="0"/>
        </w:rPr>
        <w:t>implemented</w:t>
      </w:r>
      <w:r w:rsidRPr="00D45ECC">
        <w:rPr>
          <w:rStyle w:val="Strong"/>
          <w:rFonts w:ascii="Calibri" w:eastAsiaTheme="majorEastAsia" w:hAnsi="Calibri" w:cs="Calibri"/>
          <w:b w:val="0"/>
          <w:bCs w:val="0"/>
        </w:rPr>
        <w:t xml:space="preserve"> through</w:t>
      </w:r>
      <w:r w:rsidRPr="00D45ECC">
        <w:rPr>
          <w:rFonts w:ascii="Calibri" w:hAnsi="Calibri" w:cs="Calibri"/>
          <w:b/>
          <w:bCs/>
        </w:rPr>
        <w:t xml:space="preserve"> </w:t>
      </w:r>
      <w:r w:rsidRPr="00D45ECC">
        <w:rPr>
          <w:rFonts w:ascii="Calibri" w:hAnsi="Calibri" w:cs="Calibri"/>
        </w:rPr>
        <w:t xml:space="preserve">the WBS supports effective communication by providing a clear visual representation of project tasks and </w:t>
      </w:r>
      <w:r w:rsidRPr="00D45ECC">
        <w:rPr>
          <w:rFonts w:ascii="Calibri" w:hAnsi="Calibri" w:cs="Calibri"/>
        </w:rPr>
        <w:lastRenderedPageBreak/>
        <w:t xml:space="preserve">responsibilities. This enables all stakeholders to understand their roles and contributions within the overall project structure. </w:t>
      </w:r>
      <w:r w:rsidR="004B2E77" w:rsidRPr="00D45ECC">
        <w:rPr>
          <w:rFonts w:ascii="Calibri" w:hAnsi="Calibri" w:cs="Calibri"/>
        </w:rPr>
        <w:t>The</w:t>
      </w:r>
      <w:r w:rsidRPr="00D45ECC">
        <w:rPr>
          <w:rFonts w:ascii="Calibri" w:hAnsi="Calibri" w:cs="Calibri"/>
        </w:rPr>
        <w:t xml:space="preserve"> format also facilitates progress tracking by allowing managers to monitor completion at each level of activity.</w:t>
      </w:r>
    </w:p>
    <w:p w14:paraId="67D24B69" w14:textId="5180FAB3"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This is supported by</w:t>
      </w:r>
      <w:r w:rsidRPr="00D45ECC">
        <w:rPr>
          <w:rFonts w:ascii="Calibri" w:hAnsi="Calibri" w:cs="Calibri"/>
        </w:rPr>
        <w:t xml:space="preserve"> integrating the WBS with scheduling tools enhances coordination between tasks, ensuring that dependencies are effectively managed. This reduces the risk of delays and improves overall workflow </w:t>
      </w:r>
      <w:r w:rsidR="008F1D1B" w:rsidRPr="00D45ECC">
        <w:rPr>
          <w:rFonts w:ascii="Calibri" w:hAnsi="Calibri" w:cs="Calibri"/>
        </w:rPr>
        <w:t xml:space="preserve">efficiency. </w:t>
      </w:r>
      <w:r w:rsidR="004B2E77" w:rsidRPr="00D45ECC">
        <w:rPr>
          <w:rFonts w:ascii="Calibri" w:hAnsi="Calibri" w:cs="Calibri"/>
        </w:rPr>
        <w:t>(According</w:t>
      </w:r>
      <w:r w:rsidRPr="00D45ECC">
        <w:rPr>
          <w:rFonts w:ascii="Calibri" w:hAnsi="Calibri" w:cs="Calibri"/>
        </w:rPr>
        <w:t xml:space="preserve"> to Lock </w:t>
      </w:r>
      <w:r w:rsidR="008F1D1B" w:rsidRPr="00D45ECC">
        <w:rPr>
          <w:rFonts w:ascii="Calibri" w:hAnsi="Calibri" w:cs="Calibri"/>
        </w:rPr>
        <w:t>,</w:t>
      </w:r>
      <w:r w:rsidRPr="00D45ECC">
        <w:rPr>
          <w:rFonts w:ascii="Calibri" w:hAnsi="Calibri" w:cs="Calibri"/>
        </w:rPr>
        <w:t xml:space="preserve">2020), </w:t>
      </w:r>
      <w:r w:rsidR="008F1D1B" w:rsidRPr="00D45ECC">
        <w:rPr>
          <w:rFonts w:ascii="Calibri" w:hAnsi="Calibri" w:cs="Calibri"/>
        </w:rPr>
        <w:t>A</w:t>
      </w:r>
      <w:r w:rsidRPr="00D45ECC">
        <w:rPr>
          <w:rFonts w:ascii="Calibri" w:hAnsi="Calibri" w:cs="Calibri"/>
        </w:rPr>
        <w:t xml:space="preserve"> </w:t>
      </w:r>
      <w:r w:rsidR="004B2E77" w:rsidRPr="00D45ECC">
        <w:rPr>
          <w:rFonts w:ascii="Calibri" w:hAnsi="Calibri" w:cs="Calibri"/>
        </w:rPr>
        <w:t>robust</w:t>
      </w:r>
      <w:r w:rsidRPr="00D45ECC">
        <w:rPr>
          <w:rFonts w:ascii="Calibri" w:hAnsi="Calibri" w:cs="Calibri"/>
        </w:rPr>
        <w:t xml:space="preserve"> WBS forms the foundation for accurate planning and resource allocation. Similarly, </w:t>
      </w:r>
      <w:r w:rsidR="008F1D1B" w:rsidRPr="00D45ECC">
        <w:rPr>
          <w:rFonts w:ascii="Calibri" w:hAnsi="Calibri" w:cs="Calibri"/>
        </w:rPr>
        <w:t>(</w:t>
      </w:r>
      <w:r w:rsidRPr="00D45ECC">
        <w:rPr>
          <w:rFonts w:ascii="Calibri" w:hAnsi="Calibri" w:cs="Calibri"/>
        </w:rPr>
        <w:t xml:space="preserve">Meredith and Mantel </w:t>
      </w:r>
      <w:r w:rsidR="008F1D1B" w:rsidRPr="00D45ECC">
        <w:rPr>
          <w:rFonts w:ascii="Calibri" w:hAnsi="Calibri" w:cs="Calibri"/>
        </w:rPr>
        <w:t>,</w:t>
      </w:r>
      <w:r w:rsidRPr="00D45ECC">
        <w:rPr>
          <w:rFonts w:ascii="Calibri" w:hAnsi="Calibri" w:cs="Calibri"/>
        </w:rPr>
        <w:t>2017) suggest that task structuring improves project clarity and accountability. Consequently, the WBS not only supports planning but also strengthens control mechanisms, ensuring that project activities are delivered in a logical and efficient sequence.</w:t>
      </w:r>
    </w:p>
    <w:p w14:paraId="1BDA8A80" w14:textId="287ADE40" w:rsidR="00A45A76" w:rsidRPr="00D45ECC" w:rsidRDefault="008928D1"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The structured breakdown</w:t>
      </w:r>
      <w:r w:rsidRPr="00D45ECC">
        <w:rPr>
          <w:rFonts w:ascii="Calibri" w:hAnsi="Calibri" w:cs="Calibri"/>
        </w:rPr>
        <w:t xml:space="preserve"> also improves transparency across project activities, ensuring that key responsibilities are reviewed. As a result, the project benefits from improved coordination, reduced inefficiencies, and a more controlled delivery process</w:t>
      </w:r>
    </w:p>
    <w:p w14:paraId="5B96F56C" w14:textId="77777777" w:rsidR="008928D1" w:rsidRPr="00D45ECC" w:rsidRDefault="008928D1"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p>
    <w:p w14:paraId="160B4C37" w14:textId="215BD8C0"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5. QUAD Chart</w:t>
      </w:r>
    </w:p>
    <w:p w14:paraId="4A77970C" w14:textId="77777777"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QUAD chart summarises key project elements:</w:t>
      </w:r>
    </w:p>
    <w:p w14:paraId="68EA829F" w14:textId="77777777" w:rsidR="002F2696" w:rsidRPr="00D45ECC" w:rsidRDefault="002F2696" w:rsidP="005E3656">
      <w:pPr>
        <w:numPr>
          <w:ilvl w:val="0"/>
          <w:numId w:val="10"/>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Problem: Highway closure due to flood damage</w:t>
      </w:r>
    </w:p>
    <w:p w14:paraId="07A1F0BF" w14:textId="77777777" w:rsidR="002F2696" w:rsidRPr="00D45ECC" w:rsidRDefault="002F2696" w:rsidP="005E3656">
      <w:pPr>
        <w:numPr>
          <w:ilvl w:val="0"/>
          <w:numId w:val="10"/>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Approach: Use of Resix robotics for recovery</w:t>
      </w:r>
    </w:p>
    <w:p w14:paraId="6A9D80D6" w14:textId="77777777" w:rsidR="002F2696" w:rsidRPr="00D45ECC" w:rsidRDefault="002F2696" w:rsidP="005E3656">
      <w:pPr>
        <w:numPr>
          <w:ilvl w:val="0"/>
          <w:numId w:val="10"/>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Benefits: Faster reopening, improved safety, cost efficiency</w:t>
      </w:r>
    </w:p>
    <w:p w14:paraId="27934A59" w14:textId="19A6FCF4" w:rsidR="002F2696" w:rsidRPr="00D45ECC" w:rsidRDefault="002F2696" w:rsidP="005E3656">
      <w:pPr>
        <w:numPr>
          <w:ilvl w:val="0"/>
          <w:numId w:val="10"/>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Risks: Weather delays, technical failures</w:t>
      </w:r>
    </w:p>
    <w:p w14:paraId="29B55921" w14:textId="072062CD"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Maylor (2010) states that visual tools enhance stakeholder </w:t>
      </w:r>
      <w:r w:rsidR="000E0A24" w:rsidRPr="00D45ECC">
        <w:rPr>
          <w:rFonts w:ascii="Calibri" w:eastAsia="Times New Roman" w:hAnsi="Calibri" w:cs="Calibri"/>
          <w:color w:val="222222"/>
          <w:kern w:val="0"/>
          <w:lang w:eastAsia="en-GB"/>
          <w14:ligatures w14:val="none"/>
        </w:rPr>
        <w:t xml:space="preserve">understanding. </w:t>
      </w:r>
      <w:r w:rsidR="0080449E" w:rsidRPr="00D45ECC">
        <w:rPr>
          <w:rFonts w:ascii="Calibri" w:eastAsia="Times New Roman" w:hAnsi="Calibri" w:cs="Calibri"/>
          <w:color w:val="222222"/>
          <w:kern w:val="0"/>
          <w:lang w:eastAsia="en-GB"/>
          <w14:ligatures w14:val="none"/>
        </w:rPr>
        <w:t>(Heagney</w:t>
      </w:r>
      <w:r w:rsidRPr="00D45ECC">
        <w:rPr>
          <w:rFonts w:ascii="Calibri" w:eastAsia="Times New Roman" w:hAnsi="Calibri" w:cs="Calibri"/>
          <w:color w:val="222222"/>
          <w:kern w:val="0"/>
          <w:lang w:eastAsia="en-GB"/>
          <w14:ligatures w14:val="none"/>
        </w:rPr>
        <w:t xml:space="preserve"> </w:t>
      </w:r>
      <w:r w:rsidR="000E0A24" w:rsidRPr="00D45ECC">
        <w:rPr>
          <w:rFonts w:ascii="Calibri" w:eastAsia="Times New Roman" w:hAnsi="Calibri" w:cs="Calibri"/>
          <w:color w:val="222222"/>
          <w:kern w:val="0"/>
          <w:lang w:eastAsia="en-GB"/>
          <w14:ligatures w14:val="none"/>
        </w:rPr>
        <w:t>.</w:t>
      </w:r>
      <w:r w:rsidRPr="00D45ECC">
        <w:rPr>
          <w:rFonts w:ascii="Calibri" w:eastAsia="Times New Roman" w:hAnsi="Calibri" w:cs="Calibri"/>
          <w:color w:val="222222"/>
          <w:kern w:val="0"/>
          <w:lang w:eastAsia="en-GB"/>
          <w14:ligatures w14:val="none"/>
        </w:rPr>
        <w:t>2016)</w:t>
      </w:r>
      <w:r w:rsidR="000E0A24"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 xml:space="preserve">emphasises the importance of linking </w:t>
      </w:r>
      <w:r w:rsidR="0080449E" w:rsidRPr="00D45ECC">
        <w:rPr>
          <w:rFonts w:ascii="Calibri" w:eastAsia="Times New Roman" w:hAnsi="Calibri" w:cs="Calibri"/>
          <w:color w:val="222222"/>
          <w:kern w:val="0"/>
          <w:lang w:eastAsia="en-GB"/>
          <w14:ligatures w14:val="none"/>
        </w:rPr>
        <w:t>project outcomes. The</w:t>
      </w:r>
      <w:r w:rsidRPr="00D45ECC">
        <w:rPr>
          <w:rFonts w:ascii="Calibri" w:eastAsia="Times New Roman" w:hAnsi="Calibri" w:cs="Calibri"/>
          <w:color w:val="222222"/>
          <w:kern w:val="0"/>
          <w:lang w:eastAsia="en-GB"/>
          <w14:ligatures w14:val="none"/>
        </w:rPr>
        <w:t xml:space="preserve"> QUAD chart supports communication and decision-making.</w:t>
      </w:r>
    </w:p>
    <w:p w14:paraId="69891FFD" w14:textId="35DBC360"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This overview highlights</w:t>
      </w:r>
      <w:r w:rsidRPr="00D45ECC">
        <w:rPr>
          <w:rFonts w:ascii="Calibri" w:hAnsi="Calibri" w:cs="Calibri"/>
        </w:rPr>
        <w:t xml:space="preserve"> the QUAD chart </w:t>
      </w:r>
      <w:r w:rsidR="00E7461D" w:rsidRPr="00D45ECC">
        <w:rPr>
          <w:rFonts w:ascii="Calibri" w:hAnsi="Calibri" w:cs="Calibri"/>
        </w:rPr>
        <w:t>is used</w:t>
      </w:r>
      <w:r w:rsidRPr="00D45ECC">
        <w:rPr>
          <w:rFonts w:ascii="Calibri" w:hAnsi="Calibri" w:cs="Calibri"/>
        </w:rPr>
        <w:t xml:space="preserve"> as a strategic communication tool to align stakeholders with the project’s core objectives. By presenting key information in a simplified </w:t>
      </w:r>
      <w:r w:rsidRPr="00D45ECC">
        <w:rPr>
          <w:rFonts w:ascii="Calibri" w:hAnsi="Calibri" w:cs="Calibri"/>
        </w:rPr>
        <w:lastRenderedPageBreak/>
        <w:t>format, it enables quick understanding and supports decision-making at both operational and managerial levels. This is particularly useful in time-sensitive projects where clarity and speed are essential.</w:t>
      </w:r>
    </w:p>
    <w:p w14:paraId="4C9D20E6" w14:textId="7BD55554"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 xml:space="preserve">A clear </w:t>
      </w:r>
      <w:r w:rsidR="008928D1" w:rsidRPr="00D45ECC">
        <w:rPr>
          <w:rStyle w:val="Strong"/>
          <w:rFonts w:ascii="Calibri" w:eastAsiaTheme="majorEastAsia" w:hAnsi="Calibri" w:cs="Calibri"/>
          <w:b w:val="0"/>
          <w:bCs w:val="0"/>
        </w:rPr>
        <w:t>illustration</w:t>
      </w:r>
      <w:r w:rsidRPr="00D45ECC">
        <w:rPr>
          <w:rStyle w:val="Strong"/>
          <w:rFonts w:ascii="Calibri" w:eastAsiaTheme="majorEastAsia" w:hAnsi="Calibri" w:cs="Calibri"/>
          <w:b w:val="0"/>
          <w:bCs w:val="0"/>
        </w:rPr>
        <w:t xml:space="preserve"> is pr</w:t>
      </w:r>
      <w:r w:rsidR="00E7461D" w:rsidRPr="00D45ECC">
        <w:rPr>
          <w:rStyle w:val="Strong"/>
          <w:rFonts w:ascii="Calibri" w:eastAsiaTheme="majorEastAsia" w:hAnsi="Calibri" w:cs="Calibri"/>
          <w:b w:val="0"/>
          <w:bCs w:val="0"/>
        </w:rPr>
        <w:t xml:space="preserve">esented </w:t>
      </w:r>
      <w:r w:rsidRPr="00D45ECC">
        <w:rPr>
          <w:rStyle w:val="Strong"/>
          <w:rFonts w:ascii="Calibri" w:eastAsiaTheme="majorEastAsia" w:hAnsi="Calibri" w:cs="Calibri"/>
          <w:b w:val="0"/>
          <w:bCs w:val="0"/>
        </w:rPr>
        <w:t>through</w:t>
      </w:r>
      <w:r w:rsidRPr="00D45ECC">
        <w:rPr>
          <w:rFonts w:ascii="Calibri" w:hAnsi="Calibri" w:cs="Calibri"/>
        </w:rPr>
        <w:t xml:space="preserve"> the QUAD framework encourages a balanced evaluation of both opportunities and risks, ensuring that project planning remains realistic and achievable. It also supports transparency by clearly outlining expected outcomes and potential challenges. </w:t>
      </w:r>
      <w:r w:rsidR="00F7739A" w:rsidRPr="00D45ECC">
        <w:rPr>
          <w:rFonts w:ascii="Calibri" w:hAnsi="Calibri" w:cs="Calibri"/>
        </w:rPr>
        <w:t>(</w:t>
      </w:r>
      <w:r w:rsidRPr="00D45ECC">
        <w:rPr>
          <w:rFonts w:ascii="Calibri" w:hAnsi="Calibri" w:cs="Calibri"/>
        </w:rPr>
        <w:t xml:space="preserve">Kerzner </w:t>
      </w:r>
      <w:r w:rsidR="00F7739A" w:rsidRPr="00D45ECC">
        <w:rPr>
          <w:rFonts w:ascii="Calibri" w:hAnsi="Calibri" w:cs="Calibri"/>
        </w:rPr>
        <w:t>,</w:t>
      </w:r>
      <w:r w:rsidRPr="00D45ECC">
        <w:rPr>
          <w:rFonts w:ascii="Calibri" w:hAnsi="Calibri" w:cs="Calibri"/>
        </w:rPr>
        <w:t>2017</w:t>
      </w:r>
      <w:r w:rsidR="00F7739A" w:rsidRPr="00D45ECC">
        <w:rPr>
          <w:rFonts w:ascii="Calibri" w:hAnsi="Calibri" w:cs="Calibri"/>
        </w:rPr>
        <w:t>) highlights</w:t>
      </w:r>
      <w:r w:rsidRPr="00D45ECC">
        <w:rPr>
          <w:rFonts w:ascii="Calibri" w:hAnsi="Calibri" w:cs="Calibri"/>
        </w:rPr>
        <w:t xml:space="preserve"> that visual management tools improve stakeholder engagement and project clarity. Similarly, Turner (2014) suggests that simplified frameworks enhance communication efficiency. Consequently, the QUAD chart strengthens both strategic alignment and operational understanding within the project environment.</w:t>
      </w:r>
    </w:p>
    <w:p w14:paraId="00ACB657" w14:textId="4D03DE2A" w:rsidR="00A45A76" w:rsidRPr="00D45ECC" w:rsidRDefault="008928D1"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The framework</w:t>
      </w:r>
      <w:r w:rsidRPr="00D45ECC">
        <w:rPr>
          <w:rFonts w:ascii="Calibri" w:hAnsi="Calibri" w:cs="Calibri"/>
        </w:rPr>
        <w:t xml:space="preserve"> ensures that key project priorities remain visible and aligned throughout the project lifecycle. It also supports rapid decision-making and enhances communication, particularly in high-pressure environments where clarity and direction are essential.</w:t>
      </w:r>
    </w:p>
    <w:p w14:paraId="568403E1" w14:textId="77777777" w:rsidR="00A45A7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6. Gantt Chart</w:t>
      </w:r>
    </w:p>
    <w:p w14:paraId="26435B51" w14:textId="2195B6E4"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color w:val="222222"/>
          <w:kern w:val="0"/>
          <w:lang w:eastAsia="en-GB"/>
          <w14:ligatures w14:val="none"/>
        </w:rPr>
        <w:t>The Gantt chart provides a structured timeline for project delivery.</w:t>
      </w:r>
    </w:p>
    <w:p w14:paraId="011300E1"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Project Timeline (14 weeks)</w:t>
      </w:r>
    </w:p>
    <w:p w14:paraId="51157208" w14:textId="77777777" w:rsidR="002F2696" w:rsidRPr="00D45ECC" w:rsidRDefault="002F2696" w:rsidP="005E3656">
      <w:pPr>
        <w:numPr>
          <w:ilvl w:val="0"/>
          <w:numId w:val="1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Weeks 1–2: Assessment</w:t>
      </w:r>
    </w:p>
    <w:p w14:paraId="3EC482E3" w14:textId="77777777" w:rsidR="002F2696" w:rsidRPr="00D45ECC" w:rsidRDefault="002F2696" w:rsidP="005E3656">
      <w:pPr>
        <w:numPr>
          <w:ilvl w:val="0"/>
          <w:numId w:val="1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Weeks 3–5: Clearance</w:t>
      </w:r>
    </w:p>
    <w:p w14:paraId="13DE0593" w14:textId="77777777" w:rsidR="002F2696" w:rsidRPr="00D45ECC" w:rsidRDefault="002F2696" w:rsidP="005E3656">
      <w:pPr>
        <w:numPr>
          <w:ilvl w:val="0"/>
          <w:numId w:val="1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Weeks 6–11: Repair</w:t>
      </w:r>
    </w:p>
    <w:p w14:paraId="47889A57" w14:textId="77777777" w:rsidR="002F2696" w:rsidRPr="00D45ECC" w:rsidRDefault="002F2696" w:rsidP="005E3656">
      <w:pPr>
        <w:numPr>
          <w:ilvl w:val="0"/>
          <w:numId w:val="1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Weeks 12–13: Testing</w:t>
      </w:r>
    </w:p>
    <w:p w14:paraId="3444526F" w14:textId="5BDA2B3B" w:rsidR="002F2696" w:rsidRPr="00D45ECC" w:rsidRDefault="002F2696" w:rsidP="005E3656">
      <w:pPr>
        <w:numPr>
          <w:ilvl w:val="0"/>
          <w:numId w:val="11"/>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Week 14: Reopening</w:t>
      </w:r>
    </w:p>
    <w:p w14:paraId="7AF8669A" w14:textId="4C02C2DE"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Dependencies ensure logical sequencing. For example, repairs cannot begin until assessment is complete. Roberts (2011) highlights that scheduling improves coordination and efficiency.</w:t>
      </w:r>
    </w:p>
    <w:p w14:paraId="26852140" w14:textId="77777777"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Milestones include:</w:t>
      </w:r>
    </w:p>
    <w:p w14:paraId="5C595F1A" w14:textId="77777777" w:rsidR="002F2696" w:rsidRPr="00D45ECC" w:rsidRDefault="002F2696" w:rsidP="005E3656">
      <w:pPr>
        <w:numPr>
          <w:ilvl w:val="0"/>
          <w:numId w:val="1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Completion of inspection</w:t>
      </w:r>
    </w:p>
    <w:p w14:paraId="6BA253E4" w14:textId="77777777" w:rsidR="002F2696" w:rsidRPr="00D45ECC" w:rsidRDefault="002F2696" w:rsidP="005E3656">
      <w:pPr>
        <w:numPr>
          <w:ilvl w:val="0"/>
          <w:numId w:val="1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Completion of repairs</w:t>
      </w:r>
    </w:p>
    <w:p w14:paraId="4D793DCD" w14:textId="77777777" w:rsidR="002F2696" w:rsidRPr="00D45ECC" w:rsidRDefault="002F2696" w:rsidP="005E3656">
      <w:pPr>
        <w:numPr>
          <w:ilvl w:val="0"/>
          <w:numId w:val="12"/>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Final safety approval</w:t>
      </w:r>
    </w:p>
    <w:p w14:paraId="495D0E8C" w14:textId="77777777"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Gantt chart supports monitoring and progress control (Heagney, 2016).</w:t>
      </w:r>
    </w:p>
    <w:p w14:paraId="58BDD67C" w14:textId="17817FBC"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Time management is addressed through</w:t>
      </w:r>
      <w:r w:rsidRPr="00D45ECC">
        <w:rPr>
          <w:rFonts w:ascii="Calibri" w:hAnsi="Calibri" w:cs="Calibri"/>
        </w:rPr>
        <w:t xml:space="preserve"> the Gantt chart supports effective time management by providing a clear overview of task durations and sequencing. This allows project managers to identify potential bottlenecks and adjust schedules accordingly. Regular updates to the chart ensure that progress remains aligned with planned timelines, supporting </w:t>
      </w:r>
      <w:r w:rsidR="00E7461D" w:rsidRPr="00D45ECC">
        <w:rPr>
          <w:rFonts w:ascii="Calibri" w:hAnsi="Calibri" w:cs="Calibri"/>
        </w:rPr>
        <w:t>initiative-taking</w:t>
      </w:r>
      <w:r w:rsidRPr="00D45ECC">
        <w:rPr>
          <w:rFonts w:ascii="Calibri" w:hAnsi="Calibri" w:cs="Calibri"/>
        </w:rPr>
        <w:t xml:space="preserve"> management.</w:t>
      </w:r>
    </w:p>
    <w:p w14:paraId="37B988F3" w14:textId="3438EBBE" w:rsidR="00A45A76" w:rsidRPr="00D45ECC" w:rsidRDefault="00A45A76"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The schedule reflects</w:t>
      </w:r>
      <w:r w:rsidRPr="00D45ECC">
        <w:rPr>
          <w:rFonts w:ascii="Calibri" w:hAnsi="Calibri" w:cs="Calibri"/>
        </w:rPr>
        <w:t xml:space="preserve"> the visual nature of the Gantt chart enhances communication among team members, ensuring that all participants are aware of deadlines and dependencies. This promotes accountability and improves coordination across different project phases. According to </w:t>
      </w:r>
      <w:r w:rsidR="006C10F6" w:rsidRPr="00D45ECC">
        <w:rPr>
          <w:rFonts w:ascii="Calibri" w:hAnsi="Calibri" w:cs="Calibri"/>
        </w:rPr>
        <w:t>(</w:t>
      </w:r>
      <w:r w:rsidRPr="00D45ECC">
        <w:rPr>
          <w:rFonts w:ascii="Calibri" w:hAnsi="Calibri" w:cs="Calibri"/>
        </w:rPr>
        <w:t>Lock</w:t>
      </w:r>
      <w:r w:rsidR="0054031E" w:rsidRPr="00D45ECC">
        <w:rPr>
          <w:rFonts w:ascii="Calibri" w:hAnsi="Calibri" w:cs="Calibri"/>
        </w:rPr>
        <w:t>,</w:t>
      </w:r>
      <w:r w:rsidRPr="00D45ECC">
        <w:rPr>
          <w:rFonts w:ascii="Calibri" w:hAnsi="Calibri" w:cs="Calibri"/>
        </w:rPr>
        <w:t xml:space="preserve"> 2020), scheduling tools are essential for maintaining control over complex projects. Furthermore, </w:t>
      </w:r>
      <w:r w:rsidR="006C10F6" w:rsidRPr="00D45ECC">
        <w:rPr>
          <w:rFonts w:ascii="Calibri" w:hAnsi="Calibri" w:cs="Calibri"/>
        </w:rPr>
        <w:t>(</w:t>
      </w:r>
      <w:r w:rsidRPr="00D45ECC">
        <w:rPr>
          <w:rFonts w:ascii="Calibri" w:hAnsi="Calibri" w:cs="Calibri"/>
        </w:rPr>
        <w:t xml:space="preserve">Meredith and Mantel </w:t>
      </w:r>
      <w:r w:rsidR="006C10F6" w:rsidRPr="00D45ECC">
        <w:rPr>
          <w:rFonts w:ascii="Calibri" w:hAnsi="Calibri" w:cs="Calibri"/>
        </w:rPr>
        <w:t>,</w:t>
      </w:r>
      <w:r w:rsidRPr="00D45ECC">
        <w:rPr>
          <w:rFonts w:ascii="Calibri" w:hAnsi="Calibri" w:cs="Calibri"/>
        </w:rPr>
        <w:t>2017) emphasise that structured timelines improve efficiency and reduce uncertainty. Consequently, the Gantt chart serves as a critical tool for ensuring timely and organised project delivery.</w:t>
      </w:r>
    </w:p>
    <w:p w14:paraId="51C7A2A4" w14:textId="26822172" w:rsidR="00473B2D" w:rsidRPr="00D45ECC" w:rsidRDefault="008928D1"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The scheduling approach</w:t>
      </w:r>
      <w:r w:rsidRPr="00D45ECC">
        <w:rPr>
          <w:rFonts w:ascii="Calibri" w:hAnsi="Calibri" w:cs="Calibri"/>
        </w:rPr>
        <w:t xml:space="preserve"> ensures that time constraints are effectively managed while maintaining flexibility to adjust where necessary. It </w:t>
      </w:r>
      <w:r w:rsidR="00E71A1C" w:rsidRPr="00D45ECC">
        <w:rPr>
          <w:rFonts w:ascii="Calibri" w:hAnsi="Calibri" w:cs="Calibri"/>
        </w:rPr>
        <w:t>strengthens</w:t>
      </w:r>
      <w:r w:rsidRPr="00D45ECC">
        <w:rPr>
          <w:rFonts w:ascii="Calibri" w:hAnsi="Calibri" w:cs="Calibri"/>
        </w:rPr>
        <w:t xml:space="preserve"> project control, supports timely completion, and improves overall delivery performance across all phases.</w:t>
      </w:r>
    </w:p>
    <w:p w14:paraId="0447077E" w14:textId="77777777" w:rsidR="00193362" w:rsidRPr="00D45ECC" w:rsidRDefault="00193362"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Stakeholder engagement is critical for project success (Freeman, 1984).</w:t>
      </w:r>
    </w:p>
    <w:p w14:paraId="33F7160F" w14:textId="77777777" w:rsidR="00193362" w:rsidRPr="00D45ECC" w:rsidRDefault="00193362"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p>
    <w:p w14:paraId="29161A83" w14:textId="762605DB" w:rsidR="00193362" w:rsidRPr="00D45ECC" w:rsidRDefault="00193362"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7 Key Stakeholders</w:t>
      </w:r>
    </w:p>
    <w:p w14:paraId="5003DDFE" w14:textId="77777777"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Local councils</w:t>
      </w:r>
    </w:p>
    <w:p w14:paraId="3F684146" w14:textId="77777777"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Environment Agency</w:t>
      </w:r>
    </w:p>
    <w:p w14:paraId="1D9CF8C4" w14:textId="77777777"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Contractors</w:t>
      </w:r>
    </w:p>
    <w:p w14:paraId="2A0044FB" w14:textId="77777777"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Emergency services</w:t>
      </w:r>
    </w:p>
    <w:p w14:paraId="6763197D" w14:textId="77777777"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Residents</w:t>
      </w:r>
    </w:p>
    <w:p w14:paraId="2491F82C" w14:textId="102F04E4" w:rsidR="00193362" w:rsidRPr="00D45ECC" w:rsidRDefault="00193362" w:rsidP="005E3656">
      <w:pPr>
        <w:numPr>
          <w:ilvl w:val="0"/>
          <w:numId w:val="13"/>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Technology providers</w:t>
      </w:r>
    </w:p>
    <w:p w14:paraId="53FFA0DC" w14:textId="46CBC05C" w:rsidR="0045796E" w:rsidRPr="00D45ECC" w:rsidRDefault="00193362"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 xml:space="preserve">Stakeholder analysis uses the power-interest grid (Johnson and Scholes, 2002), enabling targeted communication </w:t>
      </w:r>
      <w:r w:rsidR="009E3011" w:rsidRPr="00D45ECC">
        <w:rPr>
          <w:rFonts w:ascii="Calibri" w:eastAsia="Times New Roman" w:hAnsi="Calibri" w:cs="Calibri"/>
          <w:color w:val="222222"/>
          <w:kern w:val="0"/>
          <w:lang w:eastAsia="en-GB"/>
          <w14:ligatures w14:val="none"/>
        </w:rPr>
        <w:t>strategies</w:t>
      </w:r>
      <w:r w:rsidR="00676216" w:rsidRPr="00D45ECC">
        <w:rPr>
          <w:rFonts w:ascii="Calibri" w:hAnsi="Calibri" w:cs="Calibri"/>
        </w:rPr>
        <w:t xml:space="preserve"> (APM, </w:t>
      </w:r>
      <w:r w:rsidR="00122B88" w:rsidRPr="00D45ECC">
        <w:rPr>
          <w:rFonts w:ascii="Calibri" w:hAnsi="Calibri" w:cs="Calibri"/>
        </w:rPr>
        <w:t>2019</w:t>
      </w:r>
      <w:r w:rsidR="00122B88" w:rsidRPr="00D45ECC">
        <w:rPr>
          <w:rFonts w:ascii="Calibri" w:eastAsia="Times New Roman" w:hAnsi="Calibri" w:cs="Calibri"/>
          <w:color w:val="222222"/>
          <w:kern w:val="0"/>
          <w:lang w:eastAsia="en-GB"/>
          <w14:ligatures w14:val="none"/>
        </w:rPr>
        <w:t>)</w:t>
      </w:r>
      <w:r w:rsidR="00CD71AA" w:rsidRPr="00D45ECC">
        <w:rPr>
          <w:rFonts w:ascii="Calibri" w:eastAsia="Times New Roman" w:hAnsi="Calibri" w:cs="Calibri"/>
          <w:color w:val="222222"/>
          <w:kern w:val="0"/>
          <w:lang w:eastAsia="en-GB"/>
          <w14:ligatures w14:val="none"/>
        </w:rPr>
        <w:t xml:space="preserve">, which </w:t>
      </w:r>
      <w:r w:rsidRPr="00D45ECC">
        <w:rPr>
          <w:rFonts w:ascii="Calibri" w:eastAsia="Times New Roman" w:hAnsi="Calibri" w:cs="Calibri"/>
          <w:color w:val="222222"/>
          <w:kern w:val="0"/>
          <w:lang w:eastAsia="en-GB"/>
          <w14:ligatures w14:val="none"/>
        </w:rPr>
        <w:t xml:space="preserve">states that effective engagement improves decision-making and reduces conflict. Early involvement ensures alignment with environmental and safety </w:t>
      </w:r>
      <w:r w:rsidR="0045796E" w:rsidRPr="00D45ECC">
        <w:rPr>
          <w:rFonts w:ascii="Calibri" w:eastAsia="Times New Roman" w:hAnsi="Calibri" w:cs="Calibri"/>
          <w:color w:val="222222"/>
          <w:kern w:val="0"/>
          <w:lang w:eastAsia="en-GB"/>
          <w14:ligatures w14:val="none"/>
        </w:rPr>
        <w:t>standards. This</w:t>
      </w:r>
      <w:r w:rsidRPr="00D45ECC">
        <w:rPr>
          <w:rFonts w:ascii="Calibri" w:eastAsia="Times New Roman" w:hAnsi="Calibri" w:cs="Calibri"/>
          <w:color w:val="222222"/>
          <w:kern w:val="0"/>
          <w:lang w:eastAsia="en-GB"/>
          <w14:ligatures w14:val="none"/>
        </w:rPr>
        <w:t xml:space="preserve"> approach supports transparency and collaboration.</w:t>
      </w:r>
    </w:p>
    <w:p w14:paraId="10CB08B1" w14:textId="77777777" w:rsidR="0045796E" w:rsidRPr="00D45ECC" w:rsidRDefault="0045796E" w:rsidP="005E3656">
      <w:pPr>
        <w:pStyle w:val="NormalWeb"/>
        <w:spacing w:line="360" w:lineRule="auto"/>
        <w:rPr>
          <w:rFonts w:ascii="Calibri" w:hAnsi="Calibri" w:cs="Calibri"/>
        </w:rPr>
      </w:pPr>
      <w:r w:rsidRPr="00D45ECC">
        <w:rPr>
          <w:rFonts w:ascii="Calibri" w:hAnsi="Calibri" w:cs="Calibri"/>
        </w:rPr>
        <w:t>Stakeholder engagement is a critical component of project success, as it ensures alignment between project objectives and stakeholder expectations (Freeman, 1984). Key stakeholders include local councils, the Environment Agency, contractors, emergency services, residents, and technology providers. Each stakeholder group holds varying levels of power and interest, requiring tailored communication strategies.</w:t>
      </w:r>
    </w:p>
    <w:p w14:paraId="58192FF0" w14:textId="7BFF4D8B" w:rsidR="0045796E" w:rsidRPr="00D45ECC" w:rsidRDefault="0045796E" w:rsidP="005E3656">
      <w:pPr>
        <w:pStyle w:val="NormalWeb"/>
        <w:spacing w:line="360" w:lineRule="auto"/>
        <w:rPr>
          <w:rFonts w:ascii="Calibri" w:hAnsi="Calibri" w:cs="Calibri"/>
        </w:rPr>
      </w:pPr>
      <w:r w:rsidRPr="00D45ECC">
        <w:rPr>
          <w:rFonts w:ascii="Calibri" w:hAnsi="Calibri" w:cs="Calibri"/>
        </w:rPr>
        <w:t>The power-interest grid (Johnson and Scholes, 2002) supports stakeholder analysis by identifying appropriate engagement approaches. High-power stakeholders require close management, while lower-power groups require regular updates. However, conflicting stakeholder priorities may create challenges in achieving a common understanding. Consequently, clear communication and negotiation strategies are essential. This structured and collaborative approach ensures that stakeholder needs are addressed, supporting successful project delivery and long-term sustainability.</w:t>
      </w:r>
    </w:p>
    <w:p w14:paraId="5950E885" w14:textId="77777777" w:rsidR="0045796E" w:rsidRPr="00D45ECC" w:rsidRDefault="0045796E" w:rsidP="005E3656">
      <w:pPr>
        <w:pStyle w:val="NormalWeb"/>
        <w:spacing w:line="360" w:lineRule="auto"/>
        <w:rPr>
          <w:rFonts w:ascii="Calibri" w:hAnsi="Calibri" w:cs="Calibri"/>
        </w:rPr>
      </w:pPr>
    </w:p>
    <w:p w14:paraId="737A3A63" w14:textId="326BD4E2" w:rsidR="00AF0ECD" w:rsidRPr="00D45ECC" w:rsidRDefault="0045796E"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Continuous engagement</w:t>
      </w:r>
      <w:r w:rsidRPr="00D45ECC">
        <w:rPr>
          <w:rFonts w:ascii="Calibri" w:hAnsi="Calibri" w:cs="Calibri"/>
        </w:rPr>
        <w:t xml:space="preserve"> fosters stronger relationships and ensures that stakeholder expectations are consistently managed. It also contributes to smoother project delivery by reducing resistance, enhancing cooperation, and promoting shared responsibility across all parties involved.</w:t>
      </w:r>
    </w:p>
    <w:p w14:paraId="1C897231" w14:textId="4B6EC4A1"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8. Allocation of Resources</w:t>
      </w:r>
    </w:p>
    <w:p w14:paraId="5DEFEA1B" w14:textId="77777777"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Resource allocation ensures efficient project execution (Heagney, 2016).</w:t>
      </w:r>
    </w:p>
    <w:p w14:paraId="6A397389"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Human Resources</w:t>
      </w:r>
    </w:p>
    <w:p w14:paraId="39122E3B" w14:textId="77777777" w:rsidR="002F2696" w:rsidRPr="00D45ECC" w:rsidRDefault="002F2696" w:rsidP="005E3656">
      <w:pPr>
        <w:numPr>
          <w:ilvl w:val="0"/>
          <w:numId w:val="1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lastRenderedPageBreak/>
        <w:t>Project manager</w:t>
      </w:r>
    </w:p>
    <w:p w14:paraId="098450A6" w14:textId="77777777" w:rsidR="002F2696" w:rsidRPr="00D45ECC" w:rsidRDefault="002F2696" w:rsidP="005E3656">
      <w:pPr>
        <w:numPr>
          <w:ilvl w:val="0"/>
          <w:numId w:val="1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Engineers</w:t>
      </w:r>
    </w:p>
    <w:p w14:paraId="3416A129" w14:textId="77777777" w:rsidR="002F2696" w:rsidRPr="00D45ECC" w:rsidRDefault="002F2696" w:rsidP="005E3656">
      <w:pPr>
        <w:numPr>
          <w:ilvl w:val="0"/>
          <w:numId w:val="1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Drone operators</w:t>
      </w:r>
    </w:p>
    <w:p w14:paraId="791D52BB" w14:textId="398909C5" w:rsidR="002F2696" w:rsidRPr="00D45ECC" w:rsidRDefault="002F2696" w:rsidP="005E3656">
      <w:pPr>
        <w:numPr>
          <w:ilvl w:val="0"/>
          <w:numId w:val="14"/>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Safety officers</w:t>
      </w:r>
    </w:p>
    <w:p w14:paraId="74FBB768"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Physical Resources</w:t>
      </w:r>
    </w:p>
    <w:p w14:paraId="77B80B23" w14:textId="77777777" w:rsidR="002F2696" w:rsidRPr="00D45ECC" w:rsidRDefault="002F2696" w:rsidP="005E3656">
      <w:pPr>
        <w:numPr>
          <w:ilvl w:val="0"/>
          <w:numId w:val="1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Resix robots</w:t>
      </w:r>
    </w:p>
    <w:p w14:paraId="6A902F61" w14:textId="77777777" w:rsidR="002F2696" w:rsidRPr="00D45ECC" w:rsidRDefault="002F2696" w:rsidP="005E3656">
      <w:pPr>
        <w:numPr>
          <w:ilvl w:val="0"/>
          <w:numId w:val="1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Drones</w:t>
      </w:r>
    </w:p>
    <w:p w14:paraId="36C74A78" w14:textId="50893E6C" w:rsidR="002F2696" w:rsidRPr="00D45ECC" w:rsidRDefault="002F2696" w:rsidP="005E3656">
      <w:pPr>
        <w:numPr>
          <w:ilvl w:val="0"/>
          <w:numId w:val="15"/>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Construction equipment</w:t>
      </w:r>
    </w:p>
    <w:p w14:paraId="1680ABBF"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Financial Resources</w:t>
      </w:r>
    </w:p>
    <w:p w14:paraId="6149832B" w14:textId="77777777" w:rsidR="002F2696" w:rsidRPr="00D45ECC" w:rsidRDefault="002F2696" w:rsidP="005E3656">
      <w:pPr>
        <w:numPr>
          <w:ilvl w:val="0"/>
          <w:numId w:val="1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Budget allocation</w:t>
      </w:r>
    </w:p>
    <w:p w14:paraId="37FBA923" w14:textId="10091A7C" w:rsidR="002F2696" w:rsidRPr="00D45ECC" w:rsidRDefault="002F2696" w:rsidP="005E3656">
      <w:pPr>
        <w:numPr>
          <w:ilvl w:val="0"/>
          <w:numId w:val="16"/>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Contingency funds</w:t>
      </w:r>
    </w:p>
    <w:p w14:paraId="4C947BC1"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Time Resources</w:t>
      </w:r>
    </w:p>
    <w:p w14:paraId="775C855C" w14:textId="77777777" w:rsidR="002F2696" w:rsidRPr="00D45ECC" w:rsidRDefault="002F2696" w:rsidP="005E3656">
      <w:pPr>
        <w:numPr>
          <w:ilvl w:val="0"/>
          <w:numId w:val="1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14-week schedule</w:t>
      </w:r>
    </w:p>
    <w:p w14:paraId="1D385828" w14:textId="66D9E715" w:rsidR="001D0CC6" w:rsidRPr="00D45ECC" w:rsidRDefault="002F2696" w:rsidP="005E3656">
      <w:pPr>
        <w:numPr>
          <w:ilvl w:val="0"/>
          <w:numId w:val="1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Milestone tracking</w:t>
      </w:r>
      <w:r w:rsidR="001D0CC6" w:rsidRPr="00D45ECC">
        <w:rPr>
          <w:rFonts w:ascii="Calibri" w:eastAsia="Times New Roman" w:hAnsi="Calibri" w:cs="Calibri"/>
          <w:color w:val="222222"/>
          <w:kern w:val="0"/>
          <w:lang w:eastAsia="en-GB"/>
          <w14:ligatures w14:val="none"/>
        </w:rPr>
        <w:t xml:space="preserve"> </w:t>
      </w:r>
      <w:r w:rsidR="0034208E" w:rsidRPr="00D45ECC">
        <w:rPr>
          <w:rFonts w:ascii="Calibri" w:eastAsia="Times New Roman" w:hAnsi="Calibri" w:cs="Calibri"/>
          <w:color w:val="222222"/>
          <w:kern w:val="0"/>
          <w:lang w:eastAsia="en-GB"/>
          <w14:ligatures w14:val="none"/>
        </w:rPr>
        <w:t>(</w:t>
      </w:r>
      <w:r w:rsidRPr="00D45ECC">
        <w:rPr>
          <w:rFonts w:ascii="Calibri" w:eastAsia="Times New Roman" w:hAnsi="Calibri" w:cs="Calibri"/>
          <w:color w:val="222222"/>
          <w:kern w:val="0"/>
          <w:lang w:eastAsia="en-GB"/>
          <w14:ligatures w14:val="none"/>
        </w:rPr>
        <w:t>Maylor</w:t>
      </w:r>
      <w:r w:rsidR="0034208E" w:rsidRPr="00D45ECC">
        <w:rPr>
          <w:rFonts w:ascii="Calibri" w:eastAsia="Times New Roman" w:hAnsi="Calibri" w:cs="Calibri"/>
          <w:color w:val="222222"/>
          <w:kern w:val="0"/>
          <w:lang w:eastAsia="en-GB"/>
          <w14:ligatures w14:val="none"/>
        </w:rPr>
        <w:t>,2010)</w:t>
      </w:r>
      <w:r w:rsidRPr="00D45ECC">
        <w:rPr>
          <w:rFonts w:ascii="Calibri" w:eastAsia="Times New Roman" w:hAnsi="Calibri" w:cs="Calibri"/>
          <w:color w:val="222222"/>
          <w:kern w:val="0"/>
          <w:lang w:eastAsia="en-GB"/>
          <w14:ligatures w14:val="none"/>
        </w:rPr>
        <w:t xml:space="preserve"> emphasises balancing resources with constraints. </w:t>
      </w:r>
    </w:p>
    <w:p w14:paraId="2A67AA74" w14:textId="382C9A36" w:rsidR="009E3011" w:rsidRPr="00D45ECC" w:rsidRDefault="0034208E" w:rsidP="005E3656">
      <w:pPr>
        <w:numPr>
          <w:ilvl w:val="0"/>
          <w:numId w:val="1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t>
      </w:r>
      <w:r w:rsidR="002F2696" w:rsidRPr="00D45ECC">
        <w:rPr>
          <w:rFonts w:ascii="Calibri" w:eastAsia="Times New Roman" w:hAnsi="Calibri" w:cs="Calibri"/>
          <w:color w:val="222222"/>
          <w:kern w:val="0"/>
          <w:lang w:eastAsia="en-GB"/>
          <w14:ligatures w14:val="none"/>
        </w:rPr>
        <w:t xml:space="preserve">APM </w:t>
      </w:r>
      <w:r w:rsidRPr="00D45ECC">
        <w:rPr>
          <w:rFonts w:ascii="Calibri" w:eastAsia="Times New Roman" w:hAnsi="Calibri" w:cs="Calibri"/>
          <w:color w:val="222222"/>
          <w:kern w:val="0"/>
          <w:lang w:eastAsia="en-GB"/>
          <w14:ligatures w14:val="none"/>
        </w:rPr>
        <w:t>,</w:t>
      </w:r>
      <w:r w:rsidR="002F2696" w:rsidRPr="00D45ECC">
        <w:rPr>
          <w:rFonts w:ascii="Calibri" w:eastAsia="Times New Roman" w:hAnsi="Calibri" w:cs="Calibri"/>
          <w:color w:val="222222"/>
          <w:kern w:val="0"/>
          <w:lang w:eastAsia="en-GB"/>
          <w14:ligatures w14:val="none"/>
        </w:rPr>
        <w:t>2019</w:t>
      </w:r>
      <w:r w:rsidRPr="00D45ECC">
        <w:rPr>
          <w:rFonts w:ascii="Calibri" w:eastAsia="Times New Roman" w:hAnsi="Calibri" w:cs="Calibri"/>
          <w:color w:val="222222"/>
          <w:kern w:val="0"/>
          <w:lang w:eastAsia="en-GB"/>
          <w14:ligatures w14:val="none"/>
        </w:rPr>
        <w:t>)</w:t>
      </w:r>
      <w:r w:rsidR="002F2696" w:rsidRPr="00D45ECC">
        <w:rPr>
          <w:rFonts w:ascii="Calibri" w:eastAsia="Times New Roman" w:hAnsi="Calibri" w:cs="Calibri"/>
          <w:color w:val="222222"/>
          <w:kern w:val="0"/>
          <w:lang w:eastAsia="en-GB"/>
          <w14:ligatures w14:val="none"/>
        </w:rPr>
        <w:t xml:space="preserve"> highlights governance in resource management</w:t>
      </w:r>
    </w:p>
    <w:p w14:paraId="2876F79C" w14:textId="4F69D6F1" w:rsidR="002F2696" w:rsidRPr="00D45ECC" w:rsidRDefault="002F2696" w:rsidP="005E3656">
      <w:pPr>
        <w:numPr>
          <w:ilvl w:val="0"/>
          <w:numId w:val="17"/>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Effective allocation ensures productivity and cost control.</w:t>
      </w:r>
    </w:p>
    <w:p w14:paraId="7C14FF2E" w14:textId="71CA0E03" w:rsidR="00550677" w:rsidRPr="00D45ECC" w:rsidRDefault="00550677"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Resource efficiency is achieved through</w:t>
      </w:r>
      <w:r w:rsidRPr="00D45ECC">
        <w:rPr>
          <w:rFonts w:ascii="Calibri" w:hAnsi="Calibri" w:cs="Calibri"/>
        </w:rPr>
        <w:t xml:space="preserve"> effective resource allocation requires continuous monitoring to ensure that resources are </w:t>
      </w:r>
      <w:r w:rsidR="00E7461D" w:rsidRPr="00D45ECC">
        <w:rPr>
          <w:rFonts w:ascii="Calibri" w:hAnsi="Calibri" w:cs="Calibri"/>
        </w:rPr>
        <w:t>used</w:t>
      </w:r>
      <w:r w:rsidRPr="00D45ECC">
        <w:rPr>
          <w:rFonts w:ascii="Calibri" w:hAnsi="Calibri" w:cs="Calibri"/>
        </w:rPr>
        <w:t xml:space="preserve"> efficiently throughout the project lifecycle. This includes tracking performance, adjusting allocations where necessary, and ensuring that all resources contribute to achieving project objectives.</w:t>
      </w:r>
    </w:p>
    <w:p w14:paraId="4C8E78DA" w14:textId="60ACCE38" w:rsidR="00550677" w:rsidRPr="00D45ECC" w:rsidRDefault="00550677"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This is supported by careful allocation of</w:t>
      </w:r>
      <w:r w:rsidRPr="00D45ECC">
        <w:rPr>
          <w:rFonts w:ascii="Calibri" w:hAnsi="Calibri" w:cs="Calibri"/>
        </w:rPr>
        <w:t xml:space="preserve"> workforce training plays a critical role in maximising the effectiveness of both human and technological resources. Ensuring that team members are skilled in operating advanced systems such as robotics and drones enhances overall productivity and safety. According to </w:t>
      </w:r>
      <w:r w:rsidR="006F2714" w:rsidRPr="00D45ECC">
        <w:rPr>
          <w:rFonts w:ascii="Calibri" w:hAnsi="Calibri" w:cs="Calibri"/>
        </w:rPr>
        <w:t>(</w:t>
      </w:r>
      <w:r w:rsidRPr="00D45ECC">
        <w:rPr>
          <w:rFonts w:ascii="Calibri" w:hAnsi="Calibri" w:cs="Calibri"/>
        </w:rPr>
        <w:t>Meredith and Mantel</w:t>
      </w:r>
      <w:r w:rsidR="006F2714" w:rsidRPr="00D45ECC">
        <w:rPr>
          <w:rFonts w:ascii="Calibri" w:hAnsi="Calibri" w:cs="Calibri"/>
        </w:rPr>
        <w:t>,</w:t>
      </w:r>
      <w:r w:rsidRPr="00D45ECC">
        <w:rPr>
          <w:rFonts w:ascii="Calibri" w:hAnsi="Calibri" w:cs="Calibri"/>
        </w:rPr>
        <w:t>2017</w:t>
      </w:r>
      <w:r w:rsidR="006F2714" w:rsidRPr="00D45ECC">
        <w:rPr>
          <w:rFonts w:ascii="Calibri" w:hAnsi="Calibri" w:cs="Calibri"/>
        </w:rPr>
        <w:t>)</w:t>
      </w:r>
      <w:r w:rsidRPr="00D45ECC">
        <w:rPr>
          <w:rFonts w:ascii="Calibri" w:hAnsi="Calibri" w:cs="Calibri"/>
        </w:rPr>
        <w:t xml:space="preserve">, efficient resource management improves project performance and reduces waste. Furthermore, </w:t>
      </w:r>
      <w:r w:rsidR="00CD71AA" w:rsidRPr="00D45ECC">
        <w:rPr>
          <w:rFonts w:ascii="Calibri" w:hAnsi="Calibri" w:cs="Calibri"/>
        </w:rPr>
        <w:t>(</w:t>
      </w:r>
      <w:r w:rsidRPr="00D45ECC">
        <w:rPr>
          <w:rFonts w:ascii="Calibri" w:hAnsi="Calibri" w:cs="Calibri"/>
        </w:rPr>
        <w:t>Turner</w:t>
      </w:r>
      <w:r w:rsidR="00CD71AA" w:rsidRPr="00D45ECC">
        <w:rPr>
          <w:rFonts w:ascii="Calibri" w:hAnsi="Calibri" w:cs="Calibri"/>
        </w:rPr>
        <w:t>,</w:t>
      </w:r>
      <w:r w:rsidRPr="00D45ECC">
        <w:rPr>
          <w:rFonts w:ascii="Calibri" w:hAnsi="Calibri" w:cs="Calibri"/>
        </w:rPr>
        <w:t>2014</w:t>
      </w:r>
      <w:r w:rsidR="006F2714" w:rsidRPr="00D45ECC">
        <w:rPr>
          <w:rFonts w:ascii="Calibri" w:hAnsi="Calibri" w:cs="Calibri"/>
        </w:rPr>
        <w:t>)</w:t>
      </w:r>
      <w:r w:rsidRPr="00D45ECC">
        <w:rPr>
          <w:rFonts w:ascii="Calibri" w:hAnsi="Calibri" w:cs="Calibri"/>
        </w:rPr>
        <w:t xml:space="preserve"> suggests that aligning resources with strategic objectives </w:t>
      </w:r>
      <w:r w:rsidRPr="00D45ECC">
        <w:rPr>
          <w:rFonts w:ascii="Calibri" w:hAnsi="Calibri" w:cs="Calibri"/>
        </w:rPr>
        <w:lastRenderedPageBreak/>
        <w:t>strengthens delivery outcomes. Consequently, a balanced and adaptive approach to resource allocation ensures that the project remains efficient, controlled, and capable of meeting its goals.</w:t>
      </w:r>
    </w:p>
    <w:p w14:paraId="7705ED44" w14:textId="5362E55B" w:rsidR="002F2696" w:rsidRPr="00D45ECC" w:rsidRDefault="002F2696" w:rsidP="005E3656">
      <w:pPr>
        <w:spacing w:after="0" w:line="360" w:lineRule="auto"/>
        <w:rPr>
          <w:rFonts w:ascii="Calibri" w:eastAsia="Times New Roman" w:hAnsi="Calibri" w:cs="Calibri"/>
          <w:kern w:val="0"/>
          <w:lang w:eastAsia="en-GB"/>
          <w14:ligatures w14:val="none"/>
        </w:rPr>
      </w:pPr>
    </w:p>
    <w:p w14:paraId="0AC32BEB" w14:textId="62B4357C" w:rsidR="00550677" w:rsidRPr="00D45ECC" w:rsidRDefault="00E71A1C" w:rsidP="005E3656">
      <w:pPr>
        <w:spacing w:after="0" w:line="360" w:lineRule="auto"/>
        <w:rPr>
          <w:rFonts w:ascii="Calibri" w:eastAsia="Times New Roman" w:hAnsi="Calibri" w:cs="Calibri"/>
          <w:kern w:val="0"/>
          <w:lang w:eastAsia="en-GB"/>
          <w14:ligatures w14:val="none"/>
        </w:rPr>
      </w:pPr>
      <w:r w:rsidRPr="00D45ECC">
        <w:rPr>
          <w:rStyle w:val="Strong"/>
          <w:rFonts w:ascii="Calibri" w:hAnsi="Calibri" w:cs="Calibri"/>
          <w:b w:val="0"/>
          <w:bCs w:val="0"/>
        </w:rPr>
        <w:t>The allocation strategy</w:t>
      </w:r>
      <w:r w:rsidRPr="00D45ECC">
        <w:rPr>
          <w:rFonts w:ascii="Calibri" w:hAnsi="Calibri" w:cs="Calibri"/>
        </w:rPr>
        <w:t xml:space="preserve"> ensures that resources are not only efficiently utilised but also compatible with project priorities. It strengthens operational performance and supports the delivery of high-quality outcomes within the defined time and cost constraints.</w:t>
      </w:r>
    </w:p>
    <w:p w14:paraId="45A43224" w14:textId="77777777" w:rsidR="00550677" w:rsidRPr="00D45ECC" w:rsidRDefault="00550677" w:rsidP="005E3656">
      <w:pPr>
        <w:spacing w:after="0" w:line="360" w:lineRule="auto"/>
        <w:rPr>
          <w:rFonts w:ascii="Calibri" w:eastAsia="Times New Roman" w:hAnsi="Calibri" w:cs="Calibri"/>
          <w:kern w:val="0"/>
          <w:lang w:eastAsia="en-GB"/>
          <w14:ligatures w14:val="none"/>
        </w:rPr>
      </w:pPr>
    </w:p>
    <w:p w14:paraId="5DBDFE71" w14:textId="77777777" w:rsidR="00FC0DA7" w:rsidRPr="00D45ECC" w:rsidRDefault="00FC0DA7"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p>
    <w:p w14:paraId="396C427D" w14:textId="70FAB9FC"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9. Risk Analysis</w:t>
      </w:r>
    </w:p>
    <w:p w14:paraId="6547E8DA" w14:textId="77777777"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Risk management is essential in infrastructure projects (Hillson, 2009).</w:t>
      </w:r>
    </w:p>
    <w:p w14:paraId="7445B392" w14:textId="77777777"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Key Risks</w:t>
      </w:r>
    </w:p>
    <w:p w14:paraId="3106E10D" w14:textId="77777777" w:rsidR="002F2696" w:rsidRPr="00D45ECC" w:rsidRDefault="002F2696" w:rsidP="005E3656">
      <w:pPr>
        <w:numPr>
          <w:ilvl w:val="0"/>
          <w:numId w:val="1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Weather delays</w:t>
      </w:r>
    </w:p>
    <w:p w14:paraId="6FF470AF" w14:textId="77777777" w:rsidR="002F2696" w:rsidRPr="00D45ECC" w:rsidRDefault="002F2696" w:rsidP="005E3656">
      <w:pPr>
        <w:numPr>
          <w:ilvl w:val="0"/>
          <w:numId w:val="1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Equipment failure</w:t>
      </w:r>
    </w:p>
    <w:p w14:paraId="0F93D5EC" w14:textId="77777777" w:rsidR="002F2696" w:rsidRPr="00D45ECC" w:rsidRDefault="002F2696" w:rsidP="005E3656">
      <w:pPr>
        <w:numPr>
          <w:ilvl w:val="0"/>
          <w:numId w:val="1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Safety hazards</w:t>
      </w:r>
    </w:p>
    <w:p w14:paraId="659CFB8C" w14:textId="2ACC8CC8" w:rsidR="000850D0" w:rsidRPr="00D45ECC" w:rsidRDefault="002F2696" w:rsidP="005E3656">
      <w:pPr>
        <w:numPr>
          <w:ilvl w:val="0"/>
          <w:numId w:val="18"/>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Cost overruns</w:t>
      </w:r>
    </w:p>
    <w:p w14:paraId="28471289" w14:textId="2F6F8DBB" w:rsidR="002F2696" w:rsidRPr="00D45ECC" w:rsidRDefault="002F2696" w:rsidP="005E3656">
      <w:pPr>
        <w:shd w:val="clear" w:color="auto" w:fill="FFFFFF"/>
        <w:spacing w:before="100" w:beforeAutospacing="1" w:after="100" w:afterAutospacing="1" w:line="360" w:lineRule="auto"/>
        <w:outlineLvl w:val="2"/>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Mitigation Strategies</w:t>
      </w:r>
    </w:p>
    <w:p w14:paraId="499EEADC" w14:textId="77777777" w:rsidR="002F2696" w:rsidRPr="00D45ECC" w:rsidRDefault="002F2696" w:rsidP="005E3656">
      <w:pPr>
        <w:numPr>
          <w:ilvl w:val="0"/>
          <w:numId w:val="19"/>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Contingency planning</w:t>
      </w:r>
    </w:p>
    <w:p w14:paraId="70A4D2A2" w14:textId="77777777" w:rsidR="002F2696" w:rsidRPr="00D45ECC" w:rsidRDefault="002F2696" w:rsidP="005E3656">
      <w:pPr>
        <w:numPr>
          <w:ilvl w:val="0"/>
          <w:numId w:val="19"/>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Backup equipment</w:t>
      </w:r>
    </w:p>
    <w:p w14:paraId="7E319373" w14:textId="77777777" w:rsidR="002F2696" w:rsidRPr="00D45ECC" w:rsidRDefault="002F2696" w:rsidP="005E3656">
      <w:pPr>
        <w:numPr>
          <w:ilvl w:val="0"/>
          <w:numId w:val="19"/>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Safety protocols</w:t>
      </w:r>
    </w:p>
    <w:p w14:paraId="4EF293B2" w14:textId="77777777" w:rsidR="002F2696" w:rsidRPr="00D45ECC" w:rsidRDefault="002F2696" w:rsidP="005E3656">
      <w:pPr>
        <w:numPr>
          <w:ilvl w:val="0"/>
          <w:numId w:val="19"/>
        </w:numPr>
        <w:shd w:val="clear" w:color="auto" w:fill="FFFFFF"/>
        <w:spacing w:before="100" w:beforeAutospacing="1" w:after="100" w:afterAutospacing="1" w:line="360" w:lineRule="auto"/>
        <w:ind w:left="945"/>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Budget monitoring</w:t>
      </w:r>
    </w:p>
    <w:p w14:paraId="53FF0B8B" w14:textId="2A4CD952"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Iron Triangle highlights the impact of risk on time, cost, and quality (Atkinson, 1999</w:t>
      </w:r>
      <w:r w:rsidR="004302E8" w:rsidRPr="00D45ECC">
        <w:rPr>
          <w:rFonts w:ascii="Calibri" w:eastAsia="Times New Roman" w:hAnsi="Calibri" w:cs="Calibri"/>
          <w:color w:val="222222"/>
          <w:kern w:val="0"/>
          <w:lang w:eastAsia="en-GB"/>
          <w14:ligatures w14:val="none"/>
        </w:rPr>
        <w:t>). APM</w:t>
      </w:r>
      <w:r w:rsidRPr="00D45ECC">
        <w:rPr>
          <w:rFonts w:ascii="Calibri" w:eastAsia="Times New Roman" w:hAnsi="Calibri" w:cs="Calibri"/>
          <w:color w:val="222222"/>
          <w:kern w:val="0"/>
          <w:lang w:eastAsia="en-GB"/>
          <w14:ligatures w14:val="none"/>
        </w:rPr>
        <w:t xml:space="preserve"> (2019) emphasises continuous risk monitoring</w:t>
      </w:r>
      <w:r w:rsidR="00E7461D"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management improves project resilience.</w:t>
      </w:r>
    </w:p>
    <w:p w14:paraId="140FF13A" w14:textId="5C928E33" w:rsidR="00550677" w:rsidRPr="00D45ECC" w:rsidRDefault="00EE5E10"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lastRenderedPageBreak/>
        <w:t xml:space="preserve">The </w:t>
      </w:r>
      <w:r w:rsidR="00550677" w:rsidRPr="00D45ECC">
        <w:rPr>
          <w:rStyle w:val="Strong"/>
          <w:rFonts w:ascii="Calibri" w:eastAsiaTheme="majorEastAsia" w:hAnsi="Calibri" w:cs="Calibri"/>
          <w:b w:val="0"/>
          <w:bCs w:val="0"/>
        </w:rPr>
        <w:t>Risk is addressed through</w:t>
      </w:r>
      <w:r w:rsidR="00550677" w:rsidRPr="00D45ECC">
        <w:rPr>
          <w:rFonts w:ascii="Calibri" w:hAnsi="Calibri" w:cs="Calibri"/>
        </w:rPr>
        <w:t xml:space="preserve"> risk management should incorporate both qualitative and quantitative assessment methods to provide a comprehensive understanding of potential threats. Qualitative analysis evaluates the nature and impact of risks, while quantitative methods estimate their likelihood and potential consequences. This combined approach supports more accurate decision-making.</w:t>
      </w:r>
    </w:p>
    <w:p w14:paraId="42A60973" w14:textId="000F9ABC" w:rsidR="00550677" w:rsidRPr="00D45ECC" w:rsidRDefault="00550677"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A systematic approach identifies</w:t>
      </w:r>
      <w:r w:rsidRPr="00D45ECC">
        <w:rPr>
          <w:rFonts w:ascii="Calibri" w:hAnsi="Calibri" w:cs="Calibri"/>
        </w:rPr>
        <w:t xml:space="preserve"> continuous risk monitoring is essential to identify emerging issues and respond effectively. This includes regular reviews, updates to risk registers, and implementation of corrective actions where necessary. According to Kerzner (2017), risk </w:t>
      </w:r>
      <w:r w:rsidR="00E7461D" w:rsidRPr="00D45ECC">
        <w:rPr>
          <w:rFonts w:ascii="Calibri" w:hAnsi="Calibri" w:cs="Calibri"/>
        </w:rPr>
        <w:t>management</w:t>
      </w:r>
      <w:r w:rsidRPr="00D45ECC">
        <w:rPr>
          <w:rFonts w:ascii="Calibri" w:hAnsi="Calibri" w:cs="Calibri"/>
        </w:rPr>
        <w:t xml:space="preserve"> enhances project resilience and stability. Similarly, Hillson (2009) emphasises that structured risk processes improve overall project performance. Consequently, adopting a dynamic and systematic approach to risk management ensures that uncertainties </w:t>
      </w:r>
      <w:r w:rsidR="00EE5E10" w:rsidRPr="00D45ECC">
        <w:rPr>
          <w:rFonts w:ascii="Calibri" w:hAnsi="Calibri" w:cs="Calibri"/>
        </w:rPr>
        <w:t xml:space="preserve">are observed </w:t>
      </w:r>
      <w:r w:rsidRPr="00D45ECC">
        <w:rPr>
          <w:rFonts w:ascii="Calibri" w:hAnsi="Calibri" w:cs="Calibri"/>
        </w:rPr>
        <w:t xml:space="preserve">throughout the project </w:t>
      </w:r>
      <w:r w:rsidR="00E71A1C" w:rsidRPr="00D45ECC">
        <w:rPr>
          <w:rFonts w:ascii="Calibri" w:hAnsi="Calibri" w:cs="Calibri"/>
        </w:rPr>
        <w:t>lifecycle.</w:t>
      </w:r>
    </w:p>
    <w:p w14:paraId="261C86E4" w14:textId="39669EE9" w:rsidR="000850D0" w:rsidRPr="00D45ECC" w:rsidRDefault="00E71A1C"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A progressive approach</w:t>
      </w:r>
      <w:r w:rsidRPr="00D45ECC">
        <w:rPr>
          <w:rFonts w:ascii="Calibri" w:hAnsi="Calibri" w:cs="Calibri"/>
          <w:b/>
          <w:bCs/>
        </w:rPr>
        <w:t xml:space="preserve"> </w:t>
      </w:r>
      <w:r w:rsidRPr="00D45ECC">
        <w:rPr>
          <w:rFonts w:ascii="Calibri" w:hAnsi="Calibri" w:cs="Calibri"/>
        </w:rPr>
        <w:t xml:space="preserve">enables the project team to respond effectively to uncertainties and minimise disruption. It strengthens overall project stability and ensures that risks are </w:t>
      </w:r>
      <w:r w:rsidR="00EE5E10" w:rsidRPr="00D45ECC">
        <w:rPr>
          <w:rFonts w:ascii="Calibri" w:hAnsi="Calibri" w:cs="Calibri"/>
        </w:rPr>
        <w:t>overseen</w:t>
      </w:r>
      <w:r w:rsidRPr="00D45ECC">
        <w:rPr>
          <w:rFonts w:ascii="Calibri" w:hAnsi="Calibri" w:cs="Calibri"/>
        </w:rPr>
        <w:t xml:space="preserve"> throughout the entire project.</w:t>
      </w:r>
    </w:p>
    <w:p w14:paraId="0F39F4FD" w14:textId="2EE86FFA" w:rsidR="002F2696" w:rsidRPr="00D45ECC" w:rsidRDefault="002F2696" w:rsidP="005E3656">
      <w:pPr>
        <w:shd w:val="clear" w:color="auto" w:fill="FFFFFF"/>
        <w:spacing w:before="100" w:beforeAutospacing="1" w:after="100" w:afterAutospacing="1" w:line="360" w:lineRule="auto"/>
        <w:outlineLvl w:val="1"/>
        <w:rPr>
          <w:rFonts w:ascii="Calibri" w:eastAsia="Times New Roman" w:hAnsi="Calibri" w:cs="Calibri"/>
          <w:b/>
          <w:bCs/>
          <w:color w:val="222222"/>
          <w:kern w:val="0"/>
          <w:lang w:eastAsia="en-GB"/>
          <w14:ligatures w14:val="none"/>
        </w:rPr>
      </w:pPr>
      <w:r w:rsidRPr="00D45ECC">
        <w:rPr>
          <w:rFonts w:ascii="Calibri" w:eastAsia="Times New Roman" w:hAnsi="Calibri" w:cs="Calibri"/>
          <w:b/>
          <w:bCs/>
          <w:color w:val="222222"/>
          <w:kern w:val="0"/>
          <w:lang w:eastAsia="en-GB"/>
          <w14:ligatures w14:val="none"/>
        </w:rPr>
        <w:t>10. Conclusion</w:t>
      </w:r>
    </w:p>
    <w:p w14:paraId="2E6DE46A" w14:textId="1B199DD6" w:rsidR="002F269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This project management plan has presented a structured approach to reopening a flood-damaged highway using Resix robotics. The integration of project management tools, including WBS, Gantt chart, and risk analysis, supports effective delivery.</w:t>
      </w:r>
      <w:r w:rsidR="001D0CC6" w:rsidRPr="00D45ECC">
        <w:rPr>
          <w:rFonts w:ascii="Calibri" w:eastAsia="Times New Roman" w:hAnsi="Calibri" w:cs="Calibri"/>
          <w:color w:val="222222"/>
          <w:kern w:val="0"/>
          <w:lang w:eastAsia="en-GB"/>
          <w14:ligatures w14:val="none"/>
        </w:rPr>
        <w:t xml:space="preserve"> </w:t>
      </w:r>
      <w:r w:rsidRPr="00D45ECC">
        <w:rPr>
          <w:rFonts w:ascii="Calibri" w:eastAsia="Times New Roman" w:hAnsi="Calibri" w:cs="Calibri"/>
          <w:color w:val="222222"/>
          <w:kern w:val="0"/>
          <w:lang w:eastAsia="en-GB"/>
          <w14:ligatures w14:val="none"/>
        </w:rPr>
        <w:t>Maylor (2010) highlights the importance of structured planning, while Roberts (2011) emphasises coordination and communication. Stakeholder engagement and resource allocation ensure that the project meets its objectives.</w:t>
      </w:r>
    </w:p>
    <w:p w14:paraId="20A2A827" w14:textId="77777777" w:rsidR="001D0CC6" w:rsidRPr="00D45ECC" w:rsidRDefault="002F2696"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Fonts w:ascii="Calibri" w:eastAsia="Times New Roman" w:hAnsi="Calibri" w:cs="Calibri"/>
          <w:color w:val="222222"/>
          <w:kern w:val="0"/>
          <w:lang w:eastAsia="en-GB"/>
          <w14:ligatures w14:val="none"/>
        </w:rPr>
        <w:t>The plan aligns with SMART objectives and the Iron Triangle, providing a realistic and achievable framework. It demonstrates how modern technology can enhance infrastructure recovery.</w:t>
      </w:r>
    </w:p>
    <w:p w14:paraId="7DF79F18" w14:textId="77777777" w:rsidR="00550677" w:rsidRPr="00D45ECC" w:rsidRDefault="00550677"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Overall, the analysis demonstrates</w:t>
      </w:r>
      <w:r w:rsidRPr="00D45ECC">
        <w:rPr>
          <w:rFonts w:ascii="Calibri" w:hAnsi="Calibri" w:cs="Calibri"/>
        </w:rPr>
        <w:t xml:space="preserve"> the successful delivery of this project highlights the importance of integrating innovation with established project management practices. The combination of robotics, drone technology, and human expertise demonstrates a forward-</w:t>
      </w:r>
      <w:r w:rsidRPr="00D45ECC">
        <w:rPr>
          <w:rFonts w:ascii="Calibri" w:hAnsi="Calibri" w:cs="Calibri"/>
        </w:rPr>
        <w:lastRenderedPageBreak/>
        <w:t>thinking approach to infrastructure recovery. This not only improves efficiency but also enhances safety and long-term resilience.</w:t>
      </w:r>
    </w:p>
    <w:p w14:paraId="1F9F6870" w14:textId="49031A39" w:rsidR="00550677" w:rsidRPr="00D45ECC" w:rsidRDefault="00550677" w:rsidP="005E3656">
      <w:pPr>
        <w:pStyle w:val="NormalWeb"/>
        <w:spacing w:line="360" w:lineRule="auto"/>
        <w:rPr>
          <w:rFonts w:ascii="Calibri" w:hAnsi="Calibri" w:cs="Calibri"/>
        </w:rPr>
      </w:pPr>
      <w:r w:rsidRPr="00D45ECC">
        <w:rPr>
          <w:rStyle w:val="Strong"/>
          <w:rFonts w:ascii="Calibri" w:eastAsiaTheme="majorEastAsia" w:hAnsi="Calibri" w:cs="Calibri"/>
          <w:b w:val="0"/>
          <w:bCs w:val="0"/>
        </w:rPr>
        <w:t>Taken together, these findings show</w:t>
      </w:r>
      <w:r w:rsidRPr="00D45ECC">
        <w:rPr>
          <w:rFonts w:ascii="Calibri" w:hAnsi="Calibri" w:cs="Calibri"/>
        </w:rPr>
        <w:t xml:space="preserve"> the application of structured frameworks such as scheduling, risk management, and stakeholder engagement ensures that the project remains controlled and aligned with its objectives. According to Turner (2014), effective project governance is essential for achieving successful outcomes. Similarly, Kerzner (2017) suggests that integrating technology with management practices enhances project performance. Consequently, this project provides a strong example of how modern methodologies </w:t>
      </w:r>
      <w:r w:rsidR="00E7461D" w:rsidRPr="00D45ECC">
        <w:rPr>
          <w:rFonts w:ascii="Calibri" w:hAnsi="Calibri" w:cs="Calibri"/>
        </w:rPr>
        <w:t>apply</w:t>
      </w:r>
      <w:r w:rsidRPr="00D45ECC">
        <w:rPr>
          <w:rFonts w:ascii="Calibri" w:hAnsi="Calibri" w:cs="Calibri"/>
        </w:rPr>
        <w:t xml:space="preserve"> to complex recovery operations, supporting both immediate restoration and sustainable development within the transport sector.</w:t>
      </w:r>
    </w:p>
    <w:p w14:paraId="0D5530D5" w14:textId="3E815F4D" w:rsidR="002F2696" w:rsidRPr="00D45ECC" w:rsidRDefault="00E71A1C" w:rsidP="005E3656">
      <w:pPr>
        <w:shd w:val="clear" w:color="auto" w:fill="FFFFFF"/>
        <w:spacing w:before="100" w:beforeAutospacing="1" w:after="100" w:afterAutospacing="1" w:line="360" w:lineRule="auto"/>
        <w:rPr>
          <w:rFonts w:ascii="Calibri" w:eastAsia="Times New Roman" w:hAnsi="Calibri" w:cs="Calibri"/>
          <w:color w:val="222222"/>
          <w:kern w:val="0"/>
          <w:lang w:eastAsia="en-GB"/>
          <w14:ligatures w14:val="none"/>
        </w:rPr>
      </w:pPr>
      <w:r w:rsidRPr="00D45ECC">
        <w:rPr>
          <w:rStyle w:val="Strong"/>
          <w:rFonts w:ascii="Calibri" w:hAnsi="Calibri" w:cs="Calibri"/>
          <w:b w:val="0"/>
          <w:bCs w:val="0"/>
        </w:rPr>
        <w:t>The final evaluation</w:t>
      </w:r>
      <w:r w:rsidRPr="00D45ECC">
        <w:rPr>
          <w:rFonts w:ascii="Calibri" w:hAnsi="Calibri" w:cs="Calibri"/>
        </w:rPr>
        <w:t xml:space="preserve"> confirms that the project approach is both practical and achievable. It highlights the value of combining structured planning with innovation, ensuring long-term benefits for infrastructure resilience and future project applications.</w:t>
      </w:r>
    </w:p>
    <w:p w14:paraId="253BA2C5" w14:textId="3DA9AE11" w:rsidR="00F254C1" w:rsidRPr="00D45ECC" w:rsidRDefault="004302E8" w:rsidP="005E3656">
      <w:pPr>
        <w:spacing w:line="360" w:lineRule="auto"/>
        <w:rPr>
          <w:rFonts w:ascii="Calibri" w:eastAsia="Aptos" w:hAnsi="Calibri" w:cs="Calibri"/>
        </w:rPr>
      </w:pPr>
      <w:r w:rsidRPr="00D45ECC">
        <w:rPr>
          <w:rFonts w:ascii="Calibri" w:hAnsi="Calibri" w:cs="Calibri"/>
        </w:rPr>
        <w:t>To conclude the project progresses from flood impact assessment to full highway reopening by integrating drones, robotics, and human expertise. Automated inspections, safe debris removal, and structured repairs enhance efficiency and safety. This coordinated approach ensures systematic recovery, resilient infrastructure, and a sustainable model for future flood</w:t>
      </w:r>
      <w:r w:rsidRPr="00D45ECC">
        <w:rPr>
          <w:rFonts w:ascii="Calibri" w:hAnsi="Calibri" w:cs="Calibri"/>
        </w:rPr>
        <w:noBreakHyphen/>
        <w:t>related highway restoration</w:t>
      </w:r>
      <w:r w:rsidR="00EE5E10" w:rsidRPr="00D45ECC">
        <w:rPr>
          <w:rFonts w:ascii="Calibri" w:hAnsi="Calibri" w:cs="Calibri"/>
        </w:rPr>
        <w:t>.</w:t>
      </w:r>
    </w:p>
    <w:p w14:paraId="150DE860" w14:textId="77777777" w:rsidR="00FC0DA7" w:rsidRPr="00D45ECC" w:rsidRDefault="00FC0DA7" w:rsidP="005E3656">
      <w:pPr>
        <w:pStyle w:val="NormalWeb"/>
        <w:spacing w:line="360" w:lineRule="auto"/>
        <w:rPr>
          <w:rFonts w:ascii="Calibri" w:hAnsi="Calibri" w:cs="Calibri"/>
          <w:b/>
          <w:bCs/>
        </w:rPr>
      </w:pPr>
    </w:p>
    <w:p w14:paraId="5F11E13A" w14:textId="77777777" w:rsidR="00FC0DA7" w:rsidRPr="00D45ECC" w:rsidRDefault="00FC0DA7" w:rsidP="005E3656">
      <w:pPr>
        <w:pStyle w:val="NormalWeb"/>
        <w:spacing w:line="360" w:lineRule="auto"/>
        <w:rPr>
          <w:rFonts w:ascii="Calibri" w:hAnsi="Calibri" w:cs="Calibri"/>
          <w:b/>
          <w:bCs/>
        </w:rPr>
      </w:pPr>
    </w:p>
    <w:p w14:paraId="357A2A19" w14:textId="77777777" w:rsidR="00FC0DA7" w:rsidRPr="00D45ECC" w:rsidRDefault="00FC0DA7" w:rsidP="005E3656">
      <w:pPr>
        <w:pStyle w:val="NormalWeb"/>
        <w:spacing w:line="360" w:lineRule="auto"/>
        <w:rPr>
          <w:rFonts w:ascii="Calibri" w:hAnsi="Calibri" w:cs="Calibri"/>
          <w:b/>
          <w:bCs/>
        </w:rPr>
      </w:pPr>
    </w:p>
    <w:p w14:paraId="7C5ECE91" w14:textId="77777777" w:rsidR="00784138" w:rsidRPr="00784138" w:rsidRDefault="00784138" w:rsidP="005E3656">
      <w:pPr>
        <w:spacing w:before="100" w:beforeAutospacing="1" w:after="100" w:afterAutospacing="1" w:line="360" w:lineRule="auto"/>
        <w:outlineLvl w:val="0"/>
        <w:rPr>
          <w:rFonts w:ascii="Calibri" w:eastAsia="Times New Roman" w:hAnsi="Calibri" w:cs="Calibri"/>
          <w:b/>
          <w:bCs/>
          <w:kern w:val="36"/>
          <w:lang w:eastAsia="en-GB"/>
          <w14:ligatures w14:val="none"/>
        </w:rPr>
      </w:pPr>
      <w:r w:rsidRPr="00784138">
        <w:rPr>
          <w:rFonts w:ascii="Calibri" w:eastAsia="Times New Roman" w:hAnsi="Calibri" w:cs="Calibri"/>
          <w:b/>
          <w:bCs/>
          <w:kern w:val="36"/>
          <w:lang w:eastAsia="en-GB"/>
          <w14:ligatures w14:val="none"/>
        </w:rPr>
        <w:t>Reference List</w:t>
      </w:r>
    </w:p>
    <w:p w14:paraId="5C279AC4"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APM (2019) </w:t>
      </w:r>
      <w:r w:rsidRPr="00784138">
        <w:rPr>
          <w:rFonts w:ascii="Calibri" w:eastAsia="Times New Roman" w:hAnsi="Calibri" w:cs="Calibri"/>
          <w:i/>
          <w:iCs/>
          <w:kern w:val="0"/>
          <w:lang w:eastAsia="en-GB"/>
          <w14:ligatures w14:val="none"/>
        </w:rPr>
        <w:t>APM Body of Knowledge</w:t>
      </w:r>
      <w:r w:rsidRPr="00784138">
        <w:rPr>
          <w:rFonts w:ascii="Calibri" w:eastAsia="Times New Roman" w:hAnsi="Calibri" w:cs="Calibri"/>
          <w:kern w:val="0"/>
          <w:lang w:eastAsia="en-GB"/>
          <w14:ligatures w14:val="none"/>
        </w:rPr>
        <w:t xml:space="preserve">. 7th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Princes Risborough: Association for Project Management.</w:t>
      </w:r>
    </w:p>
    <w:p w14:paraId="76694869"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Atkinson, R. (1999) ‘Project management: cost, time and quality, two best guesses and a phenomenon’, </w:t>
      </w:r>
      <w:r w:rsidRPr="00784138">
        <w:rPr>
          <w:rFonts w:ascii="Calibri" w:eastAsia="Times New Roman" w:hAnsi="Calibri" w:cs="Calibri"/>
          <w:i/>
          <w:iCs/>
          <w:kern w:val="0"/>
          <w:lang w:eastAsia="en-GB"/>
          <w14:ligatures w14:val="none"/>
        </w:rPr>
        <w:t>International Journal of Project Management</w:t>
      </w:r>
      <w:r w:rsidRPr="00784138">
        <w:rPr>
          <w:rFonts w:ascii="Calibri" w:eastAsia="Times New Roman" w:hAnsi="Calibri" w:cs="Calibri"/>
          <w:kern w:val="0"/>
          <w:lang w:eastAsia="en-GB"/>
          <w14:ligatures w14:val="none"/>
        </w:rPr>
        <w:t>, 17(6), pp. 337–342.</w:t>
      </w:r>
    </w:p>
    <w:p w14:paraId="400BE3F9"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lastRenderedPageBreak/>
        <w:t xml:space="preserve">Bourne, L. (2015) </w:t>
      </w:r>
      <w:r w:rsidRPr="00784138">
        <w:rPr>
          <w:rFonts w:ascii="Calibri" w:eastAsia="Times New Roman" w:hAnsi="Calibri" w:cs="Calibri"/>
          <w:i/>
          <w:iCs/>
          <w:kern w:val="0"/>
          <w:lang w:eastAsia="en-GB"/>
          <w14:ligatures w14:val="none"/>
        </w:rPr>
        <w:t>Stakeholder Relationship Management: A Maturity Model for Organisational Implementation</w:t>
      </w:r>
      <w:r w:rsidRPr="00784138">
        <w:rPr>
          <w:rFonts w:ascii="Calibri" w:eastAsia="Times New Roman" w:hAnsi="Calibri" w:cs="Calibri"/>
          <w:kern w:val="0"/>
          <w:lang w:eastAsia="en-GB"/>
          <w14:ligatures w14:val="none"/>
        </w:rPr>
        <w:t xml:space="preserve">. 2nd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Farnham: Gower.</w:t>
      </w:r>
    </w:p>
    <w:p w14:paraId="23359CCD"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Environment Agency (2022) </w:t>
      </w:r>
      <w:r w:rsidRPr="00784138">
        <w:rPr>
          <w:rFonts w:ascii="Calibri" w:eastAsia="Times New Roman" w:hAnsi="Calibri" w:cs="Calibri"/>
          <w:i/>
          <w:iCs/>
          <w:kern w:val="0"/>
          <w:lang w:eastAsia="en-GB"/>
          <w14:ligatures w14:val="none"/>
        </w:rPr>
        <w:t>Flood and Coastal Risk Management Strategy</w:t>
      </w:r>
      <w:r w:rsidRPr="00784138">
        <w:rPr>
          <w:rFonts w:ascii="Calibri" w:eastAsia="Times New Roman" w:hAnsi="Calibri" w:cs="Calibri"/>
          <w:kern w:val="0"/>
          <w:lang w:eastAsia="en-GB"/>
          <w14:ligatures w14:val="none"/>
        </w:rPr>
        <w:t xml:space="preserve">. Available at: </w:t>
      </w:r>
      <w:hyperlink r:id="rId10" w:tgtFrame="_new" w:history="1">
        <w:r w:rsidRPr="00784138">
          <w:rPr>
            <w:rFonts w:ascii="Calibri" w:eastAsia="Times New Roman" w:hAnsi="Calibri" w:cs="Calibri"/>
            <w:color w:val="0000FF"/>
            <w:kern w:val="0"/>
            <w:u w:val="single"/>
            <w:lang w:eastAsia="en-GB"/>
            <w14:ligatures w14:val="none"/>
          </w:rPr>
          <w:t>https://www.gov.uk</w:t>
        </w:r>
      </w:hyperlink>
      <w:r w:rsidRPr="00784138">
        <w:rPr>
          <w:rFonts w:ascii="Calibri" w:eastAsia="Times New Roman" w:hAnsi="Calibri" w:cs="Calibri"/>
          <w:kern w:val="0"/>
          <w:lang w:eastAsia="en-GB"/>
          <w14:ligatures w14:val="none"/>
        </w:rPr>
        <w:t xml:space="preserve"> (Accessed: 8 April 2026).</w:t>
      </w:r>
    </w:p>
    <w:p w14:paraId="5ACD3A0A"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Essays, UK (2018) </w:t>
      </w:r>
      <w:r w:rsidRPr="00784138">
        <w:rPr>
          <w:rFonts w:ascii="Calibri" w:eastAsia="Times New Roman" w:hAnsi="Calibri" w:cs="Calibri"/>
          <w:i/>
          <w:iCs/>
          <w:kern w:val="0"/>
          <w:lang w:eastAsia="en-GB"/>
          <w14:ligatures w14:val="none"/>
        </w:rPr>
        <w:t>SWOT Analysis Guide Diagram</w:t>
      </w:r>
      <w:r w:rsidRPr="00784138">
        <w:rPr>
          <w:rFonts w:ascii="Calibri" w:eastAsia="Times New Roman" w:hAnsi="Calibri" w:cs="Calibri"/>
          <w:kern w:val="0"/>
          <w:lang w:eastAsia="en-GB"/>
          <w14:ligatures w14:val="none"/>
        </w:rPr>
        <w:t xml:space="preserve">. Available at: </w:t>
      </w:r>
      <w:hyperlink r:id="rId11" w:tgtFrame="_new" w:history="1">
        <w:r w:rsidRPr="00784138">
          <w:rPr>
            <w:rFonts w:ascii="Calibri" w:eastAsia="Times New Roman" w:hAnsi="Calibri" w:cs="Calibri"/>
            <w:color w:val="0000FF"/>
            <w:kern w:val="0"/>
            <w:u w:val="single"/>
            <w:lang w:eastAsia="en-GB"/>
            <w14:ligatures w14:val="none"/>
          </w:rPr>
          <w:t>https://www.ukessays.com</w:t>
        </w:r>
      </w:hyperlink>
      <w:r w:rsidRPr="00784138">
        <w:rPr>
          <w:rFonts w:ascii="Calibri" w:eastAsia="Times New Roman" w:hAnsi="Calibri" w:cs="Calibri"/>
          <w:kern w:val="0"/>
          <w:lang w:eastAsia="en-GB"/>
          <w14:ligatures w14:val="none"/>
        </w:rPr>
        <w:t xml:space="preserve"> (Accessed: 8 April 2026).</w:t>
      </w:r>
    </w:p>
    <w:p w14:paraId="0E387C1C"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Freeman, R.E. (1984) </w:t>
      </w:r>
      <w:r w:rsidRPr="00784138">
        <w:rPr>
          <w:rFonts w:ascii="Calibri" w:eastAsia="Times New Roman" w:hAnsi="Calibri" w:cs="Calibri"/>
          <w:i/>
          <w:iCs/>
          <w:kern w:val="0"/>
          <w:lang w:eastAsia="en-GB"/>
          <w14:ligatures w14:val="none"/>
        </w:rPr>
        <w:t>Strategic Management: A Stakeholder Approach</w:t>
      </w:r>
      <w:r w:rsidRPr="00784138">
        <w:rPr>
          <w:rFonts w:ascii="Calibri" w:eastAsia="Times New Roman" w:hAnsi="Calibri" w:cs="Calibri"/>
          <w:kern w:val="0"/>
          <w:lang w:eastAsia="en-GB"/>
          <w14:ligatures w14:val="none"/>
        </w:rPr>
        <w:t>. Boston: Pitman.</w:t>
      </w:r>
    </w:p>
    <w:p w14:paraId="27FDF5EC"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Gibbs, G. (1988) </w:t>
      </w:r>
      <w:r w:rsidRPr="00784138">
        <w:rPr>
          <w:rFonts w:ascii="Calibri" w:eastAsia="Times New Roman" w:hAnsi="Calibri" w:cs="Calibri"/>
          <w:i/>
          <w:iCs/>
          <w:kern w:val="0"/>
          <w:lang w:eastAsia="en-GB"/>
          <w14:ligatures w14:val="none"/>
        </w:rPr>
        <w:t>Learning by Doing: A Guide to Teaching and Learning Methods</w:t>
      </w:r>
      <w:r w:rsidRPr="00784138">
        <w:rPr>
          <w:rFonts w:ascii="Calibri" w:eastAsia="Times New Roman" w:hAnsi="Calibri" w:cs="Calibri"/>
          <w:kern w:val="0"/>
          <w:lang w:eastAsia="en-GB"/>
          <w14:ligatures w14:val="none"/>
        </w:rPr>
        <w:t>. Oxford: Oxford Polytechnic.</w:t>
      </w:r>
    </w:p>
    <w:p w14:paraId="54D0179B"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Heagney, J. (2016) </w:t>
      </w:r>
      <w:r w:rsidRPr="00784138">
        <w:rPr>
          <w:rFonts w:ascii="Calibri" w:eastAsia="Times New Roman" w:hAnsi="Calibri" w:cs="Calibri"/>
          <w:i/>
          <w:iCs/>
          <w:kern w:val="0"/>
          <w:lang w:eastAsia="en-GB"/>
          <w14:ligatures w14:val="none"/>
        </w:rPr>
        <w:t>Fundamentals of Project Management</w:t>
      </w:r>
      <w:r w:rsidRPr="00784138">
        <w:rPr>
          <w:rFonts w:ascii="Calibri" w:eastAsia="Times New Roman" w:hAnsi="Calibri" w:cs="Calibri"/>
          <w:kern w:val="0"/>
          <w:lang w:eastAsia="en-GB"/>
          <w14:ligatures w14:val="none"/>
        </w:rPr>
        <w:t xml:space="preserve">. 5th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New York: AMACOM.</w:t>
      </w:r>
    </w:p>
    <w:p w14:paraId="4E2669FA"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Hillson, D. (2009) </w:t>
      </w:r>
      <w:r w:rsidRPr="00784138">
        <w:rPr>
          <w:rFonts w:ascii="Calibri" w:eastAsia="Times New Roman" w:hAnsi="Calibri" w:cs="Calibri"/>
          <w:i/>
          <w:iCs/>
          <w:kern w:val="0"/>
          <w:lang w:eastAsia="en-GB"/>
          <w14:ligatures w14:val="none"/>
        </w:rPr>
        <w:t>Managing Risk in Projects</w:t>
      </w:r>
      <w:r w:rsidRPr="00784138">
        <w:rPr>
          <w:rFonts w:ascii="Calibri" w:eastAsia="Times New Roman" w:hAnsi="Calibri" w:cs="Calibri"/>
          <w:kern w:val="0"/>
          <w:lang w:eastAsia="en-GB"/>
          <w14:ligatures w14:val="none"/>
        </w:rPr>
        <w:t xml:space="preserve">. 2nd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Farnham: Gower.</w:t>
      </w:r>
    </w:p>
    <w:p w14:paraId="32BC7F67"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Johnson, G. and Scholes, K. (2002) </w:t>
      </w:r>
      <w:r w:rsidRPr="00784138">
        <w:rPr>
          <w:rFonts w:ascii="Calibri" w:eastAsia="Times New Roman" w:hAnsi="Calibri" w:cs="Calibri"/>
          <w:i/>
          <w:iCs/>
          <w:kern w:val="0"/>
          <w:lang w:eastAsia="en-GB"/>
          <w14:ligatures w14:val="none"/>
        </w:rPr>
        <w:t>Exploring Corporate Strategy</w:t>
      </w:r>
      <w:r w:rsidRPr="00784138">
        <w:rPr>
          <w:rFonts w:ascii="Calibri" w:eastAsia="Times New Roman" w:hAnsi="Calibri" w:cs="Calibri"/>
          <w:kern w:val="0"/>
          <w:lang w:eastAsia="en-GB"/>
          <w14:ligatures w14:val="none"/>
        </w:rPr>
        <w:t xml:space="preserve">. 6th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Harlow: Pearson Education.</w:t>
      </w:r>
    </w:p>
    <w:p w14:paraId="04705542"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Johnson, G., Whittington, R. and Scholes, K. (2017) </w:t>
      </w:r>
      <w:r w:rsidRPr="00784138">
        <w:rPr>
          <w:rFonts w:ascii="Calibri" w:eastAsia="Times New Roman" w:hAnsi="Calibri" w:cs="Calibri"/>
          <w:i/>
          <w:iCs/>
          <w:kern w:val="0"/>
          <w:lang w:eastAsia="en-GB"/>
          <w14:ligatures w14:val="none"/>
        </w:rPr>
        <w:t>Exploring Strategy</w:t>
      </w:r>
      <w:r w:rsidRPr="00784138">
        <w:rPr>
          <w:rFonts w:ascii="Calibri" w:eastAsia="Times New Roman" w:hAnsi="Calibri" w:cs="Calibri"/>
          <w:kern w:val="0"/>
          <w:lang w:eastAsia="en-GB"/>
          <w14:ligatures w14:val="none"/>
        </w:rPr>
        <w:t xml:space="preserve">. 11th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Harlow: Pearson.</w:t>
      </w:r>
    </w:p>
    <w:p w14:paraId="64837959"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Kerzner, H. (2017) </w:t>
      </w:r>
      <w:r w:rsidRPr="00784138">
        <w:rPr>
          <w:rFonts w:ascii="Calibri" w:eastAsia="Times New Roman" w:hAnsi="Calibri" w:cs="Calibri"/>
          <w:i/>
          <w:iCs/>
          <w:kern w:val="0"/>
          <w:lang w:eastAsia="en-GB"/>
          <w14:ligatures w14:val="none"/>
        </w:rPr>
        <w:t>Project Management: A Systems Approach to Planning, Scheduling, and Controlling</w:t>
      </w:r>
      <w:r w:rsidRPr="00784138">
        <w:rPr>
          <w:rFonts w:ascii="Calibri" w:eastAsia="Times New Roman" w:hAnsi="Calibri" w:cs="Calibri"/>
          <w:kern w:val="0"/>
          <w:lang w:eastAsia="en-GB"/>
          <w14:ligatures w14:val="none"/>
        </w:rPr>
        <w:t xml:space="preserve">. 12th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Hoboken: Wiley.</w:t>
      </w:r>
    </w:p>
    <w:p w14:paraId="22D34A43"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Lock, D. (2020) </w:t>
      </w:r>
      <w:r w:rsidRPr="00784138">
        <w:rPr>
          <w:rFonts w:ascii="Calibri" w:eastAsia="Times New Roman" w:hAnsi="Calibri" w:cs="Calibri"/>
          <w:i/>
          <w:iCs/>
          <w:kern w:val="0"/>
          <w:lang w:eastAsia="en-GB"/>
          <w14:ligatures w14:val="none"/>
        </w:rPr>
        <w:t>Project Management</w:t>
      </w:r>
      <w:r w:rsidRPr="00784138">
        <w:rPr>
          <w:rFonts w:ascii="Calibri" w:eastAsia="Times New Roman" w:hAnsi="Calibri" w:cs="Calibri"/>
          <w:kern w:val="0"/>
          <w:lang w:eastAsia="en-GB"/>
          <w14:ligatures w14:val="none"/>
        </w:rPr>
        <w:t xml:space="preserve">. 11th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London: Routledge.</w:t>
      </w:r>
    </w:p>
    <w:p w14:paraId="1ED4BAA4"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Maylor, H. (2010) </w:t>
      </w:r>
      <w:r w:rsidRPr="00784138">
        <w:rPr>
          <w:rFonts w:ascii="Calibri" w:eastAsia="Times New Roman" w:hAnsi="Calibri" w:cs="Calibri"/>
          <w:i/>
          <w:iCs/>
          <w:kern w:val="0"/>
          <w:lang w:eastAsia="en-GB"/>
          <w14:ligatures w14:val="none"/>
        </w:rPr>
        <w:t>Project Management</w:t>
      </w:r>
      <w:r w:rsidRPr="00784138">
        <w:rPr>
          <w:rFonts w:ascii="Calibri" w:eastAsia="Times New Roman" w:hAnsi="Calibri" w:cs="Calibri"/>
          <w:kern w:val="0"/>
          <w:lang w:eastAsia="en-GB"/>
          <w14:ligatures w14:val="none"/>
        </w:rPr>
        <w:t xml:space="preserve">. 4th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Harlow: Pearson Education.</w:t>
      </w:r>
    </w:p>
    <w:p w14:paraId="6208F84C"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Meredith, J.R. and Mantel, S.J. (2017) </w:t>
      </w:r>
      <w:r w:rsidRPr="00784138">
        <w:rPr>
          <w:rFonts w:ascii="Calibri" w:eastAsia="Times New Roman" w:hAnsi="Calibri" w:cs="Calibri"/>
          <w:i/>
          <w:iCs/>
          <w:kern w:val="0"/>
          <w:lang w:eastAsia="en-GB"/>
          <w14:ligatures w14:val="none"/>
        </w:rPr>
        <w:t>Project Management: A Managerial Approach</w:t>
      </w:r>
      <w:r w:rsidRPr="00784138">
        <w:rPr>
          <w:rFonts w:ascii="Calibri" w:eastAsia="Times New Roman" w:hAnsi="Calibri" w:cs="Calibri"/>
          <w:kern w:val="0"/>
          <w:lang w:eastAsia="en-GB"/>
          <w14:ligatures w14:val="none"/>
        </w:rPr>
        <w:t xml:space="preserve">. 9th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Hoboken: Wiley.</w:t>
      </w:r>
    </w:p>
    <w:p w14:paraId="0D2A69D5"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NIC (2023) </w:t>
      </w:r>
      <w:r w:rsidRPr="00784138">
        <w:rPr>
          <w:rFonts w:ascii="Calibri" w:eastAsia="Times New Roman" w:hAnsi="Calibri" w:cs="Calibri"/>
          <w:i/>
          <w:iCs/>
          <w:kern w:val="0"/>
          <w:lang w:eastAsia="en-GB"/>
          <w14:ligatures w14:val="none"/>
        </w:rPr>
        <w:t>National Infrastructure Assessment</w:t>
      </w:r>
      <w:r w:rsidRPr="00784138">
        <w:rPr>
          <w:rFonts w:ascii="Calibri" w:eastAsia="Times New Roman" w:hAnsi="Calibri" w:cs="Calibri"/>
          <w:kern w:val="0"/>
          <w:lang w:eastAsia="en-GB"/>
          <w14:ligatures w14:val="none"/>
        </w:rPr>
        <w:t xml:space="preserve">. Available at: </w:t>
      </w:r>
      <w:hyperlink r:id="rId12" w:tgtFrame="_new" w:history="1">
        <w:r w:rsidRPr="00784138">
          <w:rPr>
            <w:rFonts w:ascii="Calibri" w:eastAsia="Times New Roman" w:hAnsi="Calibri" w:cs="Calibri"/>
            <w:color w:val="0000FF"/>
            <w:kern w:val="0"/>
            <w:u w:val="single"/>
            <w:lang w:eastAsia="en-GB"/>
            <w14:ligatures w14:val="none"/>
          </w:rPr>
          <w:t>https://nic.org.uk</w:t>
        </w:r>
      </w:hyperlink>
      <w:r w:rsidRPr="00784138">
        <w:rPr>
          <w:rFonts w:ascii="Calibri" w:eastAsia="Times New Roman" w:hAnsi="Calibri" w:cs="Calibri"/>
          <w:kern w:val="0"/>
          <w:lang w:eastAsia="en-GB"/>
          <w14:ligatures w14:val="none"/>
        </w:rPr>
        <w:t xml:space="preserve"> (Accessed: 8 April 2026).</w:t>
      </w:r>
    </w:p>
    <w:p w14:paraId="2F2ACB46"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lastRenderedPageBreak/>
        <w:t xml:space="preserve">Pinto, J.K. (2010) </w:t>
      </w:r>
      <w:r w:rsidRPr="00784138">
        <w:rPr>
          <w:rFonts w:ascii="Calibri" w:eastAsia="Times New Roman" w:hAnsi="Calibri" w:cs="Calibri"/>
          <w:i/>
          <w:iCs/>
          <w:kern w:val="0"/>
          <w:lang w:eastAsia="en-GB"/>
          <w14:ligatures w14:val="none"/>
        </w:rPr>
        <w:t>Project Management: Achieving Competitive Advantage</w:t>
      </w:r>
      <w:r w:rsidRPr="00784138">
        <w:rPr>
          <w:rFonts w:ascii="Calibri" w:eastAsia="Times New Roman" w:hAnsi="Calibri" w:cs="Calibri"/>
          <w:kern w:val="0"/>
          <w:lang w:eastAsia="en-GB"/>
          <w14:ligatures w14:val="none"/>
        </w:rPr>
        <w:t xml:space="preserve">. 2nd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Upper Saddle River: Pearson.</w:t>
      </w:r>
    </w:p>
    <w:p w14:paraId="17C50D6E"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PMI (2004) </w:t>
      </w:r>
      <w:r w:rsidRPr="00784138">
        <w:rPr>
          <w:rFonts w:ascii="Calibri" w:eastAsia="Times New Roman" w:hAnsi="Calibri" w:cs="Calibri"/>
          <w:i/>
          <w:iCs/>
          <w:kern w:val="0"/>
          <w:lang w:eastAsia="en-GB"/>
          <w14:ligatures w14:val="none"/>
        </w:rPr>
        <w:t>A Guide to the Project Management Body of Knowledge (PMBOK Guide)</w:t>
      </w:r>
      <w:r w:rsidRPr="00784138">
        <w:rPr>
          <w:rFonts w:ascii="Calibri" w:eastAsia="Times New Roman" w:hAnsi="Calibri" w:cs="Calibri"/>
          <w:kern w:val="0"/>
          <w:lang w:eastAsia="en-GB"/>
          <w14:ligatures w14:val="none"/>
        </w:rPr>
        <w:t xml:space="preserve">. 3rd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Pennsylvania: Project Management Institute.</w:t>
      </w:r>
    </w:p>
    <w:p w14:paraId="7DA0F5FF"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Straw, G. (2015) </w:t>
      </w:r>
      <w:r w:rsidRPr="00784138">
        <w:rPr>
          <w:rFonts w:ascii="Calibri" w:eastAsia="Times New Roman" w:hAnsi="Calibri" w:cs="Calibri"/>
          <w:i/>
          <w:iCs/>
          <w:kern w:val="0"/>
          <w:lang w:eastAsia="en-GB"/>
          <w14:ligatures w14:val="none"/>
        </w:rPr>
        <w:t>The Principles of Project Management</w:t>
      </w:r>
      <w:r w:rsidRPr="00784138">
        <w:rPr>
          <w:rFonts w:ascii="Calibri" w:eastAsia="Times New Roman" w:hAnsi="Calibri" w:cs="Calibri"/>
          <w:kern w:val="0"/>
          <w:lang w:eastAsia="en-GB"/>
          <w14:ligatures w14:val="none"/>
        </w:rPr>
        <w:t>. London: Routledge.</w:t>
      </w:r>
    </w:p>
    <w:p w14:paraId="230A2AF4"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proofErr w:type="spellStart"/>
      <w:r w:rsidRPr="00784138">
        <w:rPr>
          <w:rFonts w:ascii="Calibri" w:eastAsia="Times New Roman" w:hAnsi="Calibri" w:cs="Calibri"/>
          <w:kern w:val="0"/>
          <w:lang w:eastAsia="en-GB"/>
          <w14:ligatures w14:val="none"/>
        </w:rPr>
        <w:t>Toolshero</w:t>
      </w:r>
      <w:proofErr w:type="spellEnd"/>
      <w:r w:rsidRPr="00784138">
        <w:rPr>
          <w:rFonts w:ascii="Calibri" w:eastAsia="Times New Roman" w:hAnsi="Calibri" w:cs="Calibri"/>
          <w:kern w:val="0"/>
          <w:lang w:eastAsia="en-GB"/>
          <w14:ligatures w14:val="none"/>
        </w:rPr>
        <w:t xml:space="preserve"> (2024) </w:t>
      </w:r>
      <w:r w:rsidRPr="00784138">
        <w:rPr>
          <w:rFonts w:ascii="Calibri" w:eastAsia="Times New Roman" w:hAnsi="Calibri" w:cs="Calibri"/>
          <w:i/>
          <w:iCs/>
          <w:kern w:val="0"/>
          <w:lang w:eastAsia="en-GB"/>
          <w14:ligatures w14:val="none"/>
        </w:rPr>
        <w:t>PESTLE Analysis</w:t>
      </w:r>
      <w:r w:rsidRPr="00784138">
        <w:rPr>
          <w:rFonts w:ascii="Calibri" w:eastAsia="Times New Roman" w:hAnsi="Calibri" w:cs="Calibri"/>
          <w:kern w:val="0"/>
          <w:lang w:eastAsia="en-GB"/>
          <w14:ligatures w14:val="none"/>
        </w:rPr>
        <w:t xml:space="preserve">. Available at: </w:t>
      </w:r>
      <w:hyperlink r:id="rId13" w:tgtFrame="_new" w:history="1">
        <w:r w:rsidRPr="00784138">
          <w:rPr>
            <w:rFonts w:ascii="Calibri" w:eastAsia="Times New Roman" w:hAnsi="Calibri" w:cs="Calibri"/>
            <w:color w:val="0000FF"/>
            <w:kern w:val="0"/>
            <w:u w:val="single"/>
            <w:lang w:eastAsia="en-GB"/>
            <w14:ligatures w14:val="none"/>
          </w:rPr>
          <w:t>https://www.toolshero.com</w:t>
        </w:r>
      </w:hyperlink>
      <w:r w:rsidRPr="00784138">
        <w:rPr>
          <w:rFonts w:ascii="Calibri" w:eastAsia="Times New Roman" w:hAnsi="Calibri" w:cs="Calibri"/>
          <w:kern w:val="0"/>
          <w:lang w:eastAsia="en-GB"/>
          <w14:ligatures w14:val="none"/>
        </w:rPr>
        <w:t xml:space="preserve"> (Accessed: 8 April 2026).</w:t>
      </w:r>
    </w:p>
    <w:p w14:paraId="581E9B18"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Turner, J.R. (2009) </w:t>
      </w:r>
      <w:r w:rsidRPr="00784138">
        <w:rPr>
          <w:rFonts w:ascii="Calibri" w:eastAsia="Times New Roman" w:hAnsi="Calibri" w:cs="Calibri"/>
          <w:i/>
          <w:iCs/>
          <w:kern w:val="0"/>
          <w:lang w:eastAsia="en-GB"/>
          <w14:ligatures w14:val="none"/>
        </w:rPr>
        <w:t>The Handbook of Project-based Management</w:t>
      </w:r>
      <w:r w:rsidRPr="00784138">
        <w:rPr>
          <w:rFonts w:ascii="Calibri" w:eastAsia="Times New Roman" w:hAnsi="Calibri" w:cs="Calibri"/>
          <w:kern w:val="0"/>
          <w:lang w:eastAsia="en-GB"/>
          <w14:ligatures w14:val="none"/>
        </w:rPr>
        <w:t xml:space="preserve">. 3rd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New York: McGraw-Hill.</w:t>
      </w:r>
    </w:p>
    <w:p w14:paraId="2930DA5C" w14:textId="77777777" w:rsidR="00784138" w:rsidRPr="00784138" w:rsidRDefault="00784138" w:rsidP="005E3656">
      <w:pPr>
        <w:spacing w:before="100" w:beforeAutospacing="1" w:after="100" w:afterAutospacing="1" w:line="360" w:lineRule="auto"/>
        <w:rPr>
          <w:rFonts w:ascii="Calibri" w:eastAsia="Times New Roman" w:hAnsi="Calibri" w:cs="Calibri"/>
          <w:kern w:val="0"/>
          <w:lang w:eastAsia="en-GB"/>
          <w14:ligatures w14:val="none"/>
        </w:rPr>
      </w:pPr>
      <w:r w:rsidRPr="00784138">
        <w:rPr>
          <w:rFonts w:ascii="Calibri" w:eastAsia="Times New Roman" w:hAnsi="Calibri" w:cs="Calibri"/>
          <w:kern w:val="0"/>
          <w:lang w:eastAsia="en-GB"/>
          <w14:ligatures w14:val="none"/>
        </w:rPr>
        <w:t xml:space="preserve">Turner, J.R. (2014) </w:t>
      </w:r>
      <w:r w:rsidRPr="00784138">
        <w:rPr>
          <w:rFonts w:ascii="Calibri" w:eastAsia="Times New Roman" w:hAnsi="Calibri" w:cs="Calibri"/>
          <w:i/>
          <w:iCs/>
          <w:kern w:val="0"/>
          <w:lang w:eastAsia="en-GB"/>
          <w14:ligatures w14:val="none"/>
        </w:rPr>
        <w:t>Gower Handbook of Project Management</w:t>
      </w:r>
      <w:r w:rsidRPr="00784138">
        <w:rPr>
          <w:rFonts w:ascii="Calibri" w:eastAsia="Times New Roman" w:hAnsi="Calibri" w:cs="Calibri"/>
          <w:kern w:val="0"/>
          <w:lang w:eastAsia="en-GB"/>
          <w14:ligatures w14:val="none"/>
        </w:rPr>
        <w:t xml:space="preserve">. 5th </w:t>
      </w:r>
      <w:proofErr w:type="spellStart"/>
      <w:r w:rsidRPr="00784138">
        <w:rPr>
          <w:rFonts w:ascii="Calibri" w:eastAsia="Times New Roman" w:hAnsi="Calibri" w:cs="Calibri"/>
          <w:kern w:val="0"/>
          <w:lang w:eastAsia="en-GB"/>
          <w14:ligatures w14:val="none"/>
        </w:rPr>
        <w:t>edn</w:t>
      </w:r>
      <w:proofErr w:type="spellEnd"/>
      <w:r w:rsidRPr="00784138">
        <w:rPr>
          <w:rFonts w:ascii="Calibri" w:eastAsia="Times New Roman" w:hAnsi="Calibri" w:cs="Calibri"/>
          <w:kern w:val="0"/>
          <w:lang w:eastAsia="en-GB"/>
          <w14:ligatures w14:val="none"/>
        </w:rPr>
        <w:t>. Farnham: Gower.</w:t>
      </w:r>
    </w:p>
    <w:p w14:paraId="6A4FC5EE" w14:textId="77777777" w:rsidR="00FC0DA7" w:rsidRPr="00D45ECC" w:rsidRDefault="00FC0DA7" w:rsidP="005E3656">
      <w:pPr>
        <w:pStyle w:val="NormalWeb"/>
        <w:spacing w:line="360" w:lineRule="auto"/>
        <w:rPr>
          <w:rFonts w:ascii="Calibri" w:hAnsi="Calibri" w:cs="Calibri"/>
          <w:b/>
          <w:bCs/>
        </w:rPr>
      </w:pPr>
    </w:p>
    <w:p w14:paraId="0AA77AB0" w14:textId="77777777" w:rsidR="00061057" w:rsidRPr="00D45ECC" w:rsidRDefault="00061057" w:rsidP="005E3656">
      <w:pPr>
        <w:spacing w:line="360" w:lineRule="auto"/>
        <w:rPr>
          <w:rFonts w:ascii="Calibri" w:hAnsi="Calibri" w:cs="Calibri"/>
        </w:rPr>
      </w:pPr>
    </w:p>
    <w:sectPr w:rsidR="00061057" w:rsidRPr="00D45ECC">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F39CCA" w14:textId="77777777" w:rsidR="00652840" w:rsidRDefault="00652840" w:rsidP="00D7120B">
      <w:pPr>
        <w:spacing w:after="0" w:line="240" w:lineRule="auto"/>
      </w:pPr>
      <w:r>
        <w:separator/>
      </w:r>
    </w:p>
  </w:endnote>
  <w:endnote w:type="continuationSeparator" w:id="0">
    <w:p w14:paraId="66768EA2" w14:textId="77777777" w:rsidR="00652840" w:rsidRDefault="00652840" w:rsidP="00D71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2C56E" w14:textId="77777777" w:rsidR="00652840" w:rsidRDefault="00652840" w:rsidP="00D7120B">
      <w:pPr>
        <w:spacing w:after="0" w:line="240" w:lineRule="auto"/>
      </w:pPr>
      <w:r>
        <w:separator/>
      </w:r>
    </w:p>
  </w:footnote>
  <w:footnote w:type="continuationSeparator" w:id="0">
    <w:p w14:paraId="45632089" w14:textId="77777777" w:rsidR="00652840" w:rsidRDefault="00652840" w:rsidP="00D712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4196491"/>
      <w:docPartObj>
        <w:docPartGallery w:val="Page Numbers (Top of Page)"/>
        <w:docPartUnique/>
      </w:docPartObj>
    </w:sdtPr>
    <w:sdtEndPr/>
    <w:sdtContent>
      <w:p w14:paraId="6A56416D" w14:textId="7E2A1B58" w:rsidR="00AD706F" w:rsidRDefault="00AD706F">
        <w:pPr>
          <w:pStyle w:val="Header"/>
        </w:pPr>
        <w:r>
          <w:fldChar w:fldCharType="begin"/>
        </w:r>
        <w:r>
          <w:instrText>PAGE   \* MERGEFORMAT</w:instrText>
        </w:r>
        <w:r>
          <w:fldChar w:fldCharType="separate"/>
        </w:r>
        <w:r>
          <w:t>2</w:t>
        </w:r>
        <w:r>
          <w:fldChar w:fldCharType="end"/>
        </w:r>
      </w:p>
    </w:sdtContent>
  </w:sdt>
  <w:p w14:paraId="46193FBC" w14:textId="77777777" w:rsidR="00D7120B" w:rsidRDefault="00D712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05CC5"/>
    <w:multiLevelType w:val="multilevel"/>
    <w:tmpl w:val="52B8C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15535"/>
    <w:multiLevelType w:val="multilevel"/>
    <w:tmpl w:val="55344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B84A39"/>
    <w:multiLevelType w:val="multilevel"/>
    <w:tmpl w:val="5B320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EB67A4"/>
    <w:multiLevelType w:val="multilevel"/>
    <w:tmpl w:val="8CAAE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F000B1"/>
    <w:multiLevelType w:val="multilevel"/>
    <w:tmpl w:val="44920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1259DA"/>
    <w:multiLevelType w:val="multilevel"/>
    <w:tmpl w:val="AD4E1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A263A2"/>
    <w:multiLevelType w:val="multilevel"/>
    <w:tmpl w:val="FA40F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04E94"/>
    <w:multiLevelType w:val="multilevel"/>
    <w:tmpl w:val="98709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5F75C5"/>
    <w:multiLevelType w:val="multilevel"/>
    <w:tmpl w:val="AB8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294ABA"/>
    <w:multiLevelType w:val="multilevel"/>
    <w:tmpl w:val="126AA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D15A68"/>
    <w:multiLevelType w:val="multilevel"/>
    <w:tmpl w:val="32C065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F8364C6"/>
    <w:multiLevelType w:val="multilevel"/>
    <w:tmpl w:val="9E20BE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29F45EF"/>
    <w:multiLevelType w:val="multilevel"/>
    <w:tmpl w:val="6B32E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D7A2808"/>
    <w:multiLevelType w:val="multilevel"/>
    <w:tmpl w:val="F7E47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0B22D24"/>
    <w:multiLevelType w:val="multilevel"/>
    <w:tmpl w:val="F5AEB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F03021"/>
    <w:multiLevelType w:val="multilevel"/>
    <w:tmpl w:val="3DCE8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3D1F5D"/>
    <w:multiLevelType w:val="multilevel"/>
    <w:tmpl w:val="EEEC6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A25206"/>
    <w:multiLevelType w:val="multilevel"/>
    <w:tmpl w:val="0F022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ABB7241"/>
    <w:multiLevelType w:val="multilevel"/>
    <w:tmpl w:val="D1EAA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53332A"/>
    <w:multiLevelType w:val="multilevel"/>
    <w:tmpl w:val="1AB4C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8203F2"/>
    <w:multiLevelType w:val="multilevel"/>
    <w:tmpl w:val="20D63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C7150A"/>
    <w:multiLevelType w:val="multilevel"/>
    <w:tmpl w:val="965A7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C36AD4"/>
    <w:multiLevelType w:val="multilevel"/>
    <w:tmpl w:val="1A245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893701A"/>
    <w:multiLevelType w:val="multilevel"/>
    <w:tmpl w:val="B20AD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1D48AF"/>
    <w:multiLevelType w:val="multilevel"/>
    <w:tmpl w:val="272E7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E8A3E9F"/>
    <w:multiLevelType w:val="multilevel"/>
    <w:tmpl w:val="42FAE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211359">
    <w:abstractNumId w:val="23"/>
  </w:num>
  <w:num w:numId="2" w16cid:durableId="709762016">
    <w:abstractNumId w:val="19"/>
  </w:num>
  <w:num w:numId="3" w16cid:durableId="1764183198">
    <w:abstractNumId w:val="1"/>
  </w:num>
  <w:num w:numId="4" w16cid:durableId="159656747">
    <w:abstractNumId w:val="3"/>
  </w:num>
  <w:num w:numId="5" w16cid:durableId="1714886944">
    <w:abstractNumId w:val="16"/>
  </w:num>
  <w:num w:numId="6" w16cid:durableId="1117411568">
    <w:abstractNumId w:val="6"/>
  </w:num>
  <w:num w:numId="7" w16cid:durableId="1515682198">
    <w:abstractNumId w:val="15"/>
  </w:num>
  <w:num w:numId="8" w16cid:durableId="2136018982">
    <w:abstractNumId w:val="13"/>
  </w:num>
  <w:num w:numId="9" w16cid:durableId="957837979">
    <w:abstractNumId w:val="10"/>
  </w:num>
  <w:num w:numId="10" w16cid:durableId="1379628559">
    <w:abstractNumId w:val="24"/>
  </w:num>
  <w:num w:numId="11" w16cid:durableId="420956258">
    <w:abstractNumId w:val="22"/>
  </w:num>
  <w:num w:numId="12" w16cid:durableId="1734424604">
    <w:abstractNumId w:val="5"/>
  </w:num>
  <w:num w:numId="13" w16cid:durableId="430122859">
    <w:abstractNumId w:val="14"/>
  </w:num>
  <w:num w:numId="14" w16cid:durableId="227497847">
    <w:abstractNumId w:val="20"/>
  </w:num>
  <w:num w:numId="15" w16cid:durableId="1412389884">
    <w:abstractNumId w:val="7"/>
  </w:num>
  <w:num w:numId="16" w16cid:durableId="1092118213">
    <w:abstractNumId w:val="2"/>
  </w:num>
  <w:num w:numId="17" w16cid:durableId="893850171">
    <w:abstractNumId w:val="21"/>
  </w:num>
  <w:num w:numId="18" w16cid:durableId="92552682">
    <w:abstractNumId w:val="4"/>
  </w:num>
  <w:num w:numId="19" w16cid:durableId="1684042536">
    <w:abstractNumId w:val="0"/>
  </w:num>
  <w:num w:numId="20" w16cid:durableId="2070105663">
    <w:abstractNumId w:val="8"/>
  </w:num>
  <w:num w:numId="21" w16cid:durableId="296765288">
    <w:abstractNumId w:val="17"/>
  </w:num>
  <w:num w:numId="22" w16cid:durableId="1483037557">
    <w:abstractNumId w:val="12"/>
  </w:num>
  <w:num w:numId="23" w16cid:durableId="1941176676">
    <w:abstractNumId w:val="9"/>
  </w:num>
  <w:num w:numId="24" w16cid:durableId="1359428454">
    <w:abstractNumId w:val="25"/>
  </w:num>
  <w:num w:numId="25" w16cid:durableId="1512455092">
    <w:abstractNumId w:val="18"/>
  </w:num>
  <w:num w:numId="26" w16cid:durableId="17835738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7760"/>
    <w:rsid w:val="0001204A"/>
    <w:rsid w:val="000358B3"/>
    <w:rsid w:val="000419D2"/>
    <w:rsid w:val="00047FAF"/>
    <w:rsid w:val="00061057"/>
    <w:rsid w:val="000850D0"/>
    <w:rsid w:val="000A5CF6"/>
    <w:rsid w:val="000C0C2F"/>
    <w:rsid w:val="000C0FB7"/>
    <w:rsid w:val="000C434A"/>
    <w:rsid w:val="000D2B42"/>
    <w:rsid w:val="000E0A24"/>
    <w:rsid w:val="001042A1"/>
    <w:rsid w:val="00111802"/>
    <w:rsid w:val="00115F06"/>
    <w:rsid w:val="00122B88"/>
    <w:rsid w:val="00123FCB"/>
    <w:rsid w:val="00131075"/>
    <w:rsid w:val="00164A2F"/>
    <w:rsid w:val="0016519B"/>
    <w:rsid w:val="0016529F"/>
    <w:rsid w:val="0017443D"/>
    <w:rsid w:val="0019298C"/>
    <w:rsid w:val="00193362"/>
    <w:rsid w:val="00196E1E"/>
    <w:rsid w:val="001B79E4"/>
    <w:rsid w:val="001D0CC6"/>
    <w:rsid w:val="001F5CCD"/>
    <w:rsid w:val="001F7007"/>
    <w:rsid w:val="00200FB5"/>
    <w:rsid w:val="00203E28"/>
    <w:rsid w:val="00207740"/>
    <w:rsid w:val="00220A0E"/>
    <w:rsid w:val="00230532"/>
    <w:rsid w:val="00231CF2"/>
    <w:rsid w:val="00233F08"/>
    <w:rsid w:val="00241641"/>
    <w:rsid w:val="0027015A"/>
    <w:rsid w:val="00276C46"/>
    <w:rsid w:val="002802A6"/>
    <w:rsid w:val="00284048"/>
    <w:rsid w:val="002858B7"/>
    <w:rsid w:val="002A6D4D"/>
    <w:rsid w:val="002F2696"/>
    <w:rsid w:val="00302B60"/>
    <w:rsid w:val="00325A69"/>
    <w:rsid w:val="00332DDD"/>
    <w:rsid w:val="003378FA"/>
    <w:rsid w:val="0034208E"/>
    <w:rsid w:val="00367760"/>
    <w:rsid w:val="00386B43"/>
    <w:rsid w:val="003A4A73"/>
    <w:rsid w:val="003A6500"/>
    <w:rsid w:val="003C45B4"/>
    <w:rsid w:val="00410289"/>
    <w:rsid w:val="004103D0"/>
    <w:rsid w:val="00412009"/>
    <w:rsid w:val="0041469A"/>
    <w:rsid w:val="00420DC9"/>
    <w:rsid w:val="004221B7"/>
    <w:rsid w:val="004302E8"/>
    <w:rsid w:val="004407C9"/>
    <w:rsid w:val="0045796E"/>
    <w:rsid w:val="004605A5"/>
    <w:rsid w:val="00464AAC"/>
    <w:rsid w:val="00470F08"/>
    <w:rsid w:val="00473B2D"/>
    <w:rsid w:val="004B2E77"/>
    <w:rsid w:val="004F4608"/>
    <w:rsid w:val="005136A0"/>
    <w:rsid w:val="00513DC3"/>
    <w:rsid w:val="0053353C"/>
    <w:rsid w:val="0054031E"/>
    <w:rsid w:val="00550677"/>
    <w:rsid w:val="00561EDF"/>
    <w:rsid w:val="00574155"/>
    <w:rsid w:val="00574271"/>
    <w:rsid w:val="00584482"/>
    <w:rsid w:val="00591A81"/>
    <w:rsid w:val="00591E55"/>
    <w:rsid w:val="00592FEA"/>
    <w:rsid w:val="00593530"/>
    <w:rsid w:val="0059484B"/>
    <w:rsid w:val="005A42D5"/>
    <w:rsid w:val="005A4619"/>
    <w:rsid w:val="005E0BBE"/>
    <w:rsid w:val="005E3656"/>
    <w:rsid w:val="005F44C0"/>
    <w:rsid w:val="00603C55"/>
    <w:rsid w:val="0061097E"/>
    <w:rsid w:val="006417D0"/>
    <w:rsid w:val="00643093"/>
    <w:rsid w:val="006457C0"/>
    <w:rsid w:val="00652840"/>
    <w:rsid w:val="00652FCD"/>
    <w:rsid w:val="00676216"/>
    <w:rsid w:val="00677883"/>
    <w:rsid w:val="006804D0"/>
    <w:rsid w:val="0068291F"/>
    <w:rsid w:val="006A2681"/>
    <w:rsid w:val="006C10F6"/>
    <w:rsid w:val="006C3FA3"/>
    <w:rsid w:val="006E24BE"/>
    <w:rsid w:val="006E26AF"/>
    <w:rsid w:val="006E3B37"/>
    <w:rsid w:val="006F2714"/>
    <w:rsid w:val="006F443B"/>
    <w:rsid w:val="0072238E"/>
    <w:rsid w:val="00727769"/>
    <w:rsid w:val="0073784D"/>
    <w:rsid w:val="00743524"/>
    <w:rsid w:val="007470BA"/>
    <w:rsid w:val="00761FF2"/>
    <w:rsid w:val="00784138"/>
    <w:rsid w:val="007926A9"/>
    <w:rsid w:val="007941B4"/>
    <w:rsid w:val="007A703C"/>
    <w:rsid w:val="007C0A21"/>
    <w:rsid w:val="007E520F"/>
    <w:rsid w:val="0080449E"/>
    <w:rsid w:val="008154CB"/>
    <w:rsid w:val="00843EE2"/>
    <w:rsid w:val="008848C0"/>
    <w:rsid w:val="00887439"/>
    <w:rsid w:val="008928D1"/>
    <w:rsid w:val="008A6254"/>
    <w:rsid w:val="008A7BE1"/>
    <w:rsid w:val="008B3D9D"/>
    <w:rsid w:val="008C469B"/>
    <w:rsid w:val="008D64BA"/>
    <w:rsid w:val="008E4278"/>
    <w:rsid w:val="008E6B93"/>
    <w:rsid w:val="008E6CAF"/>
    <w:rsid w:val="008F1D1B"/>
    <w:rsid w:val="00920FC2"/>
    <w:rsid w:val="00957AAB"/>
    <w:rsid w:val="00965592"/>
    <w:rsid w:val="00995A41"/>
    <w:rsid w:val="009A15BD"/>
    <w:rsid w:val="009C1AA6"/>
    <w:rsid w:val="009E3011"/>
    <w:rsid w:val="009E6BB0"/>
    <w:rsid w:val="009F57B8"/>
    <w:rsid w:val="00A0390E"/>
    <w:rsid w:val="00A12B87"/>
    <w:rsid w:val="00A373BB"/>
    <w:rsid w:val="00A411F8"/>
    <w:rsid w:val="00A431C3"/>
    <w:rsid w:val="00A43DC7"/>
    <w:rsid w:val="00A45A76"/>
    <w:rsid w:val="00A5467E"/>
    <w:rsid w:val="00A600B4"/>
    <w:rsid w:val="00A66B42"/>
    <w:rsid w:val="00A67C98"/>
    <w:rsid w:val="00A72060"/>
    <w:rsid w:val="00A87AC9"/>
    <w:rsid w:val="00AC52E5"/>
    <w:rsid w:val="00AC70C5"/>
    <w:rsid w:val="00AD4F6E"/>
    <w:rsid w:val="00AD706F"/>
    <w:rsid w:val="00AF0ECD"/>
    <w:rsid w:val="00B25BED"/>
    <w:rsid w:val="00B31628"/>
    <w:rsid w:val="00B56B2B"/>
    <w:rsid w:val="00B91C87"/>
    <w:rsid w:val="00BB6BEE"/>
    <w:rsid w:val="00BD24EB"/>
    <w:rsid w:val="00BF2142"/>
    <w:rsid w:val="00C014FD"/>
    <w:rsid w:val="00C047FF"/>
    <w:rsid w:val="00C456E9"/>
    <w:rsid w:val="00C529E6"/>
    <w:rsid w:val="00C67583"/>
    <w:rsid w:val="00CA08F2"/>
    <w:rsid w:val="00CB293C"/>
    <w:rsid w:val="00CC1E3C"/>
    <w:rsid w:val="00CD71AA"/>
    <w:rsid w:val="00CE6460"/>
    <w:rsid w:val="00CF6A67"/>
    <w:rsid w:val="00CF7B78"/>
    <w:rsid w:val="00D00E3D"/>
    <w:rsid w:val="00D02802"/>
    <w:rsid w:val="00D065C7"/>
    <w:rsid w:val="00D1365F"/>
    <w:rsid w:val="00D35B88"/>
    <w:rsid w:val="00D45ECC"/>
    <w:rsid w:val="00D50EBE"/>
    <w:rsid w:val="00D67969"/>
    <w:rsid w:val="00D7120B"/>
    <w:rsid w:val="00D732BC"/>
    <w:rsid w:val="00D73A3C"/>
    <w:rsid w:val="00DD5217"/>
    <w:rsid w:val="00DD5379"/>
    <w:rsid w:val="00E01738"/>
    <w:rsid w:val="00E20F7C"/>
    <w:rsid w:val="00E35D8F"/>
    <w:rsid w:val="00E45E6D"/>
    <w:rsid w:val="00E553A0"/>
    <w:rsid w:val="00E655BC"/>
    <w:rsid w:val="00E71A1C"/>
    <w:rsid w:val="00E7461D"/>
    <w:rsid w:val="00E747ED"/>
    <w:rsid w:val="00E81778"/>
    <w:rsid w:val="00E87DD1"/>
    <w:rsid w:val="00EA0E08"/>
    <w:rsid w:val="00EA1197"/>
    <w:rsid w:val="00EA1520"/>
    <w:rsid w:val="00EA5F1A"/>
    <w:rsid w:val="00EB419B"/>
    <w:rsid w:val="00EC7DA0"/>
    <w:rsid w:val="00EE5E10"/>
    <w:rsid w:val="00EF2BB7"/>
    <w:rsid w:val="00F10D05"/>
    <w:rsid w:val="00F11147"/>
    <w:rsid w:val="00F15871"/>
    <w:rsid w:val="00F254C1"/>
    <w:rsid w:val="00F31857"/>
    <w:rsid w:val="00F353AE"/>
    <w:rsid w:val="00F67E62"/>
    <w:rsid w:val="00F72D1F"/>
    <w:rsid w:val="00F76743"/>
    <w:rsid w:val="00F7739A"/>
    <w:rsid w:val="00F900CB"/>
    <w:rsid w:val="00FC0DA7"/>
    <w:rsid w:val="00FD459A"/>
    <w:rsid w:val="00FE37E6"/>
    <w:rsid w:val="00FF6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E4029"/>
  <w15:chartTrackingRefBased/>
  <w15:docId w15:val="{EDE8913A-DAD5-4377-8815-019DBAD56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9E4"/>
  </w:style>
  <w:style w:type="paragraph" w:styleId="Heading1">
    <w:name w:val="heading 1"/>
    <w:basedOn w:val="Normal"/>
    <w:next w:val="Normal"/>
    <w:link w:val="Heading1Char"/>
    <w:uiPriority w:val="9"/>
    <w:qFormat/>
    <w:rsid w:val="003677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77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77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77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77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77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77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77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77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77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77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77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77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77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77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77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77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7760"/>
    <w:rPr>
      <w:rFonts w:eastAsiaTheme="majorEastAsia" w:cstheme="majorBidi"/>
      <w:color w:val="272727" w:themeColor="text1" w:themeTint="D8"/>
    </w:rPr>
  </w:style>
  <w:style w:type="paragraph" w:styleId="Title">
    <w:name w:val="Title"/>
    <w:basedOn w:val="Normal"/>
    <w:next w:val="Normal"/>
    <w:link w:val="TitleChar"/>
    <w:uiPriority w:val="10"/>
    <w:qFormat/>
    <w:rsid w:val="003677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77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77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77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7760"/>
    <w:pPr>
      <w:spacing w:before="160"/>
      <w:jc w:val="center"/>
    </w:pPr>
    <w:rPr>
      <w:i/>
      <w:iCs/>
      <w:color w:val="404040" w:themeColor="text1" w:themeTint="BF"/>
    </w:rPr>
  </w:style>
  <w:style w:type="character" w:customStyle="1" w:styleId="QuoteChar">
    <w:name w:val="Quote Char"/>
    <w:basedOn w:val="DefaultParagraphFont"/>
    <w:link w:val="Quote"/>
    <w:uiPriority w:val="29"/>
    <w:rsid w:val="00367760"/>
    <w:rPr>
      <w:i/>
      <w:iCs/>
      <w:color w:val="404040" w:themeColor="text1" w:themeTint="BF"/>
    </w:rPr>
  </w:style>
  <w:style w:type="paragraph" w:styleId="ListParagraph">
    <w:name w:val="List Paragraph"/>
    <w:basedOn w:val="Normal"/>
    <w:uiPriority w:val="34"/>
    <w:qFormat/>
    <w:rsid w:val="00367760"/>
    <w:pPr>
      <w:ind w:left="720"/>
      <w:contextualSpacing/>
    </w:pPr>
  </w:style>
  <w:style w:type="character" w:styleId="IntenseEmphasis">
    <w:name w:val="Intense Emphasis"/>
    <w:basedOn w:val="DefaultParagraphFont"/>
    <w:uiPriority w:val="21"/>
    <w:qFormat/>
    <w:rsid w:val="00367760"/>
    <w:rPr>
      <w:i/>
      <w:iCs/>
      <w:color w:val="0F4761" w:themeColor="accent1" w:themeShade="BF"/>
    </w:rPr>
  </w:style>
  <w:style w:type="paragraph" w:styleId="IntenseQuote">
    <w:name w:val="Intense Quote"/>
    <w:basedOn w:val="Normal"/>
    <w:next w:val="Normal"/>
    <w:link w:val="IntenseQuoteChar"/>
    <w:uiPriority w:val="30"/>
    <w:qFormat/>
    <w:rsid w:val="003677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7760"/>
    <w:rPr>
      <w:i/>
      <w:iCs/>
      <w:color w:val="0F4761" w:themeColor="accent1" w:themeShade="BF"/>
    </w:rPr>
  </w:style>
  <w:style w:type="character" w:styleId="IntenseReference">
    <w:name w:val="Intense Reference"/>
    <w:basedOn w:val="DefaultParagraphFont"/>
    <w:uiPriority w:val="32"/>
    <w:qFormat/>
    <w:rsid w:val="00367760"/>
    <w:rPr>
      <w:b/>
      <w:bCs/>
      <w:smallCaps/>
      <w:color w:val="0F4761" w:themeColor="accent1" w:themeShade="BF"/>
      <w:spacing w:val="5"/>
    </w:rPr>
  </w:style>
  <w:style w:type="paragraph" w:styleId="Header">
    <w:name w:val="header"/>
    <w:basedOn w:val="Normal"/>
    <w:link w:val="HeaderChar"/>
    <w:uiPriority w:val="99"/>
    <w:unhideWhenUsed/>
    <w:rsid w:val="00D71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120B"/>
  </w:style>
  <w:style w:type="paragraph" w:styleId="Footer">
    <w:name w:val="footer"/>
    <w:basedOn w:val="Normal"/>
    <w:link w:val="FooterChar"/>
    <w:uiPriority w:val="99"/>
    <w:unhideWhenUsed/>
    <w:rsid w:val="00D71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120B"/>
  </w:style>
  <w:style w:type="paragraph" w:styleId="NormalWeb">
    <w:name w:val="Normal (Web)"/>
    <w:basedOn w:val="Normal"/>
    <w:uiPriority w:val="99"/>
    <w:unhideWhenUsed/>
    <w:rsid w:val="00EC7D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747ED"/>
    <w:rPr>
      <w:b/>
      <w:bCs/>
    </w:rPr>
  </w:style>
  <w:style w:type="paragraph" w:styleId="Revision">
    <w:name w:val="Revision"/>
    <w:hidden/>
    <w:uiPriority w:val="99"/>
    <w:semiHidden/>
    <w:rsid w:val="00464AAC"/>
    <w:pPr>
      <w:spacing w:after="0" w:line="240" w:lineRule="auto"/>
    </w:pPr>
  </w:style>
  <w:style w:type="character" w:styleId="Emphasis">
    <w:name w:val="Emphasis"/>
    <w:basedOn w:val="DefaultParagraphFont"/>
    <w:uiPriority w:val="20"/>
    <w:qFormat/>
    <w:rsid w:val="00061057"/>
    <w:rPr>
      <w:i/>
      <w:iCs/>
    </w:rPr>
  </w:style>
  <w:style w:type="character" w:styleId="Hyperlink">
    <w:name w:val="Hyperlink"/>
    <w:basedOn w:val="DefaultParagraphFont"/>
    <w:uiPriority w:val="99"/>
    <w:semiHidden/>
    <w:unhideWhenUsed/>
    <w:rsid w:val="0006105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oolshero.com"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nic.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kessays.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4693</Words>
  <Characters>26756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2026-04-07T23:48:00Z</dcterms:created>
  <dcterms:modified xsi:type="dcterms:W3CDTF">2026-04-07T23:48:00Z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3bdc8cfb-5f67-4272-892f-effa4554a64f</vt:lpwstr>
  </property>
</Properties>
</file>