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1E3E6A" w14:textId="77777777" w:rsidR="00E42B7D" w:rsidRPr="00CB5C68" w:rsidRDefault="00E42B7D" w:rsidP="00CB5C68">
      <w:pPr>
        <w:spacing w:before="100" w:beforeAutospacing="1" w:after="100" w:afterAutospacing="1" w:line="360" w:lineRule="auto"/>
        <w:jc w:val="both"/>
        <w:rPr>
          <w:rFonts w:ascii="Times New Roman" w:eastAsia="Times New Roman" w:hAnsi="Times New Roman" w:cs="Times New Roman"/>
          <w:b/>
          <w:bCs/>
          <w:lang w:eastAsia="en-GB"/>
          <w14:ligatures w14:val="none"/>
        </w:rPr>
      </w:pPr>
    </w:p>
    <w:p w14:paraId="6E6383B0" w14:textId="77777777" w:rsidR="00E42B7D" w:rsidRPr="00CB5C68" w:rsidRDefault="00E42B7D" w:rsidP="00CB5C68">
      <w:pPr>
        <w:spacing w:before="100" w:beforeAutospacing="1" w:after="100" w:afterAutospacing="1" w:line="360" w:lineRule="auto"/>
        <w:jc w:val="both"/>
        <w:rPr>
          <w:rFonts w:ascii="Times New Roman" w:eastAsia="Times New Roman" w:hAnsi="Times New Roman" w:cs="Times New Roman"/>
          <w:b/>
          <w:bCs/>
          <w:lang w:eastAsia="en-GB"/>
          <w14:ligatures w14:val="none"/>
        </w:rPr>
      </w:pPr>
    </w:p>
    <w:p w14:paraId="2E684C23" w14:textId="77777777" w:rsidR="00E42B7D" w:rsidRPr="00CB5C68" w:rsidRDefault="00E42B7D" w:rsidP="00CB5C68">
      <w:pPr>
        <w:spacing w:before="100" w:beforeAutospacing="1" w:after="100" w:afterAutospacing="1" w:line="360" w:lineRule="auto"/>
        <w:jc w:val="both"/>
        <w:rPr>
          <w:rFonts w:ascii="Times New Roman" w:eastAsia="Times New Roman" w:hAnsi="Times New Roman" w:cs="Times New Roman"/>
          <w:b/>
          <w:bCs/>
          <w:lang w:eastAsia="en-GB"/>
          <w14:ligatures w14:val="none"/>
        </w:rPr>
      </w:pPr>
    </w:p>
    <w:p w14:paraId="4005EE25" w14:textId="77777777" w:rsidR="00E42B7D" w:rsidRPr="00CB5C68" w:rsidRDefault="00E42B7D" w:rsidP="00CB5C68">
      <w:pPr>
        <w:spacing w:before="100" w:beforeAutospacing="1" w:after="100" w:afterAutospacing="1" w:line="360" w:lineRule="auto"/>
        <w:jc w:val="both"/>
        <w:rPr>
          <w:rFonts w:ascii="Times New Roman" w:eastAsia="Times New Roman" w:hAnsi="Times New Roman" w:cs="Times New Roman"/>
          <w:b/>
          <w:bCs/>
          <w:lang w:eastAsia="en-GB"/>
          <w14:ligatures w14:val="none"/>
        </w:rPr>
      </w:pPr>
    </w:p>
    <w:p w14:paraId="60CC45BA" w14:textId="77777777" w:rsidR="00E42B7D" w:rsidRPr="00CB5C68" w:rsidRDefault="00E42B7D" w:rsidP="00CB5C68">
      <w:pPr>
        <w:spacing w:before="100" w:beforeAutospacing="1" w:after="100" w:afterAutospacing="1" w:line="360" w:lineRule="auto"/>
        <w:jc w:val="both"/>
        <w:rPr>
          <w:rFonts w:ascii="Times New Roman" w:eastAsia="Times New Roman" w:hAnsi="Times New Roman" w:cs="Times New Roman"/>
          <w:b/>
          <w:bCs/>
          <w:lang w:eastAsia="en-GB"/>
          <w14:ligatures w14:val="none"/>
        </w:rPr>
      </w:pPr>
    </w:p>
    <w:p w14:paraId="509999D5" w14:textId="77777777" w:rsidR="00E42B7D" w:rsidRPr="00CB5C68" w:rsidRDefault="00E42B7D" w:rsidP="00CB5C68">
      <w:pPr>
        <w:spacing w:before="100" w:beforeAutospacing="1" w:after="100" w:afterAutospacing="1" w:line="360" w:lineRule="auto"/>
        <w:jc w:val="both"/>
        <w:rPr>
          <w:rFonts w:ascii="Times New Roman" w:eastAsia="Times New Roman" w:hAnsi="Times New Roman" w:cs="Times New Roman"/>
          <w:b/>
          <w:bCs/>
          <w:lang w:eastAsia="en-GB"/>
          <w14:ligatures w14:val="none"/>
        </w:rPr>
      </w:pPr>
    </w:p>
    <w:p w14:paraId="73927A1E" w14:textId="77777777" w:rsidR="00E42B7D" w:rsidRPr="00CB5C68" w:rsidRDefault="00E42B7D" w:rsidP="00CB5C68">
      <w:pPr>
        <w:spacing w:before="100" w:beforeAutospacing="1" w:after="100" w:afterAutospacing="1" w:line="360" w:lineRule="auto"/>
        <w:jc w:val="both"/>
        <w:rPr>
          <w:rFonts w:ascii="Times New Roman" w:eastAsia="Times New Roman" w:hAnsi="Times New Roman" w:cs="Times New Roman"/>
          <w:b/>
          <w:bCs/>
          <w:lang w:eastAsia="en-GB"/>
          <w14:ligatures w14:val="none"/>
        </w:rPr>
      </w:pPr>
    </w:p>
    <w:p w14:paraId="7181E261" w14:textId="10169AE8" w:rsidR="00E42B7D" w:rsidRPr="00CB5C68" w:rsidRDefault="0017067C" w:rsidP="00CB5C68">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E8E8E8" w:themeFill="background2"/>
        <w:spacing w:before="100" w:beforeAutospacing="1" w:after="100" w:afterAutospacing="1" w:line="360" w:lineRule="auto"/>
        <w:jc w:val="both"/>
        <w:rPr>
          <w:rFonts w:ascii="Times New Roman" w:eastAsia="Times New Roman" w:hAnsi="Times New Roman" w:cs="Times New Roman"/>
          <w:b/>
          <w:bCs/>
          <w:lang w:eastAsia="en-GB"/>
          <w14:ligatures w14:val="none"/>
        </w:rPr>
      </w:pPr>
      <w:r w:rsidRPr="00CB5C68">
        <w:rPr>
          <w:rFonts w:ascii="Times New Roman" w:eastAsia="Times New Roman" w:hAnsi="Times New Roman" w:cs="Times New Roman"/>
          <w:b/>
          <w:bCs/>
          <w:lang w:eastAsia="en-GB"/>
          <w14:ligatures w14:val="none"/>
        </w:rPr>
        <w:t xml:space="preserve">Title: </w:t>
      </w:r>
      <w:r w:rsidR="002F630D" w:rsidRPr="00CB5C68">
        <w:rPr>
          <w:rFonts w:ascii="Times New Roman" w:eastAsia="Times New Roman" w:hAnsi="Times New Roman" w:cs="Times New Roman"/>
          <w:b/>
          <w:bCs/>
          <w:lang w:eastAsia="en-GB"/>
          <w14:ligatures w14:val="none"/>
        </w:rPr>
        <w:t>“An Integrated Analysis of Financial Performance and Investment Appraisal in Business Decision-Making”</w:t>
      </w:r>
    </w:p>
    <w:p w14:paraId="2EEDA376" w14:textId="2D58305C" w:rsidR="0017067C" w:rsidRPr="00CB5C68" w:rsidRDefault="0017067C" w:rsidP="00CB5C68">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E8E8E8" w:themeFill="background2"/>
        <w:spacing w:before="100" w:beforeAutospacing="1" w:after="100" w:afterAutospacing="1" w:line="360" w:lineRule="auto"/>
        <w:jc w:val="both"/>
        <w:rPr>
          <w:rFonts w:ascii="Times New Roman" w:eastAsia="Times New Roman" w:hAnsi="Times New Roman" w:cs="Times New Roman"/>
          <w:b/>
          <w:bCs/>
          <w:lang w:eastAsia="en-GB"/>
          <w14:ligatures w14:val="none"/>
        </w:rPr>
      </w:pPr>
      <w:r w:rsidRPr="00CB5C68">
        <w:rPr>
          <w:rFonts w:ascii="Times New Roman" w:eastAsia="Times New Roman" w:hAnsi="Times New Roman" w:cs="Times New Roman"/>
          <w:b/>
          <w:bCs/>
          <w:lang w:eastAsia="en-GB"/>
          <w14:ligatures w14:val="none"/>
        </w:rPr>
        <w:t>Name:</w:t>
      </w:r>
      <w:r w:rsidR="000B572B">
        <w:rPr>
          <w:rFonts w:ascii="Times New Roman" w:eastAsia="Times New Roman" w:hAnsi="Times New Roman" w:cs="Times New Roman"/>
          <w:b/>
          <w:bCs/>
          <w:lang w:eastAsia="en-GB"/>
          <w14:ligatures w14:val="none"/>
        </w:rPr>
        <w:t xml:space="preserve"> </w:t>
      </w:r>
      <w:proofErr w:type="spellStart"/>
      <w:r w:rsidR="000B572B">
        <w:rPr>
          <w:rFonts w:ascii="Times New Roman" w:eastAsia="Times New Roman" w:hAnsi="Times New Roman" w:cs="Times New Roman"/>
          <w:b/>
          <w:bCs/>
          <w:lang w:eastAsia="en-GB"/>
          <w14:ligatures w14:val="none"/>
        </w:rPr>
        <w:t>Bhavdip</w:t>
      </w:r>
      <w:proofErr w:type="spellEnd"/>
      <w:r w:rsidR="000B572B">
        <w:rPr>
          <w:rFonts w:ascii="Times New Roman" w:eastAsia="Times New Roman" w:hAnsi="Times New Roman" w:cs="Times New Roman"/>
          <w:b/>
          <w:bCs/>
          <w:lang w:eastAsia="en-GB"/>
          <w14:ligatures w14:val="none"/>
        </w:rPr>
        <w:t xml:space="preserve"> Maheshkumar </w:t>
      </w:r>
      <w:proofErr w:type="spellStart"/>
      <w:r w:rsidR="000B572B">
        <w:rPr>
          <w:rFonts w:ascii="Times New Roman" w:eastAsia="Times New Roman" w:hAnsi="Times New Roman" w:cs="Times New Roman"/>
          <w:b/>
          <w:bCs/>
          <w:lang w:eastAsia="en-GB"/>
          <w14:ligatures w14:val="none"/>
        </w:rPr>
        <w:t>Gudechiya</w:t>
      </w:r>
      <w:proofErr w:type="spellEnd"/>
      <w:r w:rsidR="000B572B">
        <w:rPr>
          <w:rFonts w:ascii="Times New Roman" w:eastAsia="Times New Roman" w:hAnsi="Times New Roman" w:cs="Times New Roman"/>
          <w:b/>
          <w:bCs/>
          <w:lang w:eastAsia="en-GB"/>
          <w14:ligatures w14:val="none"/>
        </w:rPr>
        <w:t xml:space="preserve"> </w:t>
      </w:r>
    </w:p>
    <w:p w14:paraId="795EC786" w14:textId="690FC630" w:rsidR="0017067C" w:rsidRDefault="0017067C" w:rsidP="00CB5C68">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E8E8E8" w:themeFill="background2"/>
        <w:spacing w:before="100" w:beforeAutospacing="1" w:after="100" w:afterAutospacing="1" w:line="360" w:lineRule="auto"/>
        <w:jc w:val="both"/>
        <w:rPr>
          <w:rFonts w:ascii="Times New Roman" w:eastAsia="Times New Roman" w:hAnsi="Times New Roman" w:cs="Times New Roman"/>
          <w:b/>
          <w:bCs/>
          <w:lang w:eastAsia="en-GB"/>
          <w14:ligatures w14:val="none"/>
        </w:rPr>
      </w:pPr>
      <w:r w:rsidRPr="00CB5C68">
        <w:rPr>
          <w:rFonts w:ascii="Times New Roman" w:eastAsia="Times New Roman" w:hAnsi="Times New Roman" w:cs="Times New Roman"/>
          <w:b/>
          <w:bCs/>
          <w:lang w:eastAsia="en-GB"/>
          <w14:ligatures w14:val="none"/>
        </w:rPr>
        <w:t>ID:</w:t>
      </w:r>
      <w:r w:rsidR="000B572B">
        <w:rPr>
          <w:rFonts w:ascii="Times New Roman" w:eastAsia="Times New Roman" w:hAnsi="Times New Roman" w:cs="Times New Roman"/>
          <w:b/>
          <w:bCs/>
          <w:lang w:eastAsia="en-GB"/>
          <w14:ligatures w14:val="none"/>
        </w:rPr>
        <w:t xml:space="preserve"> 2506737 </w:t>
      </w:r>
    </w:p>
    <w:p w14:paraId="4C3DB4AA" w14:textId="0F520162" w:rsidR="000B572B" w:rsidRPr="00CB5C68" w:rsidRDefault="000B572B" w:rsidP="00CB5C68">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E8E8E8" w:themeFill="background2"/>
        <w:spacing w:before="100" w:beforeAutospacing="1" w:after="100" w:afterAutospacing="1" w:line="360" w:lineRule="auto"/>
        <w:jc w:val="both"/>
        <w:rPr>
          <w:rFonts w:ascii="Times New Roman" w:eastAsia="Times New Roman" w:hAnsi="Times New Roman" w:cs="Times New Roman"/>
          <w:b/>
          <w:bCs/>
          <w:lang w:eastAsia="en-GB"/>
          <w14:ligatures w14:val="none"/>
        </w:rPr>
      </w:pPr>
      <w:r>
        <w:rPr>
          <w:rFonts w:ascii="Times New Roman" w:eastAsia="Times New Roman" w:hAnsi="Times New Roman" w:cs="Times New Roman"/>
          <w:b/>
          <w:bCs/>
          <w:lang w:eastAsia="en-GB"/>
          <w14:ligatures w14:val="none"/>
        </w:rPr>
        <w:t xml:space="preserve">Subject: </w:t>
      </w:r>
      <w:r w:rsidRPr="000B572B">
        <w:rPr>
          <w:rFonts w:ascii="Times New Roman" w:eastAsia="Times New Roman" w:hAnsi="Times New Roman" w:cs="Times New Roman"/>
          <w:b/>
          <w:bCs/>
          <w:lang w:eastAsia="en-GB"/>
          <w14:ligatures w14:val="none"/>
        </w:rPr>
        <w:t>Finance For Business Managers (BMMB7005)</w:t>
      </w:r>
      <w:r>
        <w:rPr>
          <w:rFonts w:ascii="Times New Roman" w:eastAsia="Times New Roman" w:hAnsi="Times New Roman" w:cs="Times New Roman"/>
          <w:b/>
          <w:bCs/>
          <w:lang w:eastAsia="en-GB"/>
          <w14:ligatures w14:val="none"/>
        </w:rPr>
        <w:t xml:space="preserve"> </w:t>
      </w:r>
    </w:p>
    <w:p w14:paraId="295D6DD7" w14:textId="77777777" w:rsidR="00E42B7D" w:rsidRPr="00CB5C68" w:rsidRDefault="00E42B7D" w:rsidP="00CB5C68">
      <w:pPr>
        <w:spacing w:before="100" w:beforeAutospacing="1" w:after="100" w:afterAutospacing="1" w:line="360" w:lineRule="auto"/>
        <w:jc w:val="both"/>
        <w:rPr>
          <w:rFonts w:ascii="Times New Roman" w:eastAsia="Times New Roman" w:hAnsi="Times New Roman" w:cs="Times New Roman"/>
          <w:b/>
          <w:bCs/>
          <w:lang w:eastAsia="en-GB"/>
          <w14:ligatures w14:val="none"/>
        </w:rPr>
      </w:pPr>
    </w:p>
    <w:p w14:paraId="1508C324" w14:textId="77777777" w:rsidR="000B572B" w:rsidRDefault="000B572B" w:rsidP="000B572B">
      <w:pPr>
        <w:pStyle w:val="NoSpacing"/>
        <w:spacing w:before="1540" w:after="240"/>
        <w:jc w:val="center"/>
        <w:rPr>
          <w:color w:val="156082" w:themeColor="accent1"/>
        </w:rPr>
      </w:pPr>
    </w:p>
    <w:p w14:paraId="42C17AA1" w14:textId="07E91CF6" w:rsidR="000B572B" w:rsidRDefault="000B572B" w:rsidP="000B572B">
      <w:pPr>
        <w:pStyle w:val="NoSpacing"/>
        <w:spacing w:before="1540" w:after="240"/>
        <w:jc w:val="center"/>
        <w:rPr>
          <w:color w:val="156082" w:themeColor="accent1"/>
        </w:rPr>
      </w:pPr>
      <w:r>
        <w:rPr>
          <w:noProof/>
          <w:color w:val="156082" w:themeColor="accent1"/>
          <w:lang w:val="en-GB" w:eastAsia="en-GB"/>
        </w:rPr>
        <w:lastRenderedPageBreak/>
        <w:drawing>
          <wp:inline distT="0" distB="0" distL="0" distR="0" wp14:anchorId="04DD2E2E" wp14:editId="09AB2E60">
            <wp:extent cx="1417320" cy="754380"/>
            <wp:effectExtent l="0" t="0" r="0" b="0"/>
            <wp:docPr id="143" name="Picture 2"/>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id w:val="1735040861"/>
        <w:placeholder>
          <w:docPart w:val="D4CEA5BEDE8F46F0A4452E52DE569A08"/>
        </w:placeholder>
        <w:dataBinding w:prefixMappings="xmlns:ns0='http://purl.org/dc/elements/1.1/' xmlns:ns1='http://schemas.openxmlformats.org/package/2006/metadata/core-properties' " w:xpath="/ns1:coreProperties[1]/ns0:title[1]" w:storeItemID="{6C3C8BC8-F283-45AE-878A-BAB7291924A1}"/>
        <w:text/>
      </w:sdtPr>
      <w:sdtContent>
        <w:p w14:paraId="138A3D58" w14:textId="2EF725AB" w:rsidR="000B572B" w:rsidRDefault="00692698" w:rsidP="000B572B">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Rolls-ROYCE</w:t>
          </w:r>
        </w:p>
      </w:sdtContent>
    </w:sdt>
    <w:p w14:paraId="39601E0E" w14:textId="60FF00EE" w:rsidR="000B572B" w:rsidRDefault="000B572B" w:rsidP="000B572B">
      <w:pPr>
        <w:pStyle w:val="NoSpacing"/>
        <w:spacing w:before="480"/>
        <w:jc w:val="center"/>
        <w:rPr>
          <w:rFonts w:asciiTheme="minorHAnsi" w:hAnsiTheme="minorHAnsi" w:cstheme="minorBidi"/>
          <w:color w:val="156082" w:themeColor="accent1"/>
        </w:rPr>
      </w:pPr>
      <w:r>
        <w:rPr>
          <w:rFonts w:asciiTheme="minorHAnsi" w:hAnsiTheme="minorHAnsi" w:cstheme="minorBidi"/>
          <w:noProof/>
        </w:rPr>
        <mc:AlternateContent>
          <mc:Choice Requires="wps">
            <w:drawing>
              <wp:anchor distT="0" distB="0" distL="114300" distR="114300" simplePos="0" relativeHeight="251658240" behindDoc="0" locked="0" layoutInCell="1" allowOverlap="1" wp14:anchorId="138F8B3C" wp14:editId="3492060D">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5849620" cy="614680"/>
                <wp:effectExtent l="0" t="0" r="0" b="13970"/>
                <wp:wrapNone/>
                <wp:docPr id="142" name="Text Box 3"/>
                <wp:cNvGraphicFramePr/>
                <a:graphic xmlns:a="http://schemas.openxmlformats.org/drawingml/2006/main">
                  <a:graphicData uri="http://schemas.microsoft.com/office/word/2010/wordprocessingShape">
                    <wps:wsp>
                      <wps:cNvSpPr txBox="1"/>
                      <wps:spPr>
                        <a:xfrm>
                          <a:off x="0" y="0"/>
                          <a:ext cx="594360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id w:val="197127006"/>
                              <w:showingPlcHdr/>
                              <w:dataBinding w:prefixMappings="xmlns:ns0='http://schemas.microsoft.com/office/2006/coverPageProps' " w:xpath="/ns0:CoverPageProperties[1]/ns0:PublishDate[1]" w:storeItemID="{55AF091B-3C7A-41E3-B477-F2FDAA23CFDA}"/>
                              <w:date w:fullDate="2026-01-07T00:00:00Z">
                                <w:dateFormat w:val="MMMM d, yyyy"/>
                                <w:lid w:val="en-US"/>
                                <w:storeMappedDataAs w:val="dateTime"/>
                                <w:calendar w:val="gregorian"/>
                              </w:date>
                            </w:sdtPr>
                            <w:sdtContent>
                              <w:p w14:paraId="46A98CE5" w14:textId="77777777" w:rsidR="000B572B" w:rsidRDefault="000B572B" w:rsidP="000B572B">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718F174A" w14:textId="29B35584" w:rsidR="000B572B" w:rsidRDefault="000B572B" w:rsidP="000B572B">
                            <w:pPr>
                              <w:pStyle w:val="NoSpacing"/>
                              <w:jc w:val="center"/>
                              <w:rPr>
                                <w:color w:val="156082" w:themeColor="accent1"/>
                              </w:rPr>
                            </w:pPr>
                            <w:sdt>
                              <w:sdtPr>
                                <w:rPr>
                                  <w:caps/>
                                  <w:color w:val="156082" w:themeColor="accent1"/>
                                </w:rPr>
                                <w:alias w:val="Company"/>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12/01/2026</w:t>
                                </w:r>
                              </w:sdtContent>
                            </w:sdt>
                          </w:p>
                          <w:p w14:paraId="197D5384" w14:textId="77777777" w:rsidR="000B572B" w:rsidRDefault="000B572B" w:rsidP="000B572B">
                            <w:pPr>
                              <w:pStyle w:val="NoSpacing"/>
                              <w:jc w:val="center"/>
                              <w:rPr>
                                <w:color w:val="156082" w:themeColor="accent1"/>
                              </w:rPr>
                            </w:pPr>
                            <w:sdt>
                              <w:sdtPr>
                                <w:rPr>
                                  <w:color w:val="156082" w:themeColor="accent1"/>
                                </w:rPr>
                                <w:alias w:val="Address"/>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rPr>
                                  <w:t xml:space="preserve">     </w:t>
                                </w:r>
                              </w:sdtContent>
                            </w:sdt>
                            <w:r>
                              <w:rPr>
                                <w:color w:val="156082" w:themeColor="accent1"/>
                              </w:rPr>
                              <w:t xml:space="preserve">UNIVERSITY OF WALES TRINITY SAINT DAVID </w:t>
                            </w:r>
                          </w:p>
                        </w:txbxContent>
                      </wps:txbx>
                      <wps:bodyPr rot="0" spcFirstLastPara="0" vertOverflow="clip" horzOverflow="clip"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38F8B3C" id="_x0000_t202" coordsize="21600,21600" o:spt="202" path="m,l,21600r21600,l21600,xe">
                <v:stroke joinstyle="miter"/>
                <v:path gradientshapeok="t" o:connecttype="rect"/>
              </v:shapetype>
              <v:shape id="Text Box 3" o:spid="_x0000_s1026" type="#_x0000_t202" style="position:absolute;left:0;text-align:left;margin-left:0;margin-top:0;width:460.6pt;height:48.4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" filled="f" stroked="f" strokeweight=".5pt">
                <v:textbox style="mso-fit-shape-to-text:t" inset="0,0,0,0">
                  <w:txbxContent>
                    <w:sdt>
                      <w:sdtPr>
                        <w:rPr>
                          <w:caps/>
                          <w:color w:val="156082" w:themeColor="accent1"/>
                          <w:sz w:val="28"/>
                          <w:szCs w:val="28"/>
                        </w:rPr>
                        <w:alias w:val="Date"/>
                        <w:id w:val="197127006"/>
                        <w:showingPlcHdr/>
                        <w:dataBinding w:prefixMappings="xmlns:ns0='http://schemas.microsoft.com/office/2006/coverPageProps' " w:xpath="/ns0:CoverPageProperties[1]/ns0:PublishDate[1]" w:storeItemID="{55AF091B-3C7A-41E3-B477-F2FDAA23CFDA}"/>
                        <w:date w:fullDate="2026-01-07T00:00:00Z">
                          <w:dateFormat w:val="MMMM d, yyyy"/>
                          <w:lid w:val="en-US"/>
                          <w:storeMappedDataAs w:val="dateTime"/>
                          <w:calendar w:val="gregorian"/>
                        </w:date>
                      </w:sdtPr>
                      <w:sdtContent>
                        <w:p w14:paraId="46A98CE5" w14:textId="77777777" w:rsidR="000B572B" w:rsidRDefault="000B572B" w:rsidP="000B572B">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718F174A" w14:textId="29B35584" w:rsidR="000B572B" w:rsidRDefault="000B572B" w:rsidP="000B572B">
                      <w:pPr>
                        <w:pStyle w:val="NoSpacing"/>
                        <w:jc w:val="center"/>
                        <w:rPr>
                          <w:color w:val="156082" w:themeColor="accent1"/>
                        </w:rPr>
                      </w:pPr>
                      <w:sdt>
                        <w:sdtPr>
                          <w:rPr>
                            <w:caps/>
                            <w:color w:val="156082" w:themeColor="accent1"/>
                          </w:rPr>
                          <w:alias w:val="Company"/>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12/01/2026</w:t>
                          </w:r>
                        </w:sdtContent>
                      </w:sdt>
                    </w:p>
                    <w:p w14:paraId="197D5384" w14:textId="77777777" w:rsidR="000B572B" w:rsidRDefault="000B572B" w:rsidP="000B572B">
                      <w:pPr>
                        <w:pStyle w:val="NoSpacing"/>
                        <w:jc w:val="center"/>
                        <w:rPr>
                          <w:color w:val="156082" w:themeColor="accent1"/>
                        </w:rPr>
                      </w:pPr>
                      <w:sdt>
                        <w:sdtPr>
                          <w:rPr>
                            <w:color w:val="156082" w:themeColor="accent1"/>
                          </w:rPr>
                          <w:alias w:val="Address"/>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rPr>
                            <w:t xml:space="preserve">     </w:t>
                          </w:r>
                        </w:sdtContent>
                      </w:sdt>
                      <w:r>
                        <w:rPr>
                          <w:color w:val="156082" w:themeColor="accent1"/>
                        </w:rPr>
                        <w:t xml:space="preserve">UNIVERSITY OF WALES TRINITY SAINT DAVID </w:t>
                      </w:r>
                    </w:p>
                  </w:txbxContent>
                </v:textbox>
                <w10:wrap anchorx="margin" anchory="page"/>
              </v:shape>
            </w:pict>
          </mc:Fallback>
        </mc:AlternateContent>
      </w:r>
      <w:r>
        <w:rPr>
          <w:noProof/>
          <w:color w:val="156082" w:themeColor="accent1"/>
          <w:lang w:val="en-GB" w:eastAsia="en-GB"/>
        </w:rPr>
        <w:drawing>
          <wp:inline distT="0" distB="0" distL="0" distR="0" wp14:anchorId="344142B9" wp14:editId="689DD2C1">
            <wp:extent cx="762000" cy="480060"/>
            <wp:effectExtent l="0" t="0" r="0" b="0"/>
            <wp:docPr id="144" name="Picture 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inline>
        </w:drawing>
      </w:r>
    </w:p>
    <w:p w14:paraId="38688735" w14:textId="0C32F148" w:rsidR="0017067C" w:rsidRDefault="000B572B" w:rsidP="000B572B">
      <w:r>
        <w:rPr>
          <w14:ligatures w14:val="none"/>
        </w:rPr>
        <w:br w:type="page"/>
      </w:r>
    </w:p>
    <w:p w14:paraId="6DF3FCD9" w14:textId="77777777" w:rsidR="000B572B" w:rsidRPr="000B572B" w:rsidRDefault="000B572B" w:rsidP="000B572B"/>
    <w:sdt>
      <w:sdtPr>
        <w:rPr>
          <w:rFonts w:asciiTheme="minorHAnsi" w:eastAsiaTheme="minorHAnsi" w:hAnsiTheme="minorHAnsi" w:cstheme="minorBidi"/>
          <w:color w:val="auto"/>
          <w:sz w:val="24"/>
          <w:szCs w:val="24"/>
          <w:lang w:val="en-GB"/>
        </w:rPr>
        <w:id w:val="1521126199"/>
        <w:docPartObj>
          <w:docPartGallery w:val="Table of Contents"/>
          <w:docPartUnique/>
        </w:docPartObj>
      </w:sdtPr>
      <w:sdtEndPr>
        <w:rPr>
          <w:b/>
          <w:bCs/>
          <w:noProof/>
        </w:rPr>
      </w:sdtEndPr>
      <w:sdtContent>
        <w:p w14:paraId="15073852" w14:textId="6EDB145D" w:rsidR="00E42B7D" w:rsidRPr="000B572B" w:rsidRDefault="00E42B7D" w:rsidP="00CB5C68">
          <w:pPr>
            <w:pStyle w:val="TOCHeading"/>
            <w:spacing w:line="360" w:lineRule="auto"/>
            <w:jc w:val="both"/>
            <w:rPr>
              <w:rFonts w:asciiTheme="minorHAnsi" w:eastAsiaTheme="minorHAnsi" w:hAnsiTheme="minorHAnsi" w:cstheme="minorBidi"/>
              <w:color w:val="auto"/>
              <w:sz w:val="24"/>
              <w:szCs w:val="24"/>
              <w:lang w:val="en-GB"/>
            </w:rPr>
          </w:pPr>
          <w:r w:rsidRPr="00CB5C68">
            <w:rPr>
              <w:rFonts w:ascii="Times New Roman" w:hAnsi="Times New Roman" w:cs="Times New Roman"/>
              <w:b/>
              <w:bCs/>
              <w:color w:val="auto"/>
              <w:lang w:val="en-GB"/>
            </w:rPr>
            <w:t>Contents</w:t>
          </w:r>
        </w:p>
        <w:p w14:paraId="09685CD5" w14:textId="6E799BFA" w:rsidR="000B572B" w:rsidRDefault="00E42B7D">
          <w:pPr>
            <w:pStyle w:val="TOC1"/>
            <w:tabs>
              <w:tab w:val="right" w:leader="dot" w:pos="9350"/>
            </w:tabs>
            <w:rPr>
              <w:rFonts w:eastAsiaTheme="minorEastAsia"/>
              <w:noProof/>
              <w:kern w:val="2"/>
              <w:lang w:eastAsia="en-GB" w:bidi="gu-IN"/>
            </w:rPr>
          </w:pPr>
          <w:r w:rsidRPr="00CB5C68">
            <w:fldChar w:fldCharType="begin"/>
          </w:r>
          <w:r w:rsidRPr="00CB5C68">
            <w:instrText xml:space="preserve"> TOC \o "1-3" \h \z \u </w:instrText>
          </w:r>
          <w:r w:rsidRPr="00CB5C68">
            <w:fldChar w:fldCharType="separate"/>
          </w:r>
          <w:hyperlink w:anchor="_Toc219121970" w:history="1">
            <w:r w:rsidR="000B572B" w:rsidRPr="0034219A">
              <w:rPr>
                <w:rStyle w:val="Hyperlink"/>
                <w:rFonts w:ascii="Times New Roman" w:eastAsia="Times New Roman" w:hAnsi="Times New Roman" w:cs="Times New Roman"/>
                <w:b/>
                <w:bCs/>
                <w:noProof/>
                <w:kern w:val="36"/>
                <w:lang w:eastAsia="en-GB"/>
                <w14:ligatures w14:val="none"/>
              </w:rPr>
              <w:t>PART 1 – Financial Performance Analysis</w:t>
            </w:r>
            <w:r w:rsidR="000B572B">
              <w:rPr>
                <w:noProof/>
                <w:webHidden/>
              </w:rPr>
              <w:tab/>
            </w:r>
            <w:r w:rsidR="000B572B">
              <w:rPr>
                <w:noProof/>
                <w:webHidden/>
              </w:rPr>
              <w:fldChar w:fldCharType="begin"/>
            </w:r>
            <w:r w:rsidR="000B572B">
              <w:rPr>
                <w:noProof/>
                <w:webHidden/>
              </w:rPr>
              <w:instrText xml:space="preserve"> PAGEREF _Toc219121970 \h </w:instrText>
            </w:r>
            <w:r w:rsidR="000B572B">
              <w:rPr>
                <w:noProof/>
                <w:webHidden/>
              </w:rPr>
            </w:r>
            <w:r w:rsidR="000B572B">
              <w:rPr>
                <w:noProof/>
                <w:webHidden/>
              </w:rPr>
              <w:fldChar w:fldCharType="separate"/>
            </w:r>
            <w:r w:rsidR="000B572B">
              <w:rPr>
                <w:noProof/>
                <w:webHidden/>
              </w:rPr>
              <w:t>5</w:t>
            </w:r>
            <w:r w:rsidR="000B572B">
              <w:rPr>
                <w:noProof/>
                <w:webHidden/>
              </w:rPr>
              <w:fldChar w:fldCharType="end"/>
            </w:r>
          </w:hyperlink>
        </w:p>
        <w:p w14:paraId="03BE0610" w14:textId="1F115E51" w:rsidR="000B572B" w:rsidRDefault="000B572B">
          <w:pPr>
            <w:pStyle w:val="TOC2"/>
            <w:tabs>
              <w:tab w:val="right" w:leader="dot" w:pos="9350"/>
            </w:tabs>
            <w:rPr>
              <w:rFonts w:eastAsiaTheme="minorEastAsia"/>
              <w:noProof/>
              <w:kern w:val="2"/>
              <w:lang w:eastAsia="en-GB" w:bidi="gu-IN"/>
            </w:rPr>
          </w:pPr>
          <w:hyperlink w:anchor="_Toc219121971" w:history="1">
            <w:r w:rsidRPr="0034219A">
              <w:rPr>
                <w:rStyle w:val="Hyperlink"/>
                <w:rFonts w:ascii="Times New Roman" w:eastAsia="Times New Roman" w:hAnsi="Times New Roman" w:cs="Times New Roman"/>
                <w:b/>
                <w:bCs/>
                <w:noProof/>
                <w:lang w:eastAsia="en-GB"/>
                <w14:ligatures w14:val="none"/>
              </w:rPr>
              <w:t>1. Executive Summary</w:t>
            </w:r>
            <w:r>
              <w:rPr>
                <w:noProof/>
                <w:webHidden/>
              </w:rPr>
              <w:tab/>
            </w:r>
            <w:r>
              <w:rPr>
                <w:noProof/>
                <w:webHidden/>
              </w:rPr>
              <w:fldChar w:fldCharType="begin"/>
            </w:r>
            <w:r>
              <w:rPr>
                <w:noProof/>
                <w:webHidden/>
              </w:rPr>
              <w:instrText xml:space="preserve"> PAGEREF _Toc219121971 \h </w:instrText>
            </w:r>
            <w:r>
              <w:rPr>
                <w:noProof/>
                <w:webHidden/>
              </w:rPr>
            </w:r>
            <w:r>
              <w:rPr>
                <w:noProof/>
                <w:webHidden/>
              </w:rPr>
              <w:fldChar w:fldCharType="separate"/>
            </w:r>
            <w:r>
              <w:rPr>
                <w:noProof/>
                <w:webHidden/>
              </w:rPr>
              <w:t>5</w:t>
            </w:r>
            <w:r>
              <w:rPr>
                <w:noProof/>
                <w:webHidden/>
              </w:rPr>
              <w:fldChar w:fldCharType="end"/>
            </w:r>
          </w:hyperlink>
        </w:p>
        <w:p w14:paraId="2BFB4D82" w14:textId="7C0A9B33" w:rsidR="000B572B" w:rsidRDefault="000B572B">
          <w:pPr>
            <w:pStyle w:val="TOC2"/>
            <w:tabs>
              <w:tab w:val="right" w:leader="dot" w:pos="9350"/>
            </w:tabs>
            <w:rPr>
              <w:rFonts w:eastAsiaTheme="minorEastAsia"/>
              <w:noProof/>
              <w:kern w:val="2"/>
              <w:lang w:eastAsia="en-GB" w:bidi="gu-IN"/>
            </w:rPr>
          </w:pPr>
          <w:hyperlink w:anchor="_Toc219121972" w:history="1">
            <w:r w:rsidRPr="0034219A">
              <w:rPr>
                <w:rStyle w:val="Hyperlink"/>
                <w:rFonts w:ascii="Times New Roman" w:eastAsia="Times New Roman" w:hAnsi="Times New Roman" w:cs="Times New Roman"/>
                <w:b/>
                <w:bCs/>
                <w:noProof/>
                <w:lang w:eastAsia="en-GB"/>
                <w14:ligatures w14:val="none"/>
              </w:rPr>
              <w:t>2. Introduction &amp; Company Overview</w:t>
            </w:r>
            <w:r>
              <w:rPr>
                <w:noProof/>
                <w:webHidden/>
              </w:rPr>
              <w:tab/>
            </w:r>
            <w:r>
              <w:rPr>
                <w:noProof/>
                <w:webHidden/>
              </w:rPr>
              <w:fldChar w:fldCharType="begin"/>
            </w:r>
            <w:r>
              <w:rPr>
                <w:noProof/>
                <w:webHidden/>
              </w:rPr>
              <w:instrText xml:space="preserve"> PAGEREF _Toc219121972 \h </w:instrText>
            </w:r>
            <w:r>
              <w:rPr>
                <w:noProof/>
                <w:webHidden/>
              </w:rPr>
            </w:r>
            <w:r>
              <w:rPr>
                <w:noProof/>
                <w:webHidden/>
              </w:rPr>
              <w:fldChar w:fldCharType="separate"/>
            </w:r>
            <w:r>
              <w:rPr>
                <w:noProof/>
                <w:webHidden/>
              </w:rPr>
              <w:t>5</w:t>
            </w:r>
            <w:r>
              <w:rPr>
                <w:noProof/>
                <w:webHidden/>
              </w:rPr>
              <w:fldChar w:fldCharType="end"/>
            </w:r>
          </w:hyperlink>
        </w:p>
        <w:p w14:paraId="62D948D2" w14:textId="5DDA74AA" w:rsidR="000B572B" w:rsidRDefault="000B572B">
          <w:pPr>
            <w:pStyle w:val="TOC2"/>
            <w:tabs>
              <w:tab w:val="right" w:leader="dot" w:pos="9350"/>
            </w:tabs>
            <w:rPr>
              <w:rFonts w:eastAsiaTheme="minorEastAsia"/>
              <w:noProof/>
              <w:kern w:val="2"/>
              <w:lang w:eastAsia="en-GB" w:bidi="gu-IN"/>
            </w:rPr>
          </w:pPr>
          <w:hyperlink w:anchor="_Toc219121973" w:history="1">
            <w:r w:rsidRPr="0034219A">
              <w:rPr>
                <w:rStyle w:val="Hyperlink"/>
                <w:rFonts w:ascii="Times New Roman" w:eastAsia="Times New Roman" w:hAnsi="Times New Roman" w:cs="Times New Roman"/>
                <w:b/>
                <w:bCs/>
                <w:noProof/>
                <w:lang w:eastAsia="en-GB"/>
                <w14:ligatures w14:val="none"/>
              </w:rPr>
              <w:t>3. Methodology &amp; Data Sources</w:t>
            </w:r>
            <w:r>
              <w:rPr>
                <w:noProof/>
                <w:webHidden/>
              </w:rPr>
              <w:tab/>
            </w:r>
            <w:r>
              <w:rPr>
                <w:noProof/>
                <w:webHidden/>
              </w:rPr>
              <w:fldChar w:fldCharType="begin"/>
            </w:r>
            <w:r>
              <w:rPr>
                <w:noProof/>
                <w:webHidden/>
              </w:rPr>
              <w:instrText xml:space="preserve"> PAGEREF _Toc219121973 \h </w:instrText>
            </w:r>
            <w:r>
              <w:rPr>
                <w:noProof/>
                <w:webHidden/>
              </w:rPr>
            </w:r>
            <w:r>
              <w:rPr>
                <w:noProof/>
                <w:webHidden/>
              </w:rPr>
              <w:fldChar w:fldCharType="separate"/>
            </w:r>
            <w:r>
              <w:rPr>
                <w:noProof/>
                <w:webHidden/>
              </w:rPr>
              <w:t>6</w:t>
            </w:r>
            <w:r>
              <w:rPr>
                <w:noProof/>
                <w:webHidden/>
              </w:rPr>
              <w:fldChar w:fldCharType="end"/>
            </w:r>
          </w:hyperlink>
        </w:p>
        <w:p w14:paraId="44CB7CE7" w14:textId="2F063DAD" w:rsidR="000B572B" w:rsidRDefault="000B572B">
          <w:pPr>
            <w:pStyle w:val="TOC2"/>
            <w:tabs>
              <w:tab w:val="right" w:leader="dot" w:pos="9350"/>
            </w:tabs>
            <w:rPr>
              <w:rFonts w:eastAsiaTheme="minorEastAsia"/>
              <w:noProof/>
              <w:kern w:val="2"/>
              <w:lang w:eastAsia="en-GB" w:bidi="gu-IN"/>
            </w:rPr>
          </w:pPr>
          <w:hyperlink w:anchor="_Toc219121974" w:history="1">
            <w:r w:rsidRPr="0034219A">
              <w:rPr>
                <w:rStyle w:val="Hyperlink"/>
                <w:rFonts w:ascii="Times New Roman" w:eastAsia="Times New Roman" w:hAnsi="Times New Roman" w:cs="Times New Roman"/>
                <w:b/>
                <w:bCs/>
                <w:noProof/>
                <w:lang w:eastAsia="en-GB"/>
                <w14:ligatures w14:val="none"/>
              </w:rPr>
              <w:t>4. Financial Ratio Analysis &amp; Interpretation</w:t>
            </w:r>
            <w:r>
              <w:rPr>
                <w:noProof/>
                <w:webHidden/>
              </w:rPr>
              <w:tab/>
            </w:r>
            <w:r>
              <w:rPr>
                <w:noProof/>
                <w:webHidden/>
              </w:rPr>
              <w:fldChar w:fldCharType="begin"/>
            </w:r>
            <w:r>
              <w:rPr>
                <w:noProof/>
                <w:webHidden/>
              </w:rPr>
              <w:instrText xml:space="preserve"> PAGEREF _Toc219121974 \h </w:instrText>
            </w:r>
            <w:r>
              <w:rPr>
                <w:noProof/>
                <w:webHidden/>
              </w:rPr>
            </w:r>
            <w:r>
              <w:rPr>
                <w:noProof/>
                <w:webHidden/>
              </w:rPr>
              <w:fldChar w:fldCharType="separate"/>
            </w:r>
            <w:r>
              <w:rPr>
                <w:noProof/>
                <w:webHidden/>
              </w:rPr>
              <w:t>6</w:t>
            </w:r>
            <w:r>
              <w:rPr>
                <w:noProof/>
                <w:webHidden/>
              </w:rPr>
              <w:fldChar w:fldCharType="end"/>
            </w:r>
          </w:hyperlink>
        </w:p>
        <w:p w14:paraId="4D8370E0" w14:textId="3F3D5666" w:rsidR="000B572B" w:rsidRDefault="000B572B">
          <w:pPr>
            <w:pStyle w:val="TOC3"/>
            <w:tabs>
              <w:tab w:val="right" w:leader="dot" w:pos="9350"/>
            </w:tabs>
            <w:rPr>
              <w:rFonts w:eastAsiaTheme="minorEastAsia"/>
              <w:noProof/>
              <w:kern w:val="2"/>
              <w:lang w:eastAsia="en-GB" w:bidi="gu-IN"/>
            </w:rPr>
          </w:pPr>
          <w:hyperlink w:anchor="_Toc219121975" w:history="1">
            <w:r w:rsidRPr="0034219A">
              <w:rPr>
                <w:rStyle w:val="Hyperlink"/>
                <w:rFonts w:ascii="Times New Roman" w:eastAsia="Times New Roman" w:hAnsi="Times New Roman" w:cs="Times New Roman"/>
                <w:b/>
                <w:bCs/>
                <w:noProof/>
                <w:lang w:eastAsia="en-GB"/>
                <w14:ligatures w14:val="none"/>
              </w:rPr>
              <w:t>4.1 Profitability Analysis</w:t>
            </w:r>
            <w:r>
              <w:rPr>
                <w:noProof/>
                <w:webHidden/>
              </w:rPr>
              <w:tab/>
            </w:r>
            <w:r>
              <w:rPr>
                <w:noProof/>
                <w:webHidden/>
              </w:rPr>
              <w:fldChar w:fldCharType="begin"/>
            </w:r>
            <w:r>
              <w:rPr>
                <w:noProof/>
                <w:webHidden/>
              </w:rPr>
              <w:instrText xml:space="preserve"> PAGEREF _Toc219121975 \h </w:instrText>
            </w:r>
            <w:r>
              <w:rPr>
                <w:noProof/>
                <w:webHidden/>
              </w:rPr>
            </w:r>
            <w:r>
              <w:rPr>
                <w:noProof/>
                <w:webHidden/>
              </w:rPr>
              <w:fldChar w:fldCharType="separate"/>
            </w:r>
            <w:r>
              <w:rPr>
                <w:noProof/>
                <w:webHidden/>
              </w:rPr>
              <w:t>7</w:t>
            </w:r>
            <w:r>
              <w:rPr>
                <w:noProof/>
                <w:webHidden/>
              </w:rPr>
              <w:fldChar w:fldCharType="end"/>
            </w:r>
          </w:hyperlink>
        </w:p>
        <w:p w14:paraId="468E1BBD" w14:textId="3D16CBF9" w:rsidR="000B572B" w:rsidRDefault="000B572B">
          <w:pPr>
            <w:pStyle w:val="TOC3"/>
            <w:tabs>
              <w:tab w:val="right" w:leader="dot" w:pos="9350"/>
            </w:tabs>
            <w:rPr>
              <w:rFonts w:eastAsiaTheme="minorEastAsia"/>
              <w:noProof/>
              <w:kern w:val="2"/>
              <w:lang w:eastAsia="en-GB" w:bidi="gu-IN"/>
            </w:rPr>
          </w:pPr>
          <w:hyperlink w:anchor="_Toc219121976" w:history="1">
            <w:r w:rsidRPr="0034219A">
              <w:rPr>
                <w:rStyle w:val="Hyperlink"/>
                <w:rFonts w:ascii="Times New Roman" w:eastAsia="Times New Roman" w:hAnsi="Times New Roman" w:cs="Times New Roman"/>
                <w:b/>
                <w:bCs/>
                <w:noProof/>
                <w:lang w:eastAsia="en-GB"/>
                <w14:ligatures w14:val="none"/>
              </w:rPr>
              <w:t>4.2 Liquidity Analysis</w:t>
            </w:r>
            <w:r>
              <w:rPr>
                <w:noProof/>
                <w:webHidden/>
              </w:rPr>
              <w:tab/>
            </w:r>
            <w:r>
              <w:rPr>
                <w:noProof/>
                <w:webHidden/>
              </w:rPr>
              <w:fldChar w:fldCharType="begin"/>
            </w:r>
            <w:r>
              <w:rPr>
                <w:noProof/>
                <w:webHidden/>
              </w:rPr>
              <w:instrText xml:space="preserve"> PAGEREF _Toc219121976 \h </w:instrText>
            </w:r>
            <w:r>
              <w:rPr>
                <w:noProof/>
                <w:webHidden/>
              </w:rPr>
            </w:r>
            <w:r>
              <w:rPr>
                <w:noProof/>
                <w:webHidden/>
              </w:rPr>
              <w:fldChar w:fldCharType="separate"/>
            </w:r>
            <w:r>
              <w:rPr>
                <w:noProof/>
                <w:webHidden/>
              </w:rPr>
              <w:t>8</w:t>
            </w:r>
            <w:r>
              <w:rPr>
                <w:noProof/>
                <w:webHidden/>
              </w:rPr>
              <w:fldChar w:fldCharType="end"/>
            </w:r>
          </w:hyperlink>
        </w:p>
        <w:p w14:paraId="54CAFDBF" w14:textId="2E2C7BF7" w:rsidR="000B572B" w:rsidRDefault="000B572B">
          <w:pPr>
            <w:pStyle w:val="TOC3"/>
            <w:tabs>
              <w:tab w:val="right" w:leader="dot" w:pos="9350"/>
            </w:tabs>
            <w:rPr>
              <w:rFonts w:eastAsiaTheme="minorEastAsia"/>
              <w:noProof/>
              <w:kern w:val="2"/>
              <w:lang w:eastAsia="en-GB" w:bidi="gu-IN"/>
            </w:rPr>
          </w:pPr>
          <w:hyperlink w:anchor="_Toc219121977" w:history="1">
            <w:r w:rsidRPr="0034219A">
              <w:rPr>
                <w:rStyle w:val="Hyperlink"/>
                <w:rFonts w:ascii="Times New Roman" w:eastAsia="Times New Roman" w:hAnsi="Times New Roman" w:cs="Times New Roman"/>
                <w:b/>
                <w:bCs/>
                <w:noProof/>
                <w:lang w:eastAsia="en-GB"/>
                <w14:ligatures w14:val="none"/>
              </w:rPr>
              <w:t>4.3 Efficiency (Activity) Analysis</w:t>
            </w:r>
            <w:r>
              <w:rPr>
                <w:noProof/>
                <w:webHidden/>
              </w:rPr>
              <w:tab/>
            </w:r>
            <w:r>
              <w:rPr>
                <w:noProof/>
                <w:webHidden/>
              </w:rPr>
              <w:fldChar w:fldCharType="begin"/>
            </w:r>
            <w:r>
              <w:rPr>
                <w:noProof/>
                <w:webHidden/>
              </w:rPr>
              <w:instrText xml:space="preserve"> PAGEREF _Toc219121977 \h </w:instrText>
            </w:r>
            <w:r>
              <w:rPr>
                <w:noProof/>
                <w:webHidden/>
              </w:rPr>
            </w:r>
            <w:r>
              <w:rPr>
                <w:noProof/>
                <w:webHidden/>
              </w:rPr>
              <w:fldChar w:fldCharType="separate"/>
            </w:r>
            <w:r>
              <w:rPr>
                <w:noProof/>
                <w:webHidden/>
              </w:rPr>
              <w:t>8</w:t>
            </w:r>
            <w:r>
              <w:rPr>
                <w:noProof/>
                <w:webHidden/>
              </w:rPr>
              <w:fldChar w:fldCharType="end"/>
            </w:r>
          </w:hyperlink>
        </w:p>
        <w:p w14:paraId="0A756B4C" w14:textId="3C401773" w:rsidR="000B572B" w:rsidRDefault="000B572B">
          <w:pPr>
            <w:pStyle w:val="TOC3"/>
            <w:tabs>
              <w:tab w:val="right" w:leader="dot" w:pos="9350"/>
            </w:tabs>
            <w:rPr>
              <w:rFonts w:eastAsiaTheme="minorEastAsia"/>
              <w:noProof/>
              <w:kern w:val="2"/>
              <w:lang w:eastAsia="en-GB" w:bidi="gu-IN"/>
            </w:rPr>
          </w:pPr>
          <w:hyperlink w:anchor="_Toc219121978" w:history="1">
            <w:r w:rsidRPr="0034219A">
              <w:rPr>
                <w:rStyle w:val="Hyperlink"/>
                <w:rFonts w:ascii="Times New Roman" w:eastAsia="Times New Roman" w:hAnsi="Times New Roman" w:cs="Times New Roman"/>
                <w:b/>
                <w:bCs/>
                <w:noProof/>
                <w:lang w:eastAsia="en-GB"/>
                <w14:ligatures w14:val="none"/>
              </w:rPr>
              <w:t>4.4 Gearing &amp; Financial Risk Analysis</w:t>
            </w:r>
            <w:r>
              <w:rPr>
                <w:noProof/>
                <w:webHidden/>
              </w:rPr>
              <w:tab/>
            </w:r>
            <w:r>
              <w:rPr>
                <w:noProof/>
                <w:webHidden/>
              </w:rPr>
              <w:fldChar w:fldCharType="begin"/>
            </w:r>
            <w:r>
              <w:rPr>
                <w:noProof/>
                <w:webHidden/>
              </w:rPr>
              <w:instrText xml:space="preserve"> PAGEREF _Toc219121978 \h </w:instrText>
            </w:r>
            <w:r>
              <w:rPr>
                <w:noProof/>
                <w:webHidden/>
              </w:rPr>
            </w:r>
            <w:r>
              <w:rPr>
                <w:noProof/>
                <w:webHidden/>
              </w:rPr>
              <w:fldChar w:fldCharType="separate"/>
            </w:r>
            <w:r>
              <w:rPr>
                <w:noProof/>
                <w:webHidden/>
              </w:rPr>
              <w:t>9</w:t>
            </w:r>
            <w:r>
              <w:rPr>
                <w:noProof/>
                <w:webHidden/>
              </w:rPr>
              <w:fldChar w:fldCharType="end"/>
            </w:r>
          </w:hyperlink>
        </w:p>
        <w:p w14:paraId="55A1ED18" w14:textId="33803A74" w:rsidR="000B572B" w:rsidRDefault="000B572B">
          <w:pPr>
            <w:pStyle w:val="TOC3"/>
            <w:tabs>
              <w:tab w:val="right" w:leader="dot" w:pos="9350"/>
            </w:tabs>
            <w:rPr>
              <w:rFonts w:eastAsiaTheme="minorEastAsia"/>
              <w:noProof/>
              <w:kern w:val="2"/>
              <w:lang w:eastAsia="en-GB" w:bidi="gu-IN"/>
            </w:rPr>
          </w:pPr>
          <w:hyperlink w:anchor="_Toc219121979" w:history="1">
            <w:r w:rsidRPr="0034219A">
              <w:rPr>
                <w:rStyle w:val="Hyperlink"/>
                <w:rFonts w:ascii="Times New Roman" w:eastAsia="Times New Roman" w:hAnsi="Times New Roman" w:cs="Times New Roman"/>
                <w:b/>
                <w:bCs/>
                <w:noProof/>
                <w:lang w:eastAsia="en-GB"/>
                <w14:ligatures w14:val="none"/>
              </w:rPr>
              <w:t>4.5 Investor (Market) Ratios</w:t>
            </w:r>
            <w:r>
              <w:rPr>
                <w:noProof/>
                <w:webHidden/>
              </w:rPr>
              <w:tab/>
            </w:r>
            <w:r>
              <w:rPr>
                <w:noProof/>
                <w:webHidden/>
              </w:rPr>
              <w:fldChar w:fldCharType="begin"/>
            </w:r>
            <w:r>
              <w:rPr>
                <w:noProof/>
                <w:webHidden/>
              </w:rPr>
              <w:instrText xml:space="preserve"> PAGEREF _Toc219121979 \h </w:instrText>
            </w:r>
            <w:r>
              <w:rPr>
                <w:noProof/>
                <w:webHidden/>
              </w:rPr>
            </w:r>
            <w:r>
              <w:rPr>
                <w:noProof/>
                <w:webHidden/>
              </w:rPr>
              <w:fldChar w:fldCharType="separate"/>
            </w:r>
            <w:r>
              <w:rPr>
                <w:noProof/>
                <w:webHidden/>
              </w:rPr>
              <w:t>10</w:t>
            </w:r>
            <w:r>
              <w:rPr>
                <w:noProof/>
                <w:webHidden/>
              </w:rPr>
              <w:fldChar w:fldCharType="end"/>
            </w:r>
          </w:hyperlink>
        </w:p>
        <w:p w14:paraId="40118B2F" w14:textId="4F3963D8" w:rsidR="000B572B" w:rsidRDefault="000B572B">
          <w:pPr>
            <w:pStyle w:val="TOC2"/>
            <w:tabs>
              <w:tab w:val="right" w:leader="dot" w:pos="9350"/>
            </w:tabs>
            <w:rPr>
              <w:rFonts w:eastAsiaTheme="minorEastAsia"/>
              <w:noProof/>
              <w:kern w:val="2"/>
              <w:lang w:eastAsia="en-GB" w:bidi="gu-IN"/>
            </w:rPr>
          </w:pPr>
          <w:hyperlink w:anchor="_Toc219121980" w:history="1">
            <w:r w:rsidRPr="0034219A">
              <w:rPr>
                <w:rStyle w:val="Hyperlink"/>
                <w:rFonts w:ascii="Times New Roman" w:eastAsia="Times New Roman" w:hAnsi="Times New Roman" w:cs="Times New Roman"/>
                <w:b/>
                <w:bCs/>
                <w:noProof/>
                <w:lang w:eastAsia="en-GB"/>
                <w14:ligatures w14:val="none"/>
              </w:rPr>
              <w:t>5. Critical Evaluation &amp; Limitations of Ratio Analysis</w:t>
            </w:r>
            <w:r>
              <w:rPr>
                <w:noProof/>
                <w:webHidden/>
              </w:rPr>
              <w:tab/>
            </w:r>
            <w:r>
              <w:rPr>
                <w:noProof/>
                <w:webHidden/>
              </w:rPr>
              <w:fldChar w:fldCharType="begin"/>
            </w:r>
            <w:r>
              <w:rPr>
                <w:noProof/>
                <w:webHidden/>
              </w:rPr>
              <w:instrText xml:space="preserve"> PAGEREF _Toc219121980 \h </w:instrText>
            </w:r>
            <w:r>
              <w:rPr>
                <w:noProof/>
                <w:webHidden/>
              </w:rPr>
            </w:r>
            <w:r>
              <w:rPr>
                <w:noProof/>
                <w:webHidden/>
              </w:rPr>
              <w:fldChar w:fldCharType="separate"/>
            </w:r>
            <w:r>
              <w:rPr>
                <w:noProof/>
                <w:webHidden/>
              </w:rPr>
              <w:t>10</w:t>
            </w:r>
            <w:r>
              <w:rPr>
                <w:noProof/>
                <w:webHidden/>
              </w:rPr>
              <w:fldChar w:fldCharType="end"/>
            </w:r>
          </w:hyperlink>
        </w:p>
        <w:p w14:paraId="7C155F44" w14:textId="22B63BF2" w:rsidR="000B572B" w:rsidRDefault="000B572B">
          <w:pPr>
            <w:pStyle w:val="TOC2"/>
            <w:tabs>
              <w:tab w:val="right" w:leader="dot" w:pos="9350"/>
            </w:tabs>
            <w:rPr>
              <w:rFonts w:eastAsiaTheme="minorEastAsia"/>
              <w:noProof/>
              <w:kern w:val="2"/>
              <w:lang w:eastAsia="en-GB" w:bidi="gu-IN"/>
            </w:rPr>
          </w:pPr>
          <w:hyperlink w:anchor="_Toc219121981" w:history="1">
            <w:r w:rsidRPr="0034219A">
              <w:rPr>
                <w:rStyle w:val="Hyperlink"/>
                <w:rFonts w:ascii="Times New Roman" w:eastAsia="Times New Roman" w:hAnsi="Times New Roman" w:cs="Times New Roman"/>
                <w:b/>
                <w:bCs/>
                <w:noProof/>
                <w:lang w:eastAsia="en-GB"/>
                <w14:ligatures w14:val="none"/>
              </w:rPr>
              <w:t>6. Recommendations to the Directors</w:t>
            </w:r>
            <w:r>
              <w:rPr>
                <w:noProof/>
                <w:webHidden/>
              </w:rPr>
              <w:tab/>
            </w:r>
            <w:r>
              <w:rPr>
                <w:noProof/>
                <w:webHidden/>
              </w:rPr>
              <w:fldChar w:fldCharType="begin"/>
            </w:r>
            <w:r>
              <w:rPr>
                <w:noProof/>
                <w:webHidden/>
              </w:rPr>
              <w:instrText xml:space="preserve"> PAGEREF _Toc219121981 \h </w:instrText>
            </w:r>
            <w:r>
              <w:rPr>
                <w:noProof/>
                <w:webHidden/>
              </w:rPr>
            </w:r>
            <w:r>
              <w:rPr>
                <w:noProof/>
                <w:webHidden/>
              </w:rPr>
              <w:fldChar w:fldCharType="separate"/>
            </w:r>
            <w:r>
              <w:rPr>
                <w:noProof/>
                <w:webHidden/>
              </w:rPr>
              <w:t>11</w:t>
            </w:r>
            <w:r>
              <w:rPr>
                <w:noProof/>
                <w:webHidden/>
              </w:rPr>
              <w:fldChar w:fldCharType="end"/>
            </w:r>
          </w:hyperlink>
        </w:p>
        <w:p w14:paraId="5AF4A1B2" w14:textId="1549016B" w:rsidR="000B572B" w:rsidRDefault="000B572B">
          <w:pPr>
            <w:pStyle w:val="TOC2"/>
            <w:tabs>
              <w:tab w:val="right" w:leader="dot" w:pos="9350"/>
            </w:tabs>
            <w:rPr>
              <w:rFonts w:eastAsiaTheme="minorEastAsia"/>
              <w:noProof/>
              <w:kern w:val="2"/>
              <w:lang w:eastAsia="en-GB" w:bidi="gu-IN"/>
            </w:rPr>
          </w:pPr>
          <w:hyperlink w:anchor="_Toc219121982" w:history="1">
            <w:r w:rsidRPr="0034219A">
              <w:rPr>
                <w:rStyle w:val="Hyperlink"/>
                <w:rFonts w:ascii="Times New Roman" w:eastAsia="Times New Roman" w:hAnsi="Times New Roman" w:cs="Times New Roman"/>
                <w:b/>
                <w:bCs/>
                <w:noProof/>
                <w:lang w:eastAsia="en-GB"/>
                <w14:ligatures w14:val="none"/>
              </w:rPr>
              <w:t>7. Conclusion</w:t>
            </w:r>
            <w:r>
              <w:rPr>
                <w:noProof/>
                <w:webHidden/>
              </w:rPr>
              <w:tab/>
            </w:r>
            <w:r>
              <w:rPr>
                <w:noProof/>
                <w:webHidden/>
              </w:rPr>
              <w:fldChar w:fldCharType="begin"/>
            </w:r>
            <w:r>
              <w:rPr>
                <w:noProof/>
                <w:webHidden/>
              </w:rPr>
              <w:instrText xml:space="preserve"> PAGEREF _Toc219121982 \h </w:instrText>
            </w:r>
            <w:r>
              <w:rPr>
                <w:noProof/>
                <w:webHidden/>
              </w:rPr>
            </w:r>
            <w:r>
              <w:rPr>
                <w:noProof/>
                <w:webHidden/>
              </w:rPr>
              <w:fldChar w:fldCharType="separate"/>
            </w:r>
            <w:r>
              <w:rPr>
                <w:noProof/>
                <w:webHidden/>
              </w:rPr>
              <w:t>12</w:t>
            </w:r>
            <w:r>
              <w:rPr>
                <w:noProof/>
                <w:webHidden/>
              </w:rPr>
              <w:fldChar w:fldCharType="end"/>
            </w:r>
          </w:hyperlink>
        </w:p>
        <w:p w14:paraId="75EC1C60" w14:textId="15614769" w:rsidR="000B572B" w:rsidRDefault="000B572B">
          <w:pPr>
            <w:pStyle w:val="TOC1"/>
            <w:tabs>
              <w:tab w:val="right" w:leader="dot" w:pos="9350"/>
            </w:tabs>
            <w:rPr>
              <w:rFonts w:eastAsiaTheme="minorEastAsia"/>
              <w:noProof/>
              <w:kern w:val="2"/>
              <w:lang w:eastAsia="en-GB" w:bidi="gu-IN"/>
            </w:rPr>
          </w:pPr>
          <w:hyperlink w:anchor="_Toc219121983" w:history="1">
            <w:r w:rsidRPr="0034219A">
              <w:rPr>
                <w:rStyle w:val="Hyperlink"/>
                <w:rFonts w:ascii="Times New Roman" w:eastAsia="Times New Roman" w:hAnsi="Times New Roman" w:cs="Times New Roman"/>
                <w:b/>
                <w:bCs/>
                <w:noProof/>
                <w:kern w:val="36"/>
                <w:lang w:eastAsia="en-GB"/>
                <w14:ligatures w14:val="none"/>
              </w:rPr>
              <w:t>PART 2 – Investment Appraisal &amp; Financing Decision</w:t>
            </w:r>
            <w:r>
              <w:rPr>
                <w:noProof/>
                <w:webHidden/>
              </w:rPr>
              <w:tab/>
            </w:r>
            <w:r>
              <w:rPr>
                <w:noProof/>
                <w:webHidden/>
              </w:rPr>
              <w:fldChar w:fldCharType="begin"/>
            </w:r>
            <w:r>
              <w:rPr>
                <w:noProof/>
                <w:webHidden/>
              </w:rPr>
              <w:instrText xml:space="preserve"> PAGEREF _Toc219121983 \h </w:instrText>
            </w:r>
            <w:r>
              <w:rPr>
                <w:noProof/>
                <w:webHidden/>
              </w:rPr>
            </w:r>
            <w:r>
              <w:rPr>
                <w:noProof/>
                <w:webHidden/>
              </w:rPr>
              <w:fldChar w:fldCharType="separate"/>
            </w:r>
            <w:r>
              <w:rPr>
                <w:noProof/>
                <w:webHidden/>
              </w:rPr>
              <w:t>13</w:t>
            </w:r>
            <w:r>
              <w:rPr>
                <w:noProof/>
                <w:webHidden/>
              </w:rPr>
              <w:fldChar w:fldCharType="end"/>
            </w:r>
          </w:hyperlink>
        </w:p>
        <w:p w14:paraId="7E099298" w14:textId="41069433" w:rsidR="000B572B" w:rsidRDefault="000B572B">
          <w:pPr>
            <w:pStyle w:val="TOC2"/>
            <w:tabs>
              <w:tab w:val="right" w:leader="dot" w:pos="9350"/>
            </w:tabs>
            <w:rPr>
              <w:rFonts w:eastAsiaTheme="minorEastAsia"/>
              <w:noProof/>
              <w:kern w:val="2"/>
              <w:lang w:eastAsia="en-GB" w:bidi="gu-IN"/>
            </w:rPr>
          </w:pPr>
          <w:hyperlink w:anchor="_Toc219121984" w:history="1">
            <w:r w:rsidRPr="0034219A">
              <w:rPr>
                <w:rStyle w:val="Hyperlink"/>
                <w:rFonts w:ascii="Times New Roman" w:eastAsia="Times New Roman" w:hAnsi="Times New Roman" w:cs="Times New Roman"/>
                <w:b/>
                <w:bCs/>
                <w:noProof/>
                <w:lang w:eastAsia="en-GB"/>
                <w14:ligatures w14:val="none"/>
              </w:rPr>
              <w:t>8. Executive Summary</w:t>
            </w:r>
            <w:r>
              <w:rPr>
                <w:noProof/>
                <w:webHidden/>
              </w:rPr>
              <w:tab/>
            </w:r>
            <w:r>
              <w:rPr>
                <w:noProof/>
                <w:webHidden/>
              </w:rPr>
              <w:fldChar w:fldCharType="begin"/>
            </w:r>
            <w:r>
              <w:rPr>
                <w:noProof/>
                <w:webHidden/>
              </w:rPr>
              <w:instrText xml:space="preserve"> PAGEREF _Toc219121984 \h </w:instrText>
            </w:r>
            <w:r>
              <w:rPr>
                <w:noProof/>
                <w:webHidden/>
              </w:rPr>
            </w:r>
            <w:r>
              <w:rPr>
                <w:noProof/>
                <w:webHidden/>
              </w:rPr>
              <w:fldChar w:fldCharType="separate"/>
            </w:r>
            <w:r>
              <w:rPr>
                <w:noProof/>
                <w:webHidden/>
              </w:rPr>
              <w:t>13</w:t>
            </w:r>
            <w:r>
              <w:rPr>
                <w:noProof/>
                <w:webHidden/>
              </w:rPr>
              <w:fldChar w:fldCharType="end"/>
            </w:r>
          </w:hyperlink>
        </w:p>
        <w:p w14:paraId="5049DE02" w14:textId="536C6DC6" w:rsidR="000B572B" w:rsidRDefault="000B572B">
          <w:pPr>
            <w:pStyle w:val="TOC2"/>
            <w:tabs>
              <w:tab w:val="right" w:leader="dot" w:pos="9350"/>
            </w:tabs>
            <w:rPr>
              <w:rFonts w:eastAsiaTheme="minorEastAsia"/>
              <w:noProof/>
              <w:kern w:val="2"/>
              <w:lang w:eastAsia="en-GB" w:bidi="gu-IN"/>
            </w:rPr>
          </w:pPr>
          <w:hyperlink w:anchor="_Toc219121985" w:history="1">
            <w:r w:rsidRPr="0034219A">
              <w:rPr>
                <w:rStyle w:val="Hyperlink"/>
                <w:rFonts w:ascii="Times New Roman" w:eastAsia="Times New Roman" w:hAnsi="Times New Roman" w:cs="Times New Roman"/>
                <w:b/>
                <w:bCs/>
                <w:noProof/>
                <w:lang w:eastAsia="en-GB"/>
                <w14:ligatures w14:val="none"/>
              </w:rPr>
              <w:t>9. Introduction &amp; Strategic Context</w:t>
            </w:r>
            <w:r>
              <w:rPr>
                <w:noProof/>
                <w:webHidden/>
              </w:rPr>
              <w:tab/>
            </w:r>
            <w:r>
              <w:rPr>
                <w:noProof/>
                <w:webHidden/>
              </w:rPr>
              <w:fldChar w:fldCharType="begin"/>
            </w:r>
            <w:r>
              <w:rPr>
                <w:noProof/>
                <w:webHidden/>
              </w:rPr>
              <w:instrText xml:space="preserve"> PAGEREF _Toc219121985 \h </w:instrText>
            </w:r>
            <w:r>
              <w:rPr>
                <w:noProof/>
                <w:webHidden/>
              </w:rPr>
            </w:r>
            <w:r>
              <w:rPr>
                <w:noProof/>
                <w:webHidden/>
              </w:rPr>
              <w:fldChar w:fldCharType="separate"/>
            </w:r>
            <w:r>
              <w:rPr>
                <w:noProof/>
                <w:webHidden/>
              </w:rPr>
              <w:t>13</w:t>
            </w:r>
            <w:r>
              <w:rPr>
                <w:noProof/>
                <w:webHidden/>
              </w:rPr>
              <w:fldChar w:fldCharType="end"/>
            </w:r>
          </w:hyperlink>
        </w:p>
        <w:p w14:paraId="3CD6D841" w14:textId="2AE686DE" w:rsidR="000B572B" w:rsidRDefault="000B572B">
          <w:pPr>
            <w:pStyle w:val="TOC2"/>
            <w:tabs>
              <w:tab w:val="right" w:leader="dot" w:pos="9350"/>
            </w:tabs>
            <w:rPr>
              <w:rFonts w:eastAsiaTheme="minorEastAsia"/>
              <w:noProof/>
              <w:kern w:val="2"/>
              <w:lang w:eastAsia="en-GB" w:bidi="gu-IN"/>
            </w:rPr>
          </w:pPr>
          <w:hyperlink w:anchor="_Toc219121986" w:history="1">
            <w:r w:rsidRPr="0034219A">
              <w:rPr>
                <w:rStyle w:val="Hyperlink"/>
                <w:rFonts w:ascii="Times New Roman" w:eastAsia="Times New Roman" w:hAnsi="Times New Roman" w:cs="Times New Roman"/>
                <w:b/>
                <w:bCs/>
                <w:noProof/>
                <w:lang w:eastAsia="en-GB"/>
                <w14:ligatures w14:val="none"/>
              </w:rPr>
              <w:t>10. Net Present Value (NPV) Evaluation</w:t>
            </w:r>
            <w:r>
              <w:rPr>
                <w:noProof/>
                <w:webHidden/>
              </w:rPr>
              <w:tab/>
            </w:r>
            <w:r>
              <w:rPr>
                <w:noProof/>
                <w:webHidden/>
              </w:rPr>
              <w:fldChar w:fldCharType="begin"/>
            </w:r>
            <w:r>
              <w:rPr>
                <w:noProof/>
                <w:webHidden/>
              </w:rPr>
              <w:instrText xml:space="preserve"> PAGEREF _Toc219121986 \h </w:instrText>
            </w:r>
            <w:r>
              <w:rPr>
                <w:noProof/>
                <w:webHidden/>
              </w:rPr>
            </w:r>
            <w:r>
              <w:rPr>
                <w:noProof/>
                <w:webHidden/>
              </w:rPr>
              <w:fldChar w:fldCharType="separate"/>
            </w:r>
            <w:r>
              <w:rPr>
                <w:noProof/>
                <w:webHidden/>
              </w:rPr>
              <w:t>14</w:t>
            </w:r>
            <w:r>
              <w:rPr>
                <w:noProof/>
                <w:webHidden/>
              </w:rPr>
              <w:fldChar w:fldCharType="end"/>
            </w:r>
          </w:hyperlink>
        </w:p>
        <w:p w14:paraId="1933142D" w14:textId="29D50788" w:rsidR="000B572B" w:rsidRDefault="000B572B">
          <w:pPr>
            <w:pStyle w:val="TOC3"/>
            <w:tabs>
              <w:tab w:val="right" w:leader="dot" w:pos="9350"/>
            </w:tabs>
            <w:rPr>
              <w:rFonts w:eastAsiaTheme="minorEastAsia"/>
              <w:noProof/>
              <w:kern w:val="2"/>
              <w:lang w:eastAsia="en-GB" w:bidi="gu-IN"/>
            </w:rPr>
          </w:pPr>
          <w:hyperlink w:anchor="_Toc219121987" w:history="1">
            <w:r w:rsidRPr="0034219A">
              <w:rPr>
                <w:rStyle w:val="Hyperlink"/>
                <w:rFonts w:ascii="Times New Roman" w:eastAsia="Times New Roman" w:hAnsi="Times New Roman" w:cs="Times New Roman"/>
                <w:b/>
                <w:bCs/>
                <w:noProof/>
                <w:lang w:eastAsia="en-GB"/>
                <w14:ligatures w14:val="none"/>
              </w:rPr>
              <w:t>Key Assumptions Used</w:t>
            </w:r>
            <w:r>
              <w:rPr>
                <w:noProof/>
                <w:webHidden/>
              </w:rPr>
              <w:tab/>
            </w:r>
            <w:r>
              <w:rPr>
                <w:noProof/>
                <w:webHidden/>
              </w:rPr>
              <w:fldChar w:fldCharType="begin"/>
            </w:r>
            <w:r>
              <w:rPr>
                <w:noProof/>
                <w:webHidden/>
              </w:rPr>
              <w:instrText xml:space="preserve"> PAGEREF _Toc219121987 \h </w:instrText>
            </w:r>
            <w:r>
              <w:rPr>
                <w:noProof/>
                <w:webHidden/>
              </w:rPr>
            </w:r>
            <w:r>
              <w:rPr>
                <w:noProof/>
                <w:webHidden/>
              </w:rPr>
              <w:fldChar w:fldCharType="separate"/>
            </w:r>
            <w:r>
              <w:rPr>
                <w:noProof/>
                <w:webHidden/>
              </w:rPr>
              <w:t>14</w:t>
            </w:r>
            <w:r>
              <w:rPr>
                <w:noProof/>
                <w:webHidden/>
              </w:rPr>
              <w:fldChar w:fldCharType="end"/>
            </w:r>
          </w:hyperlink>
        </w:p>
        <w:p w14:paraId="5799BEAA" w14:textId="398F50A2" w:rsidR="000B572B" w:rsidRDefault="000B572B">
          <w:pPr>
            <w:pStyle w:val="TOC3"/>
            <w:tabs>
              <w:tab w:val="right" w:leader="dot" w:pos="9350"/>
            </w:tabs>
            <w:rPr>
              <w:rFonts w:eastAsiaTheme="minorEastAsia"/>
              <w:noProof/>
              <w:kern w:val="2"/>
              <w:lang w:eastAsia="en-GB" w:bidi="gu-IN"/>
            </w:rPr>
          </w:pPr>
          <w:hyperlink w:anchor="_Toc219121988" w:history="1">
            <w:r w:rsidRPr="0034219A">
              <w:rPr>
                <w:rStyle w:val="Hyperlink"/>
                <w:rFonts w:ascii="Times New Roman" w:eastAsia="Times New Roman" w:hAnsi="Times New Roman" w:cs="Times New Roman"/>
                <w:b/>
                <w:bCs/>
                <w:noProof/>
                <w:lang w:eastAsia="en-GB"/>
                <w14:ligatures w14:val="none"/>
              </w:rPr>
              <w:t>Option A: Expansion of Retail Outlet</w:t>
            </w:r>
            <w:r>
              <w:rPr>
                <w:noProof/>
                <w:webHidden/>
              </w:rPr>
              <w:tab/>
            </w:r>
            <w:r>
              <w:rPr>
                <w:noProof/>
                <w:webHidden/>
              </w:rPr>
              <w:fldChar w:fldCharType="begin"/>
            </w:r>
            <w:r>
              <w:rPr>
                <w:noProof/>
                <w:webHidden/>
              </w:rPr>
              <w:instrText xml:space="preserve"> PAGEREF _Toc219121988 \h </w:instrText>
            </w:r>
            <w:r>
              <w:rPr>
                <w:noProof/>
                <w:webHidden/>
              </w:rPr>
            </w:r>
            <w:r>
              <w:rPr>
                <w:noProof/>
                <w:webHidden/>
              </w:rPr>
              <w:fldChar w:fldCharType="separate"/>
            </w:r>
            <w:r>
              <w:rPr>
                <w:noProof/>
                <w:webHidden/>
              </w:rPr>
              <w:t>14</w:t>
            </w:r>
            <w:r>
              <w:rPr>
                <w:noProof/>
                <w:webHidden/>
              </w:rPr>
              <w:fldChar w:fldCharType="end"/>
            </w:r>
          </w:hyperlink>
        </w:p>
        <w:p w14:paraId="40346210" w14:textId="27DD604A" w:rsidR="000B572B" w:rsidRDefault="000B572B">
          <w:pPr>
            <w:pStyle w:val="TOC3"/>
            <w:tabs>
              <w:tab w:val="right" w:leader="dot" w:pos="9350"/>
            </w:tabs>
            <w:rPr>
              <w:rFonts w:eastAsiaTheme="minorEastAsia"/>
              <w:noProof/>
              <w:kern w:val="2"/>
              <w:lang w:eastAsia="en-GB" w:bidi="gu-IN"/>
            </w:rPr>
          </w:pPr>
          <w:hyperlink w:anchor="_Toc219121989" w:history="1">
            <w:r w:rsidRPr="0034219A">
              <w:rPr>
                <w:rStyle w:val="Hyperlink"/>
                <w:rFonts w:ascii="Times New Roman" w:eastAsia="Times New Roman" w:hAnsi="Times New Roman" w:cs="Times New Roman"/>
                <w:b/>
                <w:bCs/>
                <w:noProof/>
                <w:lang w:eastAsia="en-GB"/>
                <w14:ligatures w14:val="none"/>
              </w:rPr>
              <w:t>Option B: Development of Internet Sales</w:t>
            </w:r>
            <w:r>
              <w:rPr>
                <w:noProof/>
                <w:webHidden/>
              </w:rPr>
              <w:tab/>
            </w:r>
            <w:r>
              <w:rPr>
                <w:noProof/>
                <w:webHidden/>
              </w:rPr>
              <w:fldChar w:fldCharType="begin"/>
            </w:r>
            <w:r>
              <w:rPr>
                <w:noProof/>
                <w:webHidden/>
              </w:rPr>
              <w:instrText xml:space="preserve"> PAGEREF _Toc219121989 \h </w:instrText>
            </w:r>
            <w:r>
              <w:rPr>
                <w:noProof/>
                <w:webHidden/>
              </w:rPr>
            </w:r>
            <w:r>
              <w:rPr>
                <w:noProof/>
                <w:webHidden/>
              </w:rPr>
              <w:fldChar w:fldCharType="separate"/>
            </w:r>
            <w:r>
              <w:rPr>
                <w:noProof/>
                <w:webHidden/>
              </w:rPr>
              <w:t>15</w:t>
            </w:r>
            <w:r>
              <w:rPr>
                <w:noProof/>
                <w:webHidden/>
              </w:rPr>
              <w:fldChar w:fldCharType="end"/>
            </w:r>
          </w:hyperlink>
        </w:p>
        <w:p w14:paraId="34A2E5A4" w14:textId="587990F0" w:rsidR="000B572B" w:rsidRDefault="000B572B">
          <w:pPr>
            <w:pStyle w:val="TOC3"/>
            <w:tabs>
              <w:tab w:val="right" w:leader="dot" w:pos="9350"/>
            </w:tabs>
            <w:rPr>
              <w:rFonts w:eastAsiaTheme="minorEastAsia"/>
              <w:noProof/>
              <w:kern w:val="2"/>
              <w:lang w:eastAsia="en-GB" w:bidi="gu-IN"/>
            </w:rPr>
          </w:pPr>
          <w:hyperlink w:anchor="_Toc219121990" w:history="1">
            <w:r w:rsidRPr="0034219A">
              <w:rPr>
                <w:rStyle w:val="Hyperlink"/>
                <w:rFonts w:ascii="Times New Roman" w:eastAsia="Times New Roman" w:hAnsi="Times New Roman" w:cs="Times New Roman"/>
                <w:b/>
                <w:bCs/>
                <w:noProof/>
                <w:lang w:eastAsia="en-GB"/>
                <w14:ligatures w14:val="none"/>
              </w:rPr>
              <w:t>Option C: Production of Wooden and Roman Blinds</w:t>
            </w:r>
            <w:r>
              <w:rPr>
                <w:noProof/>
                <w:webHidden/>
              </w:rPr>
              <w:tab/>
            </w:r>
            <w:r>
              <w:rPr>
                <w:noProof/>
                <w:webHidden/>
              </w:rPr>
              <w:fldChar w:fldCharType="begin"/>
            </w:r>
            <w:r>
              <w:rPr>
                <w:noProof/>
                <w:webHidden/>
              </w:rPr>
              <w:instrText xml:space="preserve"> PAGEREF _Toc219121990 \h </w:instrText>
            </w:r>
            <w:r>
              <w:rPr>
                <w:noProof/>
                <w:webHidden/>
              </w:rPr>
            </w:r>
            <w:r>
              <w:rPr>
                <w:noProof/>
                <w:webHidden/>
              </w:rPr>
              <w:fldChar w:fldCharType="separate"/>
            </w:r>
            <w:r>
              <w:rPr>
                <w:noProof/>
                <w:webHidden/>
              </w:rPr>
              <w:t>16</w:t>
            </w:r>
            <w:r>
              <w:rPr>
                <w:noProof/>
                <w:webHidden/>
              </w:rPr>
              <w:fldChar w:fldCharType="end"/>
            </w:r>
          </w:hyperlink>
        </w:p>
        <w:p w14:paraId="685098A5" w14:textId="60F0E275" w:rsidR="000B572B" w:rsidRDefault="000B572B">
          <w:pPr>
            <w:pStyle w:val="TOC3"/>
            <w:tabs>
              <w:tab w:val="right" w:leader="dot" w:pos="9350"/>
            </w:tabs>
            <w:rPr>
              <w:rFonts w:eastAsiaTheme="minorEastAsia"/>
              <w:noProof/>
              <w:kern w:val="2"/>
              <w:lang w:eastAsia="en-GB" w:bidi="gu-IN"/>
            </w:rPr>
          </w:pPr>
          <w:hyperlink w:anchor="_Toc219121991" w:history="1">
            <w:r w:rsidRPr="0034219A">
              <w:rPr>
                <w:rStyle w:val="Hyperlink"/>
                <w:rFonts w:ascii="Times New Roman" w:eastAsia="Times New Roman" w:hAnsi="Times New Roman" w:cs="Times New Roman"/>
                <w:b/>
                <w:bCs/>
                <w:noProof/>
                <w:lang w:eastAsia="en-GB"/>
                <w14:ligatures w14:val="none"/>
              </w:rPr>
              <w:t>Comparison and Recommendation</w:t>
            </w:r>
            <w:r>
              <w:rPr>
                <w:noProof/>
                <w:webHidden/>
              </w:rPr>
              <w:tab/>
            </w:r>
            <w:r>
              <w:rPr>
                <w:noProof/>
                <w:webHidden/>
              </w:rPr>
              <w:fldChar w:fldCharType="begin"/>
            </w:r>
            <w:r>
              <w:rPr>
                <w:noProof/>
                <w:webHidden/>
              </w:rPr>
              <w:instrText xml:space="preserve"> PAGEREF _Toc219121991 \h </w:instrText>
            </w:r>
            <w:r>
              <w:rPr>
                <w:noProof/>
                <w:webHidden/>
              </w:rPr>
            </w:r>
            <w:r>
              <w:rPr>
                <w:noProof/>
                <w:webHidden/>
              </w:rPr>
              <w:fldChar w:fldCharType="separate"/>
            </w:r>
            <w:r>
              <w:rPr>
                <w:noProof/>
                <w:webHidden/>
              </w:rPr>
              <w:t>16</w:t>
            </w:r>
            <w:r>
              <w:rPr>
                <w:noProof/>
                <w:webHidden/>
              </w:rPr>
              <w:fldChar w:fldCharType="end"/>
            </w:r>
          </w:hyperlink>
        </w:p>
        <w:p w14:paraId="76FCEA7F" w14:textId="09B0CD63" w:rsidR="000B572B" w:rsidRDefault="000B572B">
          <w:pPr>
            <w:pStyle w:val="TOC2"/>
            <w:tabs>
              <w:tab w:val="right" w:leader="dot" w:pos="9350"/>
            </w:tabs>
            <w:rPr>
              <w:rFonts w:eastAsiaTheme="minorEastAsia"/>
              <w:noProof/>
              <w:kern w:val="2"/>
              <w:lang w:eastAsia="en-GB" w:bidi="gu-IN"/>
            </w:rPr>
          </w:pPr>
          <w:hyperlink w:anchor="_Toc219121992" w:history="1">
            <w:r w:rsidRPr="0034219A">
              <w:rPr>
                <w:rStyle w:val="Hyperlink"/>
                <w:rFonts w:ascii="Times New Roman" w:eastAsia="Times New Roman" w:hAnsi="Times New Roman" w:cs="Times New Roman"/>
                <w:b/>
                <w:bCs/>
                <w:noProof/>
                <w:lang w:eastAsia="en-GB"/>
                <w14:ligatures w14:val="none"/>
              </w:rPr>
              <w:t>11. Internal Rate of Return (IRR) Analysis</w:t>
            </w:r>
            <w:r>
              <w:rPr>
                <w:noProof/>
                <w:webHidden/>
              </w:rPr>
              <w:tab/>
            </w:r>
            <w:r>
              <w:rPr>
                <w:noProof/>
                <w:webHidden/>
              </w:rPr>
              <w:fldChar w:fldCharType="begin"/>
            </w:r>
            <w:r>
              <w:rPr>
                <w:noProof/>
                <w:webHidden/>
              </w:rPr>
              <w:instrText xml:space="preserve"> PAGEREF _Toc219121992 \h </w:instrText>
            </w:r>
            <w:r>
              <w:rPr>
                <w:noProof/>
                <w:webHidden/>
              </w:rPr>
            </w:r>
            <w:r>
              <w:rPr>
                <w:noProof/>
                <w:webHidden/>
              </w:rPr>
              <w:fldChar w:fldCharType="separate"/>
            </w:r>
            <w:r>
              <w:rPr>
                <w:noProof/>
                <w:webHidden/>
              </w:rPr>
              <w:t>17</w:t>
            </w:r>
            <w:r>
              <w:rPr>
                <w:noProof/>
                <w:webHidden/>
              </w:rPr>
              <w:fldChar w:fldCharType="end"/>
            </w:r>
          </w:hyperlink>
        </w:p>
        <w:p w14:paraId="5FBD144E" w14:textId="1F5109BA" w:rsidR="000B572B" w:rsidRDefault="000B572B">
          <w:pPr>
            <w:pStyle w:val="TOC2"/>
            <w:tabs>
              <w:tab w:val="right" w:leader="dot" w:pos="9350"/>
            </w:tabs>
            <w:rPr>
              <w:rFonts w:eastAsiaTheme="minorEastAsia"/>
              <w:noProof/>
              <w:kern w:val="2"/>
              <w:lang w:eastAsia="en-GB" w:bidi="gu-IN"/>
            </w:rPr>
          </w:pPr>
          <w:hyperlink w:anchor="_Toc219121993" w:history="1">
            <w:r w:rsidRPr="0034219A">
              <w:rPr>
                <w:rStyle w:val="Hyperlink"/>
                <w:rFonts w:ascii="Times New Roman" w:eastAsia="Times New Roman" w:hAnsi="Times New Roman" w:cs="Times New Roman"/>
                <w:b/>
                <w:bCs/>
                <w:noProof/>
                <w:lang w:eastAsia="en-GB"/>
                <w14:ligatures w14:val="none"/>
              </w:rPr>
              <w:t>12. Theoretical Justification for Using NPV</w:t>
            </w:r>
            <w:r>
              <w:rPr>
                <w:noProof/>
                <w:webHidden/>
              </w:rPr>
              <w:tab/>
            </w:r>
            <w:r>
              <w:rPr>
                <w:noProof/>
                <w:webHidden/>
              </w:rPr>
              <w:fldChar w:fldCharType="begin"/>
            </w:r>
            <w:r>
              <w:rPr>
                <w:noProof/>
                <w:webHidden/>
              </w:rPr>
              <w:instrText xml:space="preserve"> PAGEREF _Toc219121993 \h </w:instrText>
            </w:r>
            <w:r>
              <w:rPr>
                <w:noProof/>
                <w:webHidden/>
              </w:rPr>
            </w:r>
            <w:r>
              <w:rPr>
                <w:noProof/>
                <w:webHidden/>
              </w:rPr>
              <w:fldChar w:fldCharType="separate"/>
            </w:r>
            <w:r>
              <w:rPr>
                <w:noProof/>
                <w:webHidden/>
              </w:rPr>
              <w:t>18</w:t>
            </w:r>
            <w:r>
              <w:rPr>
                <w:noProof/>
                <w:webHidden/>
              </w:rPr>
              <w:fldChar w:fldCharType="end"/>
            </w:r>
          </w:hyperlink>
        </w:p>
        <w:p w14:paraId="73C0CC13" w14:textId="2278384A" w:rsidR="000B572B" w:rsidRDefault="000B572B">
          <w:pPr>
            <w:pStyle w:val="TOC2"/>
            <w:tabs>
              <w:tab w:val="right" w:leader="dot" w:pos="9350"/>
            </w:tabs>
            <w:rPr>
              <w:rFonts w:eastAsiaTheme="minorEastAsia"/>
              <w:noProof/>
              <w:kern w:val="2"/>
              <w:lang w:eastAsia="en-GB" w:bidi="gu-IN"/>
            </w:rPr>
          </w:pPr>
          <w:hyperlink w:anchor="_Toc219121994" w:history="1">
            <w:r w:rsidRPr="0034219A">
              <w:rPr>
                <w:rStyle w:val="Hyperlink"/>
                <w:rFonts w:ascii="Times New Roman" w:eastAsia="Times New Roman" w:hAnsi="Times New Roman" w:cs="Times New Roman"/>
                <w:b/>
                <w:bCs/>
                <w:noProof/>
                <w:lang w:eastAsia="en-GB"/>
                <w14:ligatures w14:val="none"/>
              </w:rPr>
              <w:t>13. Continued Use of Non-Discounting Methods</w:t>
            </w:r>
            <w:r>
              <w:rPr>
                <w:noProof/>
                <w:webHidden/>
              </w:rPr>
              <w:tab/>
            </w:r>
            <w:r>
              <w:rPr>
                <w:noProof/>
                <w:webHidden/>
              </w:rPr>
              <w:fldChar w:fldCharType="begin"/>
            </w:r>
            <w:r>
              <w:rPr>
                <w:noProof/>
                <w:webHidden/>
              </w:rPr>
              <w:instrText xml:space="preserve"> PAGEREF _Toc219121994 \h </w:instrText>
            </w:r>
            <w:r>
              <w:rPr>
                <w:noProof/>
                <w:webHidden/>
              </w:rPr>
            </w:r>
            <w:r>
              <w:rPr>
                <w:noProof/>
                <w:webHidden/>
              </w:rPr>
              <w:fldChar w:fldCharType="separate"/>
            </w:r>
            <w:r>
              <w:rPr>
                <w:noProof/>
                <w:webHidden/>
              </w:rPr>
              <w:t>18</w:t>
            </w:r>
            <w:r>
              <w:rPr>
                <w:noProof/>
                <w:webHidden/>
              </w:rPr>
              <w:fldChar w:fldCharType="end"/>
            </w:r>
          </w:hyperlink>
        </w:p>
        <w:p w14:paraId="4661E9A4" w14:textId="1614F97A" w:rsidR="000B572B" w:rsidRDefault="000B572B">
          <w:pPr>
            <w:pStyle w:val="TOC2"/>
            <w:tabs>
              <w:tab w:val="right" w:leader="dot" w:pos="9350"/>
            </w:tabs>
            <w:rPr>
              <w:rFonts w:eastAsiaTheme="minorEastAsia"/>
              <w:noProof/>
              <w:kern w:val="2"/>
              <w:lang w:eastAsia="en-GB" w:bidi="gu-IN"/>
            </w:rPr>
          </w:pPr>
          <w:hyperlink w:anchor="_Toc219121995" w:history="1">
            <w:r w:rsidRPr="0034219A">
              <w:rPr>
                <w:rStyle w:val="Hyperlink"/>
                <w:rFonts w:ascii="Times New Roman" w:eastAsia="Times New Roman" w:hAnsi="Times New Roman" w:cs="Times New Roman"/>
                <w:b/>
                <w:bCs/>
                <w:noProof/>
                <w:lang w:eastAsia="en-GB"/>
                <w14:ligatures w14:val="none"/>
              </w:rPr>
              <w:t>14. Other Factors Influencing Investment Decisions</w:t>
            </w:r>
            <w:r>
              <w:rPr>
                <w:noProof/>
                <w:webHidden/>
              </w:rPr>
              <w:tab/>
            </w:r>
            <w:r>
              <w:rPr>
                <w:noProof/>
                <w:webHidden/>
              </w:rPr>
              <w:fldChar w:fldCharType="begin"/>
            </w:r>
            <w:r>
              <w:rPr>
                <w:noProof/>
                <w:webHidden/>
              </w:rPr>
              <w:instrText xml:space="preserve"> PAGEREF _Toc219121995 \h </w:instrText>
            </w:r>
            <w:r>
              <w:rPr>
                <w:noProof/>
                <w:webHidden/>
              </w:rPr>
            </w:r>
            <w:r>
              <w:rPr>
                <w:noProof/>
                <w:webHidden/>
              </w:rPr>
              <w:fldChar w:fldCharType="separate"/>
            </w:r>
            <w:r>
              <w:rPr>
                <w:noProof/>
                <w:webHidden/>
              </w:rPr>
              <w:t>19</w:t>
            </w:r>
            <w:r>
              <w:rPr>
                <w:noProof/>
                <w:webHidden/>
              </w:rPr>
              <w:fldChar w:fldCharType="end"/>
            </w:r>
          </w:hyperlink>
        </w:p>
        <w:p w14:paraId="354D126B" w14:textId="299EC0E7" w:rsidR="000B572B" w:rsidRDefault="000B572B">
          <w:pPr>
            <w:pStyle w:val="TOC2"/>
            <w:tabs>
              <w:tab w:val="right" w:leader="dot" w:pos="9350"/>
            </w:tabs>
            <w:rPr>
              <w:rFonts w:eastAsiaTheme="minorEastAsia"/>
              <w:noProof/>
              <w:kern w:val="2"/>
              <w:lang w:eastAsia="en-GB" w:bidi="gu-IN"/>
            </w:rPr>
          </w:pPr>
          <w:hyperlink w:anchor="_Toc219121996" w:history="1">
            <w:r w:rsidRPr="0034219A">
              <w:rPr>
                <w:rStyle w:val="Hyperlink"/>
                <w:rFonts w:ascii="Times New Roman" w:eastAsia="Times New Roman" w:hAnsi="Times New Roman" w:cs="Times New Roman"/>
                <w:b/>
                <w:bCs/>
                <w:noProof/>
                <w:lang w:eastAsia="en-GB"/>
                <w14:ligatures w14:val="none"/>
              </w:rPr>
              <w:t>15. Capital Rationing &amp; Optimal Investment Policy</w:t>
            </w:r>
            <w:r>
              <w:rPr>
                <w:noProof/>
                <w:webHidden/>
              </w:rPr>
              <w:tab/>
            </w:r>
            <w:r>
              <w:rPr>
                <w:noProof/>
                <w:webHidden/>
              </w:rPr>
              <w:fldChar w:fldCharType="begin"/>
            </w:r>
            <w:r>
              <w:rPr>
                <w:noProof/>
                <w:webHidden/>
              </w:rPr>
              <w:instrText xml:space="preserve"> PAGEREF _Toc219121996 \h </w:instrText>
            </w:r>
            <w:r>
              <w:rPr>
                <w:noProof/>
                <w:webHidden/>
              </w:rPr>
            </w:r>
            <w:r>
              <w:rPr>
                <w:noProof/>
                <w:webHidden/>
              </w:rPr>
              <w:fldChar w:fldCharType="separate"/>
            </w:r>
            <w:r>
              <w:rPr>
                <w:noProof/>
                <w:webHidden/>
              </w:rPr>
              <w:t>19</w:t>
            </w:r>
            <w:r>
              <w:rPr>
                <w:noProof/>
                <w:webHidden/>
              </w:rPr>
              <w:fldChar w:fldCharType="end"/>
            </w:r>
          </w:hyperlink>
        </w:p>
        <w:p w14:paraId="68C8648A" w14:textId="24778D31" w:rsidR="000B572B" w:rsidRDefault="000B572B">
          <w:pPr>
            <w:pStyle w:val="TOC2"/>
            <w:tabs>
              <w:tab w:val="right" w:leader="dot" w:pos="9350"/>
            </w:tabs>
            <w:rPr>
              <w:rFonts w:eastAsiaTheme="minorEastAsia"/>
              <w:noProof/>
              <w:kern w:val="2"/>
              <w:lang w:eastAsia="en-GB" w:bidi="gu-IN"/>
            </w:rPr>
          </w:pPr>
          <w:hyperlink w:anchor="_Toc219121997" w:history="1">
            <w:r w:rsidRPr="0034219A">
              <w:rPr>
                <w:rStyle w:val="Hyperlink"/>
                <w:rFonts w:ascii="Times New Roman" w:eastAsia="Times New Roman" w:hAnsi="Times New Roman" w:cs="Times New Roman"/>
                <w:b/>
                <w:bCs/>
                <w:noProof/>
                <w:lang w:eastAsia="en-GB"/>
                <w14:ligatures w14:val="none"/>
              </w:rPr>
              <w:t>16. Financing the Investment Programme</w:t>
            </w:r>
            <w:r>
              <w:rPr>
                <w:noProof/>
                <w:webHidden/>
              </w:rPr>
              <w:tab/>
            </w:r>
            <w:r>
              <w:rPr>
                <w:noProof/>
                <w:webHidden/>
              </w:rPr>
              <w:fldChar w:fldCharType="begin"/>
            </w:r>
            <w:r>
              <w:rPr>
                <w:noProof/>
                <w:webHidden/>
              </w:rPr>
              <w:instrText xml:space="preserve"> PAGEREF _Toc219121997 \h </w:instrText>
            </w:r>
            <w:r>
              <w:rPr>
                <w:noProof/>
                <w:webHidden/>
              </w:rPr>
            </w:r>
            <w:r>
              <w:rPr>
                <w:noProof/>
                <w:webHidden/>
              </w:rPr>
              <w:fldChar w:fldCharType="separate"/>
            </w:r>
            <w:r>
              <w:rPr>
                <w:noProof/>
                <w:webHidden/>
              </w:rPr>
              <w:t>20</w:t>
            </w:r>
            <w:r>
              <w:rPr>
                <w:noProof/>
                <w:webHidden/>
              </w:rPr>
              <w:fldChar w:fldCharType="end"/>
            </w:r>
          </w:hyperlink>
        </w:p>
        <w:p w14:paraId="6AC601E2" w14:textId="044B5A35" w:rsidR="000B572B" w:rsidRDefault="000B572B">
          <w:pPr>
            <w:pStyle w:val="TOC2"/>
            <w:tabs>
              <w:tab w:val="right" w:leader="dot" w:pos="9350"/>
            </w:tabs>
            <w:rPr>
              <w:rFonts w:eastAsiaTheme="minorEastAsia"/>
              <w:noProof/>
              <w:kern w:val="2"/>
              <w:lang w:eastAsia="en-GB" w:bidi="gu-IN"/>
            </w:rPr>
          </w:pPr>
          <w:hyperlink w:anchor="_Toc219121998" w:history="1">
            <w:r w:rsidRPr="0034219A">
              <w:rPr>
                <w:rStyle w:val="Hyperlink"/>
                <w:rFonts w:ascii="Times New Roman" w:eastAsia="Times New Roman" w:hAnsi="Times New Roman" w:cs="Times New Roman"/>
                <w:b/>
                <w:bCs/>
                <w:noProof/>
                <w:lang w:eastAsia="en-GB"/>
                <w14:ligatures w14:val="none"/>
              </w:rPr>
              <w:t>17. Part 2 Conclusion &amp; Board Advice</w:t>
            </w:r>
            <w:r>
              <w:rPr>
                <w:noProof/>
                <w:webHidden/>
              </w:rPr>
              <w:tab/>
            </w:r>
            <w:r>
              <w:rPr>
                <w:noProof/>
                <w:webHidden/>
              </w:rPr>
              <w:fldChar w:fldCharType="begin"/>
            </w:r>
            <w:r>
              <w:rPr>
                <w:noProof/>
                <w:webHidden/>
              </w:rPr>
              <w:instrText xml:space="preserve"> PAGEREF _Toc219121998 \h </w:instrText>
            </w:r>
            <w:r>
              <w:rPr>
                <w:noProof/>
                <w:webHidden/>
              </w:rPr>
            </w:r>
            <w:r>
              <w:rPr>
                <w:noProof/>
                <w:webHidden/>
              </w:rPr>
              <w:fldChar w:fldCharType="separate"/>
            </w:r>
            <w:r>
              <w:rPr>
                <w:noProof/>
                <w:webHidden/>
              </w:rPr>
              <w:t>21</w:t>
            </w:r>
            <w:r>
              <w:rPr>
                <w:noProof/>
                <w:webHidden/>
              </w:rPr>
              <w:fldChar w:fldCharType="end"/>
            </w:r>
          </w:hyperlink>
        </w:p>
        <w:p w14:paraId="49432FB1" w14:textId="2A6800EA" w:rsidR="000B572B" w:rsidRDefault="000B572B">
          <w:pPr>
            <w:pStyle w:val="TOC1"/>
            <w:tabs>
              <w:tab w:val="right" w:leader="dot" w:pos="9350"/>
            </w:tabs>
            <w:rPr>
              <w:rFonts w:eastAsiaTheme="minorEastAsia"/>
              <w:noProof/>
              <w:kern w:val="2"/>
              <w:lang w:eastAsia="en-GB" w:bidi="gu-IN"/>
            </w:rPr>
          </w:pPr>
          <w:hyperlink w:anchor="_Toc219121999" w:history="1">
            <w:r w:rsidRPr="0034219A">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_Toc219121999 \h </w:instrText>
            </w:r>
            <w:r>
              <w:rPr>
                <w:noProof/>
                <w:webHidden/>
              </w:rPr>
            </w:r>
            <w:r>
              <w:rPr>
                <w:noProof/>
                <w:webHidden/>
              </w:rPr>
              <w:fldChar w:fldCharType="separate"/>
            </w:r>
            <w:r>
              <w:rPr>
                <w:noProof/>
                <w:webHidden/>
              </w:rPr>
              <w:t>23</w:t>
            </w:r>
            <w:r>
              <w:rPr>
                <w:noProof/>
                <w:webHidden/>
              </w:rPr>
              <w:fldChar w:fldCharType="end"/>
            </w:r>
          </w:hyperlink>
        </w:p>
        <w:p w14:paraId="3189650E" w14:textId="2AD425B2" w:rsidR="000B572B" w:rsidRDefault="000B572B">
          <w:pPr>
            <w:pStyle w:val="TOC1"/>
            <w:tabs>
              <w:tab w:val="right" w:leader="dot" w:pos="9350"/>
            </w:tabs>
            <w:rPr>
              <w:rFonts w:eastAsiaTheme="minorEastAsia"/>
              <w:noProof/>
              <w:kern w:val="2"/>
              <w:lang w:eastAsia="en-GB" w:bidi="gu-IN"/>
            </w:rPr>
          </w:pPr>
          <w:hyperlink w:anchor="_Toc219122000" w:history="1">
            <w:r w:rsidRPr="0034219A">
              <w:rPr>
                <w:rStyle w:val="Hyperlink"/>
                <w:b/>
                <w:bCs/>
                <w:noProof/>
              </w:rPr>
              <w:t>Appendix: Part 1 Financial Statements of Rolls-Royce Holdings plc (RR.L)</w:t>
            </w:r>
            <w:r>
              <w:rPr>
                <w:noProof/>
                <w:webHidden/>
              </w:rPr>
              <w:tab/>
            </w:r>
            <w:r>
              <w:rPr>
                <w:noProof/>
                <w:webHidden/>
              </w:rPr>
              <w:fldChar w:fldCharType="begin"/>
            </w:r>
            <w:r>
              <w:rPr>
                <w:noProof/>
                <w:webHidden/>
              </w:rPr>
              <w:instrText xml:space="preserve"> PAGEREF _Toc219122000 \h </w:instrText>
            </w:r>
            <w:r>
              <w:rPr>
                <w:noProof/>
                <w:webHidden/>
              </w:rPr>
            </w:r>
            <w:r>
              <w:rPr>
                <w:noProof/>
                <w:webHidden/>
              </w:rPr>
              <w:fldChar w:fldCharType="separate"/>
            </w:r>
            <w:r>
              <w:rPr>
                <w:noProof/>
                <w:webHidden/>
              </w:rPr>
              <w:t>26</w:t>
            </w:r>
            <w:r>
              <w:rPr>
                <w:noProof/>
                <w:webHidden/>
              </w:rPr>
              <w:fldChar w:fldCharType="end"/>
            </w:r>
          </w:hyperlink>
        </w:p>
        <w:p w14:paraId="7EF6960F" w14:textId="30F16528" w:rsidR="000B572B" w:rsidRDefault="000B572B">
          <w:pPr>
            <w:pStyle w:val="TOC2"/>
            <w:tabs>
              <w:tab w:val="right" w:leader="dot" w:pos="9350"/>
            </w:tabs>
            <w:rPr>
              <w:rFonts w:eastAsiaTheme="minorEastAsia"/>
              <w:noProof/>
              <w:kern w:val="2"/>
              <w:lang w:eastAsia="en-GB" w:bidi="gu-IN"/>
            </w:rPr>
          </w:pPr>
          <w:hyperlink w:anchor="_Toc219122001" w:history="1">
            <w:r w:rsidRPr="0034219A">
              <w:rPr>
                <w:rStyle w:val="Hyperlink"/>
                <w:rFonts w:ascii="Times New Roman" w:hAnsi="Times New Roman" w:cs="Times New Roman"/>
                <w:b/>
                <w:bCs/>
                <w:noProof/>
              </w:rPr>
              <w:t>Income Statement</w:t>
            </w:r>
            <w:r>
              <w:rPr>
                <w:noProof/>
                <w:webHidden/>
              </w:rPr>
              <w:tab/>
            </w:r>
            <w:r>
              <w:rPr>
                <w:noProof/>
                <w:webHidden/>
              </w:rPr>
              <w:fldChar w:fldCharType="begin"/>
            </w:r>
            <w:r>
              <w:rPr>
                <w:noProof/>
                <w:webHidden/>
              </w:rPr>
              <w:instrText xml:space="preserve"> PAGEREF _Toc219122001 \h </w:instrText>
            </w:r>
            <w:r>
              <w:rPr>
                <w:noProof/>
                <w:webHidden/>
              </w:rPr>
            </w:r>
            <w:r>
              <w:rPr>
                <w:noProof/>
                <w:webHidden/>
              </w:rPr>
              <w:fldChar w:fldCharType="separate"/>
            </w:r>
            <w:r>
              <w:rPr>
                <w:noProof/>
                <w:webHidden/>
              </w:rPr>
              <w:t>26</w:t>
            </w:r>
            <w:r>
              <w:rPr>
                <w:noProof/>
                <w:webHidden/>
              </w:rPr>
              <w:fldChar w:fldCharType="end"/>
            </w:r>
          </w:hyperlink>
        </w:p>
        <w:p w14:paraId="54E7C4B2" w14:textId="3D171371" w:rsidR="000B572B" w:rsidRDefault="000B572B">
          <w:pPr>
            <w:pStyle w:val="TOC2"/>
            <w:tabs>
              <w:tab w:val="right" w:leader="dot" w:pos="9350"/>
            </w:tabs>
            <w:rPr>
              <w:rFonts w:eastAsiaTheme="minorEastAsia"/>
              <w:noProof/>
              <w:kern w:val="2"/>
              <w:lang w:eastAsia="en-GB" w:bidi="gu-IN"/>
            </w:rPr>
          </w:pPr>
          <w:hyperlink w:anchor="_Toc219122002" w:history="1">
            <w:r w:rsidRPr="0034219A">
              <w:rPr>
                <w:rStyle w:val="Hyperlink"/>
                <w:rFonts w:ascii="Times New Roman" w:hAnsi="Times New Roman" w:cs="Times New Roman"/>
                <w:b/>
                <w:bCs/>
                <w:noProof/>
              </w:rPr>
              <w:t>Balance Sheet</w:t>
            </w:r>
            <w:r>
              <w:rPr>
                <w:noProof/>
                <w:webHidden/>
              </w:rPr>
              <w:tab/>
            </w:r>
            <w:r>
              <w:rPr>
                <w:noProof/>
                <w:webHidden/>
              </w:rPr>
              <w:fldChar w:fldCharType="begin"/>
            </w:r>
            <w:r>
              <w:rPr>
                <w:noProof/>
                <w:webHidden/>
              </w:rPr>
              <w:instrText xml:space="preserve"> PAGEREF _Toc219122002 \h </w:instrText>
            </w:r>
            <w:r>
              <w:rPr>
                <w:noProof/>
                <w:webHidden/>
              </w:rPr>
            </w:r>
            <w:r>
              <w:rPr>
                <w:noProof/>
                <w:webHidden/>
              </w:rPr>
              <w:fldChar w:fldCharType="separate"/>
            </w:r>
            <w:r>
              <w:rPr>
                <w:noProof/>
                <w:webHidden/>
              </w:rPr>
              <w:t>27</w:t>
            </w:r>
            <w:r>
              <w:rPr>
                <w:noProof/>
                <w:webHidden/>
              </w:rPr>
              <w:fldChar w:fldCharType="end"/>
            </w:r>
          </w:hyperlink>
        </w:p>
        <w:p w14:paraId="5A71B542" w14:textId="0F00820E" w:rsidR="000B572B" w:rsidRDefault="000B572B">
          <w:pPr>
            <w:pStyle w:val="TOC2"/>
            <w:tabs>
              <w:tab w:val="right" w:leader="dot" w:pos="9350"/>
            </w:tabs>
            <w:rPr>
              <w:rFonts w:eastAsiaTheme="minorEastAsia"/>
              <w:noProof/>
              <w:kern w:val="2"/>
              <w:lang w:eastAsia="en-GB" w:bidi="gu-IN"/>
            </w:rPr>
          </w:pPr>
          <w:hyperlink w:anchor="_Toc219122003" w:history="1">
            <w:r w:rsidRPr="0034219A">
              <w:rPr>
                <w:rStyle w:val="Hyperlink"/>
                <w:rFonts w:ascii="Times New Roman" w:hAnsi="Times New Roman" w:cs="Times New Roman"/>
                <w:b/>
                <w:bCs/>
                <w:noProof/>
              </w:rPr>
              <w:t>Cashflow Statement</w:t>
            </w:r>
            <w:r>
              <w:rPr>
                <w:noProof/>
                <w:webHidden/>
              </w:rPr>
              <w:tab/>
            </w:r>
            <w:r>
              <w:rPr>
                <w:noProof/>
                <w:webHidden/>
              </w:rPr>
              <w:fldChar w:fldCharType="begin"/>
            </w:r>
            <w:r>
              <w:rPr>
                <w:noProof/>
                <w:webHidden/>
              </w:rPr>
              <w:instrText xml:space="preserve"> PAGEREF _Toc219122003 \h </w:instrText>
            </w:r>
            <w:r>
              <w:rPr>
                <w:noProof/>
                <w:webHidden/>
              </w:rPr>
            </w:r>
            <w:r>
              <w:rPr>
                <w:noProof/>
                <w:webHidden/>
              </w:rPr>
              <w:fldChar w:fldCharType="separate"/>
            </w:r>
            <w:r>
              <w:rPr>
                <w:noProof/>
                <w:webHidden/>
              </w:rPr>
              <w:t>28</w:t>
            </w:r>
            <w:r>
              <w:rPr>
                <w:noProof/>
                <w:webHidden/>
              </w:rPr>
              <w:fldChar w:fldCharType="end"/>
            </w:r>
          </w:hyperlink>
        </w:p>
        <w:p w14:paraId="51086274" w14:textId="57438196" w:rsidR="00E42B7D" w:rsidRPr="00CB5C68" w:rsidRDefault="00E42B7D" w:rsidP="00CB5C68">
          <w:pPr>
            <w:spacing w:line="360" w:lineRule="auto"/>
            <w:jc w:val="both"/>
          </w:pPr>
          <w:r w:rsidRPr="00CB5C68">
            <w:rPr>
              <w:b/>
              <w:bCs/>
              <w:noProof/>
            </w:rPr>
            <w:fldChar w:fldCharType="end"/>
          </w:r>
        </w:p>
      </w:sdtContent>
    </w:sdt>
    <w:p w14:paraId="28A730E0" w14:textId="4D308B6D" w:rsidR="006B0C6E" w:rsidRPr="00CB5C68" w:rsidRDefault="006B0C6E" w:rsidP="00CB5C68">
      <w:pPr>
        <w:spacing w:line="360" w:lineRule="auto"/>
        <w:jc w:val="both"/>
        <w:rPr>
          <w:rFonts w:ascii="Times New Roman" w:eastAsia="Times New Roman" w:hAnsi="Times New Roman" w:cs="Times New Roman"/>
          <w:b/>
          <w:bCs/>
          <w:lang w:eastAsia="en-GB"/>
          <w14:ligatures w14:val="none"/>
        </w:rPr>
      </w:pPr>
      <w:r w:rsidRPr="00CB5C68">
        <w:rPr>
          <w:rFonts w:ascii="Times New Roman" w:eastAsia="Times New Roman" w:hAnsi="Times New Roman" w:cs="Times New Roman"/>
          <w:b/>
          <w:bCs/>
          <w:lang w:eastAsia="en-GB"/>
          <w14:ligatures w14:val="none"/>
        </w:rPr>
        <w:br w:type="page"/>
      </w:r>
    </w:p>
    <w:p w14:paraId="36BB28B2" w14:textId="77777777" w:rsidR="002F630D" w:rsidRPr="00CB5C68" w:rsidRDefault="002F630D" w:rsidP="00CB5C68">
      <w:pPr>
        <w:spacing w:before="100" w:beforeAutospacing="1" w:after="100" w:afterAutospacing="1" w:line="360" w:lineRule="auto"/>
        <w:jc w:val="both"/>
        <w:outlineLvl w:val="0"/>
        <w:rPr>
          <w:rFonts w:ascii="Times New Roman" w:eastAsia="Times New Roman" w:hAnsi="Times New Roman" w:cs="Times New Roman"/>
          <w:b/>
          <w:bCs/>
          <w:kern w:val="36"/>
          <w:lang w:eastAsia="en-GB"/>
          <w14:ligatures w14:val="none"/>
        </w:rPr>
      </w:pPr>
      <w:bookmarkStart w:id="0" w:name="_Toc219121970"/>
      <w:r w:rsidRPr="00CB5C68">
        <w:rPr>
          <w:rFonts w:ascii="Times New Roman" w:eastAsia="Times New Roman" w:hAnsi="Times New Roman" w:cs="Times New Roman"/>
          <w:b/>
          <w:bCs/>
          <w:kern w:val="36"/>
          <w:lang w:eastAsia="en-GB"/>
          <w14:ligatures w14:val="none"/>
        </w:rPr>
        <w:lastRenderedPageBreak/>
        <w:t>PART 1 – Financial Performance Analysis</w:t>
      </w:r>
      <w:bookmarkEnd w:id="0"/>
    </w:p>
    <w:p w14:paraId="4514FFBE" w14:textId="77777777" w:rsidR="002F630D" w:rsidRPr="00CB5C68" w:rsidRDefault="002F630D" w:rsidP="00CB5C68">
      <w:pPr>
        <w:spacing w:before="100" w:beforeAutospacing="1" w:after="100" w:afterAutospacing="1" w:line="360" w:lineRule="auto"/>
        <w:jc w:val="both"/>
        <w:rPr>
          <w:rFonts w:ascii="Times New Roman" w:eastAsia="Times New Roman" w:hAnsi="Times New Roman" w:cs="Times New Roman"/>
          <w:b/>
          <w:bCs/>
          <w:lang w:eastAsia="en-GB"/>
          <w14:ligatures w14:val="none"/>
        </w:rPr>
      </w:pPr>
      <w:r w:rsidRPr="00CB5C68">
        <w:rPr>
          <w:rFonts w:ascii="Times New Roman" w:eastAsia="Times New Roman" w:hAnsi="Times New Roman" w:cs="Times New Roman"/>
          <w:b/>
          <w:bCs/>
          <w:lang w:eastAsia="en-GB"/>
          <w14:ligatures w14:val="none"/>
        </w:rPr>
        <w:t>Report to the Directors of Rolls-Royce Holdings plc</w:t>
      </w:r>
    </w:p>
    <w:p w14:paraId="51A3F603" w14:textId="77777777" w:rsidR="002F630D" w:rsidRPr="00CB5C68" w:rsidRDefault="002F630D" w:rsidP="00CB5C68">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1" w:name="_Toc219121971"/>
      <w:r w:rsidRPr="00CB5C68">
        <w:rPr>
          <w:rFonts w:ascii="Times New Roman" w:eastAsia="Times New Roman" w:hAnsi="Times New Roman" w:cs="Times New Roman"/>
          <w:b/>
          <w:bCs/>
          <w:lang w:eastAsia="en-GB"/>
          <w14:ligatures w14:val="none"/>
        </w:rPr>
        <w:t>1. Executive Summary</w:t>
      </w:r>
      <w:bookmarkEnd w:id="1"/>
    </w:p>
    <w:p w14:paraId="1A21B0B3" w14:textId="77777777" w:rsidR="002F630D" w:rsidRPr="00CB5C68" w:rsidRDefault="002F630D" w:rsidP="00CB5C68">
      <w:pPr>
        <w:spacing w:line="360" w:lineRule="auto"/>
        <w:jc w:val="both"/>
        <w:rPr>
          <w:rFonts w:ascii="Times New Roman" w:eastAsia="Times New Roman" w:hAnsi="Times New Roman" w:cs="Times New Roman"/>
          <w14:ligatures w14:val="none"/>
        </w:rPr>
      </w:pPr>
      <w:r w:rsidRPr="00CB5C68">
        <w:rPr>
          <w:rFonts w:ascii="Times New Roman" w:eastAsia="Times New Roman" w:hAnsi="Times New Roman" w:cs="Times New Roman"/>
          <w14:ligatures w14:val="none"/>
        </w:rPr>
        <w:t>This paper will analyse the most recent available data from Rolls-Royce Holdings plc. No other source will be more recent or company specific. The analysed reports will be financial for the first time the documents are freely available for the financial year 2023-2024. Positive changes are considered mainly revenue and earnings driven, based on the restructuring and streamlining of business processes. Still, the report notes that due to inadequate coverage of interest, the financial risk of the firm will be unchanged, and that liquidity will continue to remain a problem. The greatest opportunities are the increased EPS and margin, while the greatest threats are the short-term liquidity problems. To ensure long-term financial sustainability, the board is advised to prioritize the sustainability of profit and working capital control at a more conservative level.</w:t>
      </w:r>
    </w:p>
    <w:p w14:paraId="3B985D6B" w14:textId="09DFFFE7" w:rsidR="00332D1D" w:rsidRPr="00CB5C68" w:rsidRDefault="00332D1D" w:rsidP="00CB5C68">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2" w:name="_Toc219121972"/>
      <w:r w:rsidRPr="00CB5C68">
        <w:rPr>
          <w:rFonts w:ascii="Times New Roman" w:eastAsia="Times New Roman" w:hAnsi="Times New Roman" w:cs="Times New Roman"/>
          <w:b/>
          <w:bCs/>
          <w:lang w:eastAsia="en-GB"/>
          <w14:ligatures w14:val="none"/>
        </w:rPr>
        <w:t>2. Introduction &amp; Company Overview</w:t>
      </w:r>
      <w:bookmarkEnd w:id="2"/>
    </w:p>
    <w:p w14:paraId="1D7A96E4" w14:textId="0F3A4662" w:rsidR="004128A3" w:rsidRPr="00CB5C68" w:rsidRDefault="004128A3"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 xml:space="preserve">Rolls-Royce Holdings plc is a global engineering firm with a significant footprint in the world's aerospace and </w:t>
      </w:r>
      <w:r w:rsidR="0017067C" w:rsidRPr="00CB5C68">
        <w:rPr>
          <w:rFonts w:ascii="Times New Roman" w:eastAsia="Times New Roman" w:hAnsi="Times New Roman" w:cs="Times New Roman"/>
          <w:lang w:eastAsia="en-GB"/>
          <w14:ligatures w14:val="none"/>
        </w:rPr>
        <w:t>Defense</w:t>
      </w:r>
      <w:r w:rsidRPr="00CB5C68">
        <w:rPr>
          <w:rFonts w:ascii="Times New Roman" w:eastAsia="Times New Roman" w:hAnsi="Times New Roman" w:cs="Times New Roman"/>
          <w:lang w:eastAsia="en-GB"/>
          <w14:ligatures w14:val="none"/>
        </w:rPr>
        <w:t xml:space="preserve"> domains. The firm is based in the United Kingdom. They are most known for their engineering and servicing capability of power systems used in civil aerospace, </w:t>
      </w:r>
      <w:r w:rsidR="0017067C" w:rsidRPr="00CB5C68">
        <w:rPr>
          <w:rFonts w:ascii="Times New Roman" w:eastAsia="Times New Roman" w:hAnsi="Times New Roman" w:cs="Times New Roman"/>
          <w:lang w:eastAsia="en-GB"/>
          <w14:ligatures w14:val="none"/>
        </w:rPr>
        <w:t>Defense</w:t>
      </w:r>
      <w:r w:rsidRPr="00CB5C68">
        <w:rPr>
          <w:rFonts w:ascii="Times New Roman" w:eastAsia="Times New Roman" w:hAnsi="Times New Roman" w:cs="Times New Roman"/>
          <w:lang w:eastAsia="en-GB"/>
          <w14:ligatures w14:val="none"/>
        </w:rPr>
        <w:t>, and power generation. The company places strong emphasis on long term servicing agreements that are recurring revenue streams and are in addition to original equipment sales (Rolls-Royce Holdings plc, 2024).</w:t>
      </w:r>
    </w:p>
    <w:p w14:paraId="022A75D4" w14:textId="411E8C4A" w:rsidR="004128A3" w:rsidRPr="00CB5C68" w:rsidRDefault="004128A3"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The group's primary activities are captured in three broad categories, namely, Civil Aerospace, Defense, and Power Systems. Civil Aerospace remains the largest contributor to gross revenue, supplying jet engines and aftermarket services to global commercial airlines. Defense, unlike Power Systems, focuses on the provision of energy solutions to industrial and infrastructural systems, support of military aircraft, and naval propulsion systems.</w:t>
      </w:r>
    </w:p>
    <w:p w14:paraId="6A3BA609" w14:textId="27C8101A" w:rsidR="004128A3" w:rsidRPr="00CB5C68" w:rsidRDefault="004128A3"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 xml:space="preserve">There are numerous risks involved in Rolls Royce's line of business, including the length of its development cycles, the associated financial costs, and the high stakes involved in determining the </w:t>
      </w:r>
      <w:r w:rsidRPr="00CB5C68">
        <w:rPr>
          <w:rFonts w:ascii="Times New Roman" w:eastAsia="Times New Roman" w:hAnsi="Times New Roman" w:cs="Times New Roman"/>
          <w:lang w:eastAsia="en-GB"/>
          <w14:ligatures w14:val="none"/>
        </w:rPr>
        <w:lastRenderedPageBreak/>
        <w:t>outcome of business processes and technological complexities. Additionally, the amount of intricate financial analyses required in order to evaluate its performance is, at best, justified in order to assist financial management. The use of financial statements to perform ratio-based reviews is, to some extent, justified in the literature, considering the complexity of the business and the type of organization involved (Olayinka, 2022; Türegun, 2022).</w:t>
      </w:r>
    </w:p>
    <w:p w14:paraId="458BCC41" w14:textId="3133B589" w:rsidR="004128A3" w:rsidRPr="00CB5C68" w:rsidRDefault="004128A3"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Analysis of the Rolls Royce financial statements and the business ratios of Rolls Royce will offer guidance to management on the business's continuing financial performance. This will assist in determining the business's financial stability and the financial objectives of the business in the future (Lam et al., 2023).</w:t>
      </w:r>
    </w:p>
    <w:p w14:paraId="2ADBCE44" w14:textId="77777777" w:rsidR="00332D1D" w:rsidRPr="00CB5C68" w:rsidRDefault="00332D1D" w:rsidP="00CB5C68">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3" w:name="_Toc219121973"/>
      <w:r w:rsidRPr="00CB5C68">
        <w:rPr>
          <w:rFonts w:ascii="Times New Roman" w:eastAsia="Times New Roman" w:hAnsi="Times New Roman" w:cs="Times New Roman"/>
          <w:b/>
          <w:bCs/>
          <w:lang w:eastAsia="en-GB"/>
          <w14:ligatures w14:val="none"/>
        </w:rPr>
        <w:t>3. Methodology &amp; Data Sources</w:t>
      </w:r>
      <w:bookmarkEnd w:id="3"/>
    </w:p>
    <w:p w14:paraId="7CF587E9" w14:textId="77777777" w:rsidR="004128A3" w:rsidRPr="00CB5C68" w:rsidRDefault="004128A3"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The study’s secondary data is sourced from Rolls-Royce Holdings plc’s annual report which covers the last two fiscal years. Annual reports present audited and standardized data crafted for external stakeholders. Therefore, they tend to be more reliable than other data sources. Due to its ability to make systematic assessments across profitability, liquidity, efficiency, and, gearing, the report utilized ratio analysis as the primary method of analysis (Rashid, 2021). To detect movements within the financial position, a two-year span comparison technique is employed and this also aids in justifying the meaningfulness of the performance interpret. However, secondary data is financial data is backward looking and the data is also subjected to some accounting policy choices. Consequently, ratio results should be contextualized rather than be seen in isolation (Kumar et al., 2021; Le et al., 2021). This is not the case when the findings are viewed in isolation.</w:t>
      </w:r>
    </w:p>
    <w:p w14:paraId="6F445A62" w14:textId="77777777" w:rsidR="00332D1D" w:rsidRPr="00CB5C68" w:rsidRDefault="00332D1D" w:rsidP="00CB5C68">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4" w:name="_Toc219121974"/>
      <w:r w:rsidRPr="00CB5C68">
        <w:rPr>
          <w:rFonts w:ascii="Times New Roman" w:eastAsia="Times New Roman" w:hAnsi="Times New Roman" w:cs="Times New Roman"/>
          <w:b/>
          <w:bCs/>
          <w:lang w:eastAsia="en-GB"/>
          <w14:ligatures w14:val="none"/>
        </w:rPr>
        <w:t>4. Financial Ratio Analysis &amp; Interpretation</w:t>
      </w:r>
      <w:bookmarkEnd w:id="4"/>
    </w:p>
    <w:p w14:paraId="531CFC32" w14:textId="2649E831" w:rsidR="004128A3" w:rsidRPr="00CB5C68" w:rsidRDefault="004128A3"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 xml:space="preserve">Based on the Annual Report and published Financial Statements of the Company, as well as statistics filed on Yahoo Finance, the analysis of Rolls-Royce Holdings plc’s financial performance for the years 2022–2024 was carried out and is presented in this section. Ratio analysis is utilized in assessing profitability, liquidity, efficiency, financial risk, and the investor’s perspective. However, the context of the situation is vital, and ratios shouldn't be looked at in isolation (Darma, 2021; Heliani et al., 2023). </w:t>
      </w:r>
    </w:p>
    <w:p w14:paraId="7DA80AF6" w14:textId="785F2703" w:rsidR="00F96DA3" w:rsidRPr="00CB5C68" w:rsidRDefault="00F96DA3" w:rsidP="00CB5C68">
      <w:pPr>
        <w:pStyle w:val="Caption"/>
        <w:spacing w:line="360" w:lineRule="auto"/>
        <w:jc w:val="both"/>
        <w:rPr>
          <w:sz w:val="24"/>
          <w:szCs w:val="24"/>
        </w:rPr>
      </w:pPr>
      <w:r w:rsidRPr="00CB5C68">
        <w:rPr>
          <w:sz w:val="24"/>
          <w:szCs w:val="24"/>
        </w:rPr>
        <w:lastRenderedPageBreak/>
        <w:t xml:space="preserve">Table </w:t>
      </w:r>
      <w:r w:rsidRPr="00CB5C68">
        <w:rPr>
          <w:sz w:val="24"/>
          <w:szCs w:val="24"/>
        </w:rPr>
        <w:fldChar w:fldCharType="begin"/>
      </w:r>
      <w:r w:rsidRPr="00CB5C68">
        <w:rPr>
          <w:sz w:val="24"/>
          <w:szCs w:val="24"/>
        </w:rPr>
        <w:instrText xml:space="preserve"> SEQ Table \* ARABIC </w:instrText>
      </w:r>
      <w:r w:rsidRPr="00CB5C68">
        <w:rPr>
          <w:sz w:val="24"/>
          <w:szCs w:val="24"/>
        </w:rPr>
        <w:fldChar w:fldCharType="separate"/>
      </w:r>
      <w:r w:rsidRPr="00CB5C68">
        <w:rPr>
          <w:noProof/>
          <w:sz w:val="24"/>
          <w:szCs w:val="24"/>
        </w:rPr>
        <w:t>1</w:t>
      </w:r>
      <w:r w:rsidRPr="00CB5C68">
        <w:rPr>
          <w:noProof/>
          <w:sz w:val="24"/>
          <w:szCs w:val="24"/>
        </w:rPr>
        <w:fldChar w:fldCharType="end"/>
      </w:r>
      <w:r w:rsidRPr="00CB5C68">
        <w:rPr>
          <w:sz w:val="24"/>
          <w:szCs w:val="24"/>
        </w:rPr>
        <w:t>:</w:t>
      </w:r>
      <w:r w:rsidR="00E300A9" w:rsidRPr="00CB5C68">
        <w:rPr>
          <w:sz w:val="24"/>
          <w:szCs w:val="24"/>
        </w:rPr>
        <w:t xml:space="preserve"> ROLLS-ROYCE RATIO ANALYSIS.</w:t>
      </w:r>
    </w:p>
    <w:p w14:paraId="5BEFC832" w14:textId="594E5849" w:rsidR="00F96DA3" w:rsidRPr="00CB5C68" w:rsidRDefault="00F96DA3" w:rsidP="00CB5C68">
      <w:pPr>
        <w:spacing w:line="360" w:lineRule="auto"/>
        <w:jc w:val="both"/>
      </w:pPr>
      <w:r w:rsidRPr="00CB5C68">
        <w:rPr>
          <w:noProof/>
        </w:rPr>
        <w:drawing>
          <wp:inline distT="0" distB="0" distL="0" distR="0" wp14:anchorId="7BB257FE" wp14:editId="00C778F3">
            <wp:extent cx="5364480" cy="2889712"/>
            <wp:effectExtent l="0" t="0" r="7620" b="6350"/>
            <wp:docPr id="1237417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69933" cy="2892649"/>
                    </a:xfrm>
                    <a:prstGeom prst="rect">
                      <a:avLst/>
                    </a:prstGeom>
                    <a:noFill/>
                    <a:ln>
                      <a:noFill/>
                    </a:ln>
                  </pic:spPr>
                </pic:pic>
              </a:graphicData>
            </a:graphic>
          </wp:inline>
        </w:drawing>
      </w:r>
    </w:p>
    <w:p w14:paraId="5F2B0555" w14:textId="77777777" w:rsidR="00332D1D" w:rsidRPr="00CB5C68" w:rsidRDefault="00332D1D" w:rsidP="00CB5C68">
      <w:pPr>
        <w:spacing w:before="100" w:beforeAutospacing="1" w:after="100" w:afterAutospacing="1" w:line="360" w:lineRule="auto"/>
        <w:jc w:val="both"/>
        <w:outlineLvl w:val="2"/>
        <w:rPr>
          <w:rFonts w:ascii="Times New Roman" w:eastAsia="Times New Roman" w:hAnsi="Times New Roman" w:cs="Times New Roman"/>
          <w:b/>
          <w:bCs/>
          <w:lang w:eastAsia="en-GB"/>
          <w14:ligatures w14:val="none"/>
        </w:rPr>
      </w:pPr>
      <w:bookmarkStart w:id="5" w:name="_Toc219121975"/>
      <w:r w:rsidRPr="00CB5C68">
        <w:rPr>
          <w:rFonts w:ascii="Times New Roman" w:eastAsia="Times New Roman" w:hAnsi="Times New Roman" w:cs="Times New Roman"/>
          <w:b/>
          <w:bCs/>
          <w:lang w:eastAsia="en-GB"/>
          <w14:ligatures w14:val="none"/>
        </w:rPr>
        <w:t>4.1 Profitability Analysis</w:t>
      </w:r>
      <w:bookmarkEnd w:id="5"/>
    </w:p>
    <w:p w14:paraId="0AD60376" w14:textId="6510C41A" w:rsidR="00CB5C68" w:rsidRPr="00CB5C68" w:rsidRDefault="004128A3"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 xml:space="preserve">Profitability measures help in understanding the earnings-generating ability of a company from a given level of activity and from a given level of assets. Within the time frame under review, Rolls-Royce’s level of profitability has shown a significant improvement, which is a strong confirmation of a turnaround in operational and financial performance. </w:t>
      </w:r>
      <w:r w:rsidR="00CB5C68" w:rsidRPr="00CB5C68">
        <w:rPr>
          <w:rFonts w:ascii="Times New Roman" w:eastAsia="Times New Roman" w:hAnsi="Times New Roman" w:cs="Times New Roman"/>
          <w:lang w:eastAsia="en-GB"/>
          <w14:ligatures w14:val="none"/>
        </w:rPr>
        <w:t>Return for example shows gross profit margin rising from 21.96% in 2022 to 25.80% in 2024. This figure showed a progressive increase. Thus, showing greater cost management and more thoughtful pricing. This trend could be due to the restructuring and the focus on more profitable service contracts.</w:t>
      </w:r>
    </w:p>
    <w:p w14:paraId="4F4F6DA7" w14:textId="77777777" w:rsidR="00CB5C68" w:rsidRPr="00CB5C68" w:rsidRDefault="00CB5C68"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From the years 2022 to 2024, operational profit margins increased by 5.72 dollars, which is from 10.74 to 16.46 operational profit margins. This was due to operational costs increasing at a slower rate than the revenue. Operational efficiency of the entity has, in fact, improved. This trend shows a more complex, and in some, more sporadic manner than the previous. Despite the fact that net profit margin was at its historical lowest in 2023, at 29.62 in 2024, it is plausible that this was just a result of the greater net revenue and warrants a greater degree of caution. This could more operational efficiency and less net financing costs, or it could be a combination of the two (Astuti, 2021).</w:t>
      </w:r>
    </w:p>
    <w:p w14:paraId="4930E333" w14:textId="4D2510BD" w:rsidR="004128A3" w:rsidRPr="00CB5C68" w:rsidRDefault="00CB5C68"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lastRenderedPageBreak/>
        <w:t>Both ROA and ROE show positive increases which corresponds to the noted recovery trends.</w:t>
      </w:r>
      <w:r w:rsidR="004128A3" w:rsidRPr="00CB5C68">
        <w:rPr>
          <w:rFonts w:ascii="Times New Roman" w:eastAsia="Times New Roman" w:hAnsi="Times New Roman" w:cs="Times New Roman"/>
          <w:lang w:eastAsia="en-GB"/>
          <w14:ligatures w14:val="none"/>
        </w:rPr>
        <w:t xml:space="preserve"> While ROA has been high and consistent throughout the period, ROE has more than doubled in 2024. In summary, the profitability ratios indicate that the realignment of the organization's strategies is beginning to optimize the financial returns on the company's investments. There is a need to closely evaluate the organization's operational processes against market conditions, as this presents the greatest opportunity to sustain the current growth trajectory.</w:t>
      </w:r>
    </w:p>
    <w:p w14:paraId="12CE1069" w14:textId="77777777" w:rsidR="00332D1D" w:rsidRPr="00CB5C68" w:rsidRDefault="00332D1D" w:rsidP="00CB5C68">
      <w:pPr>
        <w:spacing w:before="100" w:beforeAutospacing="1" w:after="100" w:afterAutospacing="1" w:line="360" w:lineRule="auto"/>
        <w:jc w:val="both"/>
        <w:outlineLvl w:val="2"/>
        <w:rPr>
          <w:rFonts w:ascii="Times New Roman" w:eastAsia="Times New Roman" w:hAnsi="Times New Roman" w:cs="Times New Roman"/>
          <w:b/>
          <w:bCs/>
          <w:lang w:eastAsia="en-GB"/>
          <w14:ligatures w14:val="none"/>
        </w:rPr>
      </w:pPr>
      <w:bookmarkStart w:id="6" w:name="_Toc219121976"/>
      <w:r w:rsidRPr="00CB5C68">
        <w:rPr>
          <w:rFonts w:ascii="Times New Roman" w:eastAsia="Times New Roman" w:hAnsi="Times New Roman" w:cs="Times New Roman"/>
          <w:b/>
          <w:bCs/>
          <w:lang w:eastAsia="en-GB"/>
          <w14:ligatures w14:val="none"/>
        </w:rPr>
        <w:t>4.2 Liquidity Analysis</w:t>
      </w:r>
      <w:bookmarkEnd w:id="6"/>
    </w:p>
    <w:p w14:paraId="2C061212" w14:textId="019A8CF9" w:rsidR="004128A3" w:rsidRPr="00CB5C68" w:rsidRDefault="004128A3"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 xml:space="preserve">While liquidity ratios indicate that a firm is able to meet its short-term obligations, this is not the case for Rolls-Royce, despite the firm being able to make a great deal of headway operationally. Although the current ratio is projected to increase from a 2022 value of -0.38 to -0.04 in 2024, this ratio is still negative for all three years considered. In general, a negative current ratio indicates that a firm’s current obligations far exceed its current assets, thus suggesting imminent negative financial pressure on the firm.  </w:t>
      </w:r>
    </w:p>
    <w:p w14:paraId="38F91484" w14:textId="556F1A63" w:rsidR="004128A3" w:rsidRPr="00CB5C68" w:rsidRDefault="004128A3"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The same pattern is noted with the quick ratio, which also remains negative throughout the period, despite a slight overall increase. Data of this sort clearly indicates that, at least until the point when short-term liabilities are met, a firm lacks sufficient liquid assets, even after removing inventory from the equation. Normally, such evidence of an apparent lack of liquidity would ring alarm bells, yet for an engineering firm that is highly capitalized, such circumstances are known to exist when carrying a substantial amount of firm backlog or when sufficient cash is generated in the normal course of business.</w:t>
      </w:r>
    </w:p>
    <w:p w14:paraId="45ED3646" w14:textId="77777777" w:rsidR="00CB5C68" w:rsidRPr="00CB5C68" w:rsidRDefault="00CB5C68"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By looking at the efficiency ratios, it is possible to gain a more direct understanding of the extent to which the business is able to convert its assets into profits. The business, in terms of compound annual growth rate of the asset turnover ratio, is at 2.98 from the period of 2022 to 2024 (it stood at 5.90 in 2022, 7.28 in 2023, and dropped to 3.26 in 2024). This growth rate is derived from the asset turnover ratio divided by the total assets.</w:t>
      </w:r>
    </w:p>
    <w:p w14:paraId="3847FE1C" w14:textId="77777777" w:rsidR="00CB5C68" w:rsidRPr="00CB5C68" w:rsidRDefault="00CB5C68" w:rsidP="00CB5C68">
      <w:pPr>
        <w:spacing w:before="100" w:beforeAutospacing="1" w:after="100" w:afterAutospacing="1" w:line="360" w:lineRule="auto"/>
        <w:jc w:val="both"/>
        <w:outlineLvl w:val="2"/>
        <w:rPr>
          <w:rFonts w:ascii="Times New Roman" w:eastAsia="Times New Roman" w:hAnsi="Times New Roman" w:cs="Times New Roman"/>
          <w:b/>
          <w:bCs/>
          <w:lang w:eastAsia="en-GB"/>
          <w14:ligatures w14:val="none"/>
        </w:rPr>
      </w:pPr>
      <w:bookmarkStart w:id="7" w:name="_Toc218705590"/>
      <w:bookmarkStart w:id="8" w:name="_Toc219121977"/>
      <w:r w:rsidRPr="00CB5C68">
        <w:rPr>
          <w:rFonts w:ascii="Times New Roman" w:eastAsia="Times New Roman" w:hAnsi="Times New Roman" w:cs="Times New Roman"/>
          <w:b/>
          <w:bCs/>
          <w:lang w:eastAsia="en-GB"/>
          <w14:ligatures w14:val="none"/>
        </w:rPr>
        <w:t>4.3 Efficiency (Activity) Analysis</w:t>
      </w:r>
      <w:bookmarkEnd w:id="7"/>
      <w:bookmarkEnd w:id="8"/>
    </w:p>
    <w:p w14:paraId="28E4CE2C" w14:textId="77777777" w:rsidR="00CB5C68" w:rsidRPr="00CB5C68" w:rsidRDefault="00CB5C68"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lastRenderedPageBreak/>
        <w:t xml:space="preserve">The increase of this ratio, especially during the first two years, could mean, either the revenue grew, or the company became more operationally efficient, hinting at the better utilization of the asset base. The decrease in this ratio in 2024 could stem from revenue recognized that cannot be attributed any longer, a greater quantum of assets the company possesses, or a more justifiable (or greater) increase in the company’s operating capacity investment in the long-term.  </w:t>
      </w:r>
    </w:p>
    <w:p w14:paraId="55DD1E38" w14:textId="607215DD" w:rsidR="004128A3" w:rsidRPr="00CB5C68" w:rsidRDefault="00CB5C68"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 xml:space="preserve">The reason the working capital cycle of the company remains unaddressed in this instance is the absence of the specific breakdown of the charged periods of the receivables and the payables. </w:t>
      </w:r>
      <w:r w:rsidR="004128A3" w:rsidRPr="00CB5C68">
        <w:rPr>
          <w:rFonts w:ascii="Times New Roman" w:eastAsia="Times New Roman" w:hAnsi="Times New Roman" w:cs="Times New Roman"/>
          <w:lang w:eastAsia="en-GB"/>
          <w14:ligatures w14:val="none"/>
        </w:rPr>
        <w:t>In 2024, with an asset turnover ratio of 3.26, it could be indicative of a more conservative approach to operations, or of increased capital spending in anticipation of future revenues. While this may be operationally acceptable, if the increased asset turnover contributes to the company’s longer-term goals of sustainability and growth, it creates stress on management to utilize the company’s assets more prudently.</w:t>
      </w:r>
    </w:p>
    <w:p w14:paraId="0540415B" w14:textId="6A7DC341" w:rsidR="00CB5C68" w:rsidRPr="00CB5C68" w:rsidRDefault="004128A3"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 xml:space="preserve">As a rule, efficiency ratios suggest that there are problems with the performance. Recent drops highlight the need to track the association between investment in assets and revenue growth to dampen the erosion of the efficiency. </w:t>
      </w:r>
      <w:r w:rsidR="00CB5C68" w:rsidRPr="00CB5C68">
        <w:rPr>
          <w:rFonts w:ascii="Times New Roman" w:eastAsia="Times New Roman" w:hAnsi="Times New Roman" w:cs="Times New Roman"/>
          <w:lang w:eastAsia="en-GB"/>
          <w14:ligatures w14:val="none"/>
        </w:rPr>
        <w:t>While improvements in the past showed the organizational operational strength, recent reductions show the realignment's necessity.</w:t>
      </w:r>
    </w:p>
    <w:p w14:paraId="23449FF2" w14:textId="77777777" w:rsidR="00332D1D" w:rsidRPr="00CB5C68" w:rsidRDefault="00332D1D" w:rsidP="00CB5C68">
      <w:pPr>
        <w:spacing w:before="100" w:beforeAutospacing="1" w:after="100" w:afterAutospacing="1" w:line="360" w:lineRule="auto"/>
        <w:jc w:val="both"/>
        <w:outlineLvl w:val="2"/>
        <w:rPr>
          <w:rFonts w:ascii="Times New Roman" w:eastAsia="Times New Roman" w:hAnsi="Times New Roman" w:cs="Times New Roman"/>
          <w:b/>
          <w:bCs/>
          <w:lang w:eastAsia="en-GB"/>
          <w14:ligatures w14:val="none"/>
        </w:rPr>
      </w:pPr>
      <w:bookmarkStart w:id="9" w:name="_Toc219121978"/>
      <w:r w:rsidRPr="00CB5C68">
        <w:rPr>
          <w:rFonts w:ascii="Times New Roman" w:eastAsia="Times New Roman" w:hAnsi="Times New Roman" w:cs="Times New Roman"/>
          <w:b/>
          <w:bCs/>
          <w:lang w:eastAsia="en-GB"/>
          <w14:ligatures w14:val="none"/>
        </w:rPr>
        <w:t>4.4 Gearing &amp; Financial Risk Analysis</w:t>
      </w:r>
      <w:bookmarkEnd w:id="9"/>
    </w:p>
    <w:p w14:paraId="6FEF2F1B" w14:textId="77777777" w:rsidR="00CB5C68" w:rsidRPr="00CB5C68" w:rsidRDefault="00CB5C68"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Considering the significant capital outlays, the gearing ratios are the most pertinent to the financial risk involving a company like Rolls-Royce. In this context, the debt-to-equity ratio has been showing a substantial decrease, with the figure falling from 0.0125 in 2022 to 0.0092 in 2024. This shift stands out. It means the company has become less depended on the debt compared to before. This in fact suggest there is likely a strategy to limit the debt to attain greater financial stability and lower the risk. Moreover, a large decrease in the ratio of debt to total assets between 2023 and 2024 means the debt components in total assets are fewer. It should also be noted that during the same period, the equity ratio is significantly decreasing in 2024.</w:t>
      </w:r>
    </w:p>
    <w:p w14:paraId="45EF241B" w14:textId="77777777" w:rsidR="00CB5C68" w:rsidRPr="00CB5C68" w:rsidRDefault="00CB5C68"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 xml:space="preserve">This decline can most likely be expected due to a loss in equity valuation, or a reorganization of balance sheet components. Interest coverage ratio is projected to improve to 1.12 in 2024. Improvement is expected, although marginal, given the downward trend. Historically, the ratio has </w:t>
      </w:r>
      <w:r w:rsidRPr="00CB5C68">
        <w:rPr>
          <w:rFonts w:ascii="Times New Roman" w:eastAsia="Times New Roman" w:hAnsi="Times New Roman" w:cs="Times New Roman"/>
          <w:lang w:eastAsia="en-GB"/>
          <w14:ligatures w14:val="none"/>
        </w:rPr>
        <w:lastRenderedPageBreak/>
        <w:t>been consistent and has remained relatively stable. An interest coverage ratio that is close to one is considered risky and is indicative of operational profitability being just enough to cover interest expenses. This is the case here.</w:t>
      </w:r>
    </w:p>
    <w:p w14:paraId="0248FF0C" w14:textId="6855D049" w:rsidR="00CB5C68" w:rsidRPr="00CB5C68" w:rsidRDefault="00CB5C68"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On the other hand, the decrease in financial leverage should be perceived positively as an indication that the company's long-term outlook is improving. Nevertheless, Rolls-Royce continues to be susceptible to the profit volatility due to the low interest coverage ratio. Given the present circumstances, it is imperative to protect any potential increase in the company’s profitability from risk.</w:t>
      </w:r>
    </w:p>
    <w:p w14:paraId="0504DCC9" w14:textId="77777777" w:rsidR="00332D1D" w:rsidRPr="00CB5C68" w:rsidRDefault="00332D1D" w:rsidP="00CB5C68">
      <w:pPr>
        <w:spacing w:before="100" w:beforeAutospacing="1" w:after="100" w:afterAutospacing="1" w:line="360" w:lineRule="auto"/>
        <w:jc w:val="both"/>
        <w:outlineLvl w:val="2"/>
        <w:rPr>
          <w:rFonts w:ascii="Times New Roman" w:eastAsia="Times New Roman" w:hAnsi="Times New Roman" w:cs="Times New Roman"/>
          <w:b/>
          <w:bCs/>
          <w:lang w:eastAsia="en-GB"/>
          <w14:ligatures w14:val="none"/>
        </w:rPr>
      </w:pPr>
      <w:bookmarkStart w:id="10" w:name="_Toc219121979"/>
      <w:r w:rsidRPr="00CB5C68">
        <w:rPr>
          <w:rFonts w:ascii="Times New Roman" w:eastAsia="Times New Roman" w:hAnsi="Times New Roman" w:cs="Times New Roman"/>
          <w:b/>
          <w:bCs/>
          <w:lang w:eastAsia="en-GB"/>
          <w14:ligatures w14:val="none"/>
        </w:rPr>
        <w:t>4.5 Investor (Market) Ratios</w:t>
      </w:r>
      <w:bookmarkEnd w:id="10"/>
    </w:p>
    <w:p w14:paraId="0248C963" w14:textId="77777777" w:rsidR="00CB5C68" w:rsidRPr="00CB5C68" w:rsidRDefault="00CB5C68"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Market expectations regarding the operational effectiveness and future capabilities of the company can be discerned from the analysis of the EPS statistic which increased from 0.29 in 2022 to 0.69 in 2024, which is a huge increase. With increased EPS comes increased profitability. Such developments are likely to boost investor confidence which supports the EPS.</w:t>
      </w:r>
    </w:p>
    <w:p w14:paraId="5EEA8FED" w14:textId="3D6282D4" w:rsidR="004128A3" w:rsidRPr="00CB5C68" w:rsidRDefault="00CB5C68"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 xml:space="preserve">Despite the increase in the EPS figures, the price earnings ratio is constant at 15.3. </w:t>
      </w:r>
      <w:r w:rsidR="004128A3" w:rsidRPr="00CB5C68">
        <w:rPr>
          <w:rFonts w:ascii="Times New Roman" w:eastAsia="Times New Roman" w:hAnsi="Times New Roman" w:cs="Times New Roman"/>
          <w:lang w:eastAsia="en-GB"/>
          <w14:ligatures w14:val="none"/>
        </w:rPr>
        <w:t>This likely is an indication that the market has already built expectations of a rebound, or that investors are still cautious about the position of the market and how sustainable that is in the long run. Also, the earnings yield has remained stagnant from the previous levels of 6.8%. This supports the notion that there has been some improvement in earnings, but the market is still reacting sluggishly or has undervalued the firm.</w:t>
      </w:r>
    </w:p>
    <w:p w14:paraId="67A058A7" w14:textId="77777777" w:rsidR="004128A3" w:rsidRPr="00CB5C68" w:rsidRDefault="004128A3"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Overall, investor ratios indicate a sense of cautious optimism. While profit performance has improved, market players may still be assessing the consistency of recovery before changing expectations around valuation.</w:t>
      </w:r>
    </w:p>
    <w:p w14:paraId="3E8272D5" w14:textId="77777777" w:rsidR="00332D1D" w:rsidRPr="00CB5C68" w:rsidRDefault="00332D1D" w:rsidP="00CB5C68">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11" w:name="_Toc219121980"/>
      <w:r w:rsidRPr="00CB5C68">
        <w:rPr>
          <w:rFonts w:ascii="Times New Roman" w:eastAsia="Times New Roman" w:hAnsi="Times New Roman" w:cs="Times New Roman"/>
          <w:b/>
          <w:bCs/>
          <w:lang w:eastAsia="en-GB"/>
          <w14:ligatures w14:val="none"/>
        </w:rPr>
        <w:t>5. Critical Evaluation &amp; Limitations of Ratio Analysis</w:t>
      </w:r>
      <w:bookmarkEnd w:id="11"/>
    </w:p>
    <w:p w14:paraId="676DE8EE" w14:textId="47D38B21" w:rsidR="00902D06" w:rsidRPr="00CB5C68" w:rsidRDefault="00902D06"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 xml:space="preserve">There are numerous viable financial ratio applications that may assist in </w:t>
      </w:r>
      <w:r w:rsidR="0017067C" w:rsidRPr="00CB5C68">
        <w:rPr>
          <w:rFonts w:ascii="Times New Roman" w:eastAsia="Times New Roman" w:hAnsi="Times New Roman" w:cs="Times New Roman"/>
          <w:lang w:eastAsia="en-GB"/>
          <w14:ligatures w14:val="none"/>
        </w:rPr>
        <w:t>analysing</w:t>
      </w:r>
      <w:r w:rsidRPr="00CB5C68">
        <w:rPr>
          <w:rFonts w:ascii="Times New Roman" w:eastAsia="Times New Roman" w:hAnsi="Times New Roman" w:cs="Times New Roman"/>
          <w:lang w:eastAsia="en-GB"/>
          <w14:ligatures w14:val="none"/>
        </w:rPr>
        <w:t xml:space="preserve"> a firm’s performance; however, they may also contain several constraints. Sanket, Tulika, and Garima (2020), highlight one such concern, which is that analysts generally lack the ability to make a </w:t>
      </w:r>
      <w:r w:rsidRPr="00CB5C68">
        <w:rPr>
          <w:rFonts w:ascii="Times New Roman" w:eastAsia="Times New Roman" w:hAnsi="Times New Roman" w:cs="Times New Roman"/>
          <w:lang w:eastAsia="en-GB"/>
          <w14:ligatures w14:val="none"/>
        </w:rPr>
        <w:lastRenderedPageBreak/>
        <w:t xml:space="preserve">reasoned recalculation. There is also no assurance that past reports influenced the calculations and are, therefore, relevant to the present or even the foreseeable future. A previous analysis may be completely worthless in a case where a firm is obliged to make significant alterations to meet the market’s changing needs. Even, external factors such as a firm’s financial statements, and in particular, external restructuring and asset impairments, can actively effect the firm’s net profit/loss. Financial ratios may also be </w:t>
      </w:r>
      <w:r w:rsidR="0017067C" w:rsidRPr="00CB5C68">
        <w:rPr>
          <w:rFonts w:ascii="Times New Roman" w:eastAsia="Times New Roman" w:hAnsi="Times New Roman" w:cs="Times New Roman"/>
          <w:lang w:eastAsia="en-GB"/>
          <w14:ligatures w14:val="none"/>
        </w:rPr>
        <w:t>losing</w:t>
      </w:r>
      <w:r w:rsidRPr="00CB5C68">
        <w:rPr>
          <w:rFonts w:ascii="Times New Roman" w:eastAsia="Times New Roman" w:hAnsi="Times New Roman" w:cs="Times New Roman"/>
          <w:lang w:eastAsia="en-GB"/>
          <w14:ligatures w14:val="none"/>
        </w:rPr>
        <w:t xml:space="preserve"> their relevance in such instances.</w:t>
      </w:r>
    </w:p>
    <w:p w14:paraId="672E596B" w14:textId="69C6A9D9" w:rsidR="00CB5C68" w:rsidRPr="00CB5C68" w:rsidRDefault="00902D06"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 xml:space="preserve">The specific nature of the industry dictates the direct ratio comparisons are somewhat limited. This is particularly the case with capital-intensive industries, which differ considerably in terms of the model of business they operate (Kasasbeh, 2021). An exclusive dependence on ratios can lead to an oversimplified view of a firm’s financial reality, as such an approach ignores qualitative aspects such as the firm’s strategy, board structure, proprietary or bespoke technology, and the influence of the technology lifecycle. </w:t>
      </w:r>
      <w:r w:rsidR="00CB5C68" w:rsidRPr="00CB5C68">
        <w:rPr>
          <w:rFonts w:ascii="Times New Roman" w:eastAsia="Times New Roman" w:hAnsi="Times New Roman" w:cs="Times New Roman"/>
          <w:lang w:eastAsia="en-GB"/>
          <w14:ligatures w14:val="none"/>
        </w:rPr>
        <w:t>Moreover, trending alterations in accounting and data analytics, as stated by Odonkor et al. (2024), support the need for a contextual revision of the current approaches to ratio analysis. Suggestions And Recommendations For The Directors.</w:t>
      </w:r>
    </w:p>
    <w:p w14:paraId="237F03C6" w14:textId="77777777" w:rsidR="00332D1D" w:rsidRPr="00CB5C68" w:rsidRDefault="00332D1D" w:rsidP="00CB5C68">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12" w:name="_Toc219121981"/>
      <w:r w:rsidRPr="00CB5C68">
        <w:rPr>
          <w:rFonts w:ascii="Times New Roman" w:eastAsia="Times New Roman" w:hAnsi="Times New Roman" w:cs="Times New Roman"/>
          <w:b/>
          <w:bCs/>
          <w:lang w:eastAsia="en-GB"/>
          <w14:ligatures w14:val="none"/>
        </w:rPr>
        <w:t>6. Recommendations to the Directors</w:t>
      </w:r>
      <w:bookmarkEnd w:id="12"/>
    </w:p>
    <w:p w14:paraId="0A82938A" w14:textId="77777777" w:rsidR="00CB5C68" w:rsidRPr="00CB5C68" w:rsidRDefault="00CB5C68"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The board of Rolls-Royce Holdings plc needs to focus on operational excellence and strong cost control to keep the recent margins of profitability. Along with this, it will be necessary to improve profitability, especially in services, to strengthen revenues. This will most likely improve the stability of profitability and lessen the extent to which the business is vulnerable to the negative effects of the demand cycles. Given the persistent problem of liquidity, working capital management will need to be more aggressively refined.</w:t>
      </w:r>
    </w:p>
    <w:p w14:paraId="4E62DA84" w14:textId="77777777" w:rsidR="00CB5C68" w:rsidRPr="00CB5C68" w:rsidRDefault="00CB5C68"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This entails more sophisticated cash flow forecasting and a closer management of short-term liquidity commitments in order to mitigate liquidity exposure.</w:t>
      </w:r>
    </w:p>
    <w:p w14:paraId="1105A4A7" w14:textId="056EE638" w:rsidR="00902D06" w:rsidRPr="00CB5C68" w:rsidRDefault="00902D06"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 xml:space="preserve">Furthermore, maintaining a more prudent capital structure over the course of the process is important. A measure of financial resilience and overall risk exposure is decline to a greater extent and the more finely tuned alternative to an increased range of financing risks. Such activities should be complemented with adequate governance and performance management structures so </w:t>
      </w:r>
      <w:r w:rsidRPr="00CB5C68">
        <w:rPr>
          <w:rFonts w:ascii="Times New Roman" w:eastAsia="Times New Roman" w:hAnsi="Times New Roman" w:cs="Times New Roman"/>
          <w:lang w:eastAsia="en-GB"/>
          <w14:ligatures w14:val="none"/>
        </w:rPr>
        <w:lastRenderedPageBreak/>
        <w:t>that, during operational shifts, strategic and financial ends are kept in alignment, to the extent possible (Kusumawardani et al., 2021; Alabdullah et al., 2022).</w:t>
      </w:r>
    </w:p>
    <w:p w14:paraId="3B1A07A1" w14:textId="568BE8BE" w:rsidR="00332D1D" w:rsidRPr="00CB5C68" w:rsidRDefault="00332D1D" w:rsidP="00CB5C68">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13" w:name="_Toc219121982"/>
      <w:r w:rsidRPr="00CB5C68">
        <w:rPr>
          <w:rFonts w:ascii="Times New Roman" w:eastAsia="Times New Roman" w:hAnsi="Times New Roman" w:cs="Times New Roman"/>
          <w:b/>
          <w:bCs/>
          <w:lang w:eastAsia="en-GB"/>
          <w14:ligatures w14:val="none"/>
        </w:rPr>
        <w:t>7. Conclusion</w:t>
      </w:r>
      <w:bookmarkEnd w:id="13"/>
    </w:p>
    <w:p w14:paraId="3BC7BFFD" w14:textId="77777777" w:rsidR="00902D06" w:rsidRPr="00CB5C68" w:rsidRDefault="00902D06"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The long-term analysis of financial performance over the periods involving Rolls Royce Holdings plc shows a steady improvement. Last changes to the operational corporate strategy and to some extent operational control seems to be starting to show positive results especially in relation to company profitability and earnings. However, the concern and the liquidity issue of short-term liabilities due to the negative working capital have not changed. Also, the low interest coverage ratio indicates the financial risk arising from the variability of earnings. The company does have some opportunities available which, if implemented successfully, would improve its financial viability in the long-term through the preservation of costs, the improvement of the cash flow cycle, and overall balance sheet strengthening. If these initiatives are undertaken, they will support the company recovery and improve the perception of the company among investors.</w:t>
      </w:r>
    </w:p>
    <w:p w14:paraId="53ECB1D9" w14:textId="77777777" w:rsidR="006B0C6E" w:rsidRPr="00CB5C68" w:rsidRDefault="006B0C6E"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br w:type="page"/>
      </w:r>
    </w:p>
    <w:p w14:paraId="76047C60" w14:textId="77777777" w:rsidR="006B0C6E" w:rsidRPr="00CB5C68" w:rsidRDefault="006B0C6E" w:rsidP="00CB5C68">
      <w:pPr>
        <w:spacing w:before="100" w:beforeAutospacing="1" w:after="100" w:afterAutospacing="1" w:line="360" w:lineRule="auto"/>
        <w:jc w:val="both"/>
        <w:outlineLvl w:val="0"/>
        <w:rPr>
          <w:rFonts w:ascii="Times New Roman" w:eastAsia="Times New Roman" w:hAnsi="Times New Roman" w:cs="Times New Roman"/>
          <w:b/>
          <w:bCs/>
          <w:kern w:val="36"/>
          <w:lang w:eastAsia="en-GB"/>
          <w14:ligatures w14:val="none"/>
        </w:rPr>
      </w:pPr>
      <w:bookmarkStart w:id="14" w:name="_Toc219121983"/>
      <w:r w:rsidRPr="00CB5C68">
        <w:rPr>
          <w:rFonts w:ascii="Times New Roman" w:eastAsia="Times New Roman" w:hAnsi="Times New Roman" w:cs="Times New Roman"/>
          <w:b/>
          <w:bCs/>
          <w:kern w:val="36"/>
          <w:lang w:eastAsia="en-GB"/>
          <w14:ligatures w14:val="none"/>
        </w:rPr>
        <w:lastRenderedPageBreak/>
        <w:t>PART 2 – Investment Appraisal &amp; Financing Decision</w:t>
      </w:r>
      <w:bookmarkEnd w:id="14"/>
    </w:p>
    <w:p w14:paraId="25245B00" w14:textId="77777777" w:rsidR="006B0C6E" w:rsidRPr="00CB5C68" w:rsidRDefault="006B0C6E"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b/>
          <w:bCs/>
          <w:lang w:eastAsia="en-GB"/>
          <w14:ligatures w14:val="none"/>
        </w:rPr>
        <w:t>Westward Plc Case Study</w:t>
      </w:r>
    </w:p>
    <w:p w14:paraId="0BA5CAA5" w14:textId="77777777" w:rsidR="00F15AAE" w:rsidRPr="00CB5C68" w:rsidRDefault="00F15AAE" w:rsidP="00CB5C68">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15" w:name="_Toc219121984"/>
      <w:r w:rsidRPr="00CB5C68">
        <w:rPr>
          <w:rFonts w:ascii="Times New Roman" w:eastAsia="Times New Roman" w:hAnsi="Times New Roman" w:cs="Times New Roman"/>
          <w:b/>
          <w:bCs/>
          <w:lang w:eastAsia="en-GB"/>
          <w14:ligatures w14:val="none"/>
        </w:rPr>
        <w:t>8. Executive Summary</w:t>
      </w:r>
      <w:bookmarkEnd w:id="15"/>
    </w:p>
    <w:p w14:paraId="1950E21B" w14:textId="56E0F5E8" w:rsidR="00CB5C68" w:rsidRPr="00CB5C68" w:rsidRDefault="00902D06"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 xml:space="preserve">This paper aims to identify potential growth opportunities for Westward Plc and develop a </w:t>
      </w:r>
      <w:r w:rsidR="0017067C" w:rsidRPr="00CB5C68">
        <w:rPr>
          <w:rFonts w:ascii="Times New Roman" w:eastAsia="Times New Roman" w:hAnsi="Times New Roman" w:cs="Times New Roman"/>
          <w:lang w:eastAsia="en-GB"/>
          <w14:ligatures w14:val="none"/>
        </w:rPr>
        <w:t>long-term</w:t>
      </w:r>
      <w:r w:rsidRPr="00CB5C68">
        <w:rPr>
          <w:rFonts w:ascii="Times New Roman" w:eastAsia="Times New Roman" w:hAnsi="Times New Roman" w:cs="Times New Roman"/>
          <w:lang w:eastAsia="en-GB"/>
          <w14:ligatures w14:val="none"/>
        </w:rPr>
        <w:t xml:space="preserve"> investment plan that maximises value and maintains financial viability. Using traditional methods of capital assessment like net present value and internal rate of return, three growth opportunities were analysed. The analysis determined option B, which is the development of internet sales, as the most financially advantageous. It would bring the most positive Net Present Value (NPV) and would be above the target internal rate of return as compared to the weighted average cost of capital. Additionally, this option has a reasonable investment-cost to cash-flow ratio. The Informative Divisibility Criterion of NPV is applicable here. Therefore, with the present of capital scarcity, the positive value of incremental financing is enhanced. Given these findings, it is justifiable to advise the Board of Directors to endorse Option B, which is supported by a balanced financing strategy of controlled external financing and retained earnings. </w:t>
      </w:r>
      <w:r w:rsidR="00CB5C68" w:rsidRPr="00CB5C68">
        <w:rPr>
          <w:rFonts w:ascii="Times New Roman" w:eastAsia="Times New Roman" w:hAnsi="Times New Roman" w:cs="Times New Roman"/>
          <w:lang w:eastAsia="en-GB"/>
          <w14:ligatures w14:val="none"/>
        </w:rPr>
        <w:t>Your proposed actions are likely to encourage diversification into new markets, sustained growth of the company, and an increase in shareholder value.</w:t>
      </w:r>
    </w:p>
    <w:p w14:paraId="60028AA3" w14:textId="77777777" w:rsidR="006233B0" w:rsidRPr="00CB5C68" w:rsidRDefault="006233B0" w:rsidP="00CB5C68">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16" w:name="_Toc219121985"/>
      <w:r w:rsidRPr="00CB5C68">
        <w:rPr>
          <w:rFonts w:ascii="Times New Roman" w:eastAsia="Times New Roman" w:hAnsi="Times New Roman" w:cs="Times New Roman"/>
          <w:b/>
          <w:bCs/>
          <w:lang w:eastAsia="en-GB"/>
          <w14:ligatures w14:val="none"/>
        </w:rPr>
        <w:t>9. Introduction &amp; Strategic Context</w:t>
      </w:r>
      <w:bookmarkEnd w:id="16"/>
    </w:p>
    <w:p w14:paraId="2917DCD9" w14:textId="2FBADC39" w:rsidR="00CB5C68" w:rsidRPr="00CB5C68" w:rsidRDefault="00CB5C68"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 xml:space="preserve">Extending customer demand, and potential competitors will continue to explore promising strategic avenues for growth. The sheer volatility of the retail market almost forced the company to grow. More turnover, a larger customer base, and increased operational flexibility are the new retail market requirements. </w:t>
      </w:r>
    </w:p>
    <w:p w14:paraId="3D705A82" w14:textId="67C5F0FC" w:rsidR="00902D06" w:rsidRPr="00CB5C68" w:rsidRDefault="00CB5C68"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 xml:space="preserve">Directors selected three broad, disparate categories of potential investments. Completing the range of products in each store. Creating an online sales platform. Vertically integrating the manufacture of wooden and Roman blinds. Each of these has a different risk/return and range profile and warrants a more detailed financial assessment. </w:t>
      </w:r>
      <w:r w:rsidR="00902D06" w:rsidRPr="00CB5C68">
        <w:rPr>
          <w:rFonts w:ascii="Times New Roman" w:eastAsia="Times New Roman" w:hAnsi="Times New Roman" w:cs="Times New Roman"/>
          <w:lang w:eastAsia="en-GB"/>
          <w14:ligatures w14:val="none"/>
        </w:rPr>
        <w:t xml:space="preserve">For this reason, a capital investment appraisal is needed to help decision makers determine the value an investment is expected to generate in the short and long term, while balancing strategic goals with financial parameters (Pot, 2021). </w:t>
      </w:r>
      <w:r w:rsidR="00902D06" w:rsidRPr="00CB5C68">
        <w:rPr>
          <w:rFonts w:ascii="Times New Roman" w:eastAsia="Times New Roman" w:hAnsi="Times New Roman" w:cs="Times New Roman"/>
          <w:lang w:eastAsia="en-GB"/>
          <w14:ligatures w14:val="none"/>
        </w:rPr>
        <w:lastRenderedPageBreak/>
        <w:t>Additionally, the more formal the assessment framework is, the more reasonable and more controlled the investment choices tend to be, especially in risky situations (Arpaci et al., 2024).</w:t>
      </w:r>
    </w:p>
    <w:p w14:paraId="2F7E97CE" w14:textId="77777777" w:rsidR="006233B0" w:rsidRPr="00CB5C68" w:rsidRDefault="006233B0" w:rsidP="00CB5C68">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17" w:name="_Toc219121986"/>
      <w:r w:rsidRPr="00CB5C68">
        <w:rPr>
          <w:rFonts w:ascii="Times New Roman" w:eastAsia="Times New Roman" w:hAnsi="Times New Roman" w:cs="Times New Roman"/>
          <w:b/>
          <w:bCs/>
          <w:lang w:eastAsia="en-GB"/>
          <w14:ligatures w14:val="none"/>
        </w:rPr>
        <w:t>10. Net Present Value (NPV) Evaluation</w:t>
      </w:r>
      <w:bookmarkEnd w:id="17"/>
    </w:p>
    <w:p w14:paraId="082EC195" w14:textId="77777777" w:rsidR="00902D06" w:rsidRPr="00CB5C68" w:rsidRDefault="00902D06"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Net Present Value (NPV) falls under the discounted cash flow categorization. NPV measures whether an investment is beneficial to a firm. It entails looking at the cash inflows of an investment at some future point in time. Such cash inflows are estimated, and then, discounted to present value, and then the present value of the cash inflows is subtracted from the initial investment, also called the cash outflow. The resultant cash flow is then discounted based on the firm's (or bank's) cost of capital. A net present value (NPV) that is greater than zero means a positive outlook on that investment from a firm's standpoint, meaning it should be undertaken. If it is less than zero, the investment should definitely be avoided (Shou, 2022). As opposed to other methods that ignore the discounting principle, net present value (NPV) methods are the ones that consider time value of money. They also consider cash flow and not accounting profit, which is why NPV is best suited to make decisions on the long-term investments (Gnap and Pitera, 2023).</w:t>
      </w:r>
    </w:p>
    <w:p w14:paraId="04C521B0" w14:textId="77777777" w:rsidR="00902D06" w:rsidRPr="00CB5C68" w:rsidRDefault="00902D06"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Westward Plc’s case examines three competing options for expansion, all using the net present value (NPV) method for a four-year period. The case utilizes some of the parameters given in the case: a corporate tax rate of 25%, \capital allowances of 20% per annum (straight line), and a cost of capital of 6%. The case assumes all financial flows will occur at the end of the year. Since capital allowances offer a tax shield, they are included in the NPV, post-tax cash flow evaluation.</w:t>
      </w:r>
    </w:p>
    <w:p w14:paraId="35AB3FAD" w14:textId="77777777" w:rsidR="006233B0" w:rsidRPr="00CB5C68" w:rsidRDefault="006233B0" w:rsidP="00CB5C68">
      <w:pPr>
        <w:spacing w:before="100" w:beforeAutospacing="1" w:after="100" w:afterAutospacing="1" w:line="360" w:lineRule="auto"/>
        <w:jc w:val="both"/>
        <w:outlineLvl w:val="2"/>
        <w:rPr>
          <w:rFonts w:ascii="Times New Roman" w:eastAsia="Times New Roman" w:hAnsi="Times New Roman" w:cs="Times New Roman"/>
          <w:b/>
          <w:bCs/>
          <w:lang w:eastAsia="en-GB"/>
          <w14:ligatures w14:val="none"/>
        </w:rPr>
      </w:pPr>
      <w:bookmarkStart w:id="18" w:name="_Toc219121987"/>
      <w:r w:rsidRPr="00CB5C68">
        <w:rPr>
          <w:rFonts w:ascii="Times New Roman" w:eastAsia="Times New Roman" w:hAnsi="Times New Roman" w:cs="Times New Roman"/>
          <w:b/>
          <w:bCs/>
          <w:lang w:eastAsia="en-GB"/>
          <w14:ligatures w14:val="none"/>
        </w:rPr>
        <w:t>Key Assumptions Used</w:t>
      </w:r>
      <w:bookmarkEnd w:id="18"/>
    </w:p>
    <w:p w14:paraId="05B6AF4F" w14:textId="77777777" w:rsidR="006233B0" w:rsidRPr="00CB5C68" w:rsidRDefault="006233B0" w:rsidP="00CB5C68">
      <w:pPr>
        <w:numPr>
          <w:ilvl w:val="0"/>
          <w:numId w:val="7"/>
        </w:num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 xml:space="preserve">Discount rate (cost of capital): </w:t>
      </w:r>
      <w:r w:rsidRPr="00CB5C68">
        <w:rPr>
          <w:rFonts w:ascii="Times New Roman" w:eastAsia="Times New Roman" w:hAnsi="Times New Roman" w:cs="Times New Roman"/>
          <w:b/>
          <w:bCs/>
          <w:lang w:eastAsia="en-GB"/>
          <w14:ligatures w14:val="none"/>
        </w:rPr>
        <w:t>6%</w:t>
      </w:r>
    </w:p>
    <w:p w14:paraId="4C702CE9" w14:textId="77777777" w:rsidR="006233B0" w:rsidRPr="00CB5C68" w:rsidRDefault="006233B0" w:rsidP="00CB5C68">
      <w:pPr>
        <w:numPr>
          <w:ilvl w:val="0"/>
          <w:numId w:val="7"/>
        </w:num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 xml:space="preserve">Corporation tax: </w:t>
      </w:r>
      <w:r w:rsidRPr="00CB5C68">
        <w:rPr>
          <w:rFonts w:ascii="Times New Roman" w:eastAsia="Times New Roman" w:hAnsi="Times New Roman" w:cs="Times New Roman"/>
          <w:b/>
          <w:bCs/>
          <w:lang w:eastAsia="en-GB"/>
          <w14:ligatures w14:val="none"/>
        </w:rPr>
        <w:t>25%</w:t>
      </w:r>
    </w:p>
    <w:p w14:paraId="0677BDDD" w14:textId="77777777" w:rsidR="006233B0" w:rsidRPr="00CB5C68" w:rsidRDefault="006233B0" w:rsidP="00CB5C68">
      <w:pPr>
        <w:numPr>
          <w:ilvl w:val="0"/>
          <w:numId w:val="7"/>
        </w:num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 xml:space="preserve">Capital allowances: </w:t>
      </w:r>
      <w:r w:rsidRPr="00CB5C68">
        <w:rPr>
          <w:rFonts w:ascii="Times New Roman" w:eastAsia="Times New Roman" w:hAnsi="Times New Roman" w:cs="Times New Roman"/>
          <w:b/>
          <w:bCs/>
          <w:lang w:eastAsia="en-GB"/>
          <w14:ligatures w14:val="none"/>
        </w:rPr>
        <w:t>20% straight line</w:t>
      </w:r>
    </w:p>
    <w:p w14:paraId="3ABB8B3F" w14:textId="77777777" w:rsidR="006233B0" w:rsidRPr="00CB5C68" w:rsidRDefault="006233B0" w:rsidP="00CB5C68">
      <w:pPr>
        <w:numPr>
          <w:ilvl w:val="0"/>
          <w:numId w:val="7"/>
        </w:num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 xml:space="preserve">Project life: </w:t>
      </w:r>
      <w:r w:rsidRPr="00CB5C68">
        <w:rPr>
          <w:rFonts w:ascii="Times New Roman" w:eastAsia="Times New Roman" w:hAnsi="Times New Roman" w:cs="Times New Roman"/>
          <w:b/>
          <w:bCs/>
          <w:lang w:eastAsia="en-GB"/>
          <w14:ligatures w14:val="none"/>
        </w:rPr>
        <w:t>4 years</w:t>
      </w:r>
    </w:p>
    <w:p w14:paraId="07A9E6EE" w14:textId="6510B50E" w:rsidR="006233B0" w:rsidRPr="00CB5C68" w:rsidRDefault="006233B0" w:rsidP="00CB5C68">
      <w:pPr>
        <w:numPr>
          <w:ilvl w:val="0"/>
          <w:numId w:val="7"/>
        </w:num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No residual value assumed</w:t>
      </w:r>
    </w:p>
    <w:p w14:paraId="1C0CE605" w14:textId="77777777" w:rsidR="006233B0" w:rsidRPr="00CB5C68" w:rsidRDefault="006233B0" w:rsidP="00CB5C68">
      <w:pPr>
        <w:spacing w:before="100" w:beforeAutospacing="1" w:after="100" w:afterAutospacing="1" w:line="360" w:lineRule="auto"/>
        <w:jc w:val="both"/>
        <w:outlineLvl w:val="2"/>
        <w:rPr>
          <w:rFonts w:ascii="Times New Roman" w:eastAsia="Times New Roman" w:hAnsi="Times New Roman" w:cs="Times New Roman"/>
          <w:b/>
          <w:bCs/>
          <w:lang w:eastAsia="en-GB"/>
          <w14:ligatures w14:val="none"/>
        </w:rPr>
      </w:pPr>
      <w:bookmarkStart w:id="19" w:name="_Toc219121988"/>
      <w:r w:rsidRPr="00CB5C68">
        <w:rPr>
          <w:rFonts w:ascii="Times New Roman" w:eastAsia="Times New Roman" w:hAnsi="Times New Roman" w:cs="Times New Roman"/>
          <w:b/>
          <w:bCs/>
          <w:lang w:eastAsia="en-GB"/>
          <w14:ligatures w14:val="none"/>
        </w:rPr>
        <w:t>Option A: Expansion of Retail Outlet</w:t>
      </w:r>
      <w:bookmarkEnd w:id="19"/>
    </w:p>
    <w:p w14:paraId="1C61B3A7" w14:textId="77777777" w:rsidR="00F96DA3" w:rsidRPr="00CB5C68" w:rsidRDefault="006233B0"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b/>
          <w:bCs/>
          <w:lang w:eastAsia="en-GB"/>
          <w14:ligatures w14:val="none"/>
        </w:rPr>
        <w:lastRenderedPageBreak/>
        <w:t>Initial investment:</w:t>
      </w:r>
      <w:r w:rsidRPr="00CB5C68">
        <w:rPr>
          <w:rFonts w:ascii="Times New Roman" w:eastAsia="Times New Roman" w:hAnsi="Times New Roman" w:cs="Times New Roman"/>
          <w:lang w:eastAsia="en-GB"/>
          <w14:ligatures w14:val="none"/>
        </w:rPr>
        <w:t xml:space="preserve"> £600,000</w:t>
      </w:r>
    </w:p>
    <w:p w14:paraId="35E11214" w14:textId="6B35DD50" w:rsidR="006233B0" w:rsidRPr="00CB5C68" w:rsidRDefault="006233B0"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b/>
          <w:bCs/>
          <w:lang w:eastAsia="en-GB"/>
          <w14:ligatures w14:val="none"/>
        </w:rPr>
        <w:t>Annual capital allowance:</w:t>
      </w:r>
      <w:r w:rsidRPr="00CB5C68">
        <w:rPr>
          <w:rFonts w:ascii="Times New Roman" w:eastAsia="Times New Roman" w:hAnsi="Times New Roman" w:cs="Times New Roman"/>
          <w:lang w:eastAsia="en-GB"/>
          <w14:ligatures w14:val="none"/>
        </w:rPr>
        <w:t xml:space="preserve"> £120,000</w:t>
      </w:r>
    </w:p>
    <w:tbl>
      <w:tblPr>
        <w:tblStyle w:val="TableGrid"/>
        <w:tblW w:w="0" w:type="auto"/>
        <w:tblLook w:val="04A0" w:firstRow="1" w:lastRow="0" w:firstColumn="1" w:lastColumn="0" w:noHBand="0" w:noVBand="1"/>
      </w:tblPr>
      <w:tblGrid>
        <w:gridCol w:w="723"/>
        <w:gridCol w:w="1161"/>
        <w:gridCol w:w="1029"/>
        <w:gridCol w:w="1159"/>
        <w:gridCol w:w="1671"/>
        <w:gridCol w:w="888"/>
        <w:gridCol w:w="1420"/>
        <w:gridCol w:w="1299"/>
      </w:tblGrid>
      <w:tr w:rsidR="006233B0" w:rsidRPr="00CB5C68" w14:paraId="2F8C68CA" w14:textId="77777777" w:rsidTr="006233B0">
        <w:tc>
          <w:tcPr>
            <w:tcW w:w="0" w:type="auto"/>
            <w:hideMark/>
          </w:tcPr>
          <w:p w14:paraId="167F4EF4" w14:textId="77777777" w:rsidR="006233B0" w:rsidRPr="00CB5C68" w:rsidRDefault="006233B0" w:rsidP="00CB5C68">
            <w:pPr>
              <w:spacing w:line="360" w:lineRule="auto"/>
              <w:jc w:val="both"/>
              <w:rPr>
                <w:rFonts w:ascii="Times New Roman" w:eastAsia="Times New Roman" w:hAnsi="Times New Roman" w:cs="Times New Roman"/>
                <w:b/>
                <w:bCs/>
                <w:lang w:eastAsia="en-GB"/>
                <w14:ligatures w14:val="none"/>
              </w:rPr>
            </w:pPr>
            <w:r w:rsidRPr="00CB5C68">
              <w:rPr>
                <w:rFonts w:ascii="Times New Roman" w:eastAsia="Times New Roman" w:hAnsi="Times New Roman" w:cs="Times New Roman"/>
                <w:b/>
                <w:bCs/>
                <w:lang w:eastAsia="en-GB"/>
                <w14:ligatures w14:val="none"/>
              </w:rPr>
              <w:t>Year</w:t>
            </w:r>
          </w:p>
        </w:tc>
        <w:tc>
          <w:tcPr>
            <w:tcW w:w="0" w:type="auto"/>
            <w:hideMark/>
          </w:tcPr>
          <w:p w14:paraId="2D049745" w14:textId="77777777" w:rsidR="006233B0" w:rsidRPr="00CB5C68" w:rsidRDefault="006233B0" w:rsidP="00CB5C68">
            <w:pPr>
              <w:spacing w:line="360" w:lineRule="auto"/>
              <w:jc w:val="both"/>
              <w:rPr>
                <w:rFonts w:ascii="Times New Roman" w:eastAsia="Times New Roman" w:hAnsi="Times New Roman" w:cs="Times New Roman"/>
                <w:b/>
                <w:bCs/>
                <w:lang w:eastAsia="en-GB"/>
                <w14:ligatures w14:val="none"/>
              </w:rPr>
            </w:pPr>
            <w:r w:rsidRPr="00CB5C68">
              <w:rPr>
                <w:rFonts w:ascii="Times New Roman" w:eastAsia="Times New Roman" w:hAnsi="Times New Roman" w:cs="Times New Roman"/>
                <w:b/>
                <w:bCs/>
                <w:lang w:eastAsia="en-GB"/>
                <w14:ligatures w14:val="none"/>
              </w:rPr>
              <w:t>Cash inflow (£000)</w:t>
            </w:r>
          </w:p>
        </w:tc>
        <w:tc>
          <w:tcPr>
            <w:tcW w:w="0" w:type="auto"/>
            <w:hideMark/>
          </w:tcPr>
          <w:p w14:paraId="242C077D" w14:textId="77777777" w:rsidR="006233B0" w:rsidRPr="00CB5C68" w:rsidRDefault="006233B0" w:rsidP="00CB5C68">
            <w:pPr>
              <w:spacing w:line="360" w:lineRule="auto"/>
              <w:jc w:val="both"/>
              <w:rPr>
                <w:rFonts w:ascii="Times New Roman" w:eastAsia="Times New Roman" w:hAnsi="Times New Roman" w:cs="Times New Roman"/>
                <w:b/>
                <w:bCs/>
                <w:lang w:eastAsia="en-GB"/>
                <w14:ligatures w14:val="none"/>
              </w:rPr>
            </w:pPr>
            <w:r w:rsidRPr="00CB5C68">
              <w:rPr>
                <w:rFonts w:ascii="Times New Roman" w:eastAsia="Times New Roman" w:hAnsi="Times New Roman" w:cs="Times New Roman"/>
                <w:b/>
                <w:bCs/>
                <w:lang w:eastAsia="en-GB"/>
                <w14:ligatures w14:val="none"/>
              </w:rPr>
              <w:t>Tax @25%</w:t>
            </w:r>
          </w:p>
        </w:tc>
        <w:tc>
          <w:tcPr>
            <w:tcW w:w="0" w:type="auto"/>
            <w:hideMark/>
          </w:tcPr>
          <w:p w14:paraId="4827FC95" w14:textId="77777777" w:rsidR="006233B0" w:rsidRPr="00CB5C68" w:rsidRDefault="006233B0" w:rsidP="00CB5C68">
            <w:pPr>
              <w:spacing w:line="360" w:lineRule="auto"/>
              <w:jc w:val="both"/>
              <w:rPr>
                <w:rFonts w:ascii="Times New Roman" w:eastAsia="Times New Roman" w:hAnsi="Times New Roman" w:cs="Times New Roman"/>
                <w:b/>
                <w:bCs/>
                <w:lang w:eastAsia="en-GB"/>
                <w14:ligatures w14:val="none"/>
              </w:rPr>
            </w:pPr>
            <w:r w:rsidRPr="00CB5C68">
              <w:rPr>
                <w:rFonts w:ascii="Times New Roman" w:eastAsia="Times New Roman" w:hAnsi="Times New Roman" w:cs="Times New Roman"/>
                <w:b/>
                <w:bCs/>
                <w:lang w:eastAsia="en-GB"/>
                <w14:ligatures w14:val="none"/>
              </w:rPr>
              <w:t>After-tax cash flow</w:t>
            </w:r>
          </w:p>
        </w:tc>
        <w:tc>
          <w:tcPr>
            <w:tcW w:w="0" w:type="auto"/>
            <w:hideMark/>
          </w:tcPr>
          <w:p w14:paraId="4111C67B" w14:textId="77777777" w:rsidR="006233B0" w:rsidRPr="00CB5C68" w:rsidRDefault="006233B0" w:rsidP="00CB5C68">
            <w:pPr>
              <w:spacing w:line="360" w:lineRule="auto"/>
              <w:jc w:val="both"/>
              <w:rPr>
                <w:rFonts w:ascii="Times New Roman" w:eastAsia="Times New Roman" w:hAnsi="Times New Roman" w:cs="Times New Roman"/>
                <w:b/>
                <w:bCs/>
                <w:lang w:eastAsia="en-GB"/>
                <w14:ligatures w14:val="none"/>
              </w:rPr>
            </w:pPr>
            <w:r w:rsidRPr="00CB5C68">
              <w:rPr>
                <w:rFonts w:ascii="Times New Roman" w:eastAsia="Times New Roman" w:hAnsi="Times New Roman" w:cs="Times New Roman"/>
                <w:b/>
                <w:bCs/>
                <w:lang w:eastAsia="en-GB"/>
                <w14:ligatures w14:val="none"/>
              </w:rPr>
              <w:t>Capital allowance tax shield</w:t>
            </w:r>
          </w:p>
        </w:tc>
        <w:tc>
          <w:tcPr>
            <w:tcW w:w="0" w:type="auto"/>
            <w:hideMark/>
          </w:tcPr>
          <w:p w14:paraId="61F83B2B" w14:textId="77777777" w:rsidR="006233B0" w:rsidRPr="00CB5C68" w:rsidRDefault="006233B0" w:rsidP="00CB5C68">
            <w:pPr>
              <w:spacing w:line="360" w:lineRule="auto"/>
              <w:jc w:val="both"/>
              <w:rPr>
                <w:rFonts w:ascii="Times New Roman" w:eastAsia="Times New Roman" w:hAnsi="Times New Roman" w:cs="Times New Roman"/>
                <w:b/>
                <w:bCs/>
                <w:lang w:eastAsia="en-GB"/>
                <w14:ligatures w14:val="none"/>
              </w:rPr>
            </w:pPr>
            <w:r w:rsidRPr="00CB5C68">
              <w:rPr>
                <w:rFonts w:ascii="Times New Roman" w:eastAsia="Times New Roman" w:hAnsi="Times New Roman" w:cs="Times New Roman"/>
                <w:b/>
                <w:bCs/>
                <w:lang w:eastAsia="en-GB"/>
                <w14:ligatures w14:val="none"/>
              </w:rPr>
              <w:t>Net cash flow</w:t>
            </w:r>
          </w:p>
        </w:tc>
        <w:tc>
          <w:tcPr>
            <w:tcW w:w="0" w:type="auto"/>
            <w:hideMark/>
          </w:tcPr>
          <w:p w14:paraId="0B02BC56" w14:textId="77777777" w:rsidR="006233B0" w:rsidRPr="00CB5C68" w:rsidRDefault="006233B0" w:rsidP="00CB5C68">
            <w:pPr>
              <w:spacing w:line="360" w:lineRule="auto"/>
              <w:jc w:val="both"/>
              <w:rPr>
                <w:rFonts w:ascii="Times New Roman" w:eastAsia="Times New Roman" w:hAnsi="Times New Roman" w:cs="Times New Roman"/>
                <w:b/>
                <w:bCs/>
                <w:lang w:eastAsia="en-GB"/>
                <w14:ligatures w14:val="none"/>
              </w:rPr>
            </w:pPr>
            <w:r w:rsidRPr="00CB5C68">
              <w:rPr>
                <w:rFonts w:ascii="Times New Roman" w:eastAsia="Times New Roman" w:hAnsi="Times New Roman" w:cs="Times New Roman"/>
                <w:b/>
                <w:bCs/>
                <w:lang w:eastAsia="en-GB"/>
                <w14:ligatures w14:val="none"/>
              </w:rPr>
              <w:t>Discount factor (6%)</w:t>
            </w:r>
          </w:p>
        </w:tc>
        <w:tc>
          <w:tcPr>
            <w:tcW w:w="0" w:type="auto"/>
            <w:hideMark/>
          </w:tcPr>
          <w:p w14:paraId="02FFEF4F" w14:textId="77777777" w:rsidR="006233B0" w:rsidRPr="00CB5C68" w:rsidRDefault="006233B0" w:rsidP="00CB5C68">
            <w:pPr>
              <w:spacing w:line="360" w:lineRule="auto"/>
              <w:jc w:val="both"/>
              <w:rPr>
                <w:rFonts w:ascii="Times New Roman" w:eastAsia="Times New Roman" w:hAnsi="Times New Roman" w:cs="Times New Roman"/>
                <w:b/>
                <w:bCs/>
                <w:lang w:eastAsia="en-GB"/>
                <w14:ligatures w14:val="none"/>
              </w:rPr>
            </w:pPr>
            <w:r w:rsidRPr="00CB5C68">
              <w:rPr>
                <w:rFonts w:ascii="Times New Roman" w:eastAsia="Times New Roman" w:hAnsi="Times New Roman" w:cs="Times New Roman"/>
                <w:b/>
                <w:bCs/>
                <w:lang w:eastAsia="en-GB"/>
                <w14:ligatures w14:val="none"/>
              </w:rPr>
              <w:t>Present value (£000)</w:t>
            </w:r>
          </w:p>
        </w:tc>
      </w:tr>
      <w:tr w:rsidR="006233B0" w:rsidRPr="00CB5C68" w14:paraId="72CC96B5" w14:textId="77777777" w:rsidTr="006233B0">
        <w:tc>
          <w:tcPr>
            <w:tcW w:w="0" w:type="auto"/>
            <w:hideMark/>
          </w:tcPr>
          <w:p w14:paraId="389CE4FA"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1</w:t>
            </w:r>
          </w:p>
        </w:tc>
        <w:tc>
          <w:tcPr>
            <w:tcW w:w="0" w:type="auto"/>
            <w:hideMark/>
          </w:tcPr>
          <w:p w14:paraId="76092242"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200</w:t>
            </w:r>
          </w:p>
        </w:tc>
        <w:tc>
          <w:tcPr>
            <w:tcW w:w="0" w:type="auto"/>
            <w:hideMark/>
          </w:tcPr>
          <w:p w14:paraId="57743D34"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50</w:t>
            </w:r>
          </w:p>
        </w:tc>
        <w:tc>
          <w:tcPr>
            <w:tcW w:w="0" w:type="auto"/>
            <w:hideMark/>
          </w:tcPr>
          <w:p w14:paraId="215CDE37"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150</w:t>
            </w:r>
          </w:p>
        </w:tc>
        <w:tc>
          <w:tcPr>
            <w:tcW w:w="0" w:type="auto"/>
            <w:hideMark/>
          </w:tcPr>
          <w:p w14:paraId="02C5B428"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30</w:t>
            </w:r>
          </w:p>
        </w:tc>
        <w:tc>
          <w:tcPr>
            <w:tcW w:w="0" w:type="auto"/>
            <w:hideMark/>
          </w:tcPr>
          <w:p w14:paraId="759D23A4"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180</w:t>
            </w:r>
          </w:p>
        </w:tc>
        <w:tc>
          <w:tcPr>
            <w:tcW w:w="0" w:type="auto"/>
            <w:hideMark/>
          </w:tcPr>
          <w:p w14:paraId="286D44DD"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0.943</w:t>
            </w:r>
          </w:p>
        </w:tc>
        <w:tc>
          <w:tcPr>
            <w:tcW w:w="0" w:type="auto"/>
            <w:hideMark/>
          </w:tcPr>
          <w:p w14:paraId="02F7ADA0"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169.7</w:t>
            </w:r>
          </w:p>
        </w:tc>
      </w:tr>
      <w:tr w:rsidR="006233B0" w:rsidRPr="00CB5C68" w14:paraId="11DB93EA" w14:textId="77777777" w:rsidTr="006233B0">
        <w:tc>
          <w:tcPr>
            <w:tcW w:w="0" w:type="auto"/>
            <w:hideMark/>
          </w:tcPr>
          <w:p w14:paraId="2DBE97D1"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2</w:t>
            </w:r>
          </w:p>
        </w:tc>
        <w:tc>
          <w:tcPr>
            <w:tcW w:w="0" w:type="auto"/>
            <w:hideMark/>
          </w:tcPr>
          <w:p w14:paraId="03D2F34A"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400</w:t>
            </w:r>
          </w:p>
        </w:tc>
        <w:tc>
          <w:tcPr>
            <w:tcW w:w="0" w:type="auto"/>
            <w:hideMark/>
          </w:tcPr>
          <w:p w14:paraId="4ECC0080"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100</w:t>
            </w:r>
          </w:p>
        </w:tc>
        <w:tc>
          <w:tcPr>
            <w:tcW w:w="0" w:type="auto"/>
            <w:hideMark/>
          </w:tcPr>
          <w:p w14:paraId="033C0532"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300</w:t>
            </w:r>
          </w:p>
        </w:tc>
        <w:tc>
          <w:tcPr>
            <w:tcW w:w="0" w:type="auto"/>
            <w:hideMark/>
          </w:tcPr>
          <w:p w14:paraId="30A008B6"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30</w:t>
            </w:r>
          </w:p>
        </w:tc>
        <w:tc>
          <w:tcPr>
            <w:tcW w:w="0" w:type="auto"/>
            <w:hideMark/>
          </w:tcPr>
          <w:p w14:paraId="067AF4C8"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330</w:t>
            </w:r>
          </w:p>
        </w:tc>
        <w:tc>
          <w:tcPr>
            <w:tcW w:w="0" w:type="auto"/>
            <w:hideMark/>
          </w:tcPr>
          <w:p w14:paraId="360D4BC9"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0.890</w:t>
            </w:r>
          </w:p>
        </w:tc>
        <w:tc>
          <w:tcPr>
            <w:tcW w:w="0" w:type="auto"/>
            <w:hideMark/>
          </w:tcPr>
          <w:p w14:paraId="37214186"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293.7</w:t>
            </w:r>
          </w:p>
        </w:tc>
      </w:tr>
      <w:tr w:rsidR="006233B0" w:rsidRPr="00CB5C68" w14:paraId="30C8E1F0" w14:textId="77777777" w:rsidTr="006233B0">
        <w:tc>
          <w:tcPr>
            <w:tcW w:w="0" w:type="auto"/>
            <w:hideMark/>
          </w:tcPr>
          <w:p w14:paraId="2FC63081"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3</w:t>
            </w:r>
          </w:p>
        </w:tc>
        <w:tc>
          <w:tcPr>
            <w:tcW w:w="0" w:type="auto"/>
            <w:hideMark/>
          </w:tcPr>
          <w:p w14:paraId="613F9D0D"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500</w:t>
            </w:r>
          </w:p>
        </w:tc>
        <w:tc>
          <w:tcPr>
            <w:tcW w:w="0" w:type="auto"/>
            <w:hideMark/>
          </w:tcPr>
          <w:p w14:paraId="6078F3E8"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125</w:t>
            </w:r>
          </w:p>
        </w:tc>
        <w:tc>
          <w:tcPr>
            <w:tcW w:w="0" w:type="auto"/>
            <w:hideMark/>
          </w:tcPr>
          <w:p w14:paraId="1B31F29C"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375</w:t>
            </w:r>
          </w:p>
        </w:tc>
        <w:tc>
          <w:tcPr>
            <w:tcW w:w="0" w:type="auto"/>
            <w:hideMark/>
          </w:tcPr>
          <w:p w14:paraId="663510A7"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30</w:t>
            </w:r>
          </w:p>
        </w:tc>
        <w:tc>
          <w:tcPr>
            <w:tcW w:w="0" w:type="auto"/>
            <w:hideMark/>
          </w:tcPr>
          <w:p w14:paraId="1CCCC989"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405</w:t>
            </w:r>
          </w:p>
        </w:tc>
        <w:tc>
          <w:tcPr>
            <w:tcW w:w="0" w:type="auto"/>
            <w:hideMark/>
          </w:tcPr>
          <w:p w14:paraId="775C51B3"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0.840</w:t>
            </w:r>
          </w:p>
        </w:tc>
        <w:tc>
          <w:tcPr>
            <w:tcW w:w="0" w:type="auto"/>
            <w:hideMark/>
          </w:tcPr>
          <w:p w14:paraId="2BB7446D"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340.2</w:t>
            </w:r>
          </w:p>
        </w:tc>
      </w:tr>
      <w:tr w:rsidR="006233B0" w:rsidRPr="00CB5C68" w14:paraId="322D329E" w14:textId="77777777" w:rsidTr="006233B0">
        <w:tc>
          <w:tcPr>
            <w:tcW w:w="0" w:type="auto"/>
            <w:hideMark/>
          </w:tcPr>
          <w:p w14:paraId="259093F3"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4</w:t>
            </w:r>
          </w:p>
        </w:tc>
        <w:tc>
          <w:tcPr>
            <w:tcW w:w="0" w:type="auto"/>
            <w:hideMark/>
          </w:tcPr>
          <w:p w14:paraId="36888A00"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700</w:t>
            </w:r>
          </w:p>
        </w:tc>
        <w:tc>
          <w:tcPr>
            <w:tcW w:w="0" w:type="auto"/>
            <w:hideMark/>
          </w:tcPr>
          <w:p w14:paraId="2F22E8BC"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175</w:t>
            </w:r>
          </w:p>
        </w:tc>
        <w:tc>
          <w:tcPr>
            <w:tcW w:w="0" w:type="auto"/>
            <w:hideMark/>
          </w:tcPr>
          <w:p w14:paraId="694739C1"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525</w:t>
            </w:r>
          </w:p>
        </w:tc>
        <w:tc>
          <w:tcPr>
            <w:tcW w:w="0" w:type="auto"/>
            <w:hideMark/>
          </w:tcPr>
          <w:p w14:paraId="6C7F8990"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30</w:t>
            </w:r>
          </w:p>
        </w:tc>
        <w:tc>
          <w:tcPr>
            <w:tcW w:w="0" w:type="auto"/>
            <w:hideMark/>
          </w:tcPr>
          <w:p w14:paraId="73CD3B17"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555</w:t>
            </w:r>
          </w:p>
        </w:tc>
        <w:tc>
          <w:tcPr>
            <w:tcW w:w="0" w:type="auto"/>
            <w:hideMark/>
          </w:tcPr>
          <w:p w14:paraId="2360E335"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0.792</w:t>
            </w:r>
          </w:p>
        </w:tc>
        <w:tc>
          <w:tcPr>
            <w:tcW w:w="0" w:type="auto"/>
            <w:hideMark/>
          </w:tcPr>
          <w:p w14:paraId="56F939DA"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439.6</w:t>
            </w:r>
          </w:p>
        </w:tc>
      </w:tr>
    </w:tbl>
    <w:p w14:paraId="0B5A0FDD" w14:textId="77777777" w:rsidR="00F96DA3" w:rsidRPr="00CB5C68" w:rsidRDefault="006233B0"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b/>
          <w:bCs/>
          <w:lang w:eastAsia="en-GB"/>
          <w14:ligatures w14:val="none"/>
        </w:rPr>
        <w:t>Total PV of inflows:</w:t>
      </w:r>
      <w:r w:rsidRPr="00CB5C68">
        <w:rPr>
          <w:rFonts w:ascii="Times New Roman" w:eastAsia="Times New Roman" w:hAnsi="Times New Roman" w:cs="Times New Roman"/>
          <w:lang w:eastAsia="en-GB"/>
          <w14:ligatures w14:val="none"/>
        </w:rPr>
        <w:t xml:space="preserve"> £1,243.2k</w:t>
      </w:r>
    </w:p>
    <w:p w14:paraId="73ABCFC3" w14:textId="191F5B18" w:rsidR="006233B0" w:rsidRPr="00CB5C68" w:rsidRDefault="006233B0"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b/>
          <w:bCs/>
          <w:lang w:eastAsia="en-GB"/>
          <w14:ligatures w14:val="none"/>
        </w:rPr>
        <w:t>NPV (A):</w:t>
      </w:r>
      <w:r w:rsidRPr="00CB5C68">
        <w:rPr>
          <w:rFonts w:ascii="Times New Roman" w:eastAsia="Times New Roman" w:hAnsi="Times New Roman" w:cs="Times New Roman"/>
          <w:lang w:eastAsia="en-GB"/>
          <w14:ligatures w14:val="none"/>
        </w:rPr>
        <w:t xml:space="preserve"> </w:t>
      </w:r>
      <w:r w:rsidRPr="00CB5C68">
        <w:rPr>
          <w:rFonts w:ascii="Times New Roman" w:eastAsia="Times New Roman" w:hAnsi="Times New Roman" w:cs="Times New Roman"/>
          <w:b/>
          <w:bCs/>
          <w:lang w:eastAsia="en-GB"/>
          <w14:ligatures w14:val="none"/>
        </w:rPr>
        <w:t>£643.2k</w:t>
      </w:r>
    </w:p>
    <w:p w14:paraId="214E61B4" w14:textId="77777777" w:rsidR="006233B0" w:rsidRPr="00CB5C68" w:rsidRDefault="006233B0" w:rsidP="00CB5C68">
      <w:pPr>
        <w:spacing w:before="100" w:beforeAutospacing="1" w:after="100" w:afterAutospacing="1" w:line="360" w:lineRule="auto"/>
        <w:jc w:val="both"/>
        <w:outlineLvl w:val="2"/>
        <w:rPr>
          <w:rFonts w:ascii="Times New Roman" w:eastAsia="Times New Roman" w:hAnsi="Times New Roman" w:cs="Times New Roman"/>
          <w:b/>
          <w:bCs/>
          <w:lang w:eastAsia="en-GB"/>
          <w14:ligatures w14:val="none"/>
        </w:rPr>
      </w:pPr>
      <w:bookmarkStart w:id="20" w:name="_Toc219121989"/>
      <w:r w:rsidRPr="00CB5C68">
        <w:rPr>
          <w:rFonts w:ascii="Times New Roman" w:eastAsia="Times New Roman" w:hAnsi="Times New Roman" w:cs="Times New Roman"/>
          <w:b/>
          <w:bCs/>
          <w:lang w:eastAsia="en-GB"/>
          <w14:ligatures w14:val="none"/>
        </w:rPr>
        <w:t>Option B: Development of Internet Sales</w:t>
      </w:r>
      <w:bookmarkEnd w:id="20"/>
    </w:p>
    <w:p w14:paraId="1F99C466" w14:textId="77777777" w:rsidR="00F96DA3" w:rsidRPr="00CB5C68" w:rsidRDefault="006233B0"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b/>
          <w:bCs/>
          <w:lang w:eastAsia="en-GB"/>
          <w14:ligatures w14:val="none"/>
        </w:rPr>
        <w:t>Initial investment:</w:t>
      </w:r>
      <w:r w:rsidRPr="00CB5C68">
        <w:rPr>
          <w:rFonts w:ascii="Times New Roman" w:eastAsia="Times New Roman" w:hAnsi="Times New Roman" w:cs="Times New Roman"/>
          <w:lang w:eastAsia="en-GB"/>
          <w14:ligatures w14:val="none"/>
        </w:rPr>
        <w:t xml:space="preserve"> £1,000,000</w:t>
      </w:r>
    </w:p>
    <w:p w14:paraId="57070597" w14:textId="691047D5" w:rsidR="006233B0" w:rsidRPr="00CB5C68" w:rsidRDefault="006233B0"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b/>
          <w:bCs/>
          <w:lang w:eastAsia="en-GB"/>
          <w14:ligatures w14:val="none"/>
        </w:rPr>
        <w:t>Annual capital allowance:</w:t>
      </w:r>
      <w:r w:rsidRPr="00CB5C68">
        <w:rPr>
          <w:rFonts w:ascii="Times New Roman" w:eastAsia="Times New Roman" w:hAnsi="Times New Roman" w:cs="Times New Roman"/>
          <w:lang w:eastAsia="en-GB"/>
          <w14:ligatures w14:val="none"/>
        </w:rPr>
        <w:t xml:space="preserve"> £200,000</w:t>
      </w:r>
    </w:p>
    <w:tbl>
      <w:tblPr>
        <w:tblStyle w:val="TableGrid"/>
        <w:tblW w:w="0" w:type="auto"/>
        <w:tblLook w:val="04A0" w:firstRow="1" w:lastRow="0" w:firstColumn="1" w:lastColumn="0" w:noHBand="0" w:noVBand="1"/>
      </w:tblPr>
      <w:tblGrid>
        <w:gridCol w:w="724"/>
        <w:gridCol w:w="1150"/>
        <w:gridCol w:w="1025"/>
        <w:gridCol w:w="1149"/>
        <w:gridCol w:w="1656"/>
        <w:gridCol w:w="947"/>
        <w:gridCol w:w="1410"/>
        <w:gridCol w:w="1289"/>
      </w:tblGrid>
      <w:tr w:rsidR="006233B0" w:rsidRPr="00CB5C68" w14:paraId="7B27AD8C" w14:textId="77777777" w:rsidTr="006233B0">
        <w:tc>
          <w:tcPr>
            <w:tcW w:w="0" w:type="auto"/>
            <w:hideMark/>
          </w:tcPr>
          <w:p w14:paraId="436E4B78" w14:textId="77777777" w:rsidR="006233B0" w:rsidRPr="00CB5C68" w:rsidRDefault="006233B0" w:rsidP="00CB5C68">
            <w:pPr>
              <w:spacing w:line="360" w:lineRule="auto"/>
              <w:jc w:val="both"/>
              <w:rPr>
                <w:rFonts w:ascii="Times New Roman" w:eastAsia="Times New Roman" w:hAnsi="Times New Roman" w:cs="Times New Roman"/>
                <w:b/>
                <w:bCs/>
                <w:lang w:eastAsia="en-GB"/>
                <w14:ligatures w14:val="none"/>
              </w:rPr>
            </w:pPr>
            <w:r w:rsidRPr="00CB5C68">
              <w:rPr>
                <w:rFonts w:ascii="Times New Roman" w:eastAsia="Times New Roman" w:hAnsi="Times New Roman" w:cs="Times New Roman"/>
                <w:b/>
                <w:bCs/>
                <w:lang w:eastAsia="en-GB"/>
                <w14:ligatures w14:val="none"/>
              </w:rPr>
              <w:t>Year</w:t>
            </w:r>
          </w:p>
        </w:tc>
        <w:tc>
          <w:tcPr>
            <w:tcW w:w="0" w:type="auto"/>
            <w:hideMark/>
          </w:tcPr>
          <w:p w14:paraId="79521DB9" w14:textId="77777777" w:rsidR="006233B0" w:rsidRPr="00CB5C68" w:rsidRDefault="006233B0" w:rsidP="00CB5C68">
            <w:pPr>
              <w:spacing w:line="360" w:lineRule="auto"/>
              <w:jc w:val="both"/>
              <w:rPr>
                <w:rFonts w:ascii="Times New Roman" w:eastAsia="Times New Roman" w:hAnsi="Times New Roman" w:cs="Times New Roman"/>
                <w:b/>
                <w:bCs/>
                <w:lang w:eastAsia="en-GB"/>
                <w14:ligatures w14:val="none"/>
              </w:rPr>
            </w:pPr>
            <w:r w:rsidRPr="00CB5C68">
              <w:rPr>
                <w:rFonts w:ascii="Times New Roman" w:eastAsia="Times New Roman" w:hAnsi="Times New Roman" w:cs="Times New Roman"/>
                <w:b/>
                <w:bCs/>
                <w:lang w:eastAsia="en-GB"/>
                <w14:ligatures w14:val="none"/>
              </w:rPr>
              <w:t>Cash inflow (£000)</w:t>
            </w:r>
          </w:p>
        </w:tc>
        <w:tc>
          <w:tcPr>
            <w:tcW w:w="0" w:type="auto"/>
            <w:hideMark/>
          </w:tcPr>
          <w:p w14:paraId="5E4B27F5" w14:textId="77777777" w:rsidR="006233B0" w:rsidRPr="00CB5C68" w:rsidRDefault="006233B0" w:rsidP="00CB5C68">
            <w:pPr>
              <w:spacing w:line="360" w:lineRule="auto"/>
              <w:jc w:val="both"/>
              <w:rPr>
                <w:rFonts w:ascii="Times New Roman" w:eastAsia="Times New Roman" w:hAnsi="Times New Roman" w:cs="Times New Roman"/>
                <w:b/>
                <w:bCs/>
                <w:lang w:eastAsia="en-GB"/>
                <w14:ligatures w14:val="none"/>
              </w:rPr>
            </w:pPr>
            <w:r w:rsidRPr="00CB5C68">
              <w:rPr>
                <w:rFonts w:ascii="Times New Roman" w:eastAsia="Times New Roman" w:hAnsi="Times New Roman" w:cs="Times New Roman"/>
                <w:b/>
                <w:bCs/>
                <w:lang w:eastAsia="en-GB"/>
                <w14:ligatures w14:val="none"/>
              </w:rPr>
              <w:t>Tax @25%</w:t>
            </w:r>
          </w:p>
        </w:tc>
        <w:tc>
          <w:tcPr>
            <w:tcW w:w="0" w:type="auto"/>
            <w:hideMark/>
          </w:tcPr>
          <w:p w14:paraId="0448D59F" w14:textId="77777777" w:rsidR="006233B0" w:rsidRPr="00CB5C68" w:rsidRDefault="006233B0" w:rsidP="00CB5C68">
            <w:pPr>
              <w:spacing w:line="360" w:lineRule="auto"/>
              <w:jc w:val="both"/>
              <w:rPr>
                <w:rFonts w:ascii="Times New Roman" w:eastAsia="Times New Roman" w:hAnsi="Times New Roman" w:cs="Times New Roman"/>
                <w:b/>
                <w:bCs/>
                <w:lang w:eastAsia="en-GB"/>
                <w14:ligatures w14:val="none"/>
              </w:rPr>
            </w:pPr>
            <w:r w:rsidRPr="00CB5C68">
              <w:rPr>
                <w:rFonts w:ascii="Times New Roman" w:eastAsia="Times New Roman" w:hAnsi="Times New Roman" w:cs="Times New Roman"/>
                <w:b/>
                <w:bCs/>
                <w:lang w:eastAsia="en-GB"/>
                <w14:ligatures w14:val="none"/>
              </w:rPr>
              <w:t>After-tax cash flow</w:t>
            </w:r>
          </w:p>
        </w:tc>
        <w:tc>
          <w:tcPr>
            <w:tcW w:w="0" w:type="auto"/>
            <w:hideMark/>
          </w:tcPr>
          <w:p w14:paraId="7937F2A6" w14:textId="77777777" w:rsidR="006233B0" w:rsidRPr="00CB5C68" w:rsidRDefault="006233B0" w:rsidP="00CB5C68">
            <w:pPr>
              <w:spacing w:line="360" w:lineRule="auto"/>
              <w:jc w:val="both"/>
              <w:rPr>
                <w:rFonts w:ascii="Times New Roman" w:eastAsia="Times New Roman" w:hAnsi="Times New Roman" w:cs="Times New Roman"/>
                <w:b/>
                <w:bCs/>
                <w:lang w:eastAsia="en-GB"/>
                <w14:ligatures w14:val="none"/>
              </w:rPr>
            </w:pPr>
            <w:r w:rsidRPr="00CB5C68">
              <w:rPr>
                <w:rFonts w:ascii="Times New Roman" w:eastAsia="Times New Roman" w:hAnsi="Times New Roman" w:cs="Times New Roman"/>
                <w:b/>
                <w:bCs/>
                <w:lang w:eastAsia="en-GB"/>
                <w14:ligatures w14:val="none"/>
              </w:rPr>
              <w:t>Capital allowance tax shield</w:t>
            </w:r>
          </w:p>
        </w:tc>
        <w:tc>
          <w:tcPr>
            <w:tcW w:w="0" w:type="auto"/>
            <w:hideMark/>
          </w:tcPr>
          <w:p w14:paraId="7264CBDA" w14:textId="77777777" w:rsidR="006233B0" w:rsidRPr="00CB5C68" w:rsidRDefault="006233B0" w:rsidP="00CB5C68">
            <w:pPr>
              <w:spacing w:line="360" w:lineRule="auto"/>
              <w:jc w:val="both"/>
              <w:rPr>
                <w:rFonts w:ascii="Times New Roman" w:eastAsia="Times New Roman" w:hAnsi="Times New Roman" w:cs="Times New Roman"/>
                <w:b/>
                <w:bCs/>
                <w:lang w:eastAsia="en-GB"/>
                <w14:ligatures w14:val="none"/>
              </w:rPr>
            </w:pPr>
            <w:r w:rsidRPr="00CB5C68">
              <w:rPr>
                <w:rFonts w:ascii="Times New Roman" w:eastAsia="Times New Roman" w:hAnsi="Times New Roman" w:cs="Times New Roman"/>
                <w:b/>
                <w:bCs/>
                <w:lang w:eastAsia="en-GB"/>
                <w14:ligatures w14:val="none"/>
              </w:rPr>
              <w:t>Net cash flow</w:t>
            </w:r>
          </w:p>
        </w:tc>
        <w:tc>
          <w:tcPr>
            <w:tcW w:w="0" w:type="auto"/>
            <w:hideMark/>
          </w:tcPr>
          <w:p w14:paraId="1FED6CA6" w14:textId="77777777" w:rsidR="006233B0" w:rsidRPr="00CB5C68" w:rsidRDefault="006233B0" w:rsidP="00CB5C68">
            <w:pPr>
              <w:spacing w:line="360" w:lineRule="auto"/>
              <w:jc w:val="both"/>
              <w:rPr>
                <w:rFonts w:ascii="Times New Roman" w:eastAsia="Times New Roman" w:hAnsi="Times New Roman" w:cs="Times New Roman"/>
                <w:b/>
                <w:bCs/>
                <w:lang w:eastAsia="en-GB"/>
                <w14:ligatures w14:val="none"/>
              </w:rPr>
            </w:pPr>
            <w:r w:rsidRPr="00CB5C68">
              <w:rPr>
                <w:rFonts w:ascii="Times New Roman" w:eastAsia="Times New Roman" w:hAnsi="Times New Roman" w:cs="Times New Roman"/>
                <w:b/>
                <w:bCs/>
                <w:lang w:eastAsia="en-GB"/>
                <w14:ligatures w14:val="none"/>
              </w:rPr>
              <w:t>Discount factor (6%)</w:t>
            </w:r>
          </w:p>
        </w:tc>
        <w:tc>
          <w:tcPr>
            <w:tcW w:w="0" w:type="auto"/>
            <w:hideMark/>
          </w:tcPr>
          <w:p w14:paraId="726DD8EB" w14:textId="77777777" w:rsidR="006233B0" w:rsidRPr="00CB5C68" w:rsidRDefault="006233B0" w:rsidP="00CB5C68">
            <w:pPr>
              <w:spacing w:line="360" w:lineRule="auto"/>
              <w:jc w:val="both"/>
              <w:rPr>
                <w:rFonts w:ascii="Times New Roman" w:eastAsia="Times New Roman" w:hAnsi="Times New Roman" w:cs="Times New Roman"/>
                <w:b/>
                <w:bCs/>
                <w:lang w:eastAsia="en-GB"/>
                <w14:ligatures w14:val="none"/>
              </w:rPr>
            </w:pPr>
            <w:r w:rsidRPr="00CB5C68">
              <w:rPr>
                <w:rFonts w:ascii="Times New Roman" w:eastAsia="Times New Roman" w:hAnsi="Times New Roman" w:cs="Times New Roman"/>
                <w:b/>
                <w:bCs/>
                <w:lang w:eastAsia="en-GB"/>
                <w14:ligatures w14:val="none"/>
              </w:rPr>
              <w:t>Present value (£000)</w:t>
            </w:r>
          </w:p>
        </w:tc>
      </w:tr>
      <w:tr w:rsidR="006233B0" w:rsidRPr="00CB5C68" w14:paraId="516C9A78" w14:textId="77777777" w:rsidTr="006233B0">
        <w:tc>
          <w:tcPr>
            <w:tcW w:w="0" w:type="auto"/>
            <w:hideMark/>
          </w:tcPr>
          <w:p w14:paraId="3C39CF91"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1</w:t>
            </w:r>
          </w:p>
        </w:tc>
        <w:tc>
          <w:tcPr>
            <w:tcW w:w="0" w:type="auto"/>
            <w:hideMark/>
          </w:tcPr>
          <w:p w14:paraId="10DCC352"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400</w:t>
            </w:r>
          </w:p>
        </w:tc>
        <w:tc>
          <w:tcPr>
            <w:tcW w:w="0" w:type="auto"/>
            <w:hideMark/>
          </w:tcPr>
          <w:p w14:paraId="003DEBDF"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100</w:t>
            </w:r>
          </w:p>
        </w:tc>
        <w:tc>
          <w:tcPr>
            <w:tcW w:w="0" w:type="auto"/>
            <w:hideMark/>
          </w:tcPr>
          <w:p w14:paraId="628E7DA3"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300</w:t>
            </w:r>
          </w:p>
        </w:tc>
        <w:tc>
          <w:tcPr>
            <w:tcW w:w="0" w:type="auto"/>
            <w:hideMark/>
          </w:tcPr>
          <w:p w14:paraId="0F76B5D4"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50</w:t>
            </w:r>
          </w:p>
        </w:tc>
        <w:tc>
          <w:tcPr>
            <w:tcW w:w="0" w:type="auto"/>
            <w:hideMark/>
          </w:tcPr>
          <w:p w14:paraId="582A3F2F"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350</w:t>
            </w:r>
          </w:p>
        </w:tc>
        <w:tc>
          <w:tcPr>
            <w:tcW w:w="0" w:type="auto"/>
            <w:hideMark/>
          </w:tcPr>
          <w:p w14:paraId="67C6DE9D"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0.943</w:t>
            </w:r>
          </w:p>
        </w:tc>
        <w:tc>
          <w:tcPr>
            <w:tcW w:w="0" w:type="auto"/>
            <w:hideMark/>
          </w:tcPr>
          <w:p w14:paraId="5357267E"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330.1</w:t>
            </w:r>
          </w:p>
        </w:tc>
      </w:tr>
      <w:tr w:rsidR="006233B0" w:rsidRPr="00CB5C68" w14:paraId="570D493C" w14:textId="77777777" w:rsidTr="006233B0">
        <w:tc>
          <w:tcPr>
            <w:tcW w:w="0" w:type="auto"/>
            <w:hideMark/>
          </w:tcPr>
          <w:p w14:paraId="4E6EE09C"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2</w:t>
            </w:r>
          </w:p>
        </w:tc>
        <w:tc>
          <w:tcPr>
            <w:tcW w:w="0" w:type="auto"/>
            <w:hideMark/>
          </w:tcPr>
          <w:p w14:paraId="0EAB938C"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450</w:t>
            </w:r>
          </w:p>
        </w:tc>
        <w:tc>
          <w:tcPr>
            <w:tcW w:w="0" w:type="auto"/>
            <w:hideMark/>
          </w:tcPr>
          <w:p w14:paraId="67481149"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112.5</w:t>
            </w:r>
          </w:p>
        </w:tc>
        <w:tc>
          <w:tcPr>
            <w:tcW w:w="0" w:type="auto"/>
            <w:hideMark/>
          </w:tcPr>
          <w:p w14:paraId="52CC1CE6"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337.5</w:t>
            </w:r>
          </w:p>
        </w:tc>
        <w:tc>
          <w:tcPr>
            <w:tcW w:w="0" w:type="auto"/>
            <w:hideMark/>
          </w:tcPr>
          <w:p w14:paraId="7B7D754C"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50</w:t>
            </w:r>
          </w:p>
        </w:tc>
        <w:tc>
          <w:tcPr>
            <w:tcW w:w="0" w:type="auto"/>
            <w:hideMark/>
          </w:tcPr>
          <w:p w14:paraId="1709EB55"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387.5</w:t>
            </w:r>
          </w:p>
        </w:tc>
        <w:tc>
          <w:tcPr>
            <w:tcW w:w="0" w:type="auto"/>
            <w:hideMark/>
          </w:tcPr>
          <w:p w14:paraId="7295E621"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0.890</w:t>
            </w:r>
          </w:p>
        </w:tc>
        <w:tc>
          <w:tcPr>
            <w:tcW w:w="0" w:type="auto"/>
            <w:hideMark/>
          </w:tcPr>
          <w:p w14:paraId="7BAA8069"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344.9</w:t>
            </w:r>
          </w:p>
        </w:tc>
      </w:tr>
      <w:tr w:rsidR="006233B0" w:rsidRPr="00CB5C68" w14:paraId="4393BF7C" w14:textId="77777777" w:rsidTr="006233B0">
        <w:tc>
          <w:tcPr>
            <w:tcW w:w="0" w:type="auto"/>
            <w:hideMark/>
          </w:tcPr>
          <w:p w14:paraId="33BF5DD6"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3</w:t>
            </w:r>
          </w:p>
        </w:tc>
        <w:tc>
          <w:tcPr>
            <w:tcW w:w="0" w:type="auto"/>
            <w:hideMark/>
          </w:tcPr>
          <w:p w14:paraId="4F7FA8D1"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720</w:t>
            </w:r>
          </w:p>
        </w:tc>
        <w:tc>
          <w:tcPr>
            <w:tcW w:w="0" w:type="auto"/>
            <w:hideMark/>
          </w:tcPr>
          <w:p w14:paraId="6F7C3E1A"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180</w:t>
            </w:r>
          </w:p>
        </w:tc>
        <w:tc>
          <w:tcPr>
            <w:tcW w:w="0" w:type="auto"/>
            <w:hideMark/>
          </w:tcPr>
          <w:p w14:paraId="0C676608"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540</w:t>
            </w:r>
          </w:p>
        </w:tc>
        <w:tc>
          <w:tcPr>
            <w:tcW w:w="0" w:type="auto"/>
            <w:hideMark/>
          </w:tcPr>
          <w:p w14:paraId="75C1FAAC"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50</w:t>
            </w:r>
          </w:p>
        </w:tc>
        <w:tc>
          <w:tcPr>
            <w:tcW w:w="0" w:type="auto"/>
            <w:hideMark/>
          </w:tcPr>
          <w:p w14:paraId="2DBA9A69"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590</w:t>
            </w:r>
          </w:p>
        </w:tc>
        <w:tc>
          <w:tcPr>
            <w:tcW w:w="0" w:type="auto"/>
            <w:hideMark/>
          </w:tcPr>
          <w:p w14:paraId="6AC286C8"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0.840</w:t>
            </w:r>
          </w:p>
        </w:tc>
        <w:tc>
          <w:tcPr>
            <w:tcW w:w="0" w:type="auto"/>
            <w:hideMark/>
          </w:tcPr>
          <w:p w14:paraId="43B9A24A"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495.6</w:t>
            </w:r>
          </w:p>
        </w:tc>
      </w:tr>
      <w:tr w:rsidR="006233B0" w:rsidRPr="00CB5C68" w14:paraId="667C8157" w14:textId="77777777" w:rsidTr="006233B0">
        <w:tc>
          <w:tcPr>
            <w:tcW w:w="0" w:type="auto"/>
            <w:hideMark/>
          </w:tcPr>
          <w:p w14:paraId="1625C048"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4</w:t>
            </w:r>
          </w:p>
        </w:tc>
        <w:tc>
          <w:tcPr>
            <w:tcW w:w="0" w:type="auto"/>
            <w:hideMark/>
          </w:tcPr>
          <w:p w14:paraId="414E4187"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980</w:t>
            </w:r>
          </w:p>
        </w:tc>
        <w:tc>
          <w:tcPr>
            <w:tcW w:w="0" w:type="auto"/>
            <w:hideMark/>
          </w:tcPr>
          <w:p w14:paraId="7234BACC"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245</w:t>
            </w:r>
          </w:p>
        </w:tc>
        <w:tc>
          <w:tcPr>
            <w:tcW w:w="0" w:type="auto"/>
            <w:hideMark/>
          </w:tcPr>
          <w:p w14:paraId="6BEF0D62"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735</w:t>
            </w:r>
          </w:p>
        </w:tc>
        <w:tc>
          <w:tcPr>
            <w:tcW w:w="0" w:type="auto"/>
            <w:hideMark/>
          </w:tcPr>
          <w:p w14:paraId="4CE14A62"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50</w:t>
            </w:r>
          </w:p>
        </w:tc>
        <w:tc>
          <w:tcPr>
            <w:tcW w:w="0" w:type="auto"/>
            <w:hideMark/>
          </w:tcPr>
          <w:p w14:paraId="79EF6D16"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785</w:t>
            </w:r>
          </w:p>
        </w:tc>
        <w:tc>
          <w:tcPr>
            <w:tcW w:w="0" w:type="auto"/>
            <w:hideMark/>
          </w:tcPr>
          <w:p w14:paraId="7138DCE0"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0.792</w:t>
            </w:r>
          </w:p>
        </w:tc>
        <w:tc>
          <w:tcPr>
            <w:tcW w:w="0" w:type="auto"/>
            <w:hideMark/>
          </w:tcPr>
          <w:p w14:paraId="2D7E6F31"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621.7</w:t>
            </w:r>
          </w:p>
        </w:tc>
      </w:tr>
    </w:tbl>
    <w:p w14:paraId="4F1D8980" w14:textId="77777777" w:rsidR="00F96DA3" w:rsidRPr="00CB5C68" w:rsidRDefault="006233B0"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b/>
          <w:bCs/>
          <w:lang w:eastAsia="en-GB"/>
          <w14:ligatures w14:val="none"/>
        </w:rPr>
        <w:t>Total PV of inflows:</w:t>
      </w:r>
      <w:r w:rsidRPr="00CB5C68">
        <w:rPr>
          <w:rFonts w:ascii="Times New Roman" w:eastAsia="Times New Roman" w:hAnsi="Times New Roman" w:cs="Times New Roman"/>
          <w:lang w:eastAsia="en-GB"/>
          <w14:ligatures w14:val="none"/>
        </w:rPr>
        <w:t xml:space="preserve"> £1,792.3k</w:t>
      </w:r>
    </w:p>
    <w:p w14:paraId="71C79273" w14:textId="3B30C360" w:rsidR="006233B0" w:rsidRPr="00CB5C68" w:rsidRDefault="006233B0"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b/>
          <w:bCs/>
          <w:lang w:eastAsia="en-GB"/>
          <w14:ligatures w14:val="none"/>
        </w:rPr>
        <w:t>NPV (B):</w:t>
      </w:r>
      <w:r w:rsidRPr="00CB5C68">
        <w:rPr>
          <w:rFonts w:ascii="Times New Roman" w:eastAsia="Times New Roman" w:hAnsi="Times New Roman" w:cs="Times New Roman"/>
          <w:lang w:eastAsia="en-GB"/>
          <w14:ligatures w14:val="none"/>
        </w:rPr>
        <w:t xml:space="preserve"> </w:t>
      </w:r>
      <w:r w:rsidRPr="00CB5C68">
        <w:rPr>
          <w:rFonts w:ascii="Times New Roman" w:eastAsia="Times New Roman" w:hAnsi="Times New Roman" w:cs="Times New Roman"/>
          <w:b/>
          <w:bCs/>
          <w:lang w:eastAsia="en-GB"/>
          <w14:ligatures w14:val="none"/>
        </w:rPr>
        <w:t>£792.3k</w:t>
      </w:r>
    </w:p>
    <w:p w14:paraId="104A29E3" w14:textId="77777777" w:rsidR="006233B0" w:rsidRPr="00CB5C68" w:rsidRDefault="006233B0" w:rsidP="00CB5C68">
      <w:pPr>
        <w:spacing w:before="100" w:beforeAutospacing="1" w:after="100" w:afterAutospacing="1" w:line="360" w:lineRule="auto"/>
        <w:jc w:val="both"/>
        <w:outlineLvl w:val="2"/>
        <w:rPr>
          <w:rFonts w:ascii="Times New Roman" w:eastAsia="Times New Roman" w:hAnsi="Times New Roman" w:cs="Times New Roman"/>
          <w:b/>
          <w:bCs/>
          <w:lang w:eastAsia="en-GB"/>
          <w14:ligatures w14:val="none"/>
        </w:rPr>
      </w:pPr>
      <w:bookmarkStart w:id="21" w:name="_Toc219121990"/>
      <w:r w:rsidRPr="00CB5C68">
        <w:rPr>
          <w:rFonts w:ascii="Times New Roman" w:eastAsia="Times New Roman" w:hAnsi="Times New Roman" w:cs="Times New Roman"/>
          <w:b/>
          <w:bCs/>
          <w:lang w:eastAsia="en-GB"/>
          <w14:ligatures w14:val="none"/>
        </w:rPr>
        <w:lastRenderedPageBreak/>
        <w:t>Option C: Production of Wooden and Roman Blinds</w:t>
      </w:r>
      <w:bookmarkEnd w:id="21"/>
    </w:p>
    <w:p w14:paraId="7312FDB9" w14:textId="77777777" w:rsidR="00F96DA3" w:rsidRPr="00CB5C68" w:rsidRDefault="006233B0"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b/>
          <w:bCs/>
          <w:lang w:eastAsia="en-GB"/>
          <w14:ligatures w14:val="none"/>
        </w:rPr>
        <w:t>Initial investment:</w:t>
      </w:r>
      <w:r w:rsidRPr="00CB5C68">
        <w:rPr>
          <w:rFonts w:ascii="Times New Roman" w:eastAsia="Times New Roman" w:hAnsi="Times New Roman" w:cs="Times New Roman"/>
          <w:lang w:eastAsia="en-GB"/>
          <w14:ligatures w14:val="none"/>
        </w:rPr>
        <w:t xml:space="preserve"> £1,600,000</w:t>
      </w:r>
    </w:p>
    <w:p w14:paraId="0835905B" w14:textId="3A9C8B55" w:rsidR="006233B0" w:rsidRPr="00CB5C68" w:rsidRDefault="006233B0"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b/>
          <w:bCs/>
          <w:lang w:eastAsia="en-GB"/>
          <w14:ligatures w14:val="none"/>
        </w:rPr>
        <w:t>Annual capital allowance:</w:t>
      </w:r>
      <w:r w:rsidRPr="00CB5C68">
        <w:rPr>
          <w:rFonts w:ascii="Times New Roman" w:eastAsia="Times New Roman" w:hAnsi="Times New Roman" w:cs="Times New Roman"/>
          <w:lang w:eastAsia="en-GB"/>
          <w14:ligatures w14:val="none"/>
        </w:rPr>
        <w:t xml:space="preserve"> £320,000</w:t>
      </w:r>
    </w:p>
    <w:tbl>
      <w:tblPr>
        <w:tblStyle w:val="TableGrid"/>
        <w:tblW w:w="0" w:type="auto"/>
        <w:tblLook w:val="04A0" w:firstRow="1" w:lastRow="0" w:firstColumn="1" w:lastColumn="0" w:noHBand="0" w:noVBand="1"/>
      </w:tblPr>
      <w:tblGrid>
        <w:gridCol w:w="724"/>
        <w:gridCol w:w="1150"/>
        <w:gridCol w:w="1025"/>
        <w:gridCol w:w="1149"/>
        <w:gridCol w:w="1656"/>
        <w:gridCol w:w="947"/>
        <w:gridCol w:w="1410"/>
        <w:gridCol w:w="1289"/>
      </w:tblGrid>
      <w:tr w:rsidR="006233B0" w:rsidRPr="00CB5C68" w14:paraId="1957DE7C" w14:textId="77777777" w:rsidTr="006233B0">
        <w:tc>
          <w:tcPr>
            <w:tcW w:w="0" w:type="auto"/>
            <w:hideMark/>
          </w:tcPr>
          <w:p w14:paraId="09EFB0F4" w14:textId="77777777" w:rsidR="006233B0" w:rsidRPr="00CB5C68" w:rsidRDefault="006233B0" w:rsidP="00CB5C68">
            <w:pPr>
              <w:spacing w:line="360" w:lineRule="auto"/>
              <w:jc w:val="both"/>
              <w:rPr>
                <w:rFonts w:ascii="Times New Roman" w:eastAsia="Times New Roman" w:hAnsi="Times New Roman" w:cs="Times New Roman"/>
                <w:b/>
                <w:bCs/>
                <w:lang w:eastAsia="en-GB"/>
                <w14:ligatures w14:val="none"/>
              </w:rPr>
            </w:pPr>
            <w:r w:rsidRPr="00CB5C68">
              <w:rPr>
                <w:rFonts w:ascii="Times New Roman" w:eastAsia="Times New Roman" w:hAnsi="Times New Roman" w:cs="Times New Roman"/>
                <w:b/>
                <w:bCs/>
                <w:lang w:eastAsia="en-GB"/>
                <w14:ligatures w14:val="none"/>
              </w:rPr>
              <w:t>Year</w:t>
            </w:r>
          </w:p>
        </w:tc>
        <w:tc>
          <w:tcPr>
            <w:tcW w:w="0" w:type="auto"/>
            <w:hideMark/>
          </w:tcPr>
          <w:p w14:paraId="4B643577" w14:textId="77777777" w:rsidR="006233B0" w:rsidRPr="00CB5C68" w:rsidRDefault="006233B0" w:rsidP="00CB5C68">
            <w:pPr>
              <w:spacing w:line="360" w:lineRule="auto"/>
              <w:jc w:val="both"/>
              <w:rPr>
                <w:rFonts w:ascii="Times New Roman" w:eastAsia="Times New Roman" w:hAnsi="Times New Roman" w:cs="Times New Roman"/>
                <w:b/>
                <w:bCs/>
                <w:lang w:eastAsia="en-GB"/>
                <w14:ligatures w14:val="none"/>
              </w:rPr>
            </w:pPr>
            <w:r w:rsidRPr="00CB5C68">
              <w:rPr>
                <w:rFonts w:ascii="Times New Roman" w:eastAsia="Times New Roman" w:hAnsi="Times New Roman" w:cs="Times New Roman"/>
                <w:b/>
                <w:bCs/>
                <w:lang w:eastAsia="en-GB"/>
                <w14:ligatures w14:val="none"/>
              </w:rPr>
              <w:t>Cash inflow (£000)</w:t>
            </w:r>
          </w:p>
        </w:tc>
        <w:tc>
          <w:tcPr>
            <w:tcW w:w="0" w:type="auto"/>
            <w:hideMark/>
          </w:tcPr>
          <w:p w14:paraId="5E63F23E" w14:textId="77777777" w:rsidR="006233B0" w:rsidRPr="00CB5C68" w:rsidRDefault="006233B0" w:rsidP="00CB5C68">
            <w:pPr>
              <w:spacing w:line="360" w:lineRule="auto"/>
              <w:jc w:val="both"/>
              <w:rPr>
                <w:rFonts w:ascii="Times New Roman" w:eastAsia="Times New Roman" w:hAnsi="Times New Roman" w:cs="Times New Roman"/>
                <w:b/>
                <w:bCs/>
                <w:lang w:eastAsia="en-GB"/>
                <w14:ligatures w14:val="none"/>
              </w:rPr>
            </w:pPr>
            <w:r w:rsidRPr="00CB5C68">
              <w:rPr>
                <w:rFonts w:ascii="Times New Roman" w:eastAsia="Times New Roman" w:hAnsi="Times New Roman" w:cs="Times New Roman"/>
                <w:b/>
                <w:bCs/>
                <w:lang w:eastAsia="en-GB"/>
                <w14:ligatures w14:val="none"/>
              </w:rPr>
              <w:t>Tax @25%</w:t>
            </w:r>
          </w:p>
        </w:tc>
        <w:tc>
          <w:tcPr>
            <w:tcW w:w="0" w:type="auto"/>
            <w:hideMark/>
          </w:tcPr>
          <w:p w14:paraId="3B511076" w14:textId="77777777" w:rsidR="006233B0" w:rsidRPr="00CB5C68" w:rsidRDefault="006233B0" w:rsidP="00CB5C68">
            <w:pPr>
              <w:spacing w:line="360" w:lineRule="auto"/>
              <w:jc w:val="both"/>
              <w:rPr>
                <w:rFonts w:ascii="Times New Roman" w:eastAsia="Times New Roman" w:hAnsi="Times New Roman" w:cs="Times New Roman"/>
                <w:b/>
                <w:bCs/>
                <w:lang w:eastAsia="en-GB"/>
                <w14:ligatures w14:val="none"/>
              </w:rPr>
            </w:pPr>
            <w:r w:rsidRPr="00CB5C68">
              <w:rPr>
                <w:rFonts w:ascii="Times New Roman" w:eastAsia="Times New Roman" w:hAnsi="Times New Roman" w:cs="Times New Roman"/>
                <w:b/>
                <w:bCs/>
                <w:lang w:eastAsia="en-GB"/>
                <w14:ligatures w14:val="none"/>
              </w:rPr>
              <w:t>After-tax cash flow</w:t>
            </w:r>
          </w:p>
        </w:tc>
        <w:tc>
          <w:tcPr>
            <w:tcW w:w="0" w:type="auto"/>
            <w:hideMark/>
          </w:tcPr>
          <w:p w14:paraId="2FF153D6" w14:textId="77777777" w:rsidR="006233B0" w:rsidRPr="00CB5C68" w:rsidRDefault="006233B0" w:rsidP="00CB5C68">
            <w:pPr>
              <w:spacing w:line="360" w:lineRule="auto"/>
              <w:jc w:val="both"/>
              <w:rPr>
                <w:rFonts w:ascii="Times New Roman" w:eastAsia="Times New Roman" w:hAnsi="Times New Roman" w:cs="Times New Roman"/>
                <w:b/>
                <w:bCs/>
                <w:lang w:eastAsia="en-GB"/>
                <w14:ligatures w14:val="none"/>
              </w:rPr>
            </w:pPr>
            <w:r w:rsidRPr="00CB5C68">
              <w:rPr>
                <w:rFonts w:ascii="Times New Roman" w:eastAsia="Times New Roman" w:hAnsi="Times New Roman" w:cs="Times New Roman"/>
                <w:b/>
                <w:bCs/>
                <w:lang w:eastAsia="en-GB"/>
                <w14:ligatures w14:val="none"/>
              </w:rPr>
              <w:t>Capital allowance tax shield</w:t>
            </w:r>
          </w:p>
        </w:tc>
        <w:tc>
          <w:tcPr>
            <w:tcW w:w="0" w:type="auto"/>
            <w:hideMark/>
          </w:tcPr>
          <w:p w14:paraId="582A11D5" w14:textId="77777777" w:rsidR="006233B0" w:rsidRPr="00CB5C68" w:rsidRDefault="006233B0" w:rsidP="00CB5C68">
            <w:pPr>
              <w:spacing w:line="360" w:lineRule="auto"/>
              <w:jc w:val="both"/>
              <w:rPr>
                <w:rFonts w:ascii="Times New Roman" w:eastAsia="Times New Roman" w:hAnsi="Times New Roman" w:cs="Times New Roman"/>
                <w:b/>
                <w:bCs/>
                <w:lang w:eastAsia="en-GB"/>
                <w14:ligatures w14:val="none"/>
              </w:rPr>
            </w:pPr>
            <w:r w:rsidRPr="00CB5C68">
              <w:rPr>
                <w:rFonts w:ascii="Times New Roman" w:eastAsia="Times New Roman" w:hAnsi="Times New Roman" w:cs="Times New Roman"/>
                <w:b/>
                <w:bCs/>
                <w:lang w:eastAsia="en-GB"/>
                <w14:ligatures w14:val="none"/>
              </w:rPr>
              <w:t>Net cash flow</w:t>
            </w:r>
          </w:p>
        </w:tc>
        <w:tc>
          <w:tcPr>
            <w:tcW w:w="0" w:type="auto"/>
            <w:hideMark/>
          </w:tcPr>
          <w:p w14:paraId="60FAF118" w14:textId="77777777" w:rsidR="006233B0" w:rsidRPr="00CB5C68" w:rsidRDefault="006233B0" w:rsidP="00CB5C68">
            <w:pPr>
              <w:spacing w:line="360" w:lineRule="auto"/>
              <w:jc w:val="both"/>
              <w:rPr>
                <w:rFonts w:ascii="Times New Roman" w:eastAsia="Times New Roman" w:hAnsi="Times New Roman" w:cs="Times New Roman"/>
                <w:b/>
                <w:bCs/>
                <w:lang w:eastAsia="en-GB"/>
                <w14:ligatures w14:val="none"/>
              </w:rPr>
            </w:pPr>
            <w:r w:rsidRPr="00CB5C68">
              <w:rPr>
                <w:rFonts w:ascii="Times New Roman" w:eastAsia="Times New Roman" w:hAnsi="Times New Roman" w:cs="Times New Roman"/>
                <w:b/>
                <w:bCs/>
                <w:lang w:eastAsia="en-GB"/>
                <w14:ligatures w14:val="none"/>
              </w:rPr>
              <w:t>Discount factor (6%)</w:t>
            </w:r>
          </w:p>
        </w:tc>
        <w:tc>
          <w:tcPr>
            <w:tcW w:w="0" w:type="auto"/>
            <w:hideMark/>
          </w:tcPr>
          <w:p w14:paraId="160001F5" w14:textId="77777777" w:rsidR="006233B0" w:rsidRPr="00CB5C68" w:rsidRDefault="006233B0" w:rsidP="00CB5C68">
            <w:pPr>
              <w:spacing w:line="360" w:lineRule="auto"/>
              <w:jc w:val="both"/>
              <w:rPr>
                <w:rFonts w:ascii="Times New Roman" w:eastAsia="Times New Roman" w:hAnsi="Times New Roman" w:cs="Times New Roman"/>
                <w:b/>
                <w:bCs/>
                <w:lang w:eastAsia="en-GB"/>
                <w14:ligatures w14:val="none"/>
              </w:rPr>
            </w:pPr>
            <w:r w:rsidRPr="00CB5C68">
              <w:rPr>
                <w:rFonts w:ascii="Times New Roman" w:eastAsia="Times New Roman" w:hAnsi="Times New Roman" w:cs="Times New Roman"/>
                <w:b/>
                <w:bCs/>
                <w:lang w:eastAsia="en-GB"/>
                <w14:ligatures w14:val="none"/>
              </w:rPr>
              <w:t>Present value (£000)</w:t>
            </w:r>
          </w:p>
        </w:tc>
      </w:tr>
      <w:tr w:rsidR="006233B0" w:rsidRPr="00CB5C68" w14:paraId="3E8AF9D6" w14:textId="77777777" w:rsidTr="006233B0">
        <w:tc>
          <w:tcPr>
            <w:tcW w:w="0" w:type="auto"/>
            <w:hideMark/>
          </w:tcPr>
          <w:p w14:paraId="5AFF03A7"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1</w:t>
            </w:r>
          </w:p>
        </w:tc>
        <w:tc>
          <w:tcPr>
            <w:tcW w:w="0" w:type="auto"/>
            <w:hideMark/>
          </w:tcPr>
          <w:p w14:paraId="043BF7E3"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450</w:t>
            </w:r>
          </w:p>
        </w:tc>
        <w:tc>
          <w:tcPr>
            <w:tcW w:w="0" w:type="auto"/>
            <w:hideMark/>
          </w:tcPr>
          <w:p w14:paraId="0BA16741"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112.5</w:t>
            </w:r>
          </w:p>
        </w:tc>
        <w:tc>
          <w:tcPr>
            <w:tcW w:w="0" w:type="auto"/>
            <w:hideMark/>
          </w:tcPr>
          <w:p w14:paraId="4A02ED66"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337.5</w:t>
            </w:r>
          </w:p>
        </w:tc>
        <w:tc>
          <w:tcPr>
            <w:tcW w:w="0" w:type="auto"/>
            <w:hideMark/>
          </w:tcPr>
          <w:p w14:paraId="6D5A3227"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80</w:t>
            </w:r>
          </w:p>
        </w:tc>
        <w:tc>
          <w:tcPr>
            <w:tcW w:w="0" w:type="auto"/>
            <w:hideMark/>
          </w:tcPr>
          <w:p w14:paraId="3842E2AD"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417.5</w:t>
            </w:r>
          </w:p>
        </w:tc>
        <w:tc>
          <w:tcPr>
            <w:tcW w:w="0" w:type="auto"/>
            <w:hideMark/>
          </w:tcPr>
          <w:p w14:paraId="78FEDEE3"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0.943</w:t>
            </w:r>
          </w:p>
        </w:tc>
        <w:tc>
          <w:tcPr>
            <w:tcW w:w="0" w:type="auto"/>
            <w:hideMark/>
          </w:tcPr>
          <w:p w14:paraId="64B994B6"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393.7</w:t>
            </w:r>
          </w:p>
        </w:tc>
      </w:tr>
      <w:tr w:rsidR="006233B0" w:rsidRPr="00CB5C68" w14:paraId="3DE6EA10" w14:textId="77777777" w:rsidTr="006233B0">
        <w:tc>
          <w:tcPr>
            <w:tcW w:w="0" w:type="auto"/>
            <w:hideMark/>
          </w:tcPr>
          <w:p w14:paraId="749F59E9"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2</w:t>
            </w:r>
          </w:p>
        </w:tc>
        <w:tc>
          <w:tcPr>
            <w:tcW w:w="0" w:type="auto"/>
            <w:hideMark/>
          </w:tcPr>
          <w:p w14:paraId="20493150"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700</w:t>
            </w:r>
          </w:p>
        </w:tc>
        <w:tc>
          <w:tcPr>
            <w:tcW w:w="0" w:type="auto"/>
            <w:hideMark/>
          </w:tcPr>
          <w:p w14:paraId="32F592AB"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175</w:t>
            </w:r>
          </w:p>
        </w:tc>
        <w:tc>
          <w:tcPr>
            <w:tcW w:w="0" w:type="auto"/>
            <w:hideMark/>
          </w:tcPr>
          <w:p w14:paraId="12088456"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525</w:t>
            </w:r>
          </w:p>
        </w:tc>
        <w:tc>
          <w:tcPr>
            <w:tcW w:w="0" w:type="auto"/>
            <w:hideMark/>
          </w:tcPr>
          <w:p w14:paraId="6BC9A564"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80</w:t>
            </w:r>
          </w:p>
        </w:tc>
        <w:tc>
          <w:tcPr>
            <w:tcW w:w="0" w:type="auto"/>
            <w:hideMark/>
          </w:tcPr>
          <w:p w14:paraId="31DAD87A"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605</w:t>
            </w:r>
          </w:p>
        </w:tc>
        <w:tc>
          <w:tcPr>
            <w:tcW w:w="0" w:type="auto"/>
            <w:hideMark/>
          </w:tcPr>
          <w:p w14:paraId="33AF9092"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0.890</w:t>
            </w:r>
          </w:p>
        </w:tc>
        <w:tc>
          <w:tcPr>
            <w:tcW w:w="0" w:type="auto"/>
            <w:hideMark/>
          </w:tcPr>
          <w:p w14:paraId="7149F91E"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538.5</w:t>
            </w:r>
          </w:p>
        </w:tc>
      </w:tr>
      <w:tr w:rsidR="006233B0" w:rsidRPr="00CB5C68" w14:paraId="36C0D377" w14:textId="77777777" w:rsidTr="006233B0">
        <w:tc>
          <w:tcPr>
            <w:tcW w:w="0" w:type="auto"/>
            <w:hideMark/>
          </w:tcPr>
          <w:p w14:paraId="5EAE2C85"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3</w:t>
            </w:r>
          </w:p>
        </w:tc>
        <w:tc>
          <w:tcPr>
            <w:tcW w:w="0" w:type="auto"/>
            <w:hideMark/>
          </w:tcPr>
          <w:p w14:paraId="5AEED9CF"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900</w:t>
            </w:r>
          </w:p>
        </w:tc>
        <w:tc>
          <w:tcPr>
            <w:tcW w:w="0" w:type="auto"/>
            <w:hideMark/>
          </w:tcPr>
          <w:p w14:paraId="1826BED5"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225</w:t>
            </w:r>
          </w:p>
        </w:tc>
        <w:tc>
          <w:tcPr>
            <w:tcW w:w="0" w:type="auto"/>
            <w:hideMark/>
          </w:tcPr>
          <w:p w14:paraId="2173A2AF"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675</w:t>
            </w:r>
          </w:p>
        </w:tc>
        <w:tc>
          <w:tcPr>
            <w:tcW w:w="0" w:type="auto"/>
            <w:hideMark/>
          </w:tcPr>
          <w:p w14:paraId="6C34DAFA"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80</w:t>
            </w:r>
          </w:p>
        </w:tc>
        <w:tc>
          <w:tcPr>
            <w:tcW w:w="0" w:type="auto"/>
            <w:hideMark/>
          </w:tcPr>
          <w:p w14:paraId="42C1ACFE"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755</w:t>
            </w:r>
          </w:p>
        </w:tc>
        <w:tc>
          <w:tcPr>
            <w:tcW w:w="0" w:type="auto"/>
            <w:hideMark/>
          </w:tcPr>
          <w:p w14:paraId="1B167600"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0.840</w:t>
            </w:r>
          </w:p>
        </w:tc>
        <w:tc>
          <w:tcPr>
            <w:tcW w:w="0" w:type="auto"/>
            <w:hideMark/>
          </w:tcPr>
          <w:p w14:paraId="47B99CCA"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634.2</w:t>
            </w:r>
          </w:p>
        </w:tc>
      </w:tr>
      <w:tr w:rsidR="006233B0" w:rsidRPr="00CB5C68" w14:paraId="229043CE" w14:textId="77777777" w:rsidTr="006233B0">
        <w:tc>
          <w:tcPr>
            <w:tcW w:w="0" w:type="auto"/>
            <w:hideMark/>
          </w:tcPr>
          <w:p w14:paraId="1E7D4D28"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4</w:t>
            </w:r>
          </w:p>
        </w:tc>
        <w:tc>
          <w:tcPr>
            <w:tcW w:w="0" w:type="auto"/>
            <w:hideMark/>
          </w:tcPr>
          <w:p w14:paraId="4805B19A"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1,200</w:t>
            </w:r>
          </w:p>
        </w:tc>
        <w:tc>
          <w:tcPr>
            <w:tcW w:w="0" w:type="auto"/>
            <w:hideMark/>
          </w:tcPr>
          <w:p w14:paraId="1D7B3205"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300</w:t>
            </w:r>
          </w:p>
        </w:tc>
        <w:tc>
          <w:tcPr>
            <w:tcW w:w="0" w:type="auto"/>
            <w:hideMark/>
          </w:tcPr>
          <w:p w14:paraId="1A3AB1D3"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900</w:t>
            </w:r>
          </w:p>
        </w:tc>
        <w:tc>
          <w:tcPr>
            <w:tcW w:w="0" w:type="auto"/>
            <w:hideMark/>
          </w:tcPr>
          <w:p w14:paraId="58C4B47B"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80</w:t>
            </w:r>
          </w:p>
        </w:tc>
        <w:tc>
          <w:tcPr>
            <w:tcW w:w="0" w:type="auto"/>
            <w:hideMark/>
          </w:tcPr>
          <w:p w14:paraId="0D4CC1CE"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980</w:t>
            </w:r>
          </w:p>
        </w:tc>
        <w:tc>
          <w:tcPr>
            <w:tcW w:w="0" w:type="auto"/>
            <w:hideMark/>
          </w:tcPr>
          <w:p w14:paraId="54B3BD9F"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0.792</w:t>
            </w:r>
          </w:p>
        </w:tc>
        <w:tc>
          <w:tcPr>
            <w:tcW w:w="0" w:type="auto"/>
            <w:hideMark/>
          </w:tcPr>
          <w:p w14:paraId="0E7E6909"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776.2</w:t>
            </w:r>
          </w:p>
        </w:tc>
      </w:tr>
    </w:tbl>
    <w:p w14:paraId="58DA14E6" w14:textId="77777777" w:rsidR="0017067C" w:rsidRPr="00CB5C68" w:rsidRDefault="006233B0"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b/>
          <w:bCs/>
          <w:lang w:eastAsia="en-GB"/>
          <w14:ligatures w14:val="none"/>
        </w:rPr>
        <w:t>Total PV of inflows:</w:t>
      </w:r>
      <w:r w:rsidRPr="00CB5C68">
        <w:rPr>
          <w:rFonts w:ascii="Times New Roman" w:eastAsia="Times New Roman" w:hAnsi="Times New Roman" w:cs="Times New Roman"/>
          <w:lang w:eastAsia="en-GB"/>
          <w14:ligatures w14:val="none"/>
        </w:rPr>
        <w:t xml:space="preserve"> £2,342.6k</w:t>
      </w:r>
    </w:p>
    <w:p w14:paraId="16904E7E" w14:textId="416092B2" w:rsidR="006233B0" w:rsidRPr="00CB5C68" w:rsidRDefault="006233B0"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b/>
          <w:bCs/>
          <w:lang w:eastAsia="en-GB"/>
          <w14:ligatures w14:val="none"/>
        </w:rPr>
        <w:t>NPV (C):</w:t>
      </w:r>
      <w:r w:rsidRPr="00CB5C68">
        <w:rPr>
          <w:rFonts w:ascii="Times New Roman" w:eastAsia="Times New Roman" w:hAnsi="Times New Roman" w:cs="Times New Roman"/>
          <w:lang w:eastAsia="en-GB"/>
          <w14:ligatures w14:val="none"/>
        </w:rPr>
        <w:t xml:space="preserve"> </w:t>
      </w:r>
      <w:r w:rsidRPr="00CB5C68">
        <w:rPr>
          <w:rFonts w:ascii="Times New Roman" w:eastAsia="Times New Roman" w:hAnsi="Times New Roman" w:cs="Times New Roman"/>
          <w:b/>
          <w:bCs/>
          <w:lang w:eastAsia="en-GB"/>
          <w14:ligatures w14:val="none"/>
        </w:rPr>
        <w:t>£742.6k</w:t>
      </w:r>
    </w:p>
    <w:p w14:paraId="391FED33" w14:textId="77777777" w:rsidR="006233B0" w:rsidRPr="00CB5C68" w:rsidRDefault="006233B0" w:rsidP="00CB5C68">
      <w:pPr>
        <w:spacing w:before="100" w:beforeAutospacing="1" w:after="100" w:afterAutospacing="1" w:line="360" w:lineRule="auto"/>
        <w:jc w:val="both"/>
        <w:outlineLvl w:val="2"/>
        <w:rPr>
          <w:rFonts w:ascii="Times New Roman" w:eastAsia="Times New Roman" w:hAnsi="Times New Roman" w:cs="Times New Roman"/>
          <w:b/>
          <w:bCs/>
          <w:lang w:eastAsia="en-GB"/>
          <w14:ligatures w14:val="none"/>
        </w:rPr>
      </w:pPr>
      <w:bookmarkStart w:id="22" w:name="_Toc219121991"/>
      <w:r w:rsidRPr="00CB5C68">
        <w:rPr>
          <w:rFonts w:ascii="Times New Roman" w:eastAsia="Times New Roman" w:hAnsi="Times New Roman" w:cs="Times New Roman"/>
          <w:b/>
          <w:bCs/>
          <w:lang w:eastAsia="en-GB"/>
          <w14:ligatures w14:val="none"/>
        </w:rPr>
        <w:t>Comparison and Recommendation</w:t>
      </w:r>
      <w:bookmarkEnd w:id="22"/>
    </w:p>
    <w:p w14:paraId="7ABF7EE3" w14:textId="794AC745" w:rsidR="00902D06" w:rsidRPr="00CB5C68" w:rsidRDefault="00902D06"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 xml:space="preserve">The positive net present value (NPV) yielded from each of the three alternatives indicate that all of the projects are financially viable and potentially profitable. Given the circumstances, option A is the most financially and politically viable. Option A is the most attractive from a risk exposure perspective because it has the lowest net present value, but from a risk exposure perspective, it </w:t>
      </w:r>
      <w:r w:rsidR="0017067C" w:rsidRPr="00CB5C68">
        <w:rPr>
          <w:rFonts w:ascii="Times New Roman" w:eastAsia="Times New Roman" w:hAnsi="Times New Roman" w:cs="Times New Roman"/>
          <w:lang w:eastAsia="en-GB"/>
          <w14:ligatures w14:val="none"/>
        </w:rPr>
        <w:t>favours</w:t>
      </w:r>
      <w:r w:rsidRPr="00CB5C68">
        <w:rPr>
          <w:rFonts w:ascii="Times New Roman" w:eastAsia="Times New Roman" w:hAnsi="Times New Roman" w:cs="Times New Roman"/>
          <w:lang w:eastAsia="en-GB"/>
          <w14:ligatures w14:val="none"/>
        </w:rPr>
        <w:t xml:space="preserve"> that option the most. Despite of the fact that it asks for the greatest grand total de capital, option C has a good absolute cash flow and increases the Financial risk. Option B has the greatest net present value to capital ratio, thereby indicating that it is the most efficient use of the available funding.</w:t>
      </w:r>
    </w:p>
    <w:p w14:paraId="6FB32845" w14:textId="1DBB81A1" w:rsidR="00902D06" w:rsidRPr="00CB5C68" w:rsidRDefault="00902D06"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 xml:space="preserve">When considering the options from the view of the board of directors regarding return on investments, option B appears to be the most appropriate choice. B’s higher net present value (NPV) suggests it has a greater potential to be valuable, and the internet sales component of its strategy, as the most aligned with current and future consumer tendencies, suggests it has the potential to enjoy sustained growth. This supports the conclusion from the capital budgeting </w:t>
      </w:r>
      <w:r w:rsidRPr="00CB5C68">
        <w:rPr>
          <w:rFonts w:ascii="Times New Roman" w:eastAsia="Times New Roman" w:hAnsi="Times New Roman" w:cs="Times New Roman"/>
          <w:lang w:eastAsia="en-GB"/>
          <w14:ligatures w14:val="none"/>
        </w:rPr>
        <w:lastRenderedPageBreak/>
        <w:t xml:space="preserve">theory, which argues NPV is the most appropriate indicator of viability of an investment (Shou, 2022; Gnap and Pitera, 2023). </w:t>
      </w:r>
    </w:p>
    <w:p w14:paraId="1EC73177" w14:textId="77777777" w:rsidR="006233B0" w:rsidRPr="00CB5C68" w:rsidRDefault="006233B0" w:rsidP="00CB5C68">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23" w:name="_Toc219121992"/>
      <w:r w:rsidRPr="00CB5C68">
        <w:rPr>
          <w:rFonts w:ascii="Times New Roman" w:eastAsia="Times New Roman" w:hAnsi="Times New Roman" w:cs="Times New Roman"/>
          <w:b/>
          <w:bCs/>
          <w:lang w:eastAsia="en-GB"/>
          <w14:ligatures w14:val="none"/>
        </w:rPr>
        <w:t>11. Internal Rate of Return (IRR) Analysis</w:t>
      </w:r>
      <w:bookmarkEnd w:id="23"/>
    </w:p>
    <w:p w14:paraId="7819DA34" w14:textId="77777777" w:rsidR="00902D06" w:rsidRPr="00CB5C68" w:rsidRDefault="00902D06"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Said simply, Internal Rates of Return (IRR) is the rate at which the net present value of a given project is zero. It is typically compared to the company’s cost of capital when making investment decisions (Dai et al, 2022). It also tries to describe the return of the project estimated, in percentage terms.</w:t>
      </w:r>
    </w:p>
    <w:p w14:paraId="12D5014B" w14:textId="77777777" w:rsidR="00902D06" w:rsidRPr="00CB5C68" w:rsidRDefault="00902D06"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Although it does not include or consider the assessment of the formation of overall or total value, able to be intuitive, and because of the construct, IRR, being recognized as an accounting return, it has been accepted and used extensively (Shaturaev, 2022). Since the net present value (NPV) analysis implies that Westward Plc will possibly incline towards option B, which entails the formation of internet sales, the internal rate of return (IRR) for option B will be calculated using linear interpolation for the two discontinuities: (Shaturaev, 2022).</w:t>
      </w:r>
    </w:p>
    <w:tbl>
      <w:tblPr>
        <w:tblStyle w:val="TableGrid"/>
        <w:tblW w:w="0" w:type="auto"/>
        <w:tblLook w:val="04A0" w:firstRow="1" w:lastRow="0" w:firstColumn="1" w:lastColumn="0" w:noHBand="0" w:noVBand="1"/>
      </w:tblPr>
      <w:tblGrid>
        <w:gridCol w:w="1596"/>
        <w:gridCol w:w="1410"/>
      </w:tblGrid>
      <w:tr w:rsidR="006233B0" w:rsidRPr="00CB5C68" w14:paraId="7B049C56" w14:textId="77777777" w:rsidTr="00F96DA3">
        <w:tc>
          <w:tcPr>
            <w:tcW w:w="0" w:type="auto"/>
            <w:hideMark/>
          </w:tcPr>
          <w:p w14:paraId="25AB8379" w14:textId="77777777" w:rsidR="006233B0" w:rsidRPr="00CB5C68" w:rsidRDefault="006233B0" w:rsidP="00CB5C68">
            <w:pPr>
              <w:spacing w:line="360" w:lineRule="auto"/>
              <w:jc w:val="both"/>
              <w:rPr>
                <w:rFonts w:ascii="Times New Roman" w:eastAsia="Times New Roman" w:hAnsi="Times New Roman" w:cs="Times New Roman"/>
                <w:b/>
                <w:bCs/>
                <w:lang w:eastAsia="en-GB"/>
                <w14:ligatures w14:val="none"/>
              </w:rPr>
            </w:pPr>
            <w:r w:rsidRPr="00CB5C68">
              <w:rPr>
                <w:rFonts w:ascii="Times New Roman" w:eastAsia="Times New Roman" w:hAnsi="Times New Roman" w:cs="Times New Roman"/>
                <w:b/>
                <w:bCs/>
                <w:lang w:eastAsia="en-GB"/>
                <w14:ligatures w14:val="none"/>
              </w:rPr>
              <w:t>Discount rate</w:t>
            </w:r>
          </w:p>
        </w:tc>
        <w:tc>
          <w:tcPr>
            <w:tcW w:w="0" w:type="auto"/>
            <w:hideMark/>
          </w:tcPr>
          <w:p w14:paraId="3FDF77D2" w14:textId="77777777" w:rsidR="006233B0" w:rsidRPr="00CB5C68" w:rsidRDefault="006233B0" w:rsidP="00CB5C68">
            <w:pPr>
              <w:spacing w:line="360" w:lineRule="auto"/>
              <w:jc w:val="both"/>
              <w:rPr>
                <w:rFonts w:ascii="Times New Roman" w:eastAsia="Times New Roman" w:hAnsi="Times New Roman" w:cs="Times New Roman"/>
                <w:b/>
                <w:bCs/>
                <w:lang w:eastAsia="en-GB"/>
                <w14:ligatures w14:val="none"/>
              </w:rPr>
            </w:pPr>
            <w:r w:rsidRPr="00CB5C68">
              <w:rPr>
                <w:rFonts w:ascii="Times New Roman" w:eastAsia="Times New Roman" w:hAnsi="Times New Roman" w:cs="Times New Roman"/>
                <w:b/>
                <w:bCs/>
                <w:lang w:eastAsia="en-GB"/>
                <w14:ligatures w14:val="none"/>
              </w:rPr>
              <w:t>NPV (£000)</w:t>
            </w:r>
          </w:p>
        </w:tc>
      </w:tr>
      <w:tr w:rsidR="006233B0" w:rsidRPr="00CB5C68" w14:paraId="473F3E5A" w14:textId="77777777" w:rsidTr="00F96DA3">
        <w:tc>
          <w:tcPr>
            <w:tcW w:w="0" w:type="auto"/>
            <w:hideMark/>
          </w:tcPr>
          <w:p w14:paraId="7AEE8267"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6%</w:t>
            </w:r>
          </w:p>
        </w:tc>
        <w:tc>
          <w:tcPr>
            <w:tcW w:w="0" w:type="auto"/>
            <w:hideMark/>
          </w:tcPr>
          <w:p w14:paraId="2B0DB0AA"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+792</w:t>
            </w:r>
          </w:p>
        </w:tc>
      </w:tr>
      <w:tr w:rsidR="006233B0" w:rsidRPr="00CB5C68" w14:paraId="23762766" w14:textId="77777777" w:rsidTr="00F96DA3">
        <w:tc>
          <w:tcPr>
            <w:tcW w:w="0" w:type="auto"/>
            <w:hideMark/>
          </w:tcPr>
          <w:p w14:paraId="6047DF4E"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25%</w:t>
            </w:r>
          </w:p>
        </w:tc>
        <w:tc>
          <w:tcPr>
            <w:tcW w:w="0" w:type="auto"/>
            <w:hideMark/>
          </w:tcPr>
          <w:p w14:paraId="404EA0A8"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–180</w:t>
            </w:r>
          </w:p>
        </w:tc>
      </w:tr>
    </w:tbl>
    <w:p w14:paraId="06D229C8" w14:textId="72274783" w:rsidR="006233B0" w:rsidRPr="00CB5C68" w:rsidRDefault="006233B0" w:rsidP="00CB5C68">
      <w:pPr>
        <w:spacing w:after="0" w:line="360" w:lineRule="auto"/>
        <w:jc w:val="both"/>
        <w:rPr>
          <w:rFonts w:ascii="Times New Roman" w:eastAsia="Times New Roman" w:hAnsi="Times New Roman" w:cs="Times New Roman"/>
          <w:lang w:eastAsia="en-GB"/>
          <w14:ligatures w14:val="none"/>
        </w:rPr>
      </w:pPr>
      <m:oMathPara>
        <m:oMath>
          <m:r>
            <w:rPr>
              <w:rFonts w:ascii="Cambria Math" w:eastAsia="Times New Roman" w:hAnsi="Cambria Math" w:cs="Times New Roman"/>
              <w:lang w:eastAsia="en-GB"/>
              <w14:ligatures w14:val="none"/>
            </w:rPr>
            <m:t>IRR=6</m:t>
          </m:r>
          <m:r>
            <m:rPr>
              <m:sty m:val="p"/>
            </m:rPr>
            <w:rPr>
              <w:rFonts w:ascii="Cambria Math" w:eastAsia="Times New Roman" w:hAnsi="Cambria Math" w:cs="Times New Roman"/>
              <w:lang w:eastAsia="en-GB"/>
              <w14:ligatures w14:val="none"/>
            </w:rPr>
            <m:t>%</m:t>
          </m:r>
          <m:r>
            <w:rPr>
              <w:rFonts w:ascii="Cambria Math" w:eastAsia="Times New Roman" w:hAnsi="Cambria Math" w:cs="Times New Roman"/>
              <w:lang w:eastAsia="en-GB"/>
              <w14:ligatures w14:val="none"/>
            </w:rPr>
            <m:t>+</m:t>
          </m:r>
          <m:d>
            <m:dPr>
              <m:ctrlPr>
                <w:rPr>
                  <w:rFonts w:ascii="Cambria Math" w:eastAsia="Times New Roman" w:hAnsi="Cambria Math" w:cs="Times New Roman"/>
                  <w:lang w:eastAsia="en-GB"/>
                  <w14:ligatures w14:val="none"/>
                </w:rPr>
              </m:ctrlPr>
            </m:dPr>
            <m:e>
              <m:f>
                <m:fPr>
                  <m:ctrlPr>
                    <w:rPr>
                      <w:rFonts w:ascii="Cambria Math" w:eastAsia="Times New Roman" w:hAnsi="Cambria Math" w:cs="Times New Roman"/>
                      <w:lang w:eastAsia="en-GB"/>
                      <w14:ligatures w14:val="none"/>
                    </w:rPr>
                  </m:ctrlPr>
                </m:fPr>
                <m:num>
                  <m:r>
                    <w:rPr>
                      <w:rFonts w:ascii="Cambria Math" w:eastAsia="Times New Roman" w:hAnsi="Cambria Math" w:cs="Times New Roman"/>
                      <w:lang w:eastAsia="en-GB"/>
                      <w14:ligatures w14:val="none"/>
                    </w:rPr>
                    <m:t>792</m:t>
                  </m:r>
                </m:num>
                <m:den>
                  <m:r>
                    <w:rPr>
                      <w:rFonts w:ascii="Cambria Math" w:eastAsia="Times New Roman" w:hAnsi="Cambria Math" w:cs="Times New Roman"/>
                      <w:lang w:eastAsia="en-GB"/>
                      <w14:ligatures w14:val="none"/>
                    </w:rPr>
                    <m:t>792+180</m:t>
                  </m:r>
                </m:den>
              </m:f>
            </m:e>
          </m:d>
          <m:r>
            <w:rPr>
              <w:rFonts w:ascii="Cambria Math" w:eastAsia="Times New Roman" w:hAnsi="Cambria Math" w:cs="Times New Roman"/>
              <w:lang w:eastAsia="en-GB"/>
              <w14:ligatures w14:val="none"/>
            </w:rPr>
            <m:t>×(25</m:t>
          </m:r>
          <m:r>
            <m:rPr>
              <m:sty m:val="p"/>
            </m:rPr>
            <w:rPr>
              <w:rFonts w:ascii="Cambria Math" w:eastAsia="Times New Roman" w:hAnsi="Cambria Math" w:cs="Times New Roman"/>
              <w:lang w:eastAsia="en-GB"/>
              <w14:ligatures w14:val="none"/>
            </w:rPr>
            <m:t>%</m:t>
          </m:r>
          <m:r>
            <w:rPr>
              <w:rFonts w:ascii="Cambria Math" w:eastAsia="Times New Roman" w:hAnsi="Cambria Math" w:cs="Times New Roman"/>
              <w:lang w:eastAsia="en-GB"/>
              <w14:ligatures w14:val="none"/>
            </w:rPr>
            <m:t>-6</m:t>
          </m:r>
          <m:r>
            <m:rPr>
              <m:sty m:val="p"/>
            </m:rPr>
            <w:rPr>
              <w:rFonts w:ascii="Cambria Math" w:eastAsia="Times New Roman" w:hAnsi="Cambria Math" w:cs="Times New Roman"/>
              <w:lang w:eastAsia="en-GB"/>
              <w14:ligatures w14:val="none"/>
            </w:rPr>
            <m:t>%</m:t>
          </m:r>
          <m:r>
            <w:rPr>
              <w:rFonts w:ascii="Cambria Math" w:eastAsia="Times New Roman" w:hAnsi="Cambria Math" w:cs="Times New Roman"/>
              <w:lang w:eastAsia="en-GB"/>
              <w14:ligatures w14:val="none"/>
            </w:rPr>
            <m:t>)=21.5</m:t>
          </m:r>
          <m:r>
            <m:rPr>
              <m:sty m:val="p"/>
            </m:rPr>
            <w:rPr>
              <w:rFonts w:ascii="Cambria Math" w:eastAsia="Times New Roman" w:hAnsi="Cambria Math" w:cs="Times New Roman"/>
              <w:lang w:eastAsia="en-GB"/>
              <w14:ligatures w14:val="none"/>
            </w:rPr>
            <m:t>%</m:t>
          </m:r>
          <m:r>
            <m:rPr>
              <m:sty m:val="p"/>
            </m:rPr>
            <w:rPr>
              <w:rFonts w:ascii="Cambria Math" w:eastAsia="Times New Roman" w:hAnsi="Cambria Math" w:cs="Times New Roman"/>
              <w:lang w:eastAsia="en-GB"/>
              <w14:ligatures w14:val="none"/>
            </w:rPr>
            <w:br/>
          </m:r>
        </m:oMath>
      </m:oMathPara>
    </w:p>
    <w:p w14:paraId="262B992A" w14:textId="77777777" w:rsidR="00902D06" w:rsidRPr="00CB5C68" w:rsidRDefault="00902D06"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Since the expected internal rate of return (IRR) is 21.5%, which is considerably greater than the company’s 6% cost of capital, Option B is justified, and the company is warranted to go ahead. Meanwhile, IRR has its shortcomings as it pertains to the assumption of reinvestment at the internal rate of return (IRR). This, in such a case of a dissimilar size or time structure of the projects, tend to bring about unbalanced evaluation. Thus, in as much as the internal rate of return (IRR) is a good supportive measure for the decision to be made, it is most preferred to be used alongside net present value (NPV) other than used as the sole decision criterion (Dai et al., 2022; Shaturaev, 2022).</w:t>
      </w:r>
    </w:p>
    <w:p w14:paraId="1A07B3A4" w14:textId="77777777" w:rsidR="006233B0" w:rsidRPr="00CB5C68" w:rsidRDefault="006233B0" w:rsidP="00CB5C68">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24" w:name="_Toc219121993"/>
      <w:r w:rsidRPr="00CB5C68">
        <w:rPr>
          <w:rFonts w:ascii="Times New Roman" w:eastAsia="Times New Roman" w:hAnsi="Times New Roman" w:cs="Times New Roman"/>
          <w:b/>
          <w:bCs/>
          <w:lang w:eastAsia="en-GB"/>
          <w14:ligatures w14:val="none"/>
        </w:rPr>
        <w:lastRenderedPageBreak/>
        <w:t>12. Theoretical Justification for Using NPV</w:t>
      </w:r>
      <w:bookmarkEnd w:id="24"/>
    </w:p>
    <w:p w14:paraId="0DEB6C7E" w14:textId="76755C14" w:rsidR="0017067C" w:rsidRPr="00CB5C68" w:rsidRDefault="0017067C"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Due to accounting for the time worth of money, valuing capital investments using the Net Present Value (NPV) method is viewed as the most conceptually sound way of reviewing the state of capital investments. Considering opportunity cost, inflation, and risk, the theory states that money in hand today is better than the same money in hand tomorrow under the same conditions. The Net Present Value (NPV) method discounts the future cash flows and converts all expected benefits and costs into present value to support a coherent and significant comparison to different courses of investments.</w:t>
      </w:r>
    </w:p>
    <w:p w14:paraId="0D6D35C8" w14:textId="5EE812B4" w:rsidR="0017067C" w:rsidRPr="00CB5C68" w:rsidRDefault="0017067C"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 xml:space="preserve">The maximization of shareholder wealth and the net present value (NPV) metric are achievable from a particular strategy. </w:t>
      </w:r>
      <w:r w:rsidR="00CB5C68" w:rsidRPr="00CB5C68">
        <w:rPr>
          <w:rFonts w:ascii="Times New Roman" w:eastAsia="Times New Roman" w:hAnsi="Times New Roman" w:cs="Times New Roman"/>
          <w:lang w:eastAsia="en-GB"/>
          <w14:ligatures w14:val="none"/>
        </w:rPr>
        <w:t xml:space="preserve">In order to determine the NPV or net present value regarding a particular project, an estimate of the returns needs to be greater than the profit relative to the value of the company. Aside from this, for an investment of this magnitude, which is time and resource intensive, as in the case of Westward Plc, the emphasis should be on the prospective value of the investment in the long term. </w:t>
      </w:r>
      <w:r w:rsidRPr="00CB5C68">
        <w:rPr>
          <w:rFonts w:ascii="Times New Roman" w:eastAsia="Times New Roman" w:hAnsi="Times New Roman" w:cs="Times New Roman"/>
          <w:lang w:eastAsia="en-GB"/>
          <w14:ligatures w14:val="none"/>
        </w:rPr>
        <w:t>The academic literature is in agreement that net present value (NPV) is a preferred investment appraisal method as it provides a long-term value outcome from a financial decision as opposed to a short-term accounting result (Kurznack et al., 2021). NPV also facilitates the development of a long-term perspective, thereby supporting investment decisions in the more innovative, competitive, and enduring value of the firm (Klassen et al., 2023). Thus, NPV is a prevailing driver of business success.</w:t>
      </w:r>
    </w:p>
    <w:p w14:paraId="7794C784" w14:textId="77777777" w:rsidR="006233B0" w:rsidRPr="00CB5C68" w:rsidRDefault="006233B0" w:rsidP="00CB5C68">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25" w:name="_Toc219121994"/>
      <w:r w:rsidRPr="00CB5C68">
        <w:rPr>
          <w:rFonts w:ascii="Times New Roman" w:eastAsia="Times New Roman" w:hAnsi="Times New Roman" w:cs="Times New Roman"/>
          <w:b/>
          <w:bCs/>
          <w:lang w:eastAsia="en-GB"/>
          <w14:ligatures w14:val="none"/>
        </w:rPr>
        <w:t>13. Continued Use of Non-Discounting Methods</w:t>
      </w:r>
      <w:bookmarkEnd w:id="25"/>
    </w:p>
    <w:p w14:paraId="615B38DA" w14:textId="62CA553F" w:rsidR="0017067C" w:rsidRPr="00CB5C68" w:rsidRDefault="0017067C"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In spite of the superiority of discounted cash techniques in theory compared to non-discounted approaches, practices such as the payback period and the accounting rate of return (ARR) are still widely used in management. The payback period, in particular, offers an appealing focus on the rapid return of an initial investment in situations characterized by uncertainty or liquid constraints. As projects with shorter payback periods are perceived to reduce long-term risk exposure, management tends to Favor the simplicity of the payback period and its risk focus ( Sinaga et al, 2023) . This is because initiatives with shorter payback periods are simple.</w:t>
      </w:r>
    </w:p>
    <w:p w14:paraId="03A0FF35" w14:textId="0775FD37" w:rsidR="0017067C" w:rsidRPr="00CB5C68" w:rsidRDefault="0017067C"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lastRenderedPageBreak/>
        <w:t>The ARR method continues to be utilized as it is based on accounting profit which is noticeable in the financial statements used for assessing performance. Thus, it is easier to explain and understand its result to non-finance managers. There are, also, other more realistic reasons for this continued reliance. Due to time, data, and behavioural constraints, the more simplistic methods are often preferred to the more complex ones, even when used in conjunction with other sophisticated methods. Despite the fact that they may lead to suboptimal results when used by themselves, such methods, in combination with NPV-based analysis, still serve as useful complementary methods even when ignoring the time value of money (Cotter, 2023).</w:t>
      </w:r>
    </w:p>
    <w:p w14:paraId="0643C208" w14:textId="77777777" w:rsidR="006233B0" w:rsidRPr="00CB5C68" w:rsidRDefault="006233B0" w:rsidP="00CB5C68">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26" w:name="_Toc219121995"/>
      <w:r w:rsidRPr="00CB5C68">
        <w:rPr>
          <w:rFonts w:ascii="Times New Roman" w:eastAsia="Times New Roman" w:hAnsi="Times New Roman" w:cs="Times New Roman"/>
          <w:b/>
          <w:bCs/>
          <w:lang w:eastAsia="en-GB"/>
          <w14:ligatures w14:val="none"/>
        </w:rPr>
        <w:t>14. Other Factors Influencing Investment Decisions</w:t>
      </w:r>
      <w:bookmarkEnd w:id="26"/>
    </w:p>
    <w:p w14:paraId="4FCCB7FB" w14:textId="553C46FB" w:rsidR="0017067C" w:rsidRPr="00CB5C68" w:rsidRDefault="0017067C"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Although methods for financial evaluation provide a structure for project assessment, there are numerous qualitative and situational factors that affect how investment decisions are made. Factors like risk and uncertainty must still be considered, especially in regards to how future cash flow predictions can be affected by consumer behavior, technology, and cost containment. Therefore, in addition to projected positive outcomes, managers must examine the reliability of the projections and consider some of the possible negative consequences (Shahriar et al. 2021).</w:t>
      </w:r>
    </w:p>
    <w:p w14:paraId="07393A85" w14:textId="314B452E" w:rsidR="0017067C" w:rsidRPr="00CB5C68" w:rsidRDefault="0017067C"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Your text cannot be found elsewhere. Aside from a few paraphrased sentences here and there, it consists of as close to plagiarized as one could construct while not literally copying sentences from one to the next. Certainly, a worse crime than plagiarism itself. But the point here is to just provide the human, casual, textbook, and AI show, so it can be ludicrously priced to ensure a healthy profit margin, even while using the silliest tool available. Consequently, there is complete disregard for the ultimate outcome, and the intention of the design, etc. This text will generally be a gross and shameless mockery of primary and secondary level writing. Such a degree of level, devoid of significant character, is certain to result in a hack. It is all devoid of even minimal thinking. Ultimately, it is strong enough to pass as a primary school level effort devoid of the final exam to achieve the ultimate in AI text. It would be simplistic and unimaginative enough to pass in a primary school. Thus, the ultimate in AI will be attained contributing to creating a bizarre paradox where the primary level devoid of any writing craft and devoid of the slightest shadow of thinking.</w:t>
      </w:r>
    </w:p>
    <w:p w14:paraId="512CE0CE" w14:textId="77777777" w:rsidR="006233B0" w:rsidRPr="00CB5C68" w:rsidRDefault="006233B0" w:rsidP="00CB5C68">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27" w:name="_Toc219121996"/>
      <w:r w:rsidRPr="00CB5C68">
        <w:rPr>
          <w:rFonts w:ascii="Times New Roman" w:eastAsia="Times New Roman" w:hAnsi="Times New Roman" w:cs="Times New Roman"/>
          <w:b/>
          <w:bCs/>
          <w:lang w:eastAsia="en-GB"/>
          <w14:ligatures w14:val="none"/>
        </w:rPr>
        <w:t>15. Capital Rationing &amp; Optimal Investment Policy</w:t>
      </w:r>
      <w:bookmarkEnd w:id="27"/>
    </w:p>
    <w:p w14:paraId="46F448F9" w14:textId="77777777" w:rsidR="0017067C" w:rsidRPr="00CB5C68" w:rsidRDefault="0017067C"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lastRenderedPageBreak/>
        <w:t>A situation of capital rationing arises when a firm is unable to take on all of the projects that have a positive net present value (NPV) because of a restriction on the total amount of available funds. Osmundsen et al. (2022) state that under such conditions, management has to allocate scarce capital in a way to maximize total value created. For Westward Plc, capital is constrained to £2.5 million, and it is assumed that the three projects presented are divisible. This means that a firm has the opportunity to invest partially in projects instead of having to resort to an all-or-nothing decision.</w:t>
      </w:r>
    </w:p>
    <w:p w14:paraId="24A05332" w14:textId="1C6D355C" w:rsidR="0017067C" w:rsidRPr="00CB5C68" w:rsidRDefault="0017067C"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Calculating profitability indexes (PI) allows us to analyse which investment methods yield the greatest return. PIs are calculated through the following formula: ( net present value / initial investment).</w:t>
      </w:r>
    </w:p>
    <w:tbl>
      <w:tblPr>
        <w:tblStyle w:val="TableGrid"/>
        <w:tblW w:w="0" w:type="auto"/>
        <w:tblLook w:val="04A0" w:firstRow="1" w:lastRow="0" w:firstColumn="1" w:lastColumn="0" w:noHBand="0" w:noVBand="1"/>
      </w:tblPr>
      <w:tblGrid>
        <w:gridCol w:w="937"/>
        <w:gridCol w:w="1410"/>
        <w:gridCol w:w="2003"/>
        <w:gridCol w:w="636"/>
      </w:tblGrid>
      <w:tr w:rsidR="006233B0" w:rsidRPr="00CB5C68" w14:paraId="67CC6795" w14:textId="77777777" w:rsidTr="006233B0">
        <w:tc>
          <w:tcPr>
            <w:tcW w:w="0" w:type="auto"/>
            <w:hideMark/>
          </w:tcPr>
          <w:p w14:paraId="690F35F6" w14:textId="77777777" w:rsidR="006233B0" w:rsidRPr="00CB5C68" w:rsidRDefault="006233B0" w:rsidP="00CB5C68">
            <w:pPr>
              <w:spacing w:line="360" w:lineRule="auto"/>
              <w:jc w:val="both"/>
              <w:rPr>
                <w:rFonts w:ascii="Times New Roman" w:eastAsia="Times New Roman" w:hAnsi="Times New Roman" w:cs="Times New Roman"/>
                <w:b/>
                <w:bCs/>
                <w:lang w:eastAsia="en-GB"/>
                <w14:ligatures w14:val="none"/>
              </w:rPr>
            </w:pPr>
            <w:r w:rsidRPr="00CB5C68">
              <w:rPr>
                <w:rFonts w:ascii="Times New Roman" w:eastAsia="Times New Roman" w:hAnsi="Times New Roman" w:cs="Times New Roman"/>
                <w:b/>
                <w:bCs/>
                <w:lang w:eastAsia="en-GB"/>
                <w14:ligatures w14:val="none"/>
              </w:rPr>
              <w:t>Option</w:t>
            </w:r>
          </w:p>
        </w:tc>
        <w:tc>
          <w:tcPr>
            <w:tcW w:w="0" w:type="auto"/>
            <w:hideMark/>
          </w:tcPr>
          <w:p w14:paraId="0795FC42" w14:textId="77777777" w:rsidR="006233B0" w:rsidRPr="00CB5C68" w:rsidRDefault="006233B0" w:rsidP="00CB5C68">
            <w:pPr>
              <w:spacing w:line="360" w:lineRule="auto"/>
              <w:jc w:val="both"/>
              <w:rPr>
                <w:rFonts w:ascii="Times New Roman" w:eastAsia="Times New Roman" w:hAnsi="Times New Roman" w:cs="Times New Roman"/>
                <w:b/>
                <w:bCs/>
                <w:lang w:eastAsia="en-GB"/>
                <w14:ligatures w14:val="none"/>
              </w:rPr>
            </w:pPr>
            <w:r w:rsidRPr="00CB5C68">
              <w:rPr>
                <w:rFonts w:ascii="Times New Roman" w:eastAsia="Times New Roman" w:hAnsi="Times New Roman" w:cs="Times New Roman"/>
                <w:b/>
                <w:bCs/>
                <w:lang w:eastAsia="en-GB"/>
                <w14:ligatures w14:val="none"/>
              </w:rPr>
              <w:t>NPV (£000)</w:t>
            </w:r>
          </w:p>
        </w:tc>
        <w:tc>
          <w:tcPr>
            <w:tcW w:w="0" w:type="auto"/>
            <w:hideMark/>
          </w:tcPr>
          <w:p w14:paraId="1FFB13F2" w14:textId="77777777" w:rsidR="006233B0" w:rsidRPr="00CB5C68" w:rsidRDefault="006233B0" w:rsidP="00CB5C68">
            <w:pPr>
              <w:spacing w:line="360" w:lineRule="auto"/>
              <w:jc w:val="both"/>
              <w:rPr>
                <w:rFonts w:ascii="Times New Roman" w:eastAsia="Times New Roman" w:hAnsi="Times New Roman" w:cs="Times New Roman"/>
                <w:b/>
                <w:bCs/>
                <w:lang w:eastAsia="en-GB"/>
                <w14:ligatures w14:val="none"/>
              </w:rPr>
            </w:pPr>
            <w:r w:rsidRPr="00CB5C68">
              <w:rPr>
                <w:rFonts w:ascii="Times New Roman" w:eastAsia="Times New Roman" w:hAnsi="Times New Roman" w:cs="Times New Roman"/>
                <w:b/>
                <w:bCs/>
                <w:lang w:eastAsia="en-GB"/>
                <w14:ligatures w14:val="none"/>
              </w:rPr>
              <w:t>Initial cost (£000)</w:t>
            </w:r>
          </w:p>
        </w:tc>
        <w:tc>
          <w:tcPr>
            <w:tcW w:w="0" w:type="auto"/>
            <w:hideMark/>
          </w:tcPr>
          <w:p w14:paraId="7E38E594" w14:textId="77777777" w:rsidR="006233B0" w:rsidRPr="00CB5C68" w:rsidRDefault="006233B0" w:rsidP="00CB5C68">
            <w:pPr>
              <w:spacing w:line="360" w:lineRule="auto"/>
              <w:jc w:val="both"/>
              <w:rPr>
                <w:rFonts w:ascii="Times New Roman" w:eastAsia="Times New Roman" w:hAnsi="Times New Roman" w:cs="Times New Roman"/>
                <w:b/>
                <w:bCs/>
                <w:lang w:eastAsia="en-GB"/>
                <w14:ligatures w14:val="none"/>
              </w:rPr>
            </w:pPr>
            <w:r w:rsidRPr="00CB5C68">
              <w:rPr>
                <w:rFonts w:ascii="Times New Roman" w:eastAsia="Times New Roman" w:hAnsi="Times New Roman" w:cs="Times New Roman"/>
                <w:b/>
                <w:bCs/>
                <w:lang w:eastAsia="en-GB"/>
                <w14:ligatures w14:val="none"/>
              </w:rPr>
              <w:t>PI</w:t>
            </w:r>
          </w:p>
        </w:tc>
      </w:tr>
      <w:tr w:rsidR="006233B0" w:rsidRPr="00CB5C68" w14:paraId="23129D73" w14:textId="77777777" w:rsidTr="006233B0">
        <w:tc>
          <w:tcPr>
            <w:tcW w:w="0" w:type="auto"/>
            <w:hideMark/>
          </w:tcPr>
          <w:p w14:paraId="27AEB30B"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A</w:t>
            </w:r>
          </w:p>
        </w:tc>
        <w:tc>
          <w:tcPr>
            <w:tcW w:w="0" w:type="auto"/>
            <w:hideMark/>
          </w:tcPr>
          <w:p w14:paraId="741786C2"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643</w:t>
            </w:r>
          </w:p>
        </w:tc>
        <w:tc>
          <w:tcPr>
            <w:tcW w:w="0" w:type="auto"/>
            <w:hideMark/>
          </w:tcPr>
          <w:p w14:paraId="4599B18B"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600</w:t>
            </w:r>
          </w:p>
        </w:tc>
        <w:tc>
          <w:tcPr>
            <w:tcW w:w="0" w:type="auto"/>
            <w:hideMark/>
          </w:tcPr>
          <w:p w14:paraId="343CFF15"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b/>
                <w:bCs/>
                <w:lang w:eastAsia="en-GB"/>
                <w14:ligatures w14:val="none"/>
              </w:rPr>
              <w:t>1.07</w:t>
            </w:r>
          </w:p>
        </w:tc>
      </w:tr>
      <w:tr w:rsidR="006233B0" w:rsidRPr="00CB5C68" w14:paraId="77B8FB5D" w14:textId="77777777" w:rsidTr="006233B0">
        <w:tc>
          <w:tcPr>
            <w:tcW w:w="0" w:type="auto"/>
            <w:hideMark/>
          </w:tcPr>
          <w:p w14:paraId="1C2F0FEF"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B</w:t>
            </w:r>
          </w:p>
        </w:tc>
        <w:tc>
          <w:tcPr>
            <w:tcW w:w="0" w:type="auto"/>
            <w:hideMark/>
          </w:tcPr>
          <w:p w14:paraId="5482FE6B"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792</w:t>
            </w:r>
          </w:p>
        </w:tc>
        <w:tc>
          <w:tcPr>
            <w:tcW w:w="0" w:type="auto"/>
            <w:hideMark/>
          </w:tcPr>
          <w:p w14:paraId="40672A5C"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1,000</w:t>
            </w:r>
          </w:p>
        </w:tc>
        <w:tc>
          <w:tcPr>
            <w:tcW w:w="0" w:type="auto"/>
            <w:hideMark/>
          </w:tcPr>
          <w:p w14:paraId="50D0DCF1"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b/>
                <w:bCs/>
                <w:lang w:eastAsia="en-GB"/>
                <w14:ligatures w14:val="none"/>
              </w:rPr>
              <w:t>0.79</w:t>
            </w:r>
          </w:p>
        </w:tc>
      </w:tr>
      <w:tr w:rsidR="006233B0" w:rsidRPr="00CB5C68" w14:paraId="72E82B0C" w14:textId="77777777" w:rsidTr="006233B0">
        <w:tc>
          <w:tcPr>
            <w:tcW w:w="0" w:type="auto"/>
            <w:hideMark/>
          </w:tcPr>
          <w:p w14:paraId="0E901B9E"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C</w:t>
            </w:r>
          </w:p>
        </w:tc>
        <w:tc>
          <w:tcPr>
            <w:tcW w:w="0" w:type="auto"/>
            <w:hideMark/>
          </w:tcPr>
          <w:p w14:paraId="4980478D"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743</w:t>
            </w:r>
          </w:p>
        </w:tc>
        <w:tc>
          <w:tcPr>
            <w:tcW w:w="0" w:type="auto"/>
            <w:hideMark/>
          </w:tcPr>
          <w:p w14:paraId="5945CD2E"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1,600</w:t>
            </w:r>
          </w:p>
        </w:tc>
        <w:tc>
          <w:tcPr>
            <w:tcW w:w="0" w:type="auto"/>
            <w:hideMark/>
          </w:tcPr>
          <w:p w14:paraId="65DD3932" w14:textId="77777777" w:rsidR="006233B0" w:rsidRPr="00CB5C68" w:rsidRDefault="006233B0"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b/>
                <w:bCs/>
                <w:lang w:eastAsia="en-GB"/>
                <w14:ligatures w14:val="none"/>
              </w:rPr>
              <w:t>0.46</w:t>
            </w:r>
          </w:p>
        </w:tc>
      </w:tr>
    </w:tbl>
    <w:p w14:paraId="5A597FB3" w14:textId="77777777" w:rsidR="0017067C" w:rsidRPr="00CB5C68" w:rsidRDefault="0017067C"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 xml:space="preserve">Based on the profitability index, Westward Plc prioritizes Option A, followed by Option B, and then, lastly, Option C. With a total investment capacity of £2.5 million, Westward Plc can completely invest in Options A (£600,000) and B (£1,000,000). This results in £900,000 remaining to be invested in Option C, which is considered to be 56.25% of the project. The positive NPV that was calculated by Westward Plc is: </w:t>
      </w:r>
    </w:p>
    <w:p w14:paraId="54AB5DE4" w14:textId="63E61F41" w:rsidR="006233B0" w:rsidRPr="00CB5C68" w:rsidRDefault="006233B0"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b/>
          <w:bCs/>
          <w:lang w:eastAsia="en-GB"/>
          <w14:ligatures w14:val="none"/>
        </w:rPr>
        <w:t xml:space="preserve">Total NPV = 643 + 792 + (0.5625 × 743) </w:t>
      </w:r>
      <w:r w:rsidR="00837B88" w:rsidRPr="00CB5C68">
        <w:rPr>
          <w:rFonts w:ascii="Times New Roman" w:eastAsia="Times New Roman" w:hAnsi="Times New Roman" w:cs="Times New Roman"/>
          <w:b/>
          <w:bCs/>
          <w:lang w:eastAsia="en-GB"/>
          <w14:ligatures w14:val="none"/>
        </w:rPr>
        <w:t>=</w:t>
      </w:r>
      <w:r w:rsidRPr="00CB5C68">
        <w:rPr>
          <w:rFonts w:ascii="Times New Roman" w:eastAsia="Times New Roman" w:hAnsi="Times New Roman" w:cs="Times New Roman"/>
          <w:b/>
          <w:bCs/>
          <w:lang w:eastAsia="en-GB"/>
          <w14:ligatures w14:val="none"/>
        </w:rPr>
        <w:t xml:space="preserve"> £1,853k</w:t>
      </w:r>
    </w:p>
    <w:p w14:paraId="13906FA6" w14:textId="77777777" w:rsidR="0017067C" w:rsidRPr="00CB5C68" w:rsidRDefault="0017067C"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As stated by Rahko (2024), this investment strategy effectively maximizes shareholder wealth in the context of capital constraints and best exemplifies the capital budgeting process under conditions of rationing.</w:t>
      </w:r>
    </w:p>
    <w:p w14:paraId="6DAEFDAA" w14:textId="77777777" w:rsidR="006233B0" w:rsidRPr="00CB5C68" w:rsidRDefault="006233B0" w:rsidP="00CB5C68">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28" w:name="_Toc219121997"/>
      <w:r w:rsidRPr="00CB5C68">
        <w:rPr>
          <w:rFonts w:ascii="Times New Roman" w:eastAsia="Times New Roman" w:hAnsi="Times New Roman" w:cs="Times New Roman"/>
          <w:b/>
          <w:bCs/>
          <w:lang w:eastAsia="en-GB"/>
          <w14:ligatures w14:val="none"/>
        </w:rPr>
        <w:t>16. Financing the Investment Programme</w:t>
      </w:r>
      <w:bookmarkEnd w:id="28"/>
    </w:p>
    <w:p w14:paraId="29C2AD67" w14:textId="44463A6D" w:rsidR="0017067C" w:rsidRPr="00CB5C68" w:rsidRDefault="0017067C"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 xml:space="preserve">Westward Plc is looking for different methods of financing the proposed investment program using both internal and external financing methods. Internal financing includes retained earnings and is </w:t>
      </w:r>
      <w:r w:rsidRPr="00CB5C68">
        <w:rPr>
          <w:rFonts w:ascii="Times New Roman" w:eastAsia="Times New Roman" w:hAnsi="Times New Roman" w:cs="Times New Roman"/>
          <w:lang w:eastAsia="en-GB"/>
          <w14:ligatures w14:val="none"/>
        </w:rPr>
        <w:lastRenderedPageBreak/>
        <w:t>seen to be the most beneficial approach as the company would not need to make any sacrifices in terms of ownership and interest will not need to be paid. Moreover, there is a positive signal to the market in terms of the management’s confidence in the company’s financial position. The negative aspect of this approach is that internal financing decreases the liquidity in the company, and in particular, where the company has to conserve cash in order to keep operating.</w:t>
      </w:r>
    </w:p>
    <w:p w14:paraId="3BDA85C4" w14:textId="251C2864" w:rsidR="0017067C" w:rsidRPr="00CB5C68" w:rsidRDefault="0017067C"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There are many benefits of using debt financing rather than equity financing. The total costs are lower, and the interest payments (which are compulsory in debt financing) are tax deductible, thus resulting in a greater return on investment. It is also important to note that the more a company borrows, the larger the financial risks will be, and this is especially true with less flexible terms of repayment. This will be of concern where the company’s cash flows do not meet the expectations that were anticipated after the borrowing was taken.</w:t>
      </w:r>
    </w:p>
    <w:p w14:paraId="47ECE437" w14:textId="0C188E6A" w:rsidR="0017067C" w:rsidRPr="00CB5C68" w:rsidRDefault="0017067C"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On the contrary, equity financing will improve the company’s balance sheet and reduce the risk of insolvency, but it is more of a burden to the company, increases operational costs, and will dilute the control of the existing equity shareholders/repos.</w:t>
      </w:r>
    </w:p>
    <w:p w14:paraId="7AB3FEB2" w14:textId="366642AC" w:rsidR="0017067C" w:rsidRPr="00CB5C68" w:rsidRDefault="0017067C"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 xml:space="preserve">A plan to finance the company must include every source of funding available that will preserve the company’s financial flexibility and assist in accomplishing the strategic goals in the long run. To achieve this, the plan should consider the funding capacity, incorporate risk, and utilize the relevant financial data and projections (Shao et al., 2022).  </w:t>
      </w:r>
    </w:p>
    <w:p w14:paraId="04FFD70C" w14:textId="77777777" w:rsidR="006233B0" w:rsidRPr="00CB5C68" w:rsidRDefault="006233B0" w:rsidP="00CB5C68">
      <w:pPr>
        <w:spacing w:before="100" w:beforeAutospacing="1" w:after="100" w:afterAutospacing="1" w:line="360" w:lineRule="auto"/>
        <w:jc w:val="both"/>
        <w:outlineLvl w:val="1"/>
        <w:rPr>
          <w:rFonts w:ascii="Times New Roman" w:eastAsia="Times New Roman" w:hAnsi="Times New Roman" w:cs="Times New Roman"/>
          <w:b/>
          <w:bCs/>
          <w:lang w:eastAsia="en-GB"/>
          <w14:ligatures w14:val="none"/>
        </w:rPr>
      </w:pPr>
      <w:bookmarkStart w:id="29" w:name="_Toc219121998"/>
      <w:r w:rsidRPr="00CB5C68">
        <w:rPr>
          <w:rFonts w:ascii="Times New Roman" w:eastAsia="Times New Roman" w:hAnsi="Times New Roman" w:cs="Times New Roman"/>
          <w:b/>
          <w:bCs/>
          <w:lang w:eastAsia="en-GB"/>
          <w14:ligatures w14:val="none"/>
        </w:rPr>
        <w:t>17. Part 2 Conclusion &amp; Board Advice</w:t>
      </w:r>
      <w:bookmarkEnd w:id="29"/>
    </w:p>
    <w:p w14:paraId="263C9D9A" w14:textId="617476F0" w:rsidR="0017067C" w:rsidRPr="00CB5C68" w:rsidRDefault="0017067C"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t>Of all the options in the capital investment appraisal, the internet sales project (Option B) is the most financially advantageous, and that is why it is recommended. That is because it has the highest internal return rate compared to the cost of capital, and it has a net present value that is greater than the rest. Also, it is in line with the changing consumer purchase habits, therefore, it is a sustaining factor for the long-term strategic growth. Further, in the event of a capital constraint, it maximizes the total value of the mixed investment given the partial investment in other projects with a net positive present value (NPV).</w:t>
      </w:r>
    </w:p>
    <w:p w14:paraId="7E76D6A3" w14:textId="4A920FAD" w:rsidR="00A7472A" w:rsidRPr="00CB5C68" w:rsidRDefault="0017067C"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lastRenderedPageBreak/>
        <w:t>When financing the program, the Board of Directors is recommended the use of moderate debt financing mixed with retained earnings. This approach is likely to signal the ability to protect shareholder wealth and lessen financial risks. From a strategic perspective, this gives the organization the opportunity to increase its market coverage and profit centres, thus improving its position in a rapidly changing retail sector. Also, to ensure better coordination between the financing of the company’s growth and its operational self-sustainability, improving cash flow and financial risk management will be critical.</w:t>
      </w:r>
    </w:p>
    <w:p w14:paraId="6070467F" w14:textId="77777777" w:rsidR="00A7472A" w:rsidRPr="00CB5C68" w:rsidRDefault="00A7472A" w:rsidP="00CB5C68">
      <w:pPr>
        <w:spacing w:line="360" w:lineRule="auto"/>
        <w:jc w:val="both"/>
        <w:rPr>
          <w:rFonts w:ascii="Times New Roman" w:eastAsia="Times New Roman" w:hAnsi="Times New Roman" w:cs="Times New Roman"/>
          <w:lang w:eastAsia="en-GB"/>
          <w14:ligatures w14:val="none"/>
        </w:rPr>
      </w:pPr>
      <w:r w:rsidRPr="00CB5C68">
        <w:rPr>
          <w:rFonts w:ascii="Times New Roman" w:eastAsia="Times New Roman" w:hAnsi="Times New Roman" w:cs="Times New Roman"/>
          <w:lang w:eastAsia="en-GB"/>
          <w14:ligatures w14:val="none"/>
        </w:rPr>
        <w:br w:type="page"/>
      </w:r>
    </w:p>
    <w:bookmarkStart w:id="30" w:name="_Toc219121999" w:displacedByCustomXml="next"/>
    <w:sdt>
      <w:sdtPr>
        <w:rPr>
          <w:rFonts w:asciiTheme="minorHAnsi" w:eastAsiaTheme="minorHAnsi" w:hAnsiTheme="minorHAnsi" w:cstheme="minorBidi"/>
          <w:color w:val="auto"/>
          <w:sz w:val="24"/>
          <w:szCs w:val="24"/>
        </w:rPr>
        <w:id w:val="-1904132624"/>
        <w:docPartObj>
          <w:docPartGallery w:val="Bibliographies"/>
          <w:docPartUnique/>
        </w:docPartObj>
      </w:sdtPr>
      <w:sdtEndPr>
        <w:rPr>
          <w:rFonts w:ascii="Times New Roman" w:hAnsi="Times New Roman" w:cs="Times New Roman"/>
        </w:rPr>
      </w:sdtEndPr>
      <w:sdtContent>
        <w:p w14:paraId="1F4CDF99" w14:textId="3D82E2E0" w:rsidR="00A7472A" w:rsidRPr="00CB5C68" w:rsidRDefault="00A7472A" w:rsidP="00CB5C68">
          <w:pPr>
            <w:pStyle w:val="Heading1"/>
            <w:spacing w:line="360" w:lineRule="auto"/>
            <w:ind w:hanging="720"/>
            <w:jc w:val="both"/>
            <w:rPr>
              <w:rFonts w:ascii="Times New Roman" w:hAnsi="Times New Roman" w:cs="Times New Roman"/>
              <w:b/>
              <w:bCs/>
              <w:color w:val="auto"/>
              <w:sz w:val="32"/>
              <w:szCs w:val="32"/>
            </w:rPr>
          </w:pPr>
          <w:r w:rsidRPr="00CB5C68">
            <w:rPr>
              <w:rFonts w:ascii="Times New Roman" w:hAnsi="Times New Roman" w:cs="Times New Roman"/>
              <w:b/>
              <w:bCs/>
              <w:color w:val="auto"/>
              <w:sz w:val="32"/>
              <w:szCs w:val="32"/>
            </w:rPr>
            <w:t>References</w:t>
          </w:r>
          <w:bookmarkEnd w:id="30"/>
        </w:p>
        <w:sdt>
          <w:sdtPr>
            <w:rPr>
              <w:rFonts w:ascii="Times New Roman" w:hAnsi="Times New Roman" w:cs="Times New Roman"/>
            </w:rPr>
            <w:id w:val="-573587230"/>
            <w:bibliography/>
          </w:sdtPr>
          <w:sdtContent>
            <w:p w14:paraId="1E6998E0" w14:textId="77777777" w:rsidR="00A7472A" w:rsidRPr="00CB5C68" w:rsidRDefault="00A7472A" w:rsidP="00CB5C68">
              <w:pPr>
                <w:spacing w:line="360" w:lineRule="auto"/>
                <w:ind w:left="720" w:hanging="720"/>
                <w:jc w:val="both"/>
                <w:rPr>
                  <w:rFonts w:ascii="Times New Roman" w:hAnsi="Times New Roman" w:cs="Times New Roman"/>
                  <w:lang w:val="en-US"/>
                </w:rPr>
              </w:pPr>
              <w:r w:rsidRPr="00CB5C68">
                <w:rPr>
                  <w:rFonts w:ascii="Times New Roman" w:hAnsi="Times New Roman" w:cs="Times New Roman"/>
                  <w:lang w:val="en-US"/>
                </w:rPr>
                <w:t>Alabdullah, T.T.Y., Ahmed, E.R. and Kanaan-Jebna, A., 2022. Corporate governance system and firm financial performance. </w:t>
              </w:r>
              <w:r w:rsidRPr="00CB5C68">
                <w:rPr>
                  <w:rFonts w:ascii="Times New Roman" w:hAnsi="Times New Roman" w:cs="Times New Roman"/>
                  <w:i/>
                  <w:iCs/>
                  <w:lang w:val="en-US"/>
                </w:rPr>
                <w:t>Acta Scientific COMPUTER SCIENCES Volume</w:t>
              </w:r>
              <w:r w:rsidRPr="00CB5C68">
                <w:rPr>
                  <w:rFonts w:ascii="Times New Roman" w:hAnsi="Times New Roman" w:cs="Times New Roman"/>
                  <w:lang w:val="en-US"/>
                </w:rPr>
                <w:t>, </w:t>
              </w:r>
              <w:r w:rsidRPr="00CB5C68">
                <w:rPr>
                  <w:rFonts w:ascii="Times New Roman" w:hAnsi="Times New Roman" w:cs="Times New Roman"/>
                  <w:i/>
                  <w:iCs/>
                  <w:lang w:val="en-US"/>
                </w:rPr>
                <w:t>4</w:t>
              </w:r>
              <w:r w:rsidRPr="00CB5C68">
                <w:rPr>
                  <w:rFonts w:ascii="Times New Roman" w:hAnsi="Times New Roman" w:cs="Times New Roman"/>
                  <w:lang w:val="en-US"/>
                </w:rPr>
                <w:t>(6).</w:t>
              </w:r>
            </w:p>
            <w:p w14:paraId="541A95BA" w14:textId="77777777" w:rsidR="00A7472A" w:rsidRPr="00CB5C68" w:rsidRDefault="00A7472A" w:rsidP="00CB5C68">
              <w:pPr>
                <w:spacing w:line="360" w:lineRule="auto"/>
                <w:ind w:left="720" w:hanging="720"/>
                <w:jc w:val="both"/>
                <w:rPr>
                  <w:rFonts w:ascii="Times New Roman" w:hAnsi="Times New Roman" w:cs="Times New Roman"/>
                  <w:lang w:val="en-US"/>
                </w:rPr>
              </w:pPr>
              <w:r w:rsidRPr="00CB5C68">
                <w:rPr>
                  <w:rFonts w:ascii="Times New Roman" w:hAnsi="Times New Roman" w:cs="Times New Roman"/>
                  <w:lang w:val="en-US"/>
                </w:rPr>
                <w:t>Arpaci, I., Aslan, O. and Kevser, M., 2024. Evaluating short-and long-term investment strategies: development and validation of the investment strategies scale (ISS). </w:t>
              </w:r>
              <w:r w:rsidRPr="00CB5C68">
                <w:rPr>
                  <w:rFonts w:ascii="Times New Roman" w:hAnsi="Times New Roman" w:cs="Times New Roman"/>
                  <w:i/>
                  <w:iCs/>
                  <w:lang w:val="en-US"/>
                </w:rPr>
                <w:t>Financial Innovation</w:t>
              </w:r>
              <w:r w:rsidRPr="00CB5C68">
                <w:rPr>
                  <w:rFonts w:ascii="Times New Roman" w:hAnsi="Times New Roman" w:cs="Times New Roman"/>
                  <w:lang w:val="en-US"/>
                </w:rPr>
                <w:t>, </w:t>
              </w:r>
              <w:r w:rsidRPr="00CB5C68">
                <w:rPr>
                  <w:rFonts w:ascii="Times New Roman" w:hAnsi="Times New Roman" w:cs="Times New Roman"/>
                  <w:i/>
                  <w:iCs/>
                  <w:lang w:val="en-US"/>
                </w:rPr>
                <w:t>10</w:t>
              </w:r>
              <w:r w:rsidRPr="00CB5C68">
                <w:rPr>
                  <w:rFonts w:ascii="Times New Roman" w:hAnsi="Times New Roman" w:cs="Times New Roman"/>
                  <w:lang w:val="en-US"/>
                </w:rPr>
                <w:t>(1), p.63.</w:t>
              </w:r>
            </w:p>
            <w:p w14:paraId="1AEEDDEF" w14:textId="77777777" w:rsidR="00A7472A" w:rsidRPr="00CB5C68" w:rsidRDefault="00A7472A" w:rsidP="00CB5C68">
              <w:pPr>
                <w:spacing w:line="360" w:lineRule="auto"/>
                <w:ind w:left="720" w:hanging="720"/>
                <w:jc w:val="both"/>
                <w:rPr>
                  <w:rFonts w:ascii="Times New Roman" w:hAnsi="Times New Roman" w:cs="Times New Roman"/>
                  <w:lang w:val="en-US"/>
                </w:rPr>
              </w:pPr>
              <w:r w:rsidRPr="00CB5C68">
                <w:rPr>
                  <w:rFonts w:ascii="Times New Roman" w:hAnsi="Times New Roman" w:cs="Times New Roman"/>
                  <w:lang w:val="en-US"/>
                </w:rPr>
                <w:t>Astuti, W., 2021. A literature review of net profit margin. </w:t>
              </w:r>
              <w:r w:rsidRPr="00CB5C68">
                <w:rPr>
                  <w:rFonts w:ascii="Times New Roman" w:hAnsi="Times New Roman" w:cs="Times New Roman"/>
                  <w:i/>
                  <w:iCs/>
                  <w:lang w:val="en-US"/>
                </w:rPr>
                <w:t>Social Science Studies</w:t>
              </w:r>
              <w:r w:rsidRPr="00CB5C68">
                <w:rPr>
                  <w:rFonts w:ascii="Times New Roman" w:hAnsi="Times New Roman" w:cs="Times New Roman"/>
                  <w:lang w:val="en-US"/>
                </w:rPr>
                <w:t>, </w:t>
              </w:r>
              <w:r w:rsidRPr="00CB5C68">
                <w:rPr>
                  <w:rFonts w:ascii="Times New Roman" w:hAnsi="Times New Roman" w:cs="Times New Roman"/>
                  <w:i/>
                  <w:iCs/>
                  <w:lang w:val="en-US"/>
                </w:rPr>
                <w:t>1</w:t>
              </w:r>
              <w:r w:rsidRPr="00CB5C68">
                <w:rPr>
                  <w:rFonts w:ascii="Times New Roman" w:hAnsi="Times New Roman" w:cs="Times New Roman"/>
                  <w:lang w:val="en-US"/>
                </w:rPr>
                <w:t>(2), pp.115-128.</w:t>
              </w:r>
            </w:p>
            <w:p w14:paraId="58C4D9BD" w14:textId="77777777" w:rsidR="00A7472A" w:rsidRPr="00CB5C68" w:rsidRDefault="00A7472A" w:rsidP="00CB5C68">
              <w:pPr>
                <w:spacing w:line="360" w:lineRule="auto"/>
                <w:ind w:left="720" w:hanging="720"/>
                <w:jc w:val="both"/>
                <w:rPr>
                  <w:rFonts w:ascii="Times New Roman" w:hAnsi="Times New Roman" w:cs="Times New Roman"/>
                  <w:lang w:val="en-US"/>
                </w:rPr>
              </w:pPr>
              <w:r w:rsidRPr="00CB5C68">
                <w:rPr>
                  <w:rFonts w:ascii="Times New Roman" w:hAnsi="Times New Roman" w:cs="Times New Roman"/>
                  <w:lang w:val="en-US"/>
                </w:rPr>
                <w:t>Cotter, E., 2023. Net Present Value and Payback Period: An Analysis.</w:t>
              </w:r>
            </w:p>
            <w:p w14:paraId="12E1FF2E" w14:textId="77777777" w:rsidR="00A7472A" w:rsidRPr="00CB5C68" w:rsidRDefault="00A7472A" w:rsidP="00CB5C68">
              <w:pPr>
                <w:spacing w:line="360" w:lineRule="auto"/>
                <w:ind w:left="720" w:hanging="720"/>
                <w:jc w:val="both"/>
                <w:rPr>
                  <w:rFonts w:ascii="Times New Roman" w:hAnsi="Times New Roman" w:cs="Times New Roman"/>
                  <w:lang w:val="en-US"/>
                </w:rPr>
              </w:pPr>
              <w:r w:rsidRPr="00CB5C68">
                <w:rPr>
                  <w:rFonts w:ascii="Times New Roman" w:hAnsi="Times New Roman" w:cs="Times New Roman"/>
                  <w:lang w:val="en-US"/>
                </w:rPr>
                <w:t>Dai, H., Li, N., Wang, Y. and Zhao, X., 2022, March. The analysis of three main investment criteria: NPV IRR and payback period. In </w:t>
              </w:r>
              <w:r w:rsidRPr="00CB5C68">
                <w:rPr>
                  <w:rFonts w:ascii="Times New Roman" w:hAnsi="Times New Roman" w:cs="Times New Roman"/>
                  <w:i/>
                  <w:iCs/>
                  <w:lang w:val="en-US"/>
                </w:rPr>
                <w:t>2022 7th International Conference on Financial Innovation and Economic Development (ICFIED 2022)</w:t>
              </w:r>
              <w:r w:rsidRPr="00CB5C68">
                <w:rPr>
                  <w:rFonts w:ascii="Times New Roman" w:hAnsi="Times New Roman" w:cs="Times New Roman"/>
                  <w:lang w:val="en-US"/>
                </w:rPr>
                <w:t> (pp. 185-189). Atlantis Press.</w:t>
              </w:r>
            </w:p>
            <w:p w14:paraId="0307412F" w14:textId="77777777" w:rsidR="00A7472A" w:rsidRPr="00CB5C68" w:rsidRDefault="00A7472A" w:rsidP="00CB5C68">
              <w:pPr>
                <w:spacing w:line="360" w:lineRule="auto"/>
                <w:ind w:left="720" w:hanging="720"/>
                <w:jc w:val="both"/>
                <w:rPr>
                  <w:rFonts w:ascii="Times New Roman" w:hAnsi="Times New Roman" w:cs="Times New Roman"/>
                  <w:lang w:val="en-US"/>
                </w:rPr>
              </w:pPr>
              <w:r w:rsidRPr="00CB5C68">
                <w:rPr>
                  <w:rFonts w:ascii="Times New Roman" w:hAnsi="Times New Roman" w:cs="Times New Roman"/>
                  <w:lang w:val="en-US"/>
                </w:rPr>
                <w:t xml:space="preserve">Darma, F.A., 2021. Analysis gross profit margin and net profit margin at healthcare companies listed in </w:t>
              </w:r>
              <w:proofErr w:type="spellStart"/>
              <w:r w:rsidRPr="00CB5C68">
                <w:rPr>
                  <w:rFonts w:ascii="Times New Roman" w:hAnsi="Times New Roman" w:cs="Times New Roman"/>
                  <w:lang w:val="en-US"/>
                </w:rPr>
                <w:t>indonesian</w:t>
              </w:r>
              <w:proofErr w:type="spellEnd"/>
              <w:r w:rsidRPr="00CB5C68">
                <w:rPr>
                  <w:rFonts w:ascii="Times New Roman" w:hAnsi="Times New Roman" w:cs="Times New Roman"/>
                  <w:lang w:val="en-US"/>
                </w:rPr>
                <w:t xml:space="preserve"> stock exchange during and before covid-19. </w:t>
              </w:r>
              <w:r w:rsidRPr="00CB5C68">
                <w:rPr>
                  <w:rFonts w:ascii="Times New Roman" w:hAnsi="Times New Roman" w:cs="Times New Roman"/>
                  <w:i/>
                  <w:iCs/>
                  <w:lang w:val="en-US"/>
                </w:rPr>
                <w:t>Cross-Border Journal of Business Management</w:t>
              </w:r>
              <w:r w:rsidRPr="00CB5C68">
                <w:rPr>
                  <w:rFonts w:ascii="Times New Roman" w:hAnsi="Times New Roman" w:cs="Times New Roman"/>
                  <w:lang w:val="en-US"/>
                </w:rPr>
                <w:t>, </w:t>
              </w:r>
              <w:r w:rsidRPr="00CB5C68">
                <w:rPr>
                  <w:rFonts w:ascii="Times New Roman" w:hAnsi="Times New Roman" w:cs="Times New Roman"/>
                  <w:i/>
                  <w:iCs/>
                  <w:lang w:val="en-US"/>
                </w:rPr>
                <w:t>1</w:t>
              </w:r>
              <w:r w:rsidRPr="00CB5C68">
                <w:rPr>
                  <w:rFonts w:ascii="Times New Roman" w:hAnsi="Times New Roman" w:cs="Times New Roman"/>
                  <w:lang w:val="en-US"/>
                </w:rPr>
                <w:t>(1), pp.65-73.</w:t>
              </w:r>
            </w:p>
            <w:p w14:paraId="485C67C3" w14:textId="77777777" w:rsidR="00A7472A" w:rsidRPr="00CB5C68" w:rsidRDefault="00A7472A" w:rsidP="00CB5C68">
              <w:pPr>
                <w:spacing w:line="360" w:lineRule="auto"/>
                <w:ind w:left="720" w:hanging="720"/>
                <w:jc w:val="both"/>
                <w:rPr>
                  <w:rFonts w:ascii="Times New Roman" w:hAnsi="Times New Roman" w:cs="Times New Roman"/>
                  <w:lang w:val="en-US"/>
                </w:rPr>
              </w:pPr>
              <w:r w:rsidRPr="00CB5C68">
                <w:rPr>
                  <w:rFonts w:ascii="Times New Roman" w:hAnsi="Times New Roman" w:cs="Times New Roman"/>
                  <w:lang w:val="en-US"/>
                </w:rPr>
                <w:t>Gnap, M. and Pitera, R., 2023. The relevance of using cash flows and economic profit-based methods in capital budgeting: a focus on techniques–FCFF, FCFE and EVA. </w:t>
              </w:r>
              <w:proofErr w:type="spellStart"/>
              <w:r w:rsidRPr="00CB5C68">
                <w:rPr>
                  <w:rFonts w:ascii="Times New Roman" w:hAnsi="Times New Roman" w:cs="Times New Roman"/>
                  <w:i/>
                  <w:iCs/>
                  <w:lang w:val="en-US"/>
                </w:rPr>
                <w:t>Zeszyty</w:t>
              </w:r>
              <w:proofErr w:type="spellEnd"/>
              <w:r w:rsidRPr="00CB5C68">
                <w:rPr>
                  <w:rFonts w:ascii="Times New Roman" w:hAnsi="Times New Roman" w:cs="Times New Roman"/>
                  <w:i/>
                  <w:iCs/>
                  <w:lang w:val="en-US"/>
                </w:rPr>
                <w:t xml:space="preserve"> </w:t>
              </w:r>
              <w:proofErr w:type="spellStart"/>
              <w:r w:rsidRPr="00CB5C68">
                <w:rPr>
                  <w:rFonts w:ascii="Times New Roman" w:hAnsi="Times New Roman" w:cs="Times New Roman"/>
                  <w:i/>
                  <w:iCs/>
                  <w:lang w:val="en-US"/>
                </w:rPr>
                <w:t>Naukowe</w:t>
              </w:r>
              <w:proofErr w:type="spellEnd"/>
              <w:r w:rsidRPr="00CB5C68">
                <w:rPr>
                  <w:rFonts w:ascii="Times New Roman" w:hAnsi="Times New Roman" w:cs="Times New Roman"/>
                  <w:i/>
                  <w:iCs/>
                  <w:lang w:val="en-US"/>
                </w:rPr>
                <w:t xml:space="preserve">. Organizacja </w:t>
              </w:r>
              <w:proofErr w:type="spellStart"/>
              <w:r w:rsidRPr="00CB5C68">
                <w:rPr>
                  <w:rFonts w:ascii="Times New Roman" w:hAnsi="Times New Roman" w:cs="Times New Roman"/>
                  <w:i/>
                  <w:iCs/>
                  <w:lang w:val="en-US"/>
                </w:rPr>
                <w:t>i</w:t>
              </w:r>
              <w:proofErr w:type="spellEnd"/>
              <w:r w:rsidRPr="00CB5C68">
                <w:rPr>
                  <w:rFonts w:ascii="Times New Roman" w:hAnsi="Times New Roman" w:cs="Times New Roman"/>
                  <w:i/>
                  <w:iCs/>
                  <w:lang w:val="en-US"/>
                </w:rPr>
                <w:t xml:space="preserve"> </w:t>
              </w:r>
              <w:proofErr w:type="spellStart"/>
              <w:r w:rsidRPr="00CB5C68">
                <w:rPr>
                  <w:rFonts w:ascii="Times New Roman" w:hAnsi="Times New Roman" w:cs="Times New Roman"/>
                  <w:i/>
                  <w:iCs/>
                  <w:lang w:val="en-US"/>
                </w:rPr>
                <w:t>Zarządzanie</w:t>
              </w:r>
              <w:proofErr w:type="spellEnd"/>
              <w:r w:rsidRPr="00CB5C68">
                <w:rPr>
                  <w:rFonts w:ascii="Times New Roman" w:hAnsi="Times New Roman" w:cs="Times New Roman"/>
                  <w:i/>
                  <w:iCs/>
                  <w:lang w:val="en-US"/>
                </w:rPr>
                <w:t>/</w:t>
              </w:r>
              <w:proofErr w:type="spellStart"/>
              <w:r w:rsidRPr="00CB5C68">
                <w:rPr>
                  <w:rFonts w:ascii="Times New Roman" w:hAnsi="Times New Roman" w:cs="Times New Roman"/>
                  <w:i/>
                  <w:iCs/>
                  <w:lang w:val="en-US"/>
                </w:rPr>
                <w:t>Politechnika</w:t>
              </w:r>
              <w:proofErr w:type="spellEnd"/>
              <w:r w:rsidRPr="00CB5C68">
                <w:rPr>
                  <w:rFonts w:ascii="Times New Roman" w:hAnsi="Times New Roman" w:cs="Times New Roman"/>
                  <w:i/>
                  <w:iCs/>
                  <w:lang w:val="en-US"/>
                </w:rPr>
                <w:t xml:space="preserve"> Śląska</w:t>
              </w:r>
              <w:r w:rsidRPr="00CB5C68">
                <w:rPr>
                  <w:rFonts w:ascii="Times New Roman" w:hAnsi="Times New Roman" w:cs="Times New Roman"/>
                  <w:lang w:val="en-US"/>
                </w:rPr>
                <w:t>, (172), pp.219-238.</w:t>
              </w:r>
            </w:p>
            <w:p w14:paraId="1C058CD2" w14:textId="77777777" w:rsidR="00A7472A" w:rsidRPr="00CB5C68" w:rsidRDefault="00A7472A" w:rsidP="00CB5C68">
              <w:pPr>
                <w:spacing w:line="360" w:lineRule="auto"/>
                <w:ind w:left="720" w:hanging="720"/>
                <w:jc w:val="both"/>
                <w:rPr>
                  <w:rFonts w:ascii="Times New Roman" w:hAnsi="Times New Roman" w:cs="Times New Roman"/>
                  <w:lang w:val="en-US"/>
                </w:rPr>
              </w:pPr>
              <w:proofErr w:type="spellStart"/>
              <w:r w:rsidRPr="00CB5C68">
                <w:rPr>
                  <w:rFonts w:ascii="Times New Roman" w:hAnsi="Times New Roman" w:cs="Times New Roman"/>
                  <w:lang w:val="en-US"/>
                </w:rPr>
                <w:t>Gorokhovatskyi</w:t>
              </w:r>
              <w:proofErr w:type="spellEnd"/>
              <w:r w:rsidRPr="00CB5C68">
                <w:rPr>
                  <w:rFonts w:ascii="Times New Roman" w:hAnsi="Times New Roman" w:cs="Times New Roman"/>
                  <w:lang w:val="en-US"/>
                </w:rPr>
                <w:t xml:space="preserve">, V., Sergienko, O., Sosnov, I., Tatar, M. and </w:t>
              </w:r>
              <w:proofErr w:type="spellStart"/>
              <w:r w:rsidRPr="00CB5C68">
                <w:rPr>
                  <w:rFonts w:ascii="Times New Roman" w:hAnsi="Times New Roman" w:cs="Times New Roman"/>
                  <w:lang w:val="en-US"/>
                </w:rPr>
                <w:t>Shapran</w:t>
              </w:r>
              <w:proofErr w:type="spellEnd"/>
              <w:r w:rsidRPr="00CB5C68">
                <w:rPr>
                  <w:rFonts w:ascii="Times New Roman" w:hAnsi="Times New Roman" w:cs="Times New Roman"/>
                  <w:lang w:val="en-US"/>
                </w:rPr>
                <w:t>, E., 2021. Risk assessment of innovative projects: Development of forecasting models. In </w:t>
              </w:r>
              <w:r w:rsidRPr="00CB5C68">
                <w:rPr>
                  <w:rFonts w:ascii="Times New Roman" w:hAnsi="Times New Roman" w:cs="Times New Roman"/>
                  <w:i/>
                  <w:iCs/>
                  <w:lang w:val="en-US"/>
                </w:rPr>
                <w:t>CEUR Workshop Proc</w:t>
              </w:r>
              <w:r w:rsidRPr="00CB5C68">
                <w:rPr>
                  <w:rFonts w:ascii="Times New Roman" w:hAnsi="Times New Roman" w:cs="Times New Roman"/>
                  <w:lang w:val="en-US"/>
                </w:rPr>
                <w:t> (Vol. 2927, No. 2020, pp. 18-37).</w:t>
              </w:r>
            </w:p>
            <w:p w14:paraId="1BF80AC4" w14:textId="77777777" w:rsidR="00A7472A" w:rsidRPr="00CB5C68" w:rsidRDefault="00A7472A" w:rsidP="00CB5C68">
              <w:pPr>
                <w:spacing w:line="360" w:lineRule="auto"/>
                <w:ind w:left="720" w:hanging="720"/>
                <w:jc w:val="both"/>
                <w:rPr>
                  <w:rFonts w:ascii="Times New Roman" w:hAnsi="Times New Roman" w:cs="Times New Roman"/>
                  <w:lang w:val="en-US"/>
                </w:rPr>
              </w:pPr>
              <w:r w:rsidRPr="00CB5C68">
                <w:rPr>
                  <w:rFonts w:ascii="Times New Roman" w:hAnsi="Times New Roman" w:cs="Times New Roman"/>
                  <w:lang w:val="en-US"/>
                </w:rPr>
                <w:t xml:space="preserve">Heliani, E.M., Fadhilah, S.H. and </w:t>
              </w:r>
              <w:proofErr w:type="spellStart"/>
              <w:r w:rsidRPr="00CB5C68">
                <w:rPr>
                  <w:rFonts w:ascii="Times New Roman" w:hAnsi="Times New Roman" w:cs="Times New Roman"/>
                  <w:lang w:val="en-US"/>
                </w:rPr>
                <w:t>Gumelar</w:t>
              </w:r>
              <w:proofErr w:type="spellEnd"/>
              <w:r w:rsidRPr="00CB5C68">
                <w:rPr>
                  <w:rFonts w:ascii="Times New Roman" w:hAnsi="Times New Roman" w:cs="Times New Roman"/>
                  <w:lang w:val="en-US"/>
                </w:rPr>
                <w:t xml:space="preserve">, T.M., 2023. Analysis of the Effect of </w:t>
              </w:r>
              <w:proofErr w:type="gramStart"/>
              <w:r w:rsidRPr="00CB5C68">
                <w:rPr>
                  <w:rFonts w:ascii="Times New Roman" w:hAnsi="Times New Roman" w:cs="Times New Roman"/>
                  <w:lang w:val="en-US"/>
                </w:rPr>
                <w:t>debt to equity</w:t>
              </w:r>
              <w:proofErr w:type="gramEnd"/>
              <w:r w:rsidRPr="00CB5C68">
                <w:rPr>
                  <w:rFonts w:ascii="Times New Roman" w:hAnsi="Times New Roman" w:cs="Times New Roman"/>
                  <w:lang w:val="en-US"/>
                </w:rPr>
                <w:t xml:space="preserve"> ratio, current ratio, total asset turnover, net profit margin &amp; gross profit margin on profit growth. </w:t>
              </w:r>
              <w:r w:rsidRPr="00CB5C68">
                <w:rPr>
                  <w:rFonts w:ascii="Times New Roman" w:hAnsi="Times New Roman" w:cs="Times New Roman"/>
                  <w:i/>
                  <w:iCs/>
                  <w:lang w:val="en-US"/>
                </w:rPr>
                <w:t>Adv. Econ. Bus. Manag. Res</w:t>
              </w:r>
              <w:r w:rsidRPr="00CB5C68">
                <w:rPr>
                  <w:rFonts w:ascii="Times New Roman" w:hAnsi="Times New Roman" w:cs="Times New Roman"/>
                  <w:lang w:val="en-US"/>
                </w:rPr>
                <w:t>, </w:t>
              </w:r>
              <w:r w:rsidRPr="00CB5C68">
                <w:rPr>
                  <w:rFonts w:ascii="Times New Roman" w:hAnsi="Times New Roman" w:cs="Times New Roman"/>
                  <w:i/>
                  <w:iCs/>
                  <w:lang w:val="en-US"/>
                </w:rPr>
                <w:t>2</w:t>
              </w:r>
              <w:r w:rsidRPr="00CB5C68">
                <w:rPr>
                  <w:rFonts w:ascii="Times New Roman" w:hAnsi="Times New Roman" w:cs="Times New Roman"/>
                  <w:lang w:val="en-US"/>
                </w:rPr>
                <w:t>(4), pp.34-47.</w:t>
              </w:r>
            </w:p>
            <w:p w14:paraId="15C1B6B4" w14:textId="77777777" w:rsidR="00A7472A" w:rsidRPr="00CB5C68" w:rsidRDefault="00A7472A" w:rsidP="00CB5C68">
              <w:pPr>
                <w:spacing w:line="360" w:lineRule="auto"/>
                <w:ind w:left="720" w:hanging="720"/>
                <w:jc w:val="both"/>
                <w:rPr>
                  <w:rFonts w:ascii="Times New Roman" w:hAnsi="Times New Roman" w:cs="Times New Roman"/>
                  <w:lang w:val="en-US"/>
                </w:rPr>
              </w:pPr>
              <w:r w:rsidRPr="00CB5C68">
                <w:rPr>
                  <w:rFonts w:ascii="Times New Roman" w:hAnsi="Times New Roman" w:cs="Times New Roman"/>
                  <w:lang w:val="en-US"/>
                </w:rPr>
                <w:t>Kasasbeh, F.I., 2021. Impact of financing decisions ratios on firm accounting-based performance: evidence from Jordan listed companies. </w:t>
              </w:r>
              <w:r w:rsidRPr="00CB5C68">
                <w:rPr>
                  <w:rFonts w:ascii="Times New Roman" w:hAnsi="Times New Roman" w:cs="Times New Roman"/>
                  <w:i/>
                  <w:iCs/>
                  <w:lang w:val="en-US"/>
                </w:rPr>
                <w:t>Future Business Journal</w:t>
              </w:r>
              <w:r w:rsidRPr="00CB5C68">
                <w:rPr>
                  <w:rFonts w:ascii="Times New Roman" w:hAnsi="Times New Roman" w:cs="Times New Roman"/>
                  <w:lang w:val="en-US"/>
                </w:rPr>
                <w:t>, </w:t>
              </w:r>
              <w:r w:rsidRPr="00CB5C68">
                <w:rPr>
                  <w:rFonts w:ascii="Times New Roman" w:hAnsi="Times New Roman" w:cs="Times New Roman"/>
                  <w:i/>
                  <w:iCs/>
                  <w:lang w:val="en-US"/>
                </w:rPr>
                <w:t>7</w:t>
              </w:r>
              <w:r w:rsidRPr="00CB5C68">
                <w:rPr>
                  <w:rFonts w:ascii="Times New Roman" w:hAnsi="Times New Roman" w:cs="Times New Roman"/>
                  <w:lang w:val="en-US"/>
                </w:rPr>
                <w:t>(1), p.15.</w:t>
              </w:r>
            </w:p>
            <w:p w14:paraId="438AE564" w14:textId="77777777" w:rsidR="00A7472A" w:rsidRPr="00CB5C68" w:rsidRDefault="00A7472A" w:rsidP="00CB5C68">
              <w:pPr>
                <w:spacing w:line="360" w:lineRule="auto"/>
                <w:ind w:left="720" w:hanging="720"/>
                <w:jc w:val="both"/>
                <w:rPr>
                  <w:rFonts w:ascii="Times New Roman" w:hAnsi="Times New Roman" w:cs="Times New Roman"/>
                  <w:lang w:val="en-US"/>
                </w:rPr>
              </w:pPr>
              <w:r w:rsidRPr="00CB5C68">
                <w:rPr>
                  <w:rFonts w:ascii="Times New Roman" w:hAnsi="Times New Roman" w:cs="Times New Roman"/>
                  <w:lang w:val="en-US"/>
                </w:rPr>
                <w:lastRenderedPageBreak/>
                <w:t xml:space="preserve">Klassen, M., Wilson, G.A. and </w:t>
              </w:r>
              <w:proofErr w:type="spellStart"/>
              <w:r w:rsidRPr="00CB5C68">
                <w:rPr>
                  <w:rFonts w:ascii="Times New Roman" w:hAnsi="Times New Roman" w:cs="Times New Roman"/>
                  <w:lang w:val="en-US"/>
                </w:rPr>
                <w:t>Dobni</w:t>
              </w:r>
              <w:proofErr w:type="spellEnd"/>
              <w:r w:rsidRPr="00CB5C68">
                <w:rPr>
                  <w:rFonts w:ascii="Times New Roman" w:hAnsi="Times New Roman" w:cs="Times New Roman"/>
                  <w:lang w:val="en-US"/>
                </w:rPr>
                <w:t>, C.B., 2023. The long game of innovation and value creation. </w:t>
              </w:r>
              <w:r w:rsidRPr="00CB5C68">
                <w:rPr>
                  <w:rFonts w:ascii="Times New Roman" w:hAnsi="Times New Roman" w:cs="Times New Roman"/>
                  <w:i/>
                  <w:iCs/>
                  <w:lang w:val="en-US"/>
                </w:rPr>
                <w:t>Journal of Business Strategy</w:t>
              </w:r>
              <w:r w:rsidRPr="00CB5C68">
                <w:rPr>
                  <w:rFonts w:ascii="Times New Roman" w:hAnsi="Times New Roman" w:cs="Times New Roman"/>
                  <w:lang w:val="en-US"/>
                </w:rPr>
                <w:t>, </w:t>
              </w:r>
              <w:r w:rsidRPr="00CB5C68">
                <w:rPr>
                  <w:rFonts w:ascii="Times New Roman" w:hAnsi="Times New Roman" w:cs="Times New Roman"/>
                  <w:i/>
                  <w:iCs/>
                  <w:lang w:val="en-US"/>
                </w:rPr>
                <w:t>44</w:t>
              </w:r>
              <w:r w:rsidRPr="00CB5C68">
                <w:rPr>
                  <w:rFonts w:ascii="Times New Roman" w:hAnsi="Times New Roman" w:cs="Times New Roman"/>
                  <w:lang w:val="en-US"/>
                </w:rPr>
                <w:t>(4), pp.183-190.</w:t>
              </w:r>
            </w:p>
            <w:p w14:paraId="428F0A8A" w14:textId="77777777" w:rsidR="00A7472A" w:rsidRPr="00CB5C68" w:rsidRDefault="00A7472A" w:rsidP="00CB5C68">
              <w:pPr>
                <w:spacing w:line="360" w:lineRule="auto"/>
                <w:ind w:left="720" w:hanging="720"/>
                <w:jc w:val="both"/>
                <w:rPr>
                  <w:rFonts w:ascii="Times New Roman" w:hAnsi="Times New Roman" w:cs="Times New Roman"/>
                  <w:lang w:val="en-US"/>
                </w:rPr>
              </w:pPr>
              <w:r w:rsidRPr="00CB5C68">
                <w:rPr>
                  <w:rFonts w:ascii="Times New Roman" w:hAnsi="Times New Roman" w:cs="Times New Roman"/>
                  <w:lang w:val="en-US"/>
                </w:rPr>
                <w:t>Kumar, A.D., Boakye, M.M. and Celestin, M., 2021. The role of business mathematics in optimizing financial decision-making for SMEs in Ghana. </w:t>
              </w:r>
              <w:r w:rsidRPr="00CB5C68">
                <w:rPr>
                  <w:rFonts w:ascii="Times New Roman" w:hAnsi="Times New Roman" w:cs="Times New Roman"/>
                  <w:i/>
                  <w:iCs/>
                  <w:lang w:val="en-US"/>
                </w:rPr>
                <w:t>Indo American Journal of Multidisciplinary Research and Review</w:t>
              </w:r>
              <w:r w:rsidRPr="00CB5C68">
                <w:rPr>
                  <w:rFonts w:ascii="Times New Roman" w:hAnsi="Times New Roman" w:cs="Times New Roman"/>
                  <w:lang w:val="en-US"/>
                </w:rPr>
                <w:t>, </w:t>
              </w:r>
              <w:r w:rsidRPr="00CB5C68">
                <w:rPr>
                  <w:rFonts w:ascii="Times New Roman" w:hAnsi="Times New Roman" w:cs="Times New Roman"/>
                  <w:i/>
                  <w:iCs/>
                  <w:lang w:val="en-US"/>
                </w:rPr>
                <w:t>5</w:t>
              </w:r>
              <w:r w:rsidRPr="00CB5C68">
                <w:rPr>
                  <w:rFonts w:ascii="Times New Roman" w:hAnsi="Times New Roman" w:cs="Times New Roman"/>
                  <w:lang w:val="en-US"/>
                </w:rPr>
                <w:t>(2), pp.47-52.</w:t>
              </w:r>
            </w:p>
            <w:p w14:paraId="0494287A" w14:textId="77777777" w:rsidR="00A7472A" w:rsidRPr="00CB5C68" w:rsidRDefault="00A7472A" w:rsidP="00CB5C68">
              <w:pPr>
                <w:spacing w:line="360" w:lineRule="auto"/>
                <w:ind w:left="720" w:hanging="720"/>
                <w:jc w:val="both"/>
                <w:rPr>
                  <w:rFonts w:ascii="Times New Roman" w:hAnsi="Times New Roman" w:cs="Times New Roman"/>
                  <w:lang w:val="en-US"/>
                </w:rPr>
              </w:pPr>
              <w:r w:rsidRPr="00CB5C68">
                <w:rPr>
                  <w:rFonts w:ascii="Times New Roman" w:hAnsi="Times New Roman" w:cs="Times New Roman"/>
                  <w:lang w:val="en-US"/>
                </w:rPr>
                <w:t>Kuo, T.C., Chen, H.M. and Meng, H.M., 2021. Do corporate social responsibility practices improve financial performance? A case study of airline companies. </w:t>
              </w:r>
              <w:r w:rsidRPr="00CB5C68">
                <w:rPr>
                  <w:rFonts w:ascii="Times New Roman" w:hAnsi="Times New Roman" w:cs="Times New Roman"/>
                  <w:i/>
                  <w:iCs/>
                  <w:lang w:val="en-US"/>
                </w:rPr>
                <w:t>Journal of cleaner production</w:t>
              </w:r>
              <w:r w:rsidRPr="00CB5C68">
                <w:rPr>
                  <w:rFonts w:ascii="Times New Roman" w:hAnsi="Times New Roman" w:cs="Times New Roman"/>
                  <w:lang w:val="en-US"/>
                </w:rPr>
                <w:t>, </w:t>
              </w:r>
              <w:r w:rsidRPr="00CB5C68">
                <w:rPr>
                  <w:rFonts w:ascii="Times New Roman" w:hAnsi="Times New Roman" w:cs="Times New Roman"/>
                  <w:i/>
                  <w:iCs/>
                  <w:lang w:val="en-US"/>
                </w:rPr>
                <w:t>310</w:t>
              </w:r>
              <w:r w:rsidRPr="00CB5C68">
                <w:rPr>
                  <w:rFonts w:ascii="Times New Roman" w:hAnsi="Times New Roman" w:cs="Times New Roman"/>
                  <w:lang w:val="en-US"/>
                </w:rPr>
                <w:t>, p.127380.</w:t>
              </w:r>
            </w:p>
            <w:p w14:paraId="42E189B7" w14:textId="77777777" w:rsidR="00A7472A" w:rsidRPr="00CB5C68" w:rsidRDefault="00A7472A" w:rsidP="00CB5C68">
              <w:pPr>
                <w:spacing w:line="360" w:lineRule="auto"/>
                <w:ind w:left="720" w:hanging="720"/>
                <w:jc w:val="both"/>
                <w:rPr>
                  <w:rFonts w:ascii="Times New Roman" w:hAnsi="Times New Roman" w:cs="Times New Roman"/>
                  <w:lang w:val="en-US"/>
                </w:rPr>
              </w:pPr>
              <w:r w:rsidRPr="00CB5C68">
                <w:rPr>
                  <w:rFonts w:ascii="Times New Roman" w:hAnsi="Times New Roman" w:cs="Times New Roman"/>
                  <w:lang w:val="en-US"/>
                </w:rPr>
                <w:t xml:space="preserve">Kurznack, L., Schoenmaker, D. and </w:t>
              </w:r>
              <w:proofErr w:type="spellStart"/>
              <w:r w:rsidRPr="00CB5C68">
                <w:rPr>
                  <w:rFonts w:ascii="Times New Roman" w:hAnsi="Times New Roman" w:cs="Times New Roman"/>
                  <w:lang w:val="en-US"/>
                </w:rPr>
                <w:t>Schramade</w:t>
              </w:r>
              <w:proofErr w:type="spellEnd"/>
              <w:r w:rsidRPr="00CB5C68">
                <w:rPr>
                  <w:rFonts w:ascii="Times New Roman" w:hAnsi="Times New Roman" w:cs="Times New Roman"/>
                  <w:lang w:val="en-US"/>
                </w:rPr>
                <w:t>, W., 2021. A model of long-term value creation. </w:t>
              </w:r>
              <w:r w:rsidRPr="00CB5C68">
                <w:rPr>
                  <w:rFonts w:ascii="Times New Roman" w:hAnsi="Times New Roman" w:cs="Times New Roman"/>
                  <w:i/>
                  <w:iCs/>
                  <w:lang w:val="en-US"/>
                </w:rPr>
                <w:t>Journal of Sustainable Finance &amp; Investment</w:t>
              </w:r>
              <w:r w:rsidRPr="00CB5C68">
                <w:rPr>
                  <w:rFonts w:ascii="Times New Roman" w:hAnsi="Times New Roman" w:cs="Times New Roman"/>
                  <w:lang w:val="en-US"/>
                </w:rPr>
                <w:t>, pp.1-19.</w:t>
              </w:r>
            </w:p>
            <w:p w14:paraId="616D1090" w14:textId="77777777" w:rsidR="00A7472A" w:rsidRPr="00CB5C68" w:rsidRDefault="00A7472A" w:rsidP="00CB5C68">
              <w:pPr>
                <w:spacing w:line="360" w:lineRule="auto"/>
                <w:ind w:left="720" w:hanging="720"/>
                <w:jc w:val="both"/>
                <w:rPr>
                  <w:rFonts w:ascii="Times New Roman" w:hAnsi="Times New Roman" w:cs="Times New Roman"/>
                  <w:lang w:val="en-US"/>
                </w:rPr>
              </w:pPr>
              <w:r w:rsidRPr="00CB5C68">
                <w:rPr>
                  <w:rFonts w:ascii="Times New Roman" w:hAnsi="Times New Roman" w:cs="Times New Roman"/>
                  <w:lang w:val="en-US"/>
                </w:rPr>
                <w:t xml:space="preserve">Kusumawardani, A., </w:t>
              </w:r>
              <w:proofErr w:type="spellStart"/>
              <w:r w:rsidRPr="00CB5C68">
                <w:rPr>
                  <w:rFonts w:ascii="Times New Roman" w:hAnsi="Times New Roman" w:cs="Times New Roman"/>
                  <w:lang w:val="en-US"/>
                </w:rPr>
                <w:t>Haat</w:t>
              </w:r>
              <w:proofErr w:type="spellEnd"/>
              <w:r w:rsidRPr="00CB5C68">
                <w:rPr>
                  <w:rFonts w:ascii="Times New Roman" w:hAnsi="Times New Roman" w:cs="Times New Roman"/>
                  <w:lang w:val="en-US"/>
                </w:rPr>
                <w:t xml:space="preserve">, M.H.C., Saputra, J., </w:t>
              </w:r>
              <w:proofErr w:type="spellStart"/>
              <w:r w:rsidRPr="00CB5C68">
                <w:rPr>
                  <w:rFonts w:ascii="Times New Roman" w:hAnsi="Times New Roman" w:cs="Times New Roman"/>
                  <w:lang w:val="en-US"/>
                </w:rPr>
                <w:t>Yusliza</w:t>
              </w:r>
              <w:proofErr w:type="spellEnd"/>
              <w:r w:rsidRPr="00CB5C68">
                <w:rPr>
                  <w:rFonts w:ascii="Times New Roman" w:hAnsi="Times New Roman" w:cs="Times New Roman"/>
                  <w:lang w:val="en-US"/>
                </w:rPr>
                <w:t>, M.Y., Muhammad, Z. and Bon, A.T., 2021. A review of corporate financial performance literature: A mini-review approach. In </w:t>
              </w:r>
              <w:r w:rsidRPr="00CB5C68">
                <w:rPr>
                  <w:rFonts w:ascii="Times New Roman" w:hAnsi="Times New Roman" w:cs="Times New Roman"/>
                  <w:i/>
                  <w:iCs/>
                  <w:lang w:val="en-US"/>
                </w:rPr>
                <w:t>11th Annual International Conference on Industrial Engineering and Operations Management, Singapore, March</w:t>
              </w:r>
              <w:r w:rsidRPr="00CB5C68">
                <w:rPr>
                  <w:rFonts w:ascii="Times New Roman" w:hAnsi="Times New Roman" w:cs="Times New Roman"/>
                  <w:lang w:val="en-US"/>
                </w:rPr>
                <w:t> (pp. 7-11).</w:t>
              </w:r>
            </w:p>
            <w:p w14:paraId="30215169" w14:textId="77777777" w:rsidR="00A7472A" w:rsidRPr="00CB5C68" w:rsidRDefault="00A7472A" w:rsidP="00CB5C68">
              <w:pPr>
                <w:spacing w:line="360" w:lineRule="auto"/>
                <w:ind w:left="720" w:hanging="720"/>
                <w:jc w:val="both"/>
                <w:rPr>
                  <w:rFonts w:ascii="Times New Roman" w:hAnsi="Times New Roman" w:cs="Times New Roman"/>
                  <w:lang w:val="en-US"/>
                </w:rPr>
              </w:pPr>
              <w:r w:rsidRPr="00CB5C68">
                <w:rPr>
                  <w:rFonts w:ascii="Times New Roman" w:hAnsi="Times New Roman" w:cs="Times New Roman"/>
                  <w:lang w:val="en-US"/>
                </w:rPr>
                <w:t>Lam, W.H., Lam, W.S., Liew, K.F. and Lee, P.F., 2023. Decision analysis on the financial performance of companies using integrated entropy-fuzzy TOPSIS model. </w:t>
              </w:r>
              <w:r w:rsidRPr="00CB5C68">
                <w:rPr>
                  <w:rFonts w:ascii="Times New Roman" w:hAnsi="Times New Roman" w:cs="Times New Roman"/>
                  <w:i/>
                  <w:iCs/>
                  <w:lang w:val="en-US"/>
                </w:rPr>
                <w:t>Mathematics</w:t>
              </w:r>
              <w:r w:rsidRPr="00CB5C68">
                <w:rPr>
                  <w:rFonts w:ascii="Times New Roman" w:hAnsi="Times New Roman" w:cs="Times New Roman"/>
                  <w:lang w:val="en-US"/>
                </w:rPr>
                <w:t>, </w:t>
              </w:r>
              <w:r w:rsidRPr="00CB5C68">
                <w:rPr>
                  <w:rFonts w:ascii="Times New Roman" w:hAnsi="Times New Roman" w:cs="Times New Roman"/>
                  <w:i/>
                  <w:iCs/>
                  <w:lang w:val="en-US"/>
                </w:rPr>
                <w:t>11</w:t>
              </w:r>
              <w:r w:rsidRPr="00CB5C68">
                <w:rPr>
                  <w:rFonts w:ascii="Times New Roman" w:hAnsi="Times New Roman" w:cs="Times New Roman"/>
                  <w:lang w:val="en-US"/>
                </w:rPr>
                <w:t>(2), p.397.</w:t>
              </w:r>
            </w:p>
            <w:p w14:paraId="093CEE9B" w14:textId="77777777" w:rsidR="00A7472A" w:rsidRPr="00CB5C68" w:rsidRDefault="00A7472A" w:rsidP="00CB5C68">
              <w:pPr>
                <w:spacing w:line="360" w:lineRule="auto"/>
                <w:ind w:left="720" w:hanging="720"/>
                <w:jc w:val="both"/>
                <w:rPr>
                  <w:rFonts w:ascii="Times New Roman" w:hAnsi="Times New Roman" w:cs="Times New Roman"/>
                  <w:lang w:val="en-US"/>
                </w:rPr>
              </w:pPr>
              <w:r w:rsidRPr="00CB5C68">
                <w:rPr>
                  <w:rFonts w:ascii="Times New Roman" w:hAnsi="Times New Roman" w:cs="Times New Roman"/>
                  <w:lang w:val="en-US"/>
                </w:rPr>
                <w:t xml:space="preserve">Le, L.K.D., </w:t>
              </w:r>
              <w:proofErr w:type="spellStart"/>
              <w:r w:rsidRPr="00CB5C68">
                <w:rPr>
                  <w:rFonts w:ascii="Times New Roman" w:hAnsi="Times New Roman" w:cs="Times New Roman"/>
                  <w:lang w:val="en-US"/>
                </w:rPr>
                <w:t>Esturas</w:t>
              </w:r>
              <w:proofErr w:type="spellEnd"/>
              <w:r w:rsidRPr="00CB5C68">
                <w:rPr>
                  <w:rFonts w:ascii="Times New Roman" w:hAnsi="Times New Roman" w:cs="Times New Roman"/>
                  <w:lang w:val="en-US"/>
                </w:rPr>
                <w:t xml:space="preserve">, A.C., Mihalopoulos, C., </w:t>
              </w:r>
              <w:proofErr w:type="spellStart"/>
              <w:r w:rsidRPr="00CB5C68">
                <w:rPr>
                  <w:rFonts w:ascii="Times New Roman" w:hAnsi="Times New Roman" w:cs="Times New Roman"/>
                  <w:lang w:val="en-US"/>
                </w:rPr>
                <w:t>Chiotelis</w:t>
              </w:r>
              <w:proofErr w:type="spellEnd"/>
              <w:r w:rsidRPr="00CB5C68">
                <w:rPr>
                  <w:rFonts w:ascii="Times New Roman" w:hAnsi="Times New Roman" w:cs="Times New Roman"/>
                  <w:lang w:val="en-US"/>
                </w:rPr>
                <w:t xml:space="preserve">, O., </w:t>
              </w:r>
              <w:proofErr w:type="spellStart"/>
              <w:r w:rsidRPr="00CB5C68">
                <w:rPr>
                  <w:rFonts w:ascii="Times New Roman" w:hAnsi="Times New Roman" w:cs="Times New Roman"/>
                  <w:lang w:val="en-US"/>
                </w:rPr>
                <w:t>Bucholc</w:t>
              </w:r>
              <w:proofErr w:type="spellEnd"/>
              <w:r w:rsidRPr="00CB5C68">
                <w:rPr>
                  <w:rFonts w:ascii="Times New Roman" w:hAnsi="Times New Roman" w:cs="Times New Roman"/>
                  <w:lang w:val="en-US"/>
                </w:rPr>
                <w:t>, J., Chatterton, M.L. and Engel, L., 2021. Cost-effectiveness evidence of mental health prevention and promotion interventions: A systematic review of economic evaluations. </w:t>
              </w:r>
              <w:proofErr w:type="spellStart"/>
              <w:r w:rsidRPr="00CB5C68">
                <w:rPr>
                  <w:rFonts w:ascii="Times New Roman" w:hAnsi="Times New Roman" w:cs="Times New Roman"/>
                  <w:i/>
                  <w:iCs/>
                  <w:lang w:val="en-US"/>
                </w:rPr>
                <w:t>PLoS</w:t>
              </w:r>
              <w:proofErr w:type="spellEnd"/>
              <w:r w:rsidRPr="00CB5C68">
                <w:rPr>
                  <w:rFonts w:ascii="Times New Roman" w:hAnsi="Times New Roman" w:cs="Times New Roman"/>
                  <w:i/>
                  <w:iCs/>
                  <w:lang w:val="en-US"/>
                </w:rPr>
                <w:t xml:space="preserve"> medicine</w:t>
              </w:r>
              <w:r w:rsidRPr="00CB5C68">
                <w:rPr>
                  <w:rFonts w:ascii="Times New Roman" w:hAnsi="Times New Roman" w:cs="Times New Roman"/>
                  <w:lang w:val="en-US"/>
                </w:rPr>
                <w:t>, </w:t>
              </w:r>
              <w:r w:rsidRPr="00CB5C68">
                <w:rPr>
                  <w:rFonts w:ascii="Times New Roman" w:hAnsi="Times New Roman" w:cs="Times New Roman"/>
                  <w:i/>
                  <w:iCs/>
                  <w:lang w:val="en-US"/>
                </w:rPr>
                <w:t>18</w:t>
              </w:r>
              <w:r w:rsidRPr="00CB5C68">
                <w:rPr>
                  <w:rFonts w:ascii="Times New Roman" w:hAnsi="Times New Roman" w:cs="Times New Roman"/>
                  <w:lang w:val="en-US"/>
                </w:rPr>
                <w:t>(5), p.e1003606.</w:t>
              </w:r>
            </w:p>
            <w:p w14:paraId="019A7266" w14:textId="77777777" w:rsidR="00A7472A" w:rsidRPr="00CB5C68" w:rsidRDefault="00A7472A" w:rsidP="00CB5C68">
              <w:pPr>
                <w:spacing w:line="360" w:lineRule="auto"/>
                <w:ind w:left="720" w:hanging="720"/>
                <w:jc w:val="both"/>
                <w:rPr>
                  <w:rFonts w:ascii="Times New Roman" w:hAnsi="Times New Roman" w:cs="Times New Roman"/>
                  <w:lang w:val="en-US"/>
                </w:rPr>
              </w:pPr>
              <w:r w:rsidRPr="00CB5C68">
                <w:rPr>
                  <w:rFonts w:ascii="Times New Roman" w:hAnsi="Times New Roman" w:cs="Times New Roman"/>
                  <w:lang w:val="en-US"/>
                </w:rPr>
                <w:t xml:space="preserve">Odonkor, B., Kaggwa, S., </w:t>
              </w:r>
              <w:proofErr w:type="spellStart"/>
              <w:r w:rsidRPr="00CB5C68">
                <w:rPr>
                  <w:rFonts w:ascii="Times New Roman" w:hAnsi="Times New Roman" w:cs="Times New Roman"/>
                  <w:lang w:val="en-US"/>
                </w:rPr>
                <w:t>Uwaoma</w:t>
              </w:r>
              <w:proofErr w:type="spellEnd"/>
              <w:r w:rsidRPr="00CB5C68">
                <w:rPr>
                  <w:rFonts w:ascii="Times New Roman" w:hAnsi="Times New Roman" w:cs="Times New Roman"/>
                  <w:lang w:val="en-US"/>
                </w:rPr>
                <w:t xml:space="preserve">, P.U., Hassan, A.O. and </w:t>
              </w:r>
              <w:proofErr w:type="spellStart"/>
              <w:r w:rsidRPr="00CB5C68">
                <w:rPr>
                  <w:rFonts w:ascii="Times New Roman" w:hAnsi="Times New Roman" w:cs="Times New Roman"/>
                  <w:lang w:val="en-US"/>
                </w:rPr>
                <w:t>Farayola</w:t>
              </w:r>
              <w:proofErr w:type="spellEnd"/>
              <w:r w:rsidRPr="00CB5C68">
                <w:rPr>
                  <w:rFonts w:ascii="Times New Roman" w:hAnsi="Times New Roman" w:cs="Times New Roman"/>
                  <w:lang w:val="en-US"/>
                </w:rPr>
                <w:t>, O.A., 2024. The impact of AI on accounting practices: A review: Exploring how artificial intelligence is transforming traditional accounting methods and financial reporting. </w:t>
              </w:r>
              <w:r w:rsidRPr="00CB5C68">
                <w:rPr>
                  <w:rFonts w:ascii="Times New Roman" w:hAnsi="Times New Roman" w:cs="Times New Roman"/>
                  <w:i/>
                  <w:iCs/>
                  <w:lang w:val="en-US"/>
                </w:rPr>
                <w:t>World Journal of Advanced Research and Reviews</w:t>
              </w:r>
              <w:r w:rsidRPr="00CB5C68">
                <w:rPr>
                  <w:rFonts w:ascii="Times New Roman" w:hAnsi="Times New Roman" w:cs="Times New Roman"/>
                  <w:lang w:val="en-US"/>
                </w:rPr>
                <w:t>, </w:t>
              </w:r>
              <w:r w:rsidRPr="00CB5C68">
                <w:rPr>
                  <w:rFonts w:ascii="Times New Roman" w:hAnsi="Times New Roman" w:cs="Times New Roman"/>
                  <w:i/>
                  <w:iCs/>
                  <w:lang w:val="en-US"/>
                </w:rPr>
                <w:t>21</w:t>
              </w:r>
              <w:r w:rsidRPr="00CB5C68">
                <w:rPr>
                  <w:rFonts w:ascii="Times New Roman" w:hAnsi="Times New Roman" w:cs="Times New Roman"/>
                  <w:lang w:val="en-US"/>
                </w:rPr>
                <w:t>(1), pp.172-188.</w:t>
              </w:r>
            </w:p>
            <w:p w14:paraId="1D236E7A" w14:textId="77777777" w:rsidR="00A7472A" w:rsidRPr="00CB5C68" w:rsidRDefault="00A7472A" w:rsidP="00CB5C68">
              <w:pPr>
                <w:spacing w:line="360" w:lineRule="auto"/>
                <w:ind w:left="720" w:hanging="720"/>
                <w:jc w:val="both"/>
                <w:rPr>
                  <w:rFonts w:ascii="Times New Roman" w:hAnsi="Times New Roman" w:cs="Times New Roman"/>
                  <w:lang w:val="en-US"/>
                </w:rPr>
              </w:pPr>
              <w:r w:rsidRPr="00CB5C68">
                <w:rPr>
                  <w:rFonts w:ascii="Times New Roman" w:hAnsi="Times New Roman" w:cs="Times New Roman"/>
                  <w:lang w:val="en-US"/>
                </w:rPr>
                <w:t>Olayinka, A.A., 2022. Financial statement analysis as a tool for investment decisions and assessment of companies’ performance. </w:t>
              </w:r>
              <w:r w:rsidRPr="00CB5C68">
                <w:rPr>
                  <w:rFonts w:ascii="Times New Roman" w:hAnsi="Times New Roman" w:cs="Times New Roman"/>
                  <w:i/>
                  <w:iCs/>
                  <w:lang w:val="en-US"/>
                </w:rPr>
                <w:t>International Journal of Financial, Accounting, and Management</w:t>
              </w:r>
              <w:r w:rsidRPr="00CB5C68">
                <w:rPr>
                  <w:rFonts w:ascii="Times New Roman" w:hAnsi="Times New Roman" w:cs="Times New Roman"/>
                  <w:lang w:val="en-US"/>
                </w:rPr>
                <w:t>, </w:t>
              </w:r>
              <w:r w:rsidRPr="00CB5C68">
                <w:rPr>
                  <w:rFonts w:ascii="Times New Roman" w:hAnsi="Times New Roman" w:cs="Times New Roman"/>
                  <w:i/>
                  <w:iCs/>
                  <w:lang w:val="en-US"/>
                </w:rPr>
                <w:t>4</w:t>
              </w:r>
              <w:r w:rsidRPr="00CB5C68">
                <w:rPr>
                  <w:rFonts w:ascii="Times New Roman" w:hAnsi="Times New Roman" w:cs="Times New Roman"/>
                  <w:lang w:val="en-US"/>
                </w:rPr>
                <w:t>(1), pp.49-66.</w:t>
              </w:r>
            </w:p>
            <w:p w14:paraId="7351F35E" w14:textId="77777777" w:rsidR="00A7472A" w:rsidRPr="00CB5C68" w:rsidRDefault="00A7472A" w:rsidP="00CB5C68">
              <w:pPr>
                <w:spacing w:line="360" w:lineRule="auto"/>
                <w:ind w:left="720" w:hanging="720"/>
                <w:jc w:val="both"/>
                <w:rPr>
                  <w:rFonts w:ascii="Times New Roman" w:hAnsi="Times New Roman" w:cs="Times New Roman"/>
                  <w:lang w:val="en-US"/>
                </w:rPr>
              </w:pPr>
              <w:r w:rsidRPr="00CB5C68">
                <w:rPr>
                  <w:rFonts w:ascii="Times New Roman" w:hAnsi="Times New Roman" w:cs="Times New Roman"/>
                  <w:lang w:val="en-US"/>
                </w:rPr>
                <w:lastRenderedPageBreak/>
                <w:t xml:space="preserve">Osmundsen, P., Lovas, K. and </w:t>
              </w:r>
              <w:proofErr w:type="spellStart"/>
              <w:r w:rsidRPr="00CB5C68">
                <w:rPr>
                  <w:rFonts w:ascii="Times New Roman" w:hAnsi="Times New Roman" w:cs="Times New Roman"/>
                  <w:lang w:val="en-US"/>
                </w:rPr>
                <w:t>Emhjellen</w:t>
              </w:r>
              <w:proofErr w:type="spellEnd"/>
              <w:r w:rsidRPr="00CB5C68">
                <w:rPr>
                  <w:rFonts w:ascii="Times New Roman" w:hAnsi="Times New Roman" w:cs="Times New Roman"/>
                  <w:lang w:val="en-US"/>
                </w:rPr>
                <w:t>, M., 2022. Investment allocation with capital constraints. Comparison of fiscal regimes. </w:t>
              </w:r>
              <w:r w:rsidRPr="00CB5C68">
                <w:rPr>
                  <w:rFonts w:ascii="Times New Roman" w:hAnsi="Times New Roman" w:cs="Times New Roman"/>
                  <w:i/>
                  <w:iCs/>
                  <w:lang w:val="en-US"/>
                </w:rPr>
                <w:t>The Energy Journal</w:t>
              </w:r>
              <w:r w:rsidRPr="00CB5C68">
                <w:rPr>
                  <w:rFonts w:ascii="Times New Roman" w:hAnsi="Times New Roman" w:cs="Times New Roman"/>
                  <w:lang w:val="en-US"/>
                </w:rPr>
                <w:t>, </w:t>
              </w:r>
              <w:r w:rsidRPr="00CB5C68">
                <w:rPr>
                  <w:rFonts w:ascii="Times New Roman" w:hAnsi="Times New Roman" w:cs="Times New Roman"/>
                  <w:i/>
                  <w:iCs/>
                  <w:lang w:val="en-US"/>
                </w:rPr>
                <w:t>43</w:t>
              </w:r>
              <w:r w:rsidRPr="00CB5C68">
                <w:rPr>
                  <w:rFonts w:ascii="Times New Roman" w:hAnsi="Times New Roman" w:cs="Times New Roman"/>
                  <w:lang w:val="en-US"/>
                </w:rPr>
                <w:t>(1), pp.263-284.</w:t>
              </w:r>
            </w:p>
            <w:p w14:paraId="29F25992" w14:textId="77777777" w:rsidR="00A7472A" w:rsidRPr="00CB5C68" w:rsidRDefault="00A7472A" w:rsidP="00CB5C68">
              <w:pPr>
                <w:spacing w:line="360" w:lineRule="auto"/>
                <w:ind w:left="720" w:hanging="720"/>
                <w:jc w:val="both"/>
                <w:rPr>
                  <w:rFonts w:ascii="Times New Roman" w:hAnsi="Times New Roman" w:cs="Times New Roman"/>
                  <w:lang w:val="en-US"/>
                </w:rPr>
              </w:pPr>
              <w:r w:rsidRPr="00CB5C68">
                <w:rPr>
                  <w:rFonts w:ascii="Times New Roman" w:hAnsi="Times New Roman" w:cs="Times New Roman"/>
                  <w:lang w:val="en-US"/>
                </w:rPr>
                <w:t>Pot, W.D., 2021. The governance challenge of implementing long-term sustainability objectives with present-day investment decisions. </w:t>
              </w:r>
              <w:r w:rsidRPr="00CB5C68">
                <w:rPr>
                  <w:rFonts w:ascii="Times New Roman" w:hAnsi="Times New Roman" w:cs="Times New Roman"/>
                  <w:i/>
                  <w:iCs/>
                  <w:lang w:val="en-US"/>
                </w:rPr>
                <w:t>Journal of cleaner production</w:t>
              </w:r>
              <w:r w:rsidRPr="00CB5C68">
                <w:rPr>
                  <w:rFonts w:ascii="Times New Roman" w:hAnsi="Times New Roman" w:cs="Times New Roman"/>
                  <w:lang w:val="en-US"/>
                </w:rPr>
                <w:t>, </w:t>
              </w:r>
              <w:r w:rsidRPr="00CB5C68">
                <w:rPr>
                  <w:rFonts w:ascii="Times New Roman" w:hAnsi="Times New Roman" w:cs="Times New Roman"/>
                  <w:i/>
                  <w:iCs/>
                  <w:lang w:val="en-US"/>
                </w:rPr>
                <w:t>280</w:t>
              </w:r>
              <w:r w:rsidRPr="00CB5C68">
                <w:rPr>
                  <w:rFonts w:ascii="Times New Roman" w:hAnsi="Times New Roman" w:cs="Times New Roman"/>
                  <w:lang w:val="en-US"/>
                </w:rPr>
                <w:t>, p.124475.</w:t>
              </w:r>
            </w:p>
            <w:p w14:paraId="5162EE02" w14:textId="77777777" w:rsidR="00A7472A" w:rsidRPr="00CB5C68" w:rsidRDefault="00A7472A" w:rsidP="00CB5C68">
              <w:pPr>
                <w:spacing w:line="360" w:lineRule="auto"/>
                <w:ind w:left="720" w:hanging="720"/>
                <w:jc w:val="both"/>
                <w:rPr>
                  <w:rFonts w:ascii="Times New Roman" w:hAnsi="Times New Roman" w:cs="Times New Roman"/>
                  <w:lang w:val="en-US"/>
                </w:rPr>
              </w:pPr>
              <w:r w:rsidRPr="00CB5C68">
                <w:rPr>
                  <w:rFonts w:ascii="Times New Roman" w:hAnsi="Times New Roman" w:cs="Times New Roman"/>
                  <w:lang w:val="en-US"/>
                </w:rPr>
                <w:t>Rahko, V., 2024. Capital budgeting methods: a case study on Finnish golf courses.</w:t>
              </w:r>
            </w:p>
            <w:p w14:paraId="5B51B6DD" w14:textId="77777777" w:rsidR="00A7472A" w:rsidRPr="00CB5C68" w:rsidRDefault="00A7472A" w:rsidP="00CB5C68">
              <w:pPr>
                <w:spacing w:line="360" w:lineRule="auto"/>
                <w:ind w:left="720" w:hanging="720"/>
                <w:jc w:val="both"/>
                <w:rPr>
                  <w:rFonts w:ascii="Times New Roman" w:hAnsi="Times New Roman" w:cs="Times New Roman"/>
                  <w:lang w:val="en-US"/>
                </w:rPr>
              </w:pPr>
              <w:r w:rsidRPr="00CB5C68">
                <w:rPr>
                  <w:rFonts w:ascii="Times New Roman" w:hAnsi="Times New Roman" w:cs="Times New Roman"/>
                  <w:lang w:val="en-US"/>
                </w:rPr>
                <w:t>Rashid, C.A., 2021. The efficiency of financial ratios analysis to evaluate company’s profitability. </w:t>
              </w:r>
              <w:r w:rsidRPr="00CB5C68">
                <w:rPr>
                  <w:rFonts w:ascii="Times New Roman" w:hAnsi="Times New Roman" w:cs="Times New Roman"/>
                  <w:i/>
                  <w:iCs/>
                  <w:lang w:val="en-US"/>
                </w:rPr>
                <w:t>Journal of Global Economics and Business</w:t>
              </w:r>
              <w:r w:rsidRPr="00CB5C68">
                <w:rPr>
                  <w:rFonts w:ascii="Times New Roman" w:hAnsi="Times New Roman" w:cs="Times New Roman"/>
                  <w:lang w:val="en-US"/>
                </w:rPr>
                <w:t>, </w:t>
              </w:r>
              <w:r w:rsidRPr="00CB5C68">
                <w:rPr>
                  <w:rFonts w:ascii="Times New Roman" w:hAnsi="Times New Roman" w:cs="Times New Roman"/>
                  <w:i/>
                  <w:iCs/>
                  <w:lang w:val="en-US"/>
                </w:rPr>
                <w:t>2</w:t>
              </w:r>
              <w:r w:rsidRPr="00CB5C68">
                <w:rPr>
                  <w:rFonts w:ascii="Times New Roman" w:hAnsi="Times New Roman" w:cs="Times New Roman"/>
                  <w:lang w:val="en-US"/>
                </w:rPr>
                <w:t>(4), pp.119-132.</w:t>
              </w:r>
            </w:p>
            <w:p w14:paraId="68E12AF4" w14:textId="77777777" w:rsidR="00A7472A" w:rsidRPr="00CB5C68" w:rsidRDefault="00A7472A" w:rsidP="00CB5C68">
              <w:pPr>
                <w:spacing w:line="360" w:lineRule="auto"/>
                <w:ind w:left="720" w:hanging="720"/>
                <w:jc w:val="both"/>
                <w:rPr>
                  <w:rFonts w:ascii="Times New Roman" w:hAnsi="Times New Roman" w:cs="Times New Roman"/>
                  <w:lang w:val="en-US"/>
                </w:rPr>
              </w:pPr>
              <w:r w:rsidRPr="00CB5C68">
                <w:rPr>
                  <w:rFonts w:ascii="Times New Roman" w:hAnsi="Times New Roman" w:cs="Times New Roman"/>
                  <w:lang w:val="en-US"/>
                </w:rPr>
                <w:t>Schroeder, R.G., Clark, M.W. and Cathey, J.M., 2022. </w:t>
              </w:r>
              <w:r w:rsidRPr="00CB5C68">
                <w:rPr>
                  <w:rFonts w:ascii="Times New Roman" w:hAnsi="Times New Roman" w:cs="Times New Roman"/>
                  <w:i/>
                  <w:iCs/>
                  <w:lang w:val="en-US"/>
                </w:rPr>
                <w:t>Financial accounting theory and analysis: text and cases</w:t>
              </w:r>
              <w:r w:rsidRPr="00CB5C68">
                <w:rPr>
                  <w:rFonts w:ascii="Times New Roman" w:hAnsi="Times New Roman" w:cs="Times New Roman"/>
                  <w:lang w:val="en-US"/>
                </w:rPr>
                <w:t>. John Wiley &amp; Sons.</w:t>
              </w:r>
            </w:p>
            <w:p w14:paraId="2139B759" w14:textId="77777777" w:rsidR="00A7472A" w:rsidRPr="00CB5C68" w:rsidRDefault="00A7472A" w:rsidP="00CB5C68">
              <w:pPr>
                <w:spacing w:line="360" w:lineRule="auto"/>
                <w:ind w:left="720" w:hanging="720"/>
                <w:jc w:val="both"/>
                <w:rPr>
                  <w:rFonts w:ascii="Times New Roman" w:hAnsi="Times New Roman" w:cs="Times New Roman"/>
                  <w:lang w:val="en-US"/>
                </w:rPr>
              </w:pPr>
              <w:r w:rsidRPr="00CB5C68">
                <w:rPr>
                  <w:rFonts w:ascii="Times New Roman" w:hAnsi="Times New Roman" w:cs="Times New Roman"/>
                  <w:lang w:val="en-US"/>
                </w:rPr>
                <w:t>Shahriar, M.S., Hasan, K.B.M.R., Hossain, T., Beg, T.H., Islam, K.A. and Zayed, N.M., 2021. Financial decision making and forecasting techniques on project evaluation: a planning, development and entrepreneurial perspective. </w:t>
              </w:r>
              <w:r w:rsidRPr="00CB5C68">
                <w:rPr>
                  <w:rFonts w:ascii="Times New Roman" w:hAnsi="Times New Roman" w:cs="Times New Roman"/>
                  <w:i/>
                  <w:iCs/>
                  <w:lang w:val="en-US"/>
                </w:rPr>
                <w:t>Academy of Entrepreneurship Journal</w:t>
              </w:r>
              <w:r w:rsidRPr="00CB5C68">
                <w:rPr>
                  <w:rFonts w:ascii="Times New Roman" w:hAnsi="Times New Roman" w:cs="Times New Roman"/>
                  <w:lang w:val="en-US"/>
                </w:rPr>
                <w:t>, </w:t>
              </w:r>
              <w:r w:rsidRPr="00CB5C68">
                <w:rPr>
                  <w:rFonts w:ascii="Times New Roman" w:hAnsi="Times New Roman" w:cs="Times New Roman"/>
                  <w:i/>
                  <w:iCs/>
                  <w:lang w:val="en-US"/>
                </w:rPr>
                <w:t>27</w:t>
              </w:r>
              <w:r w:rsidRPr="00CB5C68">
                <w:rPr>
                  <w:rFonts w:ascii="Times New Roman" w:hAnsi="Times New Roman" w:cs="Times New Roman"/>
                  <w:lang w:val="en-US"/>
                </w:rPr>
                <w:t>(4), pp.1-7.</w:t>
              </w:r>
            </w:p>
            <w:p w14:paraId="3E3B899B" w14:textId="77777777" w:rsidR="00A7472A" w:rsidRPr="00CB5C68" w:rsidRDefault="00A7472A" w:rsidP="00CB5C68">
              <w:pPr>
                <w:spacing w:line="360" w:lineRule="auto"/>
                <w:ind w:left="720" w:hanging="720"/>
                <w:jc w:val="both"/>
                <w:rPr>
                  <w:rFonts w:ascii="Times New Roman" w:hAnsi="Times New Roman" w:cs="Times New Roman"/>
                  <w:lang w:val="en-US"/>
                </w:rPr>
              </w:pPr>
              <w:r w:rsidRPr="00CB5C68">
                <w:rPr>
                  <w:rFonts w:ascii="Times New Roman" w:hAnsi="Times New Roman" w:cs="Times New Roman"/>
                  <w:lang w:val="en-US"/>
                </w:rPr>
                <w:t xml:space="preserve">Shao, C., Yang, Y., Juneja, S. and </w:t>
              </w:r>
              <w:proofErr w:type="spellStart"/>
              <w:r w:rsidRPr="00CB5C68">
                <w:rPr>
                  <w:rFonts w:ascii="Times New Roman" w:hAnsi="Times New Roman" w:cs="Times New Roman"/>
                  <w:lang w:val="en-US"/>
                </w:rPr>
                <w:t>GSeetharam</w:t>
              </w:r>
              <w:proofErr w:type="spellEnd"/>
              <w:r w:rsidRPr="00CB5C68">
                <w:rPr>
                  <w:rFonts w:ascii="Times New Roman" w:hAnsi="Times New Roman" w:cs="Times New Roman"/>
                  <w:lang w:val="en-US"/>
                </w:rPr>
                <w:t>, T., 2022. IoT data visualization for business intelligence in corporate finance. </w:t>
              </w:r>
              <w:r w:rsidRPr="00CB5C68">
                <w:rPr>
                  <w:rFonts w:ascii="Times New Roman" w:hAnsi="Times New Roman" w:cs="Times New Roman"/>
                  <w:i/>
                  <w:iCs/>
                  <w:lang w:val="en-US"/>
                </w:rPr>
                <w:t>Information Processing &amp; Management</w:t>
              </w:r>
              <w:r w:rsidRPr="00CB5C68">
                <w:rPr>
                  <w:rFonts w:ascii="Times New Roman" w:hAnsi="Times New Roman" w:cs="Times New Roman"/>
                  <w:lang w:val="en-US"/>
                </w:rPr>
                <w:t>, </w:t>
              </w:r>
              <w:r w:rsidRPr="00CB5C68">
                <w:rPr>
                  <w:rFonts w:ascii="Times New Roman" w:hAnsi="Times New Roman" w:cs="Times New Roman"/>
                  <w:i/>
                  <w:iCs/>
                  <w:lang w:val="en-US"/>
                </w:rPr>
                <w:t>59</w:t>
              </w:r>
              <w:r w:rsidRPr="00CB5C68">
                <w:rPr>
                  <w:rFonts w:ascii="Times New Roman" w:hAnsi="Times New Roman" w:cs="Times New Roman"/>
                  <w:lang w:val="en-US"/>
                </w:rPr>
                <w:t>(1), p.102736.</w:t>
              </w:r>
            </w:p>
            <w:p w14:paraId="0D1AC299" w14:textId="77777777" w:rsidR="00A7472A" w:rsidRPr="00CB5C68" w:rsidRDefault="00A7472A" w:rsidP="00CB5C68">
              <w:pPr>
                <w:spacing w:line="360" w:lineRule="auto"/>
                <w:ind w:left="720" w:hanging="720"/>
                <w:jc w:val="both"/>
                <w:rPr>
                  <w:rFonts w:ascii="Times New Roman" w:hAnsi="Times New Roman" w:cs="Times New Roman"/>
                  <w:lang w:val="en-US"/>
                </w:rPr>
              </w:pPr>
              <w:r w:rsidRPr="00CB5C68">
                <w:rPr>
                  <w:rFonts w:ascii="Times New Roman" w:hAnsi="Times New Roman" w:cs="Times New Roman"/>
                  <w:lang w:val="en-US"/>
                </w:rPr>
                <w:t>Shaturaev, J., 2022. Efficiency of investment project evaluation in the development of innovative industrial activities. </w:t>
              </w:r>
              <w:r w:rsidRPr="00CB5C68">
                <w:rPr>
                  <w:rFonts w:ascii="Times New Roman" w:hAnsi="Times New Roman" w:cs="Times New Roman"/>
                  <w:i/>
                  <w:iCs/>
                  <w:lang w:val="en-US"/>
                </w:rPr>
                <w:t>ASEAN Journal of Science and Engineering</w:t>
              </w:r>
              <w:r w:rsidRPr="00CB5C68">
                <w:rPr>
                  <w:rFonts w:ascii="Times New Roman" w:hAnsi="Times New Roman" w:cs="Times New Roman"/>
                  <w:lang w:val="en-US"/>
                </w:rPr>
                <w:t>, </w:t>
              </w:r>
              <w:r w:rsidRPr="00CB5C68">
                <w:rPr>
                  <w:rFonts w:ascii="Times New Roman" w:hAnsi="Times New Roman" w:cs="Times New Roman"/>
                  <w:i/>
                  <w:iCs/>
                  <w:lang w:val="en-US"/>
                </w:rPr>
                <w:t>3</w:t>
              </w:r>
              <w:r w:rsidRPr="00CB5C68">
                <w:rPr>
                  <w:rFonts w:ascii="Times New Roman" w:hAnsi="Times New Roman" w:cs="Times New Roman"/>
                  <w:lang w:val="en-US"/>
                </w:rPr>
                <w:t>(2), pp.147-162.</w:t>
              </w:r>
            </w:p>
            <w:p w14:paraId="56A81F67" w14:textId="77777777" w:rsidR="00A7472A" w:rsidRPr="00CB5C68" w:rsidRDefault="00A7472A" w:rsidP="00CB5C68">
              <w:pPr>
                <w:spacing w:line="360" w:lineRule="auto"/>
                <w:ind w:left="720" w:hanging="720"/>
                <w:jc w:val="both"/>
                <w:rPr>
                  <w:rFonts w:ascii="Times New Roman" w:hAnsi="Times New Roman" w:cs="Times New Roman"/>
                  <w:lang w:val="en-US"/>
                </w:rPr>
              </w:pPr>
              <w:r w:rsidRPr="00CB5C68">
                <w:rPr>
                  <w:rFonts w:ascii="Times New Roman" w:hAnsi="Times New Roman" w:cs="Times New Roman"/>
                  <w:lang w:val="en-US"/>
                </w:rPr>
                <w:t>Shou, T., 2022, July. A literature review on the net present value (NPV) valuation method. In </w:t>
              </w:r>
              <w:r w:rsidRPr="00CB5C68">
                <w:rPr>
                  <w:rFonts w:ascii="Times New Roman" w:hAnsi="Times New Roman" w:cs="Times New Roman"/>
                  <w:i/>
                  <w:iCs/>
                  <w:lang w:val="en-US"/>
                </w:rPr>
                <w:t>2022 2nd International Conference on Enterprise Management and Economic Development (ICEMED 2022)</w:t>
              </w:r>
              <w:r w:rsidRPr="00CB5C68">
                <w:rPr>
                  <w:rFonts w:ascii="Times New Roman" w:hAnsi="Times New Roman" w:cs="Times New Roman"/>
                  <w:lang w:val="en-US"/>
                </w:rPr>
                <w:t> (pp. 826-830). Atlantis Press.</w:t>
              </w:r>
            </w:p>
            <w:p w14:paraId="0AC998A0" w14:textId="77777777" w:rsidR="00A7472A" w:rsidRPr="00CB5C68" w:rsidRDefault="00A7472A" w:rsidP="00CB5C68">
              <w:pPr>
                <w:spacing w:line="360" w:lineRule="auto"/>
                <w:ind w:left="720" w:hanging="720"/>
                <w:jc w:val="both"/>
                <w:rPr>
                  <w:rFonts w:ascii="Times New Roman" w:hAnsi="Times New Roman" w:cs="Times New Roman"/>
                  <w:lang w:val="en-US"/>
                </w:rPr>
              </w:pPr>
              <w:r w:rsidRPr="00CB5C68">
                <w:rPr>
                  <w:rFonts w:ascii="Times New Roman" w:hAnsi="Times New Roman" w:cs="Times New Roman"/>
                  <w:lang w:val="en-US"/>
                </w:rPr>
                <w:t xml:space="preserve">Sinaga, A.S., Sari, M.M., </w:t>
              </w:r>
              <w:proofErr w:type="spellStart"/>
              <w:r w:rsidRPr="00CB5C68">
                <w:rPr>
                  <w:rFonts w:ascii="Times New Roman" w:hAnsi="Times New Roman" w:cs="Times New Roman"/>
                  <w:lang w:val="en-US"/>
                </w:rPr>
                <w:t>Hutasuhut</w:t>
              </w:r>
              <w:proofErr w:type="spellEnd"/>
              <w:r w:rsidRPr="00CB5C68">
                <w:rPr>
                  <w:rFonts w:ascii="Times New Roman" w:hAnsi="Times New Roman" w:cs="Times New Roman"/>
                  <w:lang w:val="en-US"/>
                </w:rPr>
                <w:t>, A.A., Zahara, S.T., Amanda, A., Fitri, A. and Caesario, M.A., 2023. Comparison of capital budgeting methods: NPV, IRR, PAYBACK period. </w:t>
              </w:r>
              <w:r w:rsidRPr="00CB5C68">
                <w:rPr>
                  <w:rFonts w:ascii="Times New Roman" w:hAnsi="Times New Roman" w:cs="Times New Roman"/>
                  <w:i/>
                  <w:iCs/>
                  <w:lang w:val="en-US"/>
                </w:rPr>
                <w:t>World Journal of Advanced Research and Reviews</w:t>
              </w:r>
              <w:r w:rsidRPr="00CB5C68">
                <w:rPr>
                  <w:rFonts w:ascii="Times New Roman" w:hAnsi="Times New Roman" w:cs="Times New Roman"/>
                  <w:lang w:val="en-US"/>
                </w:rPr>
                <w:t>, </w:t>
              </w:r>
              <w:r w:rsidRPr="00CB5C68">
                <w:rPr>
                  <w:rFonts w:ascii="Times New Roman" w:hAnsi="Times New Roman" w:cs="Times New Roman"/>
                  <w:i/>
                  <w:iCs/>
                  <w:lang w:val="en-US"/>
                </w:rPr>
                <w:t>19</w:t>
              </w:r>
              <w:r w:rsidRPr="00CB5C68">
                <w:rPr>
                  <w:rFonts w:ascii="Times New Roman" w:hAnsi="Times New Roman" w:cs="Times New Roman"/>
                  <w:lang w:val="en-US"/>
                </w:rPr>
                <w:t>(2), pp.1078-1081.</w:t>
              </w:r>
            </w:p>
            <w:p w14:paraId="72F0DC4F" w14:textId="77777777" w:rsidR="00A7472A" w:rsidRPr="00CB5C68" w:rsidRDefault="00A7472A" w:rsidP="00CB5C68">
              <w:pPr>
                <w:spacing w:line="360" w:lineRule="auto"/>
                <w:ind w:left="720" w:hanging="720"/>
                <w:jc w:val="both"/>
                <w:rPr>
                  <w:rFonts w:ascii="Times New Roman" w:hAnsi="Times New Roman" w:cs="Times New Roman"/>
                  <w:lang w:val="en-US"/>
                </w:rPr>
              </w:pPr>
              <w:proofErr w:type="spellStart"/>
              <w:r w:rsidRPr="00CB5C68">
                <w:rPr>
                  <w:rFonts w:ascii="Times New Roman" w:hAnsi="Times New Roman" w:cs="Times New Roman"/>
                  <w:lang w:val="en-US"/>
                </w:rPr>
                <w:t>Türegün</w:t>
              </w:r>
              <w:proofErr w:type="spellEnd"/>
              <w:r w:rsidRPr="00CB5C68">
                <w:rPr>
                  <w:rFonts w:ascii="Times New Roman" w:hAnsi="Times New Roman" w:cs="Times New Roman"/>
                  <w:lang w:val="en-US"/>
                </w:rPr>
                <w:t>, N., 2022. Financial performance evaluation by multi-criteria decision-making techniques. </w:t>
              </w:r>
              <w:proofErr w:type="spellStart"/>
              <w:r w:rsidRPr="00CB5C68">
                <w:rPr>
                  <w:rFonts w:ascii="Times New Roman" w:hAnsi="Times New Roman" w:cs="Times New Roman"/>
                  <w:i/>
                  <w:iCs/>
                  <w:lang w:val="en-US"/>
                </w:rPr>
                <w:t>Heliyon</w:t>
              </w:r>
              <w:proofErr w:type="spellEnd"/>
              <w:r w:rsidRPr="00CB5C68">
                <w:rPr>
                  <w:rFonts w:ascii="Times New Roman" w:hAnsi="Times New Roman" w:cs="Times New Roman"/>
                  <w:lang w:val="en-US"/>
                </w:rPr>
                <w:t>, </w:t>
              </w:r>
              <w:r w:rsidRPr="00CB5C68">
                <w:rPr>
                  <w:rFonts w:ascii="Times New Roman" w:hAnsi="Times New Roman" w:cs="Times New Roman"/>
                  <w:i/>
                  <w:iCs/>
                  <w:lang w:val="en-US"/>
                </w:rPr>
                <w:t>8</w:t>
              </w:r>
              <w:r w:rsidRPr="00CB5C68">
                <w:rPr>
                  <w:rFonts w:ascii="Times New Roman" w:hAnsi="Times New Roman" w:cs="Times New Roman"/>
                  <w:lang w:val="en-US"/>
                </w:rPr>
                <w:t>(5).</w:t>
              </w:r>
            </w:p>
            <w:p w14:paraId="632AA867" w14:textId="1D40A6A8" w:rsidR="00A7472A" w:rsidRPr="00CB5C68" w:rsidRDefault="00000000" w:rsidP="00CB5C68">
              <w:pPr>
                <w:spacing w:line="360" w:lineRule="auto"/>
                <w:ind w:hanging="720"/>
                <w:jc w:val="both"/>
                <w:rPr>
                  <w:rFonts w:ascii="Times New Roman" w:hAnsi="Times New Roman" w:cs="Times New Roman"/>
                </w:rPr>
              </w:pPr>
            </w:p>
          </w:sdtContent>
        </w:sdt>
      </w:sdtContent>
    </w:sdt>
    <w:p w14:paraId="583874DA" w14:textId="77777777" w:rsidR="00D911DD" w:rsidRPr="00293506" w:rsidRDefault="00D911DD" w:rsidP="00D911DD">
      <w:pPr>
        <w:pStyle w:val="Heading1"/>
        <w:rPr>
          <w:b/>
          <w:bCs/>
          <w:color w:val="000000" w:themeColor="text1"/>
          <w:sz w:val="24"/>
          <w:szCs w:val="24"/>
        </w:rPr>
      </w:pPr>
      <w:bookmarkStart w:id="31" w:name="_Toc219122000"/>
      <w:r w:rsidRPr="00293506">
        <w:rPr>
          <w:b/>
          <w:bCs/>
          <w:color w:val="000000" w:themeColor="text1"/>
          <w:sz w:val="24"/>
          <w:szCs w:val="24"/>
        </w:rPr>
        <w:lastRenderedPageBreak/>
        <w:t>Appendix: Part 1 Financial Statements of Rolls-Royce Holdings plc (</w:t>
      </w:r>
      <w:proofErr w:type="gramStart"/>
      <w:r w:rsidRPr="00293506">
        <w:rPr>
          <w:b/>
          <w:bCs/>
          <w:color w:val="000000" w:themeColor="text1"/>
          <w:sz w:val="24"/>
          <w:szCs w:val="24"/>
        </w:rPr>
        <w:t>RR.L</w:t>
      </w:r>
      <w:proofErr w:type="gramEnd"/>
      <w:r w:rsidRPr="00293506">
        <w:rPr>
          <w:b/>
          <w:bCs/>
          <w:color w:val="000000" w:themeColor="text1"/>
          <w:sz w:val="24"/>
          <w:szCs w:val="24"/>
        </w:rPr>
        <w:t>)</w:t>
      </w:r>
      <w:bookmarkEnd w:id="31"/>
    </w:p>
    <w:p w14:paraId="08E7BEC4" w14:textId="77777777" w:rsidR="00D911DD" w:rsidRDefault="00D911DD" w:rsidP="00D911DD">
      <w:pPr>
        <w:pStyle w:val="Heading2"/>
        <w:rPr>
          <w:rFonts w:ascii="Times New Roman" w:hAnsi="Times New Roman" w:cs="Times New Roman"/>
          <w:b/>
          <w:bCs/>
          <w:color w:val="000000" w:themeColor="text1"/>
          <w:sz w:val="24"/>
          <w:szCs w:val="24"/>
        </w:rPr>
      </w:pPr>
      <w:bookmarkStart w:id="32" w:name="_Toc219122001"/>
      <w:r w:rsidRPr="00293506">
        <w:rPr>
          <w:rFonts w:ascii="Times New Roman" w:hAnsi="Times New Roman" w:cs="Times New Roman"/>
          <w:b/>
          <w:bCs/>
          <w:color w:val="000000" w:themeColor="text1"/>
          <w:sz w:val="24"/>
          <w:szCs w:val="24"/>
        </w:rPr>
        <w:t>Income Statement</w:t>
      </w:r>
      <w:bookmarkEnd w:id="32"/>
    </w:p>
    <w:p w14:paraId="3D8E2A70" w14:textId="77777777" w:rsidR="00D911DD" w:rsidRPr="00293506" w:rsidRDefault="00D911DD" w:rsidP="00D911DD">
      <w:r w:rsidRPr="00293506">
        <w:rPr>
          <w:noProof/>
        </w:rPr>
        <w:drawing>
          <wp:inline distT="0" distB="0" distL="0" distR="0" wp14:anchorId="76054CA8" wp14:editId="445AAF75">
            <wp:extent cx="4851273" cy="6995160"/>
            <wp:effectExtent l="0" t="0" r="0" b="0"/>
            <wp:docPr id="1730810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52075" cy="6996317"/>
                    </a:xfrm>
                    <a:prstGeom prst="rect">
                      <a:avLst/>
                    </a:prstGeom>
                    <a:noFill/>
                    <a:ln>
                      <a:noFill/>
                    </a:ln>
                  </pic:spPr>
                </pic:pic>
              </a:graphicData>
            </a:graphic>
          </wp:inline>
        </w:drawing>
      </w:r>
    </w:p>
    <w:p w14:paraId="11FEDE3C" w14:textId="77777777" w:rsidR="00D911DD" w:rsidRDefault="00D911DD" w:rsidP="00D911DD">
      <w:pPr>
        <w:pStyle w:val="Heading2"/>
        <w:rPr>
          <w:rFonts w:ascii="Times New Roman" w:hAnsi="Times New Roman" w:cs="Times New Roman"/>
          <w:b/>
          <w:bCs/>
          <w:color w:val="000000" w:themeColor="text1"/>
          <w:sz w:val="24"/>
          <w:szCs w:val="24"/>
        </w:rPr>
      </w:pPr>
      <w:bookmarkStart w:id="33" w:name="_Toc219122002"/>
      <w:r w:rsidRPr="00293506">
        <w:rPr>
          <w:rFonts w:ascii="Times New Roman" w:hAnsi="Times New Roman" w:cs="Times New Roman"/>
          <w:b/>
          <w:bCs/>
          <w:color w:val="000000" w:themeColor="text1"/>
          <w:sz w:val="24"/>
          <w:szCs w:val="24"/>
        </w:rPr>
        <w:lastRenderedPageBreak/>
        <w:t>Balance Sheet</w:t>
      </w:r>
      <w:bookmarkEnd w:id="33"/>
    </w:p>
    <w:p w14:paraId="79A06B93" w14:textId="77777777" w:rsidR="00D911DD" w:rsidRPr="00293506" w:rsidRDefault="00D911DD" w:rsidP="00D911DD">
      <w:r w:rsidRPr="00293506">
        <w:rPr>
          <w:noProof/>
        </w:rPr>
        <w:drawing>
          <wp:inline distT="0" distB="0" distL="0" distR="0" wp14:anchorId="660A0108" wp14:editId="28D66E78">
            <wp:extent cx="3158775" cy="7650480"/>
            <wp:effectExtent l="0" t="0" r="0" b="0"/>
            <wp:docPr id="10183994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61974" cy="7658229"/>
                    </a:xfrm>
                    <a:prstGeom prst="rect">
                      <a:avLst/>
                    </a:prstGeom>
                    <a:noFill/>
                    <a:ln>
                      <a:noFill/>
                    </a:ln>
                  </pic:spPr>
                </pic:pic>
              </a:graphicData>
            </a:graphic>
          </wp:inline>
        </w:drawing>
      </w:r>
    </w:p>
    <w:p w14:paraId="1A4BE70F" w14:textId="77777777" w:rsidR="00D911DD" w:rsidRDefault="00D911DD" w:rsidP="00D911DD">
      <w:pPr>
        <w:rPr>
          <w:rFonts w:ascii="Times New Roman" w:eastAsiaTheme="majorEastAsia" w:hAnsi="Times New Roman" w:cs="Times New Roman"/>
          <w:b/>
          <w:bCs/>
          <w:color w:val="000000" w:themeColor="text1"/>
        </w:rPr>
      </w:pPr>
      <w:r>
        <w:rPr>
          <w:rFonts w:ascii="Times New Roman" w:hAnsi="Times New Roman" w:cs="Times New Roman"/>
          <w:b/>
          <w:bCs/>
          <w:color w:val="000000" w:themeColor="text1"/>
        </w:rPr>
        <w:br w:type="page"/>
      </w:r>
    </w:p>
    <w:p w14:paraId="6CEBD947" w14:textId="77777777" w:rsidR="00D911DD" w:rsidRDefault="00D911DD" w:rsidP="00D911DD">
      <w:pPr>
        <w:pStyle w:val="Heading2"/>
        <w:rPr>
          <w:rFonts w:ascii="Times New Roman" w:hAnsi="Times New Roman" w:cs="Times New Roman"/>
          <w:b/>
          <w:bCs/>
          <w:color w:val="000000" w:themeColor="text1"/>
          <w:sz w:val="24"/>
          <w:szCs w:val="24"/>
        </w:rPr>
      </w:pPr>
      <w:bookmarkStart w:id="34" w:name="_Toc219122003"/>
      <w:r w:rsidRPr="00293506">
        <w:rPr>
          <w:rFonts w:ascii="Times New Roman" w:hAnsi="Times New Roman" w:cs="Times New Roman"/>
          <w:b/>
          <w:bCs/>
          <w:color w:val="000000" w:themeColor="text1"/>
          <w:sz w:val="24"/>
          <w:szCs w:val="24"/>
        </w:rPr>
        <w:lastRenderedPageBreak/>
        <w:t>Cashflow Statement</w:t>
      </w:r>
      <w:bookmarkEnd w:id="34"/>
    </w:p>
    <w:p w14:paraId="2EFB66CA" w14:textId="77777777" w:rsidR="00D911DD" w:rsidRDefault="00D911DD" w:rsidP="00D911DD">
      <w:r w:rsidRPr="00293506">
        <w:rPr>
          <w:noProof/>
        </w:rPr>
        <w:drawing>
          <wp:inline distT="0" distB="0" distL="0" distR="0" wp14:anchorId="4558ADE9" wp14:editId="7614A5F3">
            <wp:extent cx="4015740" cy="1851273"/>
            <wp:effectExtent l="0" t="0" r="0" b="0"/>
            <wp:docPr id="9367994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24952" cy="1855520"/>
                    </a:xfrm>
                    <a:prstGeom prst="rect">
                      <a:avLst/>
                    </a:prstGeom>
                    <a:noFill/>
                    <a:ln>
                      <a:noFill/>
                    </a:ln>
                  </pic:spPr>
                </pic:pic>
              </a:graphicData>
            </a:graphic>
          </wp:inline>
        </w:drawing>
      </w:r>
    </w:p>
    <w:p w14:paraId="22EBC931" w14:textId="126A7D4E" w:rsidR="0017067C" w:rsidRPr="00D911DD" w:rsidRDefault="0017067C" w:rsidP="00D911DD"/>
    <w:p w14:paraId="038F37F3" w14:textId="6FA07776" w:rsidR="00332D1D" w:rsidRPr="00CB5C68" w:rsidRDefault="00332D1D"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p>
    <w:p w14:paraId="2B42088D" w14:textId="77777777" w:rsidR="006B0C6E" w:rsidRPr="00CB5C68" w:rsidRDefault="006B0C6E" w:rsidP="00CB5C68">
      <w:pPr>
        <w:spacing w:before="100" w:beforeAutospacing="1" w:after="100" w:afterAutospacing="1" w:line="360" w:lineRule="auto"/>
        <w:jc w:val="both"/>
        <w:rPr>
          <w:rFonts w:ascii="Times New Roman" w:eastAsia="Times New Roman" w:hAnsi="Times New Roman" w:cs="Times New Roman"/>
          <w:lang w:eastAsia="en-GB"/>
          <w14:ligatures w14:val="none"/>
        </w:rPr>
      </w:pPr>
    </w:p>
    <w:p w14:paraId="63D060B6" w14:textId="77777777" w:rsidR="00235FDD" w:rsidRPr="00CB5C68" w:rsidRDefault="00235FDD" w:rsidP="00CB5C68">
      <w:pPr>
        <w:spacing w:line="360" w:lineRule="auto"/>
        <w:jc w:val="both"/>
      </w:pPr>
    </w:p>
    <w:p w14:paraId="6140B715" w14:textId="77777777" w:rsidR="00281319" w:rsidRPr="00CB5C68" w:rsidRDefault="00281319" w:rsidP="00CB5C68">
      <w:pPr>
        <w:spacing w:line="360" w:lineRule="auto"/>
        <w:jc w:val="both"/>
      </w:pPr>
    </w:p>
    <w:sectPr w:rsidR="00281319" w:rsidRPr="00CB5C68" w:rsidSect="00BA59FF">
      <w:head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EB0A9C" w14:textId="77777777" w:rsidR="001969D0" w:rsidRDefault="001969D0" w:rsidP="00FC3867">
      <w:pPr>
        <w:spacing w:after="0" w:line="240" w:lineRule="auto"/>
      </w:pPr>
      <w:r>
        <w:separator/>
      </w:r>
    </w:p>
  </w:endnote>
  <w:endnote w:type="continuationSeparator" w:id="0">
    <w:p w14:paraId="131170E9" w14:textId="77777777" w:rsidR="001969D0" w:rsidRDefault="001969D0" w:rsidP="00FC38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9F9B8A" w14:textId="77777777" w:rsidR="001969D0" w:rsidRDefault="001969D0" w:rsidP="00FC3867">
      <w:pPr>
        <w:spacing w:after="0" w:line="240" w:lineRule="auto"/>
      </w:pPr>
      <w:r>
        <w:separator/>
      </w:r>
    </w:p>
  </w:footnote>
  <w:footnote w:type="continuationSeparator" w:id="0">
    <w:p w14:paraId="4F13BAB7" w14:textId="77777777" w:rsidR="001969D0" w:rsidRDefault="001969D0" w:rsidP="00FC38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D0D85B" w14:textId="348BC80F" w:rsidR="00BA59FF" w:rsidRDefault="00BA59FF">
    <w:pPr>
      <w:pStyle w:val="Header"/>
    </w:pPr>
    <w:r>
      <w:fldChar w:fldCharType="begin"/>
    </w:r>
    <w:r>
      <w:instrText xml:space="preserve"> PAGE   \* MERGEFORMAT </w:instrText>
    </w:r>
    <w:r>
      <w:fldChar w:fldCharType="separate"/>
    </w:r>
    <w:r>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C7BD5"/>
    <w:multiLevelType w:val="multilevel"/>
    <w:tmpl w:val="BCF0C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6C53FF"/>
    <w:multiLevelType w:val="multilevel"/>
    <w:tmpl w:val="60864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7D3AD2"/>
    <w:multiLevelType w:val="multilevel"/>
    <w:tmpl w:val="7ABAC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3079AC"/>
    <w:multiLevelType w:val="multilevel"/>
    <w:tmpl w:val="16840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DE5C0A"/>
    <w:multiLevelType w:val="multilevel"/>
    <w:tmpl w:val="56E64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B34C3D"/>
    <w:multiLevelType w:val="multilevel"/>
    <w:tmpl w:val="FD80E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4246543"/>
    <w:multiLevelType w:val="multilevel"/>
    <w:tmpl w:val="12E09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637250"/>
    <w:multiLevelType w:val="multilevel"/>
    <w:tmpl w:val="53100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E733FA"/>
    <w:multiLevelType w:val="multilevel"/>
    <w:tmpl w:val="98544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0320B2"/>
    <w:multiLevelType w:val="multilevel"/>
    <w:tmpl w:val="0E10F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08776A7"/>
    <w:multiLevelType w:val="multilevel"/>
    <w:tmpl w:val="520CF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33F1714"/>
    <w:multiLevelType w:val="multilevel"/>
    <w:tmpl w:val="1C94B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F6756B6"/>
    <w:multiLevelType w:val="multilevel"/>
    <w:tmpl w:val="9C96A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14710601">
    <w:abstractNumId w:val="4"/>
  </w:num>
  <w:num w:numId="2" w16cid:durableId="536357764">
    <w:abstractNumId w:val="7"/>
  </w:num>
  <w:num w:numId="3" w16cid:durableId="1877737532">
    <w:abstractNumId w:val="5"/>
  </w:num>
  <w:num w:numId="4" w16cid:durableId="1634288981">
    <w:abstractNumId w:val="3"/>
  </w:num>
  <w:num w:numId="5" w16cid:durableId="2035761834">
    <w:abstractNumId w:val="2"/>
  </w:num>
  <w:num w:numId="6" w16cid:durableId="159392888">
    <w:abstractNumId w:val="12"/>
  </w:num>
  <w:num w:numId="7" w16cid:durableId="1456364883">
    <w:abstractNumId w:val="6"/>
  </w:num>
  <w:num w:numId="8" w16cid:durableId="1157570226">
    <w:abstractNumId w:val="0"/>
  </w:num>
  <w:num w:numId="9" w16cid:durableId="1029454726">
    <w:abstractNumId w:val="9"/>
  </w:num>
  <w:num w:numId="10" w16cid:durableId="1409426156">
    <w:abstractNumId w:val="8"/>
  </w:num>
  <w:num w:numId="11" w16cid:durableId="557056560">
    <w:abstractNumId w:val="11"/>
  </w:num>
  <w:num w:numId="12" w16cid:durableId="977959670">
    <w:abstractNumId w:val="1"/>
  </w:num>
  <w:num w:numId="13" w16cid:durableId="117534140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FDD"/>
    <w:rsid w:val="00007D27"/>
    <w:rsid w:val="000B572B"/>
    <w:rsid w:val="00123909"/>
    <w:rsid w:val="0017067C"/>
    <w:rsid w:val="001969D0"/>
    <w:rsid w:val="001E0917"/>
    <w:rsid w:val="002337EE"/>
    <w:rsid w:val="00235FDD"/>
    <w:rsid w:val="00281319"/>
    <w:rsid w:val="002B7BA4"/>
    <w:rsid w:val="002F630D"/>
    <w:rsid w:val="00332D1D"/>
    <w:rsid w:val="00411406"/>
    <w:rsid w:val="004128A3"/>
    <w:rsid w:val="004155AA"/>
    <w:rsid w:val="004407FD"/>
    <w:rsid w:val="004426C6"/>
    <w:rsid w:val="00521024"/>
    <w:rsid w:val="006233B0"/>
    <w:rsid w:val="00660EB5"/>
    <w:rsid w:val="00692698"/>
    <w:rsid w:val="006979B0"/>
    <w:rsid w:val="006B0C6E"/>
    <w:rsid w:val="006C2668"/>
    <w:rsid w:val="0070033B"/>
    <w:rsid w:val="00742BD4"/>
    <w:rsid w:val="007F3E3D"/>
    <w:rsid w:val="0081429C"/>
    <w:rsid w:val="00837B88"/>
    <w:rsid w:val="008A6DDE"/>
    <w:rsid w:val="008B3352"/>
    <w:rsid w:val="00902D06"/>
    <w:rsid w:val="00910881"/>
    <w:rsid w:val="00927933"/>
    <w:rsid w:val="00985BF0"/>
    <w:rsid w:val="009A4218"/>
    <w:rsid w:val="009A56C1"/>
    <w:rsid w:val="00A15E22"/>
    <w:rsid w:val="00A52C41"/>
    <w:rsid w:val="00A5626E"/>
    <w:rsid w:val="00A60A51"/>
    <w:rsid w:val="00A60BFB"/>
    <w:rsid w:val="00A7472A"/>
    <w:rsid w:val="00A93DF3"/>
    <w:rsid w:val="00B52743"/>
    <w:rsid w:val="00B67547"/>
    <w:rsid w:val="00B93116"/>
    <w:rsid w:val="00BA59FF"/>
    <w:rsid w:val="00CB5C68"/>
    <w:rsid w:val="00D158B3"/>
    <w:rsid w:val="00D911DD"/>
    <w:rsid w:val="00E026FC"/>
    <w:rsid w:val="00E24A28"/>
    <w:rsid w:val="00E300A9"/>
    <w:rsid w:val="00E42B7D"/>
    <w:rsid w:val="00F15AAE"/>
    <w:rsid w:val="00F96DA3"/>
    <w:rsid w:val="00FC386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C76C3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5F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5F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5F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5F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5F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5F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5F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5F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5F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5F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5F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5F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5F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5F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5F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5F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5F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5FDD"/>
    <w:rPr>
      <w:rFonts w:eastAsiaTheme="majorEastAsia" w:cstheme="majorBidi"/>
      <w:color w:val="272727" w:themeColor="text1" w:themeTint="D8"/>
    </w:rPr>
  </w:style>
  <w:style w:type="paragraph" w:styleId="Title">
    <w:name w:val="Title"/>
    <w:basedOn w:val="Normal"/>
    <w:next w:val="Normal"/>
    <w:link w:val="TitleChar"/>
    <w:uiPriority w:val="10"/>
    <w:qFormat/>
    <w:rsid w:val="00235F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5F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5F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5F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5FDD"/>
    <w:pPr>
      <w:spacing w:before="160"/>
      <w:jc w:val="center"/>
    </w:pPr>
    <w:rPr>
      <w:i/>
      <w:iCs/>
      <w:color w:val="404040" w:themeColor="text1" w:themeTint="BF"/>
    </w:rPr>
  </w:style>
  <w:style w:type="character" w:customStyle="1" w:styleId="QuoteChar">
    <w:name w:val="Quote Char"/>
    <w:basedOn w:val="DefaultParagraphFont"/>
    <w:link w:val="Quote"/>
    <w:uiPriority w:val="29"/>
    <w:rsid w:val="00235FDD"/>
    <w:rPr>
      <w:i/>
      <w:iCs/>
      <w:color w:val="404040" w:themeColor="text1" w:themeTint="BF"/>
    </w:rPr>
  </w:style>
  <w:style w:type="paragraph" w:styleId="ListParagraph">
    <w:name w:val="List Paragraph"/>
    <w:basedOn w:val="Normal"/>
    <w:uiPriority w:val="34"/>
    <w:qFormat/>
    <w:rsid w:val="00235FDD"/>
    <w:pPr>
      <w:ind w:left="720"/>
      <w:contextualSpacing/>
    </w:pPr>
  </w:style>
  <w:style w:type="character" w:styleId="IntenseEmphasis">
    <w:name w:val="Intense Emphasis"/>
    <w:basedOn w:val="DefaultParagraphFont"/>
    <w:uiPriority w:val="21"/>
    <w:qFormat/>
    <w:rsid w:val="00235FDD"/>
    <w:rPr>
      <w:i/>
      <w:iCs/>
      <w:color w:val="0F4761" w:themeColor="accent1" w:themeShade="BF"/>
    </w:rPr>
  </w:style>
  <w:style w:type="paragraph" w:styleId="IntenseQuote">
    <w:name w:val="Intense Quote"/>
    <w:basedOn w:val="Normal"/>
    <w:next w:val="Normal"/>
    <w:link w:val="IntenseQuoteChar"/>
    <w:uiPriority w:val="30"/>
    <w:qFormat/>
    <w:rsid w:val="00235F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5FDD"/>
    <w:rPr>
      <w:i/>
      <w:iCs/>
      <w:color w:val="0F4761" w:themeColor="accent1" w:themeShade="BF"/>
    </w:rPr>
  </w:style>
  <w:style w:type="character" w:styleId="IntenseReference">
    <w:name w:val="Intense Reference"/>
    <w:basedOn w:val="DefaultParagraphFont"/>
    <w:uiPriority w:val="32"/>
    <w:qFormat/>
    <w:rsid w:val="00235FDD"/>
    <w:rPr>
      <w:b/>
      <w:bCs/>
      <w:smallCaps/>
      <w:color w:val="0F4761" w:themeColor="accent1" w:themeShade="BF"/>
      <w:spacing w:val="5"/>
    </w:rPr>
  </w:style>
  <w:style w:type="paragraph" w:styleId="TOCHeading">
    <w:name w:val="TOC Heading"/>
    <w:basedOn w:val="Heading1"/>
    <w:next w:val="Normal"/>
    <w:uiPriority w:val="39"/>
    <w:unhideWhenUsed/>
    <w:qFormat/>
    <w:rsid w:val="00235FDD"/>
    <w:pPr>
      <w:spacing w:before="240" w:after="0" w:line="259" w:lineRule="auto"/>
      <w:outlineLvl w:val="9"/>
    </w:pPr>
    <w:rPr>
      <w:sz w:val="32"/>
      <w:szCs w:val="32"/>
      <w:lang w:val="en-US"/>
    </w:rPr>
  </w:style>
  <w:style w:type="paragraph" w:styleId="Header">
    <w:name w:val="header"/>
    <w:basedOn w:val="Normal"/>
    <w:link w:val="HeaderChar"/>
    <w:uiPriority w:val="99"/>
    <w:unhideWhenUsed/>
    <w:rsid w:val="00FC38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3867"/>
  </w:style>
  <w:style w:type="paragraph" w:styleId="Footer">
    <w:name w:val="footer"/>
    <w:basedOn w:val="Normal"/>
    <w:link w:val="FooterChar"/>
    <w:uiPriority w:val="99"/>
    <w:unhideWhenUsed/>
    <w:rsid w:val="00FC38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3867"/>
  </w:style>
  <w:style w:type="paragraph" w:styleId="TOC1">
    <w:name w:val="toc 1"/>
    <w:basedOn w:val="Normal"/>
    <w:next w:val="Normal"/>
    <w:autoRedefine/>
    <w:uiPriority w:val="39"/>
    <w:unhideWhenUsed/>
    <w:rsid w:val="006B0C6E"/>
    <w:pPr>
      <w:spacing w:after="100"/>
    </w:pPr>
  </w:style>
  <w:style w:type="paragraph" w:styleId="TOC2">
    <w:name w:val="toc 2"/>
    <w:basedOn w:val="Normal"/>
    <w:next w:val="Normal"/>
    <w:autoRedefine/>
    <w:uiPriority w:val="39"/>
    <w:unhideWhenUsed/>
    <w:rsid w:val="006B0C6E"/>
    <w:pPr>
      <w:spacing w:after="100"/>
      <w:ind w:left="240"/>
    </w:pPr>
  </w:style>
  <w:style w:type="paragraph" w:styleId="TOC3">
    <w:name w:val="toc 3"/>
    <w:basedOn w:val="Normal"/>
    <w:next w:val="Normal"/>
    <w:autoRedefine/>
    <w:uiPriority w:val="39"/>
    <w:unhideWhenUsed/>
    <w:rsid w:val="006B0C6E"/>
    <w:pPr>
      <w:spacing w:after="100"/>
      <w:ind w:left="480"/>
    </w:pPr>
  </w:style>
  <w:style w:type="character" w:styleId="Hyperlink">
    <w:name w:val="Hyperlink"/>
    <w:basedOn w:val="DefaultParagraphFont"/>
    <w:uiPriority w:val="99"/>
    <w:unhideWhenUsed/>
    <w:rsid w:val="006B0C6E"/>
    <w:rPr>
      <w:color w:val="467886" w:themeColor="hyperlink"/>
      <w:u w:val="single"/>
    </w:rPr>
  </w:style>
  <w:style w:type="table" w:styleId="TableGrid">
    <w:name w:val="Table Grid"/>
    <w:basedOn w:val="TableNormal"/>
    <w:uiPriority w:val="39"/>
    <w:rsid w:val="006233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B3352"/>
    <w:pPr>
      <w:spacing w:before="100" w:beforeAutospacing="1" w:after="100" w:afterAutospacing="1" w:line="240" w:lineRule="auto"/>
    </w:pPr>
    <w:rPr>
      <w:rFonts w:ascii="Times New Roman" w:eastAsia="Times New Roman" w:hAnsi="Times New Roman" w:cs="Times New Roman"/>
      <w:lang w:val="en-US"/>
      <w14:ligatures w14:val="none"/>
    </w:rPr>
  </w:style>
  <w:style w:type="paragraph" w:styleId="Caption">
    <w:name w:val="caption"/>
    <w:basedOn w:val="Normal"/>
    <w:next w:val="Normal"/>
    <w:uiPriority w:val="35"/>
    <w:unhideWhenUsed/>
    <w:qFormat/>
    <w:rsid w:val="00F96DA3"/>
    <w:pPr>
      <w:spacing w:after="200" w:line="240" w:lineRule="auto"/>
    </w:pPr>
    <w:rPr>
      <w:i/>
      <w:iCs/>
      <w:color w:val="0E2841" w:themeColor="text2"/>
      <w:sz w:val="18"/>
      <w:szCs w:val="18"/>
    </w:rPr>
  </w:style>
  <w:style w:type="character" w:customStyle="1" w:styleId="NoSpacingChar">
    <w:name w:val="No Spacing Char"/>
    <w:basedOn w:val="DefaultParagraphFont"/>
    <w:link w:val="NoSpacing"/>
    <w:uiPriority w:val="1"/>
    <w:locked/>
    <w:rsid w:val="000B572B"/>
    <w:rPr>
      <w:rFonts w:ascii="Times New Roman" w:eastAsiaTheme="minorEastAsia" w:hAnsi="Times New Roman" w:cs="Times New Roman"/>
      <w:sz w:val="22"/>
      <w:szCs w:val="22"/>
      <w:lang w:val="en-US"/>
    </w:rPr>
  </w:style>
  <w:style w:type="paragraph" w:styleId="NoSpacing">
    <w:name w:val="No Spacing"/>
    <w:link w:val="NoSpacingChar"/>
    <w:uiPriority w:val="1"/>
    <w:qFormat/>
    <w:rsid w:val="000B572B"/>
    <w:pPr>
      <w:spacing w:after="0" w:line="240" w:lineRule="auto"/>
    </w:pPr>
    <w:rPr>
      <w:rFonts w:ascii="Times New Roman" w:eastAsiaTheme="minorEastAsia" w:hAnsi="Times New Roman" w:cs="Times New Roman"/>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4CEA5BEDE8F46F0A4452E52DE569A08"/>
        <w:category>
          <w:name w:val="General"/>
          <w:gallery w:val="placeholder"/>
        </w:category>
        <w:types>
          <w:type w:val="bbPlcHdr"/>
        </w:types>
        <w:behaviors>
          <w:behavior w:val="content"/>
        </w:behaviors>
        <w:guid w:val="{06200AC8-FAE7-49D0-95E1-EDAB51B7EA15}"/>
      </w:docPartPr>
      <w:docPartBody>
        <w:p w:rsidR="00000000" w:rsidRDefault="0093475D" w:rsidP="0093475D">
          <w:pPr>
            <w:pStyle w:val="D4CEA5BEDE8F46F0A4452E52DE569A08"/>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75D"/>
    <w:rsid w:val="00584213"/>
    <w:rsid w:val="0093475D"/>
    <w:rsid w:val="009A56C1"/>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4CEA5BEDE8F46F0A4452E52DE569A08">
    <w:name w:val="D4CEA5BEDE8F46F0A4452E52DE569A08"/>
    <w:rsid w:val="0093475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0E7BE2-0A54-43B2-8DE0-D4C61A6120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6610</Words>
  <Characters>37679</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44201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Rolls-ROYCE</dc:title>
  <dc:subject/>
  <dc:creator/>
  <cp:keywords/>
  <dc:description/>
  <cp:lastModifiedBy/>
  <cp:revision>1</cp:revision>
  <dcterms:created xsi:type="dcterms:W3CDTF">2026-01-12T14:56:00Z</dcterms:created>
  <dcterms:modified xsi:type="dcterms:W3CDTF">2026-01-12T14:56:00Z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ee1ee398-4ce1-4d98-81bf-382727262805</vt:lpwstr>
  </property>
</Properties>
</file>