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BA637" w14:textId="77777777" w:rsidR="009701A8" w:rsidRPr="00945F26" w:rsidRDefault="009701A8" w:rsidP="009701A8">
      <w:r w:rsidRPr="00945F26">
        <w:rPr>
          <w:noProof/>
        </w:rPr>
        <w:drawing>
          <wp:inline distT="0" distB="0" distL="0" distR="0" wp14:anchorId="1ED0A1E0" wp14:editId="44DECA1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76044AFE" w14:textId="77777777" w:rsidR="009701A8" w:rsidRPr="00945F26" w:rsidRDefault="009701A8" w:rsidP="009701A8"/>
    <w:p w14:paraId="1DBDE943" w14:textId="77777777" w:rsidR="009701A8" w:rsidRPr="00945F26" w:rsidRDefault="009701A8" w:rsidP="009701A8"/>
    <w:p w14:paraId="19AA73E7" w14:textId="77777777" w:rsidR="009701A8" w:rsidRPr="00945F26" w:rsidRDefault="009701A8" w:rsidP="009701A8">
      <w:pPr>
        <w:rPr>
          <w:rFonts w:ascii="Arial" w:hAnsi="Arial" w:cs="Arial"/>
          <w:sz w:val="22"/>
          <w:szCs w:val="22"/>
        </w:rPr>
      </w:pPr>
      <w:r w:rsidRPr="00945F26">
        <w:rPr>
          <w:rFonts w:ascii="Arial" w:hAnsi="Arial" w:cs="Arial"/>
          <w:sz w:val="22"/>
          <w:szCs w:val="22"/>
        </w:rPr>
        <w:t xml:space="preserve">Name: </w:t>
      </w:r>
      <w:r w:rsidRPr="00945F26">
        <w:rPr>
          <w:rFonts w:ascii="Arial" w:hAnsi="Arial" w:cs="Arial"/>
          <w:sz w:val="22"/>
          <w:szCs w:val="22"/>
        </w:rPr>
        <w:tab/>
      </w:r>
      <w:r w:rsidRPr="00945F26">
        <w:rPr>
          <w:rFonts w:ascii="Arial" w:hAnsi="Arial" w:cs="Arial"/>
          <w:sz w:val="22"/>
          <w:szCs w:val="22"/>
        </w:rPr>
        <w:tab/>
        <w:t>Allison-Louise Hay</w:t>
      </w:r>
      <w:r w:rsidRPr="00945F26">
        <w:rPr>
          <w:rFonts w:ascii="Arial" w:hAnsi="Arial" w:cs="Arial"/>
          <w:sz w:val="22"/>
          <w:szCs w:val="22"/>
        </w:rPr>
        <w:tab/>
      </w:r>
    </w:p>
    <w:p w14:paraId="3B2D201D" w14:textId="77777777" w:rsidR="009701A8" w:rsidRPr="00945F26" w:rsidRDefault="009701A8" w:rsidP="009701A8">
      <w:pPr>
        <w:rPr>
          <w:rFonts w:ascii="Arial" w:hAnsi="Arial" w:cs="Arial"/>
          <w:sz w:val="22"/>
          <w:szCs w:val="22"/>
        </w:rPr>
      </w:pPr>
      <w:r w:rsidRPr="00945F26">
        <w:rPr>
          <w:rFonts w:ascii="Arial" w:hAnsi="Arial" w:cs="Arial"/>
          <w:sz w:val="22"/>
          <w:szCs w:val="22"/>
        </w:rPr>
        <w:t xml:space="preserve">Student ID: </w:t>
      </w:r>
      <w:r w:rsidRPr="00945F26">
        <w:rPr>
          <w:rFonts w:ascii="Arial" w:hAnsi="Arial" w:cs="Arial"/>
          <w:sz w:val="22"/>
          <w:szCs w:val="22"/>
        </w:rPr>
        <w:tab/>
        <w:t>2507525</w:t>
      </w:r>
    </w:p>
    <w:p w14:paraId="4D35BF0B" w14:textId="77777777" w:rsidR="009701A8" w:rsidRPr="00945F26" w:rsidRDefault="009701A8" w:rsidP="009701A8">
      <w:pPr>
        <w:rPr>
          <w:rFonts w:ascii="Arial" w:hAnsi="Arial" w:cs="Arial"/>
          <w:sz w:val="22"/>
          <w:szCs w:val="22"/>
        </w:rPr>
      </w:pPr>
      <w:r w:rsidRPr="00945F26">
        <w:rPr>
          <w:rFonts w:ascii="Arial" w:hAnsi="Arial" w:cs="Arial"/>
          <w:sz w:val="22"/>
          <w:szCs w:val="22"/>
        </w:rPr>
        <w:t xml:space="preserve">Module Code: </w:t>
      </w:r>
      <w:r w:rsidRPr="00945F26">
        <w:rPr>
          <w:rFonts w:ascii="Arial" w:hAnsi="Arial" w:cs="Arial"/>
          <w:sz w:val="22"/>
          <w:szCs w:val="22"/>
        </w:rPr>
        <w:tab/>
        <w:t>LCHS4001</w:t>
      </w:r>
    </w:p>
    <w:p w14:paraId="21EEDFEA" w14:textId="77777777" w:rsidR="009701A8" w:rsidRPr="00945F26" w:rsidRDefault="009701A8" w:rsidP="009701A8">
      <w:pPr>
        <w:rPr>
          <w:rFonts w:ascii="Arial" w:hAnsi="Arial" w:cs="Arial"/>
          <w:sz w:val="22"/>
          <w:szCs w:val="22"/>
        </w:rPr>
      </w:pPr>
      <w:r w:rsidRPr="00945F26">
        <w:rPr>
          <w:rFonts w:ascii="Arial" w:hAnsi="Arial" w:cs="Arial"/>
          <w:sz w:val="22"/>
          <w:szCs w:val="22"/>
        </w:rPr>
        <w:t xml:space="preserve">Module: </w:t>
      </w:r>
      <w:r w:rsidRPr="00945F26">
        <w:rPr>
          <w:rFonts w:ascii="Arial" w:hAnsi="Arial" w:cs="Arial"/>
          <w:sz w:val="22"/>
          <w:szCs w:val="22"/>
        </w:rPr>
        <w:tab/>
        <w:t>Academic &amp; Employability Skills</w:t>
      </w:r>
    </w:p>
    <w:p w14:paraId="6410E275" w14:textId="77777777" w:rsidR="009701A8" w:rsidRPr="00945F26" w:rsidRDefault="009701A8" w:rsidP="009701A8">
      <w:pPr>
        <w:rPr>
          <w:rFonts w:ascii="Arial" w:hAnsi="Arial" w:cs="Arial"/>
          <w:sz w:val="22"/>
          <w:szCs w:val="22"/>
        </w:rPr>
      </w:pPr>
      <w:r w:rsidRPr="00945F26">
        <w:rPr>
          <w:rFonts w:ascii="Arial" w:hAnsi="Arial" w:cs="Arial"/>
          <w:sz w:val="22"/>
          <w:szCs w:val="22"/>
        </w:rPr>
        <w:t xml:space="preserve">Lecturer: </w:t>
      </w:r>
      <w:r w:rsidRPr="00945F26">
        <w:rPr>
          <w:rFonts w:ascii="Arial" w:hAnsi="Arial" w:cs="Arial"/>
          <w:sz w:val="22"/>
          <w:szCs w:val="22"/>
        </w:rPr>
        <w:tab/>
        <w:t>Daniel Jenkins-Smith</w:t>
      </w:r>
    </w:p>
    <w:p w14:paraId="76CC8329" w14:textId="77777777" w:rsidR="009701A8" w:rsidRPr="00945F26" w:rsidRDefault="009701A8" w:rsidP="009701A8">
      <w:pPr>
        <w:rPr>
          <w:rFonts w:ascii="Arial" w:hAnsi="Arial" w:cs="Arial"/>
          <w:sz w:val="22"/>
          <w:szCs w:val="22"/>
        </w:rPr>
      </w:pPr>
      <w:r w:rsidRPr="00945F26">
        <w:rPr>
          <w:rFonts w:ascii="Arial" w:hAnsi="Arial" w:cs="Arial"/>
          <w:sz w:val="22"/>
          <w:szCs w:val="22"/>
        </w:rPr>
        <w:t xml:space="preserve">Submitted on:    </w:t>
      </w:r>
    </w:p>
    <w:p w14:paraId="4F843CFC" w14:textId="77777777" w:rsidR="009701A8" w:rsidRDefault="009701A8" w:rsidP="009701A8"/>
    <w:p w14:paraId="54F9D4F8" w14:textId="77777777" w:rsidR="009701A8" w:rsidRDefault="009701A8" w:rsidP="009701A8"/>
    <w:p w14:paraId="405EF7A4" w14:textId="77777777" w:rsidR="009701A8" w:rsidRPr="009701A8" w:rsidRDefault="009701A8" w:rsidP="009701A8">
      <w:pPr>
        <w:rPr>
          <w:b/>
          <w:bCs/>
        </w:rPr>
      </w:pPr>
    </w:p>
    <w:p w14:paraId="74DA0D88" w14:textId="603631FB" w:rsidR="009701A8" w:rsidRPr="009701A8" w:rsidRDefault="009701A8" w:rsidP="009701A8">
      <w:pPr>
        <w:rPr>
          <w:rFonts w:ascii="Arial" w:hAnsi="Arial" w:cs="Arial"/>
          <w:b/>
          <w:bCs/>
          <w:sz w:val="22"/>
          <w:szCs w:val="22"/>
        </w:rPr>
      </w:pPr>
      <w:r w:rsidRPr="009701A8">
        <w:rPr>
          <w:rFonts w:ascii="Arial" w:hAnsi="Arial" w:cs="Arial"/>
          <w:b/>
          <w:bCs/>
          <w:sz w:val="22"/>
          <w:szCs w:val="22"/>
        </w:rPr>
        <w:t>Written Report</w:t>
      </w:r>
    </w:p>
    <w:p w14:paraId="2641CF26" w14:textId="22023115" w:rsidR="009701A8" w:rsidRPr="009701A8" w:rsidRDefault="009701A8" w:rsidP="009701A8">
      <w:pPr>
        <w:rPr>
          <w:rFonts w:ascii="Arial" w:hAnsi="Arial" w:cs="Arial"/>
          <w:b/>
          <w:bCs/>
          <w:sz w:val="22"/>
          <w:szCs w:val="22"/>
          <w:u w:val="single"/>
        </w:rPr>
      </w:pPr>
      <w:r w:rsidRPr="009701A8">
        <w:rPr>
          <w:rFonts w:ascii="Arial" w:hAnsi="Arial" w:cs="Arial"/>
          <w:b/>
          <w:bCs/>
          <w:sz w:val="22"/>
          <w:szCs w:val="22"/>
          <w:u w:val="single"/>
        </w:rPr>
        <w:t>Introduction</w:t>
      </w:r>
    </w:p>
    <w:p w14:paraId="69F64368" w14:textId="47AFD8C3" w:rsidR="009701A8" w:rsidRPr="009701A8" w:rsidRDefault="009701A8" w:rsidP="009701A8">
      <w:pPr>
        <w:rPr>
          <w:rFonts w:ascii="Arial" w:hAnsi="Arial" w:cs="Arial"/>
          <w:sz w:val="22"/>
          <w:szCs w:val="22"/>
        </w:rPr>
      </w:pPr>
      <w:r w:rsidRPr="009701A8">
        <w:rPr>
          <w:rFonts w:ascii="Arial" w:hAnsi="Arial" w:cs="Arial"/>
          <w:sz w:val="22"/>
          <w:szCs w:val="22"/>
        </w:rPr>
        <w:t>This report will outline the key skills required to become a Domestic Abuse Support Worker (DASW). This role has been selected due to the significant impact of domestic abuse within the United Kingdom, with approximately 1 in 5 individuals experiencing some form of abuse during their lifetime (National Centre for Domestic Violence, 2024). Domestic abuse is recognised as a major public health and social issue, encompassing physical, emotional, sexual, financial and psychological harm.</w:t>
      </w:r>
    </w:p>
    <w:p w14:paraId="2D0684F3" w14:textId="3B9FD2B2" w:rsidR="009701A8" w:rsidRDefault="009701A8" w:rsidP="009701A8">
      <w:pPr>
        <w:rPr>
          <w:rFonts w:ascii="Arial" w:hAnsi="Arial" w:cs="Arial"/>
          <w:sz w:val="22"/>
          <w:szCs w:val="22"/>
        </w:rPr>
      </w:pPr>
      <w:r w:rsidRPr="009701A8">
        <w:rPr>
          <w:rFonts w:ascii="Arial" w:hAnsi="Arial" w:cs="Arial"/>
          <w:sz w:val="22"/>
          <w:szCs w:val="22"/>
        </w:rPr>
        <w:t>DASWs play a vital role in supporting victims by providing guidance, emotional support and practical interventions to promote safety and recovery. This report will explore the importance of the role, evaluate the key skills required, and analyse strategies that can be used to further develop these skills in professional practice.</w:t>
      </w:r>
    </w:p>
    <w:p w14:paraId="22C85B06" w14:textId="77777777" w:rsidR="00F637A4" w:rsidRPr="009701A8" w:rsidRDefault="00F637A4" w:rsidP="009701A8">
      <w:pPr>
        <w:rPr>
          <w:rFonts w:ascii="Arial" w:hAnsi="Arial" w:cs="Arial"/>
          <w:sz w:val="22"/>
          <w:szCs w:val="22"/>
        </w:rPr>
      </w:pPr>
    </w:p>
    <w:p w14:paraId="6E273677" w14:textId="77777777" w:rsidR="009701A8" w:rsidRPr="009701A8" w:rsidRDefault="009701A8" w:rsidP="009701A8">
      <w:pPr>
        <w:rPr>
          <w:rFonts w:ascii="Arial" w:hAnsi="Arial" w:cs="Arial"/>
          <w:b/>
          <w:bCs/>
          <w:sz w:val="22"/>
          <w:szCs w:val="22"/>
          <w:u w:val="single"/>
        </w:rPr>
      </w:pPr>
      <w:r w:rsidRPr="009701A8">
        <w:rPr>
          <w:rFonts w:ascii="Arial" w:hAnsi="Arial" w:cs="Arial"/>
          <w:b/>
          <w:bCs/>
          <w:sz w:val="22"/>
          <w:szCs w:val="22"/>
          <w:u w:val="single"/>
        </w:rPr>
        <w:t>Description of, and Background to, Domestic Abuse Support Worker in Healthcare</w:t>
      </w:r>
    </w:p>
    <w:p w14:paraId="53069728" w14:textId="77777777" w:rsidR="009701A8" w:rsidRDefault="009701A8" w:rsidP="009701A8">
      <w:pPr>
        <w:rPr>
          <w:rFonts w:ascii="Arial" w:hAnsi="Arial" w:cs="Arial"/>
          <w:sz w:val="22"/>
          <w:szCs w:val="22"/>
        </w:rPr>
      </w:pPr>
      <w:r w:rsidRPr="009701A8">
        <w:rPr>
          <w:rFonts w:ascii="Arial" w:hAnsi="Arial" w:cs="Arial"/>
          <w:sz w:val="22"/>
          <w:szCs w:val="22"/>
        </w:rPr>
        <w:t>Domestic abuse remains widely underreported, despite a police call being made approximately every 30 seconds in the UK (National Centre for Domestic Violence, 2024). Many victims do not seek help due to fear, stigma or lack of awareness of available support. When incidents are reported, victims are often referred to specialist services where DASWs provide immediate and ongoing support.</w:t>
      </w:r>
      <w:r>
        <w:rPr>
          <w:rFonts w:ascii="Arial" w:hAnsi="Arial" w:cs="Arial"/>
          <w:sz w:val="22"/>
          <w:szCs w:val="22"/>
        </w:rPr>
        <w:t xml:space="preserve"> </w:t>
      </w:r>
    </w:p>
    <w:p w14:paraId="4162A8D6" w14:textId="3527CD95" w:rsidR="009701A8" w:rsidRPr="009701A8" w:rsidRDefault="009701A8" w:rsidP="009701A8">
      <w:pPr>
        <w:rPr>
          <w:rFonts w:ascii="Arial" w:hAnsi="Arial" w:cs="Arial"/>
          <w:sz w:val="22"/>
          <w:szCs w:val="22"/>
        </w:rPr>
      </w:pPr>
      <w:r w:rsidRPr="009701A8">
        <w:rPr>
          <w:rFonts w:ascii="Arial" w:hAnsi="Arial" w:cs="Arial"/>
          <w:sz w:val="22"/>
          <w:szCs w:val="22"/>
        </w:rPr>
        <w:t>The role of a DASW is to deliver both practical and emotional assistance, ensuring the safety of victims and their families through risk assessment, safeguarding and safety planning. This may involve crisis intervention, signposting to appropriate services, and ongoing case management. A key responsibility is identifying levels of risk and implementing strategies to minimise harm, particularly where children or vulnerable individuals are involved.</w:t>
      </w:r>
    </w:p>
    <w:p w14:paraId="00F3DFCE" w14:textId="11EC84E6" w:rsidR="009701A8" w:rsidRPr="009701A8" w:rsidRDefault="009701A8" w:rsidP="009701A8">
      <w:pPr>
        <w:rPr>
          <w:rFonts w:ascii="Arial" w:hAnsi="Arial" w:cs="Arial"/>
          <w:sz w:val="22"/>
          <w:szCs w:val="22"/>
        </w:rPr>
      </w:pPr>
      <w:r w:rsidRPr="009701A8">
        <w:rPr>
          <w:rFonts w:ascii="Arial" w:hAnsi="Arial" w:cs="Arial"/>
          <w:sz w:val="22"/>
          <w:szCs w:val="22"/>
        </w:rPr>
        <w:t>In addition, DASWs must work within legal and safeguarding frameworks such as the Domestic Abuse Act 2021</w:t>
      </w:r>
      <w:r w:rsidR="00F637A4">
        <w:rPr>
          <w:rFonts w:ascii="Arial" w:hAnsi="Arial" w:cs="Arial"/>
          <w:sz w:val="22"/>
          <w:szCs w:val="22"/>
        </w:rPr>
        <w:t xml:space="preserve"> </w:t>
      </w:r>
      <w:r w:rsidR="00F637A4" w:rsidRPr="00F637A4">
        <w:rPr>
          <w:rFonts w:ascii="Arial" w:hAnsi="Arial" w:cs="Arial"/>
          <w:sz w:val="22"/>
          <w:szCs w:val="22"/>
        </w:rPr>
        <w:t>(Gov.uk, 2021)</w:t>
      </w:r>
      <w:r w:rsidRPr="009701A8">
        <w:rPr>
          <w:rFonts w:ascii="Arial" w:hAnsi="Arial" w:cs="Arial"/>
          <w:sz w:val="22"/>
          <w:szCs w:val="22"/>
        </w:rPr>
        <w:t xml:space="preserve"> and multi-agency safeguarding procedures. The role requires a range of skills, including knowledge of domestic abuse, empathy, communication, advocacy, collaboration and cultural sensitivity, all of which contribute to effective and person-centred support.</w:t>
      </w:r>
    </w:p>
    <w:p w14:paraId="26DD8EF2" w14:textId="0D6092BC" w:rsidR="009701A8" w:rsidRPr="009701A8" w:rsidRDefault="009701A8" w:rsidP="009701A8">
      <w:pPr>
        <w:rPr>
          <w:rFonts w:ascii="Arial" w:hAnsi="Arial" w:cs="Arial"/>
          <w:sz w:val="22"/>
          <w:szCs w:val="22"/>
        </w:rPr>
      </w:pPr>
    </w:p>
    <w:p w14:paraId="1CC19ABB" w14:textId="77777777" w:rsidR="009701A8" w:rsidRPr="009701A8" w:rsidRDefault="009701A8" w:rsidP="009701A8">
      <w:pPr>
        <w:rPr>
          <w:rFonts w:ascii="Arial" w:hAnsi="Arial" w:cs="Arial"/>
          <w:b/>
          <w:bCs/>
          <w:sz w:val="22"/>
          <w:szCs w:val="22"/>
          <w:u w:val="single"/>
        </w:rPr>
      </w:pPr>
      <w:r w:rsidRPr="009701A8">
        <w:rPr>
          <w:rFonts w:ascii="Arial" w:hAnsi="Arial" w:cs="Arial"/>
          <w:b/>
          <w:bCs/>
          <w:sz w:val="22"/>
          <w:szCs w:val="22"/>
          <w:u w:val="single"/>
        </w:rPr>
        <w:t>Evaluation of the Skills Needed for Domestic Abuse Support Worker in Healthcare</w:t>
      </w:r>
    </w:p>
    <w:p w14:paraId="6F7A4113" w14:textId="2E4223A9" w:rsidR="009701A8" w:rsidRPr="009701A8" w:rsidRDefault="009701A8" w:rsidP="009701A8">
      <w:pPr>
        <w:rPr>
          <w:rFonts w:ascii="Arial" w:hAnsi="Arial" w:cs="Arial"/>
          <w:sz w:val="22"/>
          <w:szCs w:val="22"/>
        </w:rPr>
      </w:pPr>
      <w:r w:rsidRPr="009701A8">
        <w:rPr>
          <w:rFonts w:ascii="Arial" w:hAnsi="Arial" w:cs="Arial"/>
          <w:sz w:val="22"/>
          <w:szCs w:val="22"/>
        </w:rPr>
        <w:t xml:space="preserve">Advocacy is a fundamental skill when working with victims of domestic abuse, as DASWs often act as the individual’s voice during times of crisis. The National Association of Social Workers’ code of ethics highlights the importance of promoting social justice and supporting individuals to meet their basic needs (Regis College Online, 2023). In practice, advocacy involves ensuring that victims understand their rights, </w:t>
      </w:r>
      <w:proofErr w:type="gramStart"/>
      <w:r w:rsidRPr="009701A8">
        <w:rPr>
          <w:rFonts w:ascii="Arial" w:hAnsi="Arial" w:cs="Arial"/>
          <w:sz w:val="22"/>
          <w:szCs w:val="22"/>
        </w:rPr>
        <w:t>are able to</w:t>
      </w:r>
      <w:proofErr w:type="gramEnd"/>
      <w:r w:rsidRPr="009701A8">
        <w:rPr>
          <w:rFonts w:ascii="Arial" w:hAnsi="Arial" w:cs="Arial"/>
          <w:sz w:val="22"/>
          <w:szCs w:val="22"/>
        </w:rPr>
        <w:t xml:space="preserve"> access appropriate services, and are supported through complex legal processes.</w:t>
      </w:r>
      <w:r>
        <w:rPr>
          <w:rFonts w:ascii="Arial" w:hAnsi="Arial" w:cs="Arial"/>
          <w:sz w:val="22"/>
          <w:szCs w:val="22"/>
        </w:rPr>
        <w:t xml:space="preserve">  </w:t>
      </w:r>
      <w:r w:rsidRPr="009701A8">
        <w:rPr>
          <w:rFonts w:ascii="Arial" w:hAnsi="Arial" w:cs="Arial"/>
          <w:sz w:val="22"/>
          <w:szCs w:val="22"/>
        </w:rPr>
        <w:t>For example, a DASW may accompany a victim to court proceedings, helping them feel safe and confident in engaging with the legal system. Without effective advocacy, victims may struggle to navigate services or may disengage entirely, increasing their risk of further harm. Therefore, advocacy is essential in empowering victims and promoting positive outcomes.</w:t>
      </w:r>
    </w:p>
    <w:p w14:paraId="0ED54015" w14:textId="0A26DFC5" w:rsidR="009701A8" w:rsidRPr="009701A8" w:rsidRDefault="009701A8" w:rsidP="009701A8">
      <w:pPr>
        <w:rPr>
          <w:rFonts w:ascii="Arial" w:hAnsi="Arial" w:cs="Arial"/>
          <w:sz w:val="22"/>
          <w:szCs w:val="22"/>
        </w:rPr>
      </w:pPr>
      <w:r w:rsidRPr="009701A8">
        <w:rPr>
          <w:rFonts w:ascii="Arial" w:hAnsi="Arial" w:cs="Arial"/>
          <w:sz w:val="22"/>
          <w:szCs w:val="22"/>
        </w:rPr>
        <w:t>Collaboration is equally important, as supporting victims of domestic abuse often requires input from multiple agencies. These can include the police, social services, healthcare professionals, housing providers and the legal system. Effective multi-agency working ensures that support is coordinated and that all aspects of the victim’s situation are considered.</w:t>
      </w:r>
      <w:r>
        <w:rPr>
          <w:rFonts w:ascii="Arial" w:hAnsi="Arial" w:cs="Arial"/>
          <w:sz w:val="22"/>
          <w:szCs w:val="22"/>
        </w:rPr>
        <w:t xml:space="preserve">  </w:t>
      </w:r>
      <w:r w:rsidRPr="009701A8">
        <w:rPr>
          <w:rFonts w:ascii="Arial" w:hAnsi="Arial" w:cs="Arial"/>
          <w:sz w:val="22"/>
          <w:szCs w:val="22"/>
        </w:rPr>
        <w:t>For instance, a DASW may liaise with the police to arrange safe communication methods if it is unsafe to visit the victim’s home. They may also work with schools to assess risks to children or share information with healthcare professionals to ensure appropriate support is provided. Without effective collaboration, there is a risk of fragmented care, which could leave victims vulnerable.</w:t>
      </w:r>
    </w:p>
    <w:p w14:paraId="279A8251" w14:textId="4862766C" w:rsidR="009701A8" w:rsidRPr="009701A8" w:rsidRDefault="009701A8" w:rsidP="009701A8">
      <w:pPr>
        <w:rPr>
          <w:rFonts w:ascii="Arial" w:hAnsi="Arial" w:cs="Arial"/>
          <w:sz w:val="22"/>
          <w:szCs w:val="22"/>
        </w:rPr>
      </w:pPr>
      <w:r w:rsidRPr="009701A8">
        <w:rPr>
          <w:rFonts w:ascii="Arial" w:hAnsi="Arial" w:cs="Arial"/>
          <w:sz w:val="22"/>
          <w:szCs w:val="22"/>
        </w:rPr>
        <w:t xml:space="preserve">Cultural sensitivity is another essential skill in domestic abuse support. Cultural beliefs and values can significantly influence how individuals perceive and respond to abuse. In some communities, domestic abuse may be viewed as a private matter, and disclosure may result in shame or social exclusion. Demonstrating cultural awareness can help build trust and encourage victims to engage with support services (Huntley </w:t>
      </w:r>
      <w:r w:rsidRPr="009701A8">
        <w:rPr>
          <w:rFonts w:ascii="Arial" w:hAnsi="Arial" w:cs="Arial"/>
          <w:i/>
          <w:iCs/>
          <w:sz w:val="22"/>
          <w:szCs w:val="22"/>
        </w:rPr>
        <w:t>et al.</w:t>
      </w:r>
      <w:r w:rsidRPr="009701A8">
        <w:rPr>
          <w:rFonts w:ascii="Arial" w:hAnsi="Arial" w:cs="Arial"/>
          <w:sz w:val="22"/>
          <w:szCs w:val="22"/>
        </w:rPr>
        <w:t>, 2019).</w:t>
      </w:r>
      <w:r>
        <w:rPr>
          <w:rFonts w:ascii="Arial" w:hAnsi="Arial" w:cs="Arial"/>
          <w:sz w:val="22"/>
          <w:szCs w:val="22"/>
        </w:rPr>
        <w:t xml:space="preserve"> </w:t>
      </w:r>
      <w:r w:rsidRPr="009701A8">
        <w:rPr>
          <w:rFonts w:ascii="Arial" w:hAnsi="Arial" w:cs="Arial"/>
          <w:sz w:val="22"/>
          <w:szCs w:val="22"/>
        </w:rPr>
        <w:t>Additionally, cultural factors can create further barriers, such as fear of deportation, language barriers or pressure from family and community members to remain in the relationship (Chowdhury and Winder, 2022). Without cultural sensitivity, a DASW may misinterpret behaviours or make judgemental assumptions, which could damage trust and hinder effective support. These skills are therefore interconnected and essential in ensuring safe and appropriate interventions.</w:t>
      </w:r>
    </w:p>
    <w:p w14:paraId="50EC1EA5" w14:textId="77777777" w:rsidR="009701A8" w:rsidRPr="009701A8" w:rsidRDefault="009701A8" w:rsidP="009701A8">
      <w:pPr>
        <w:rPr>
          <w:rFonts w:ascii="Arial" w:hAnsi="Arial" w:cs="Arial"/>
          <w:sz w:val="22"/>
          <w:szCs w:val="22"/>
        </w:rPr>
      </w:pPr>
    </w:p>
    <w:p w14:paraId="6D86297A" w14:textId="77777777" w:rsidR="009701A8" w:rsidRDefault="009701A8" w:rsidP="009701A8">
      <w:pPr>
        <w:rPr>
          <w:rFonts w:ascii="Arial" w:hAnsi="Arial" w:cs="Arial"/>
          <w:b/>
          <w:bCs/>
          <w:sz w:val="22"/>
          <w:szCs w:val="22"/>
          <w:u w:val="single"/>
        </w:rPr>
      </w:pPr>
      <w:r w:rsidRPr="009701A8">
        <w:rPr>
          <w:rFonts w:ascii="Arial" w:hAnsi="Arial" w:cs="Arial"/>
          <w:b/>
          <w:bCs/>
          <w:sz w:val="22"/>
          <w:szCs w:val="22"/>
          <w:u w:val="single"/>
        </w:rPr>
        <w:t>Strategies to Improve the Skills for Domestic Abuse Support Worker</w:t>
      </w:r>
    </w:p>
    <w:p w14:paraId="1325A863" w14:textId="77777777" w:rsidR="00F637A4" w:rsidRPr="009701A8" w:rsidRDefault="00F637A4" w:rsidP="009701A8">
      <w:pPr>
        <w:rPr>
          <w:rFonts w:ascii="Arial" w:hAnsi="Arial" w:cs="Arial"/>
          <w:b/>
          <w:bCs/>
          <w:sz w:val="22"/>
          <w:szCs w:val="22"/>
          <w:u w:val="single"/>
        </w:rPr>
      </w:pPr>
    </w:p>
    <w:p w14:paraId="4EF2152C" w14:textId="77777777" w:rsidR="009701A8" w:rsidRPr="009701A8" w:rsidRDefault="009701A8" w:rsidP="009701A8">
      <w:pPr>
        <w:rPr>
          <w:rFonts w:ascii="Arial" w:hAnsi="Arial" w:cs="Arial"/>
          <w:sz w:val="22"/>
          <w:szCs w:val="22"/>
        </w:rPr>
      </w:pPr>
      <w:r w:rsidRPr="009701A8">
        <w:rPr>
          <w:rFonts w:ascii="Arial" w:hAnsi="Arial" w:cs="Arial"/>
          <w:sz w:val="22"/>
          <w:szCs w:val="22"/>
        </w:rPr>
        <w:t>Improving skills in advocacy, collaboration and cultural sensitivity is essential for DASWs to provide effective support. One key strategy is ongoing professional training and development. Training programmes focusing on domestic abuse, safeguarding and cultural awareness allow practitioners to develop knowledge and confidence in their role. For example, cultural competence training can help a DASW understand how beliefs around honour or gender roles may influence a victim’s willingness to seek help.</w:t>
      </w:r>
    </w:p>
    <w:p w14:paraId="38230988" w14:textId="5F8E38E8" w:rsidR="009701A8" w:rsidRPr="009701A8" w:rsidRDefault="009701A8" w:rsidP="009701A8">
      <w:pPr>
        <w:rPr>
          <w:rFonts w:ascii="Arial" w:hAnsi="Arial" w:cs="Arial"/>
          <w:sz w:val="22"/>
          <w:szCs w:val="22"/>
        </w:rPr>
      </w:pPr>
      <w:r w:rsidRPr="009701A8">
        <w:rPr>
          <w:rFonts w:ascii="Arial" w:hAnsi="Arial" w:cs="Arial"/>
          <w:sz w:val="22"/>
          <w:szCs w:val="22"/>
        </w:rPr>
        <w:t xml:space="preserve">According to Skills for Care </w:t>
      </w:r>
      <w:r w:rsidR="00F637A4">
        <w:rPr>
          <w:rFonts w:ascii="Arial" w:hAnsi="Arial" w:cs="Arial"/>
          <w:sz w:val="22"/>
          <w:szCs w:val="22"/>
        </w:rPr>
        <w:t xml:space="preserve">Act 2020 </w:t>
      </w:r>
      <w:r w:rsidR="00F637A4" w:rsidRPr="00F637A4">
        <w:rPr>
          <w:rFonts w:ascii="Arial" w:hAnsi="Arial" w:cs="Arial"/>
          <w:sz w:val="22"/>
          <w:szCs w:val="22"/>
        </w:rPr>
        <w:t>(Skills for Care, 2023)</w:t>
      </w:r>
      <w:r w:rsidRPr="009701A8">
        <w:rPr>
          <w:rFonts w:ascii="Arial" w:hAnsi="Arial" w:cs="Arial"/>
          <w:sz w:val="22"/>
          <w:szCs w:val="22"/>
        </w:rPr>
        <w:t>, continuous professional development ensures that practitioners remain competent and responsive to the needs of diverse populations. This strategy is effective because it provides up-to-date knowledge and practical skills that can be applied directly in real-life situations. However, training alone may not be sufficient unless supported by practical experience.</w:t>
      </w:r>
    </w:p>
    <w:p w14:paraId="0E95D11A" w14:textId="2121B21C" w:rsidR="009701A8" w:rsidRPr="009701A8" w:rsidRDefault="009701A8" w:rsidP="009701A8">
      <w:pPr>
        <w:rPr>
          <w:rFonts w:ascii="Arial" w:hAnsi="Arial" w:cs="Arial"/>
          <w:sz w:val="22"/>
          <w:szCs w:val="22"/>
        </w:rPr>
      </w:pPr>
      <w:r w:rsidRPr="009701A8">
        <w:rPr>
          <w:rFonts w:ascii="Arial" w:hAnsi="Arial" w:cs="Arial"/>
          <w:sz w:val="22"/>
          <w:szCs w:val="22"/>
        </w:rPr>
        <w:t>A second strategy is multi-agency working and information sharing. By actively engaging with other professionals, DASWs can strengthen collaboration skills and improve outcomes for victims. Regular meetings, case conferences and shared safeguarding plans enable professionals to exchange information and coordinate support effectively.</w:t>
      </w:r>
      <w:r>
        <w:rPr>
          <w:rFonts w:ascii="Arial" w:hAnsi="Arial" w:cs="Arial"/>
          <w:sz w:val="22"/>
          <w:szCs w:val="22"/>
        </w:rPr>
        <w:t xml:space="preserve">  </w:t>
      </w:r>
      <w:r w:rsidRPr="009701A8">
        <w:rPr>
          <w:rFonts w:ascii="Arial" w:hAnsi="Arial" w:cs="Arial"/>
          <w:sz w:val="22"/>
          <w:szCs w:val="22"/>
        </w:rPr>
        <w:t>For example, a DASW may work with the police to arrange alternative locations for interviews where a victim’s home is not safe. The Home Office</w:t>
      </w:r>
      <w:r w:rsidR="00F637A4">
        <w:rPr>
          <w:rFonts w:ascii="Arial" w:hAnsi="Arial" w:cs="Arial"/>
          <w:sz w:val="22"/>
          <w:szCs w:val="22"/>
        </w:rPr>
        <w:t xml:space="preserve"> </w:t>
      </w:r>
      <w:r w:rsidR="00F637A4" w:rsidRPr="00F637A4">
        <w:rPr>
          <w:rFonts w:ascii="Arial" w:hAnsi="Arial" w:cs="Arial"/>
          <w:sz w:val="22"/>
          <w:szCs w:val="22"/>
        </w:rPr>
        <w:t>(Home Office, 2022)</w:t>
      </w:r>
      <w:r w:rsidRPr="009701A8">
        <w:rPr>
          <w:rFonts w:ascii="Arial" w:hAnsi="Arial" w:cs="Arial"/>
          <w:sz w:val="22"/>
          <w:szCs w:val="22"/>
        </w:rPr>
        <w:t xml:space="preserve"> highlights that coordinated responses are essential in reducing harm in domestic abuse cases. This approach ensures that no single professional is working in isolation and allows for a more comprehensive understanding of risk.</w:t>
      </w:r>
    </w:p>
    <w:p w14:paraId="67814034" w14:textId="530FC4D6" w:rsidR="009701A8" w:rsidRPr="009701A8" w:rsidRDefault="009701A8" w:rsidP="009701A8">
      <w:pPr>
        <w:rPr>
          <w:rFonts w:ascii="Arial" w:hAnsi="Arial" w:cs="Arial"/>
          <w:sz w:val="22"/>
          <w:szCs w:val="22"/>
        </w:rPr>
      </w:pPr>
      <w:r w:rsidRPr="009701A8">
        <w:rPr>
          <w:rFonts w:ascii="Arial" w:hAnsi="Arial" w:cs="Arial"/>
          <w:sz w:val="22"/>
          <w:szCs w:val="22"/>
        </w:rPr>
        <w:t>A third strategy is reflective practice and supervision. Reflective practice involves reviewing experiences, identifying strengths and areas for improvement, and applying learning to future situations. Supervision provides a supportive environment where practitioners can discuss challenges and receive guidance.</w:t>
      </w:r>
      <w:r>
        <w:rPr>
          <w:rFonts w:ascii="Arial" w:hAnsi="Arial" w:cs="Arial"/>
          <w:sz w:val="22"/>
          <w:szCs w:val="22"/>
        </w:rPr>
        <w:t xml:space="preserve">  </w:t>
      </w:r>
      <w:r w:rsidRPr="009701A8">
        <w:rPr>
          <w:rFonts w:ascii="Arial" w:hAnsi="Arial" w:cs="Arial"/>
          <w:sz w:val="22"/>
          <w:szCs w:val="22"/>
        </w:rPr>
        <w:t xml:space="preserve">For instance, a DASW who recognises they may have unintentionally judged a victim’s decision can reflect on this and develop a more culturally sensitive approach. The Open University (2018) </w:t>
      </w:r>
      <w:r w:rsidR="00F637A4" w:rsidRPr="00F637A4">
        <w:rPr>
          <w:rFonts w:ascii="Arial" w:hAnsi="Arial" w:cs="Arial"/>
          <w:sz w:val="22"/>
          <w:szCs w:val="22"/>
        </w:rPr>
        <w:t>(Finlay, 2008)</w:t>
      </w:r>
      <w:r w:rsidR="00F637A4">
        <w:rPr>
          <w:rFonts w:ascii="Arial" w:hAnsi="Arial" w:cs="Arial"/>
          <w:sz w:val="22"/>
          <w:szCs w:val="22"/>
        </w:rPr>
        <w:t xml:space="preserve"> </w:t>
      </w:r>
      <w:r w:rsidRPr="009701A8">
        <w:rPr>
          <w:rFonts w:ascii="Arial" w:hAnsi="Arial" w:cs="Arial"/>
          <w:sz w:val="22"/>
          <w:szCs w:val="22"/>
        </w:rPr>
        <w:t>emphasises that reflective practice improves professional judgement and reduces bias. This strategy is particularly valuable as it promotes self-awareness and continuous improvement.</w:t>
      </w:r>
    </w:p>
    <w:p w14:paraId="6488EDF2" w14:textId="77777777" w:rsidR="009701A8" w:rsidRPr="009701A8" w:rsidRDefault="009701A8" w:rsidP="009701A8">
      <w:pPr>
        <w:rPr>
          <w:rFonts w:ascii="Arial" w:hAnsi="Arial" w:cs="Arial"/>
          <w:sz w:val="22"/>
          <w:szCs w:val="22"/>
        </w:rPr>
      </w:pPr>
      <w:r w:rsidRPr="009701A8">
        <w:rPr>
          <w:rFonts w:ascii="Arial" w:hAnsi="Arial" w:cs="Arial"/>
          <w:sz w:val="22"/>
          <w:szCs w:val="22"/>
        </w:rPr>
        <w:t>These strategies were selected because they address key areas of development: knowledge, teamwork and self-awareness. When combined, they enable DASWs to deliver more effective, person-centred support and reduce the risk of harm to victims.</w:t>
      </w:r>
    </w:p>
    <w:p w14:paraId="741D3BB2" w14:textId="7D62D898" w:rsidR="009701A8" w:rsidRPr="009701A8" w:rsidRDefault="009701A8" w:rsidP="009701A8">
      <w:pPr>
        <w:rPr>
          <w:rFonts w:ascii="Arial" w:hAnsi="Arial" w:cs="Arial"/>
          <w:sz w:val="22"/>
          <w:szCs w:val="22"/>
        </w:rPr>
      </w:pPr>
    </w:p>
    <w:p w14:paraId="20881340" w14:textId="77777777" w:rsidR="009701A8" w:rsidRDefault="009701A8" w:rsidP="009701A8">
      <w:pPr>
        <w:rPr>
          <w:rFonts w:ascii="Arial" w:hAnsi="Arial" w:cs="Arial"/>
          <w:b/>
          <w:bCs/>
          <w:sz w:val="22"/>
          <w:szCs w:val="22"/>
          <w:u w:val="single"/>
        </w:rPr>
      </w:pPr>
      <w:r w:rsidRPr="009701A8">
        <w:rPr>
          <w:rFonts w:ascii="Arial" w:hAnsi="Arial" w:cs="Arial"/>
          <w:b/>
          <w:bCs/>
          <w:sz w:val="22"/>
          <w:szCs w:val="22"/>
          <w:u w:val="single"/>
        </w:rPr>
        <w:t>Conclusion</w:t>
      </w:r>
    </w:p>
    <w:p w14:paraId="3A46941E" w14:textId="77777777" w:rsidR="00F637A4" w:rsidRPr="009701A8" w:rsidRDefault="00F637A4" w:rsidP="009701A8">
      <w:pPr>
        <w:rPr>
          <w:rFonts w:ascii="Arial" w:hAnsi="Arial" w:cs="Arial"/>
          <w:b/>
          <w:bCs/>
          <w:sz w:val="22"/>
          <w:szCs w:val="22"/>
          <w:u w:val="single"/>
        </w:rPr>
      </w:pPr>
    </w:p>
    <w:p w14:paraId="1F575432" w14:textId="77777777" w:rsidR="009701A8" w:rsidRPr="009701A8" w:rsidRDefault="009701A8" w:rsidP="009701A8">
      <w:pPr>
        <w:rPr>
          <w:rFonts w:ascii="Arial" w:hAnsi="Arial" w:cs="Arial"/>
          <w:sz w:val="22"/>
          <w:szCs w:val="22"/>
        </w:rPr>
      </w:pPr>
      <w:r w:rsidRPr="009701A8">
        <w:rPr>
          <w:rFonts w:ascii="Arial" w:hAnsi="Arial" w:cs="Arial"/>
          <w:sz w:val="22"/>
          <w:szCs w:val="22"/>
        </w:rPr>
        <w:t xml:space="preserve">In conclusion, advocacy, collaboration and cultural sensitivity are essential skills for Domestic Abuse Support Workers in ensuring the safety and wellbeing of victims. These skills enable practitioners to deliver effective, person-centred support while managing complex situations and working within multi-agency frameworks. By developing these skills through continuous training, partnership working and reflective practice, DASWs can enhance professional competence and improve outcomes for victims. Ultimately, a culturally aware and skilled approach is vital in empowering individuals to seek support, reduce risk, and move towards safer and more stable </w:t>
      </w:r>
    </w:p>
    <w:p w14:paraId="1A2FCAC4" w14:textId="77777777" w:rsidR="00FC206F" w:rsidRDefault="00FC206F">
      <w:pPr>
        <w:rPr>
          <w:rFonts w:ascii="Arial" w:hAnsi="Arial" w:cs="Arial"/>
          <w:sz w:val="22"/>
          <w:szCs w:val="22"/>
        </w:rPr>
      </w:pPr>
    </w:p>
    <w:p w14:paraId="28E82AD1" w14:textId="77777777" w:rsidR="00F637A4" w:rsidRPr="00F637A4" w:rsidRDefault="00F637A4" w:rsidP="00F637A4">
      <w:pPr>
        <w:rPr>
          <w:rFonts w:ascii="Arial" w:hAnsi="Arial" w:cs="Arial"/>
          <w:b/>
          <w:bCs/>
          <w:sz w:val="22"/>
          <w:szCs w:val="22"/>
        </w:rPr>
      </w:pPr>
      <w:r w:rsidRPr="00F637A4">
        <w:rPr>
          <w:rFonts w:ascii="Arial" w:hAnsi="Arial" w:cs="Arial"/>
          <w:b/>
          <w:bCs/>
          <w:sz w:val="22"/>
          <w:szCs w:val="22"/>
        </w:rPr>
        <w:t>Reference list</w:t>
      </w:r>
    </w:p>
    <w:p w14:paraId="6DBF6B84" w14:textId="77777777" w:rsidR="00F637A4" w:rsidRPr="00F637A4" w:rsidRDefault="00F637A4" w:rsidP="00F637A4">
      <w:pPr>
        <w:rPr>
          <w:rFonts w:ascii="Arial" w:hAnsi="Arial" w:cs="Arial"/>
          <w:sz w:val="22"/>
          <w:szCs w:val="22"/>
        </w:rPr>
      </w:pPr>
      <w:r w:rsidRPr="00F637A4">
        <w:rPr>
          <w:rFonts w:ascii="Arial" w:hAnsi="Arial" w:cs="Arial"/>
          <w:sz w:val="22"/>
          <w:szCs w:val="22"/>
        </w:rPr>
        <w:t xml:space="preserve">Chowdhury, R. and Winder, B. (2022). A Web Model of Domestic Violence and Abuse in Muslim Communities—A Multi Perspective IPA Approach. </w:t>
      </w:r>
      <w:r w:rsidRPr="00F637A4">
        <w:rPr>
          <w:rFonts w:ascii="Arial" w:hAnsi="Arial" w:cs="Arial"/>
          <w:i/>
          <w:iCs/>
          <w:sz w:val="22"/>
          <w:szCs w:val="22"/>
        </w:rPr>
        <w:t>Social Sciences</w:t>
      </w:r>
      <w:r w:rsidRPr="00F637A4">
        <w:rPr>
          <w:rFonts w:ascii="Arial" w:hAnsi="Arial" w:cs="Arial"/>
          <w:sz w:val="22"/>
          <w:szCs w:val="22"/>
        </w:rPr>
        <w:t xml:space="preserve">, 11(8), p.354. </w:t>
      </w:r>
      <w:proofErr w:type="spellStart"/>
      <w:proofErr w:type="gramStart"/>
      <w:r w:rsidRPr="00F637A4">
        <w:rPr>
          <w:rFonts w:ascii="Arial" w:hAnsi="Arial" w:cs="Arial"/>
          <w:sz w:val="22"/>
          <w:szCs w:val="22"/>
        </w:rPr>
        <w:t>doi:https</w:t>
      </w:r>
      <w:proofErr w:type="spellEnd"/>
      <w:r w:rsidRPr="00F637A4">
        <w:rPr>
          <w:rFonts w:ascii="Arial" w:hAnsi="Arial" w:cs="Arial"/>
          <w:sz w:val="22"/>
          <w:szCs w:val="22"/>
        </w:rPr>
        <w:t>://doi.org/10.3390/socsci11080354</w:t>
      </w:r>
      <w:proofErr w:type="gramEnd"/>
      <w:r w:rsidRPr="00F637A4">
        <w:rPr>
          <w:rFonts w:ascii="Arial" w:hAnsi="Arial" w:cs="Arial"/>
          <w:sz w:val="22"/>
          <w:szCs w:val="22"/>
        </w:rPr>
        <w:t>.</w:t>
      </w:r>
    </w:p>
    <w:p w14:paraId="638C8DC1" w14:textId="77777777" w:rsidR="00F637A4" w:rsidRPr="00F637A4" w:rsidRDefault="00F637A4" w:rsidP="00F637A4">
      <w:pPr>
        <w:rPr>
          <w:rFonts w:ascii="Arial" w:hAnsi="Arial" w:cs="Arial"/>
          <w:sz w:val="22"/>
          <w:szCs w:val="22"/>
        </w:rPr>
      </w:pPr>
      <w:r w:rsidRPr="00F637A4">
        <w:rPr>
          <w:rFonts w:ascii="Arial" w:hAnsi="Arial" w:cs="Arial"/>
          <w:sz w:val="22"/>
          <w:szCs w:val="22"/>
        </w:rPr>
        <w:t xml:space="preserve">Finlay, L. (2008). </w:t>
      </w:r>
      <w:r w:rsidRPr="00F637A4">
        <w:rPr>
          <w:rFonts w:ascii="Arial" w:hAnsi="Arial" w:cs="Arial"/>
          <w:i/>
          <w:iCs/>
          <w:sz w:val="22"/>
          <w:szCs w:val="22"/>
        </w:rPr>
        <w:t>Reflecting on ‘Reflective Practice’</w:t>
      </w:r>
      <w:r w:rsidRPr="00F637A4">
        <w:rPr>
          <w:rFonts w:ascii="Arial" w:hAnsi="Arial" w:cs="Arial"/>
          <w:sz w:val="22"/>
          <w:szCs w:val="22"/>
        </w:rPr>
        <w:t xml:space="preserve">. [online] </w:t>
      </w:r>
      <w:r w:rsidRPr="00F637A4">
        <w:rPr>
          <w:rFonts w:ascii="Arial" w:hAnsi="Arial" w:cs="Arial"/>
          <w:i/>
          <w:iCs/>
          <w:sz w:val="22"/>
          <w:szCs w:val="22"/>
        </w:rPr>
        <w:t>Open Research Online</w:t>
      </w:r>
      <w:r w:rsidRPr="00F637A4">
        <w:rPr>
          <w:rFonts w:ascii="Arial" w:hAnsi="Arial" w:cs="Arial"/>
          <w:sz w:val="22"/>
          <w:szCs w:val="22"/>
        </w:rPr>
        <w:t>, The Open University, pp.1–27. Available at: https://oro.open.ac.uk/68945/1/Finlay-%282008%29-Reflecting-on-reflective-practice-PBPL-paper-52.pdf.</w:t>
      </w:r>
    </w:p>
    <w:p w14:paraId="2227070C" w14:textId="77777777" w:rsidR="00F637A4" w:rsidRPr="00F637A4" w:rsidRDefault="00F637A4" w:rsidP="00F637A4">
      <w:pPr>
        <w:rPr>
          <w:rFonts w:ascii="Arial" w:hAnsi="Arial" w:cs="Arial"/>
          <w:sz w:val="22"/>
          <w:szCs w:val="22"/>
        </w:rPr>
      </w:pPr>
      <w:r w:rsidRPr="00F637A4">
        <w:rPr>
          <w:rFonts w:ascii="Arial" w:hAnsi="Arial" w:cs="Arial"/>
          <w:sz w:val="22"/>
          <w:szCs w:val="22"/>
        </w:rPr>
        <w:t xml:space="preserve">Gov.uk (2021). </w:t>
      </w:r>
      <w:r w:rsidRPr="00F637A4">
        <w:rPr>
          <w:rFonts w:ascii="Arial" w:hAnsi="Arial" w:cs="Arial"/>
          <w:i/>
          <w:iCs/>
          <w:sz w:val="22"/>
          <w:szCs w:val="22"/>
        </w:rPr>
        <w:t>Domestic Abuse Act 2021</w:t>
      </w:r>
      <w:r w:rsidRPr="00F637A4">
        <w:rPr>
          <w:rFonts w:ascii="Arial" w:hAnsi="Arial" w:cs="Arial"/>
          <w:sz w:val="22"/>
          <w:szCs w:val="22"/>
        </w:rPr>
        <w:t>. [online] Legislation.gov.uk. Available at: https://www.legislation.gov.uk/ukpga/2021/17/contents.</w:t>
      </w:r>
    </w:p>
    <w:p w14:paraId="4E461A58" w14:textId="77777777" w:rsidR="00F637A4" w:rsidRPr="00F637A4" w:rsidRDefault="00F637A4" w:rsidP="00F637A4">
      <w:pPr>
        <w:rPr>
          <w:rFonts w:ascii="Arial" w:hAnsi="Arial" w:cs="Arial"/>
          <w:sz w:val="22"/>
          <w:szCs w:val="22"/>
        </w:rPr>
      </w:pPr>
      <w:r w:rsidRPr="00F637A4">
        <w:rPr>
          <w:rFonts w:ascii="Arial" w:hAnsi="Arial" w:cs="Arial"/>
          <w:sz w:val="22"/>
          <w:szCs w:val="22"/>
        </w:rPr>
        <w:t xml:space="preserve">Home Office (2022). </w:t>
      </w:r>
      <w:r w:rsidRPr="00F637A4">
        <w:rPr>
          <w:rFonts w:ascii="Arial" w:hAnsi="Arial" w:cs="Arial"/>
          <w:i/>
          <w:iCs/>
          <w:sz w:val="22"/>
          <w:szCs w:val="22"/>
        </w:rPr>
        <w:t>Domestic Abuse Act 2021</w:t>
      </w:r>
      <w:r w:rsidRPr="00F637A4">
        <w:rPr>
          <w:rFonts w:ascii="Arial" w:hAnsi="Arial" w:cs="Arial"/>
          <w:sz w:val="22"/>
          <w:szCs w:val="22"/>
        </w:rPr>
        <w:t>. [online] GOV.UK. Available at: https://www.gov.uk/government/publications/domestic-abuse-act-2021.</w:t>
      </w:r>
    </w:p>
    <w:p w14:paraId="726D8AA4" w14:textId="77777777" w:rsidR="00F637A4" w:rsidRPr="00F637A4" w:rsidRDefault="00F637A4" w:rsidP="00F637A4">
      <w:pPr>
        <w:rPr>
          <w:rFonts w:ascii="Arial" w:hAnsi="Arial" w:cs="Arial"/>
          <w:sz w:val="22"/>
          <w:szCs w:val="22"/>
        </w:rPr>
      </w:pPr>
      <w:r w:rsidRPr="00F637A4">
        <w:rPr>
          <w:rFonts w:ascii="Arial" w:hAnsi="Arial" w:cs="Arial"/>
          <w:sz w:val="22"/>
          <w:szCs w:val="22"/>
        </w:rPr>
        <w:t xml:space="preserve">Huntley, A.L., Potter, L., Williamson, E., Malpass, A., Szilassy, E. and Feder, G. (2019). Help-seeking by Male Victims of Domestic Violence and Abuse (DVA): a Systematic Review and Qualitative Evidence Synthesis. </w:t>
      </w:r>
      <w:r w:rsidRPr="00F637A4">
        <w:rPr>
          <w:rFonts w:ascii="Arial" w:hAnsi="Arial" w:cs="Arial"/>
          <w:i/>
          <w:iCs/>
          <w:sz w:val="22"/>
          <w:szCs w:val="22"/>
        </w:rPr>
        <w:t>BMJ Open</w:t>
      </w:r>
      <w:r w:rsidRPr="00F637A4">
        <w:rPr>
          <w:rFonts w:ascii="Arial" w:hAnsi="Arial" w:cs="Arial"/>
          <w:sz w:val="22"/>
          <w:szCs w:val="22"/>
        </w:rPr>
        <w:t xml:space="preserve">, [online] 9(6). </w:t>
      </w:r>
      <w:proofErr w:type="spellStart"/>
      <w:proofErr w:type="gramStart"/>
      <w:r w:rsidRPr="00F637A4">
        <w:rPr>
          <w:rFonts w:ascii="Arial" w:hAnsi="Arial" w:cs="Arial"/>
          <w:sz w:val="22"/>
          <w:szCs w:val="22"/>
        </w:rPr>
        <w:t>doi:https</w:t>
      </w:r>
      <w:proofErr w:type="spellEnd"/>
      <w:r w:rsidRPr="00F637A4">
        <w:rPr>
          <w:rFonts w:ascii="Arial" w:hAnsi="Arial" w:cs="Arial"/>
          <w:sz w:val="22"/>
          <w:szCs w:val="22"/>
        </w:rPr>
        <w:t>://doi.org/10.1136/bmjopen-2018-021960</w:t>
      </w:r>
      <w:proofErr w:type="gramEnd"/>
      <w:r w:rsidRPr="00F637A4">
        <w:rPr>
          <w:rFonts w:ascii="Arial" w:hAnsi="Arial" w:cs="Arial"/>
          <w:sz w:val="22"/>
          <w:szCs w:val="22"/>
        </w:rPr>
        <w:t>.</w:t>
      </w:r>
    </w:p>
    <w:p w14:paraId="6F6CAC43" w14:textId="77777777" w:rsidR="00F637A4" w:rsidRPr="00F637A4" w:rsidRDefault="00F637A4" w:rsidP="00F637A4">
      <w:pPr>
        <w:rPr>
          <w:rFonts w:ascii="Arial" w:hAnsi="Arial" w:cs="Arial"/>
          <w:sz w:val="22"/>
          <w:szCs w:val="22"/>
        </w:rPr>
      </w:pPr>
      <w:r w:rsidRPr="00F637A4">
        <w:rPr>
          <w:rFonts w:ascii="Arial" w:hAnsi="Arial" w:cs="Arial"/>
          <w:sz w:val="22"/>
          <w:szCs w:val="22"/>
        </w:rPr>
        <w:t xml:space="preserve">National Centre for Domestic Violence (2024). </w:t>
      </w:r>
      <w:r w:rsidRPr="00F637A4">
        <w:rPr>
          <w:rFonts w:ascii="Arial" w:hAnsi="Arial" w:cs="Arial"/>
          <w:i/>
          <w:iCs/>
          <w:sz w:val="22"/>
          <w:szCs w:val="22"/>
        </w:rPr>
        <w:t>Domestic Abuse Statistics UK</w:t>
      </w:r>
      <w:r w:rsidRPr="00F637A4">
        <w:rPr>
          <w:rFonts w:ascii="Arial" w:hAnsi="Arial" w:cs="Arial"/>
          <w:sz w:val="22"/>
          <w:szCs w:val="22"/>
        </w:rPr>
        <w:t>. [online] Domestic Abuse Statistics UK. Available at: https://www.ncdv.org.uk/domestic-abuse-statistics-uk/.</w:t>
      </w:r>
    </w:p>
    <w:p w14:paraId="37197BC1" w14:textId="77777777" w:rsidR="00F637A4" w:rsidRPr="00F637A4" w:rsidRDefault="00F637A4" w:rsidP="00F637A4">
      <w:pPr>
        <w:rPr>
          <w:rFonts w:ascii="Arial" w:hAnsi="Arial" w:cs="Arial"/>
          <w:sz w:val="22"/>
          <w:szCs w:val="22"/>
        </w:rPr>
      </w:pPr>
      <w:r w:rsidRPr="00F637A4">
        <w:rPr>
          <w:rFonts w:ascii="Arial" w:hAnsi="Arial" w:cs="Arial"/>
          <w:sz w:val="22"/>
          <w:szCs w:val="22"/>
        </w:rPr>
        <w:t xml:space="preserve">Regis College Online (2023). </w:t>
      </w:r>
      <w:r w:rsidRPr="00F637A4">
        <w:rPr>
          <w:rFonts w:ascii="Arial" w:hAnsi="Arial" w:cs="Arial"/>
          <w:i/>
          <w:iCs/>
          <w:sz w:val="22"/>
          <w:szCs w:val="22"/>
        </w:rPr>
        <w:t>The Importance of Advocacy in Social Work | Regis College Online</w:t>
      </w:r>
      <w:r w:rsidRPr="00F637A4">
        <w:rPr>
          <w:rFonts w:ascii="Arial" w:hAnsi="Arial" w:cs="Arial"/>
          <w:sz w:val="22"/>
          <w:szCs w:val="22"/>
        </w:rPr>
        <w:t>. [online] Regis College Online. Available at: https://online.regiscollege.edu/blog/advocacy-in-social-work.</w:t>
      </w:r>
    </w:p>
    <w:p w14:paraId="67AD66DD" w14:textId="77777777" w:rsidR="00F637A4" w:rsidRPr="00F637A4" w:rsidRDefault="00F637A4" w:rsidP="00F637A4">
      <w:pPr>
        <w:rPr>
          <w:rFonts w:ascii="Arial" w:hAnsi="Arial" w:cs="Arial"/>
          <w:sz w:val="22"/>
          <w:szCs w:val="22"/>
        </w:rPr>
      </w:pPr>
      <w:r w:rsidRPr="00F637A4">
        <w:rPr>
          <w:rFonts w:ascii="Arial" w:hAnsi="Arial" w:cs="Arial"/>
          <w:sz w:val="22"/>
          <w:szCs w:val="22"/>
        </w:rPr>
        <w:t xml:space="preserve">Skills for Care (2023). </w:t>
      </w:r>
      <w:r w:rsidRPr="00F637A4">
        <w:rPr>
          <w:rFonts w:ascii="Arial" w:hAnsi="Arial" w:cs="Arial"/>
          <w:i/>
          <w:iCs/>
          <w:sz w:val="22"/>
          <w:szCs w:val="22"/>
        </w:rPr>
        <w:t>Skills for Care - Home</w:t>
      </w:r>
      <w:r w:rsidRPr="00F637A4">
        <w:rPr>
          <w:rFonts w:ascii="Arial" w:hAnsi="Arial" w:cs="Arial"/>
          <w:sz w:val="22"/>
          <w:szCs w:val="22"/>
        </w:rPr>
        <w:t>. [online] Skillsforcare.org.uk. Available at: https://www.skillsforcare.org.uk/Home.aspx.</w:t>
      </w:r>
    </w:p>
    <w:p w14:paraId="48691FC6" w14:textId="77777777" w:rsidR="00F637A4" w:rsidRPr="009701A8" w:rsidRDefault="00F637A4">
      <w:pPr>
        <w:rPr>
          <w:rFonts w:ascii="Arial" w:hAnsi="Arial" w:cs="Arial"/>
          <w:sz w:val="22"/>
          <w:szCs w:val="22"/>
        </w:rPr>
      </w:pPr>
    </w:p>
    <w:sectPr w:rsidR="00F637A4" w:rsidRPr="009701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1A8"/>
    <w:rsid w:val="00042011"/>
    <w:rsid w:val="009701A8"/>
    <w:rsid w:val="00AB4DF5"/>
    <w:rsid w:val="00F637A4"/>
    <w:rsid w:val="00FC2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B85A2"/>
  <w15:chartTrackingRefBased/>
  <w15:docId w15:val="{C65F4BD3-B3D8-439E-B4C7-61ECE7045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01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01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01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01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01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01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01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01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01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1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01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01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01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01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01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01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01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01A8"/>
    <w:rPr>
      <w:rFonts w:eastAsiaTheme="majorEastAsia" w:cstheme="majorBidi"/>
      <w:color w:val="272727" w:themeColor="text1" w:themeTint="D8"/>
    </w:rPr>
  </w:style>
  <w:style w:type="paragraph" w:styleId="Title">
    <w:name w:val="Title"/>
    <w:basedOn w:val="Normal"/>
    <w:next w:val="Normal"/>
    <w:link w:val="TitleChar"/>
    <w:uiPriority w:val="10"/>
    <w:qFormat/>
    <w:rsid w:val="009701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1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01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01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01A8"/>
    <w:pPr>
      <w:spacing w:before="160"/>
      <w:jc w:val="center"/>
    </w:pPr>
    <w:rPr>
      <w:i/>
      <w:iCs/>
      <w:color w:val="404040" w:themeColor="text1" w:themeTint="BF"/>
    </w:rPr>
  </w:style>
  <w:style w:type="character" w:customStyle="1" w:styleId="QuoteChar">
    <w:name w:val="Quote Char"/>
    <w:basedOn w:val="DefaultParagraphFont"/>
    <w:link w:val="Quote"/>
    <w:uiPriority w:val="29"/>
    <w:rsid w:val="009701A8"/>
    <w:rPr>
      <w:i/>
      <w:iCs/>
      <w:color w:val="404040" w:themeColor="text1" w:themeTint="BF"/>
    </w:rPr>
  </w:style>
  <w:style w:type="paragraph" w:styleId="ListParagraph">
    <w:name w:val="List Paragraph"/>
    <w:basedOn w:val="Normal"/>
    <w:uiPriority w:val="34"/>
    <w:qFormat/>
    <w:rsid w:val="009701A8"/>
    <w:pPr>
      <w:ind w:left="720"/>
      <w:contextualSpacing/>
    </w:pPr>
  </w:style>
  <w:style w:type="character" w:styleId="IntenseEmphasis">
    <w:name w:val="Intense Emphasis"/>
    <w:basedOn w:val="DefaultParagraphFont"/>
    <w:uiPriority w:val="21"/>
    <w:qFormat/>
    <w:rsid w:val="009701A8"/>
    <w:rPr>
      <w:i/>
      <w:iCs/>
      <w:color w:val="0F4761" w:themeColor="accent1" w:themeShade="BF"/>
    </w:rPr>
  </w:style>
  <w:style w:type="paragraph" w:styleId="IntenseQuote">
    <w:name w:val="Intense Quote"/>
    <w:basedOn w:val="Normal"/>
    <w:next w:val="Normal"/>
    <w:link w:val="IntenseQuoteChar"/>
    <w:uiPriority w:val="30"/>
    <w:qFormat/>
    <w:rsid w:val="009701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01A8"/>
    <w:rPr>
      <w:i/>
      <w:iCs/>
      <w:color w:val="0F4761" w:themeColor="accent1" w:themeShade="BF"/>
    </w:rPr>
  </w:style>
  <w:style w:type="character" w:styleId="IntenseReference">
    <w:name w:val="Intense Reference"/>
    <w:basedOn w:val="DefaultParagraphFont"/>
    <w:uiPriority w:val="32"/>
    <w:qFormat/>
    <w:rsid w:val="009701A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1387</Words>
  <Characters>8449</Characters>
  <Application>Microsoft Office Word</Application>
  <DocSecurity>0</DocSecurity>
  <Lines>140</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Allison-Louise Hay (2507525)</dc:creator>
  <cp:keywords/>
  <dc:description/>
  <cp:lastModifiedBy>Allison-Louise Hay (2507525)</cp:lastModifiedBy>
  <cp:revision>1</cp:revision>
  <dcterms:created xsi:type="dcterms:W3CDTF">2026-03-26T15:50:00Z</dcterms:created>
  <dcterms:modified xsi:type="dcterms:W3CDTF">2026-03-26T16:09:00Z</dcterms:modified>
</cp:coreProperties>
</file>