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622BB" w:rsidRPr="00605229" w:rsidRDefault="003147FC">
      <w:pPr>
        <w:spacing w:line="360" w:lineRule="auto"/>
        <w:jc w:val="center"/>
        <w:rPr>
          <w:rFonts w:ascii="Times New Roman" w:eastAsia="Times New Roman" w:hAnsi="Times New Roman" w:cs="Times New Roman"/>
          <w:b/>
          <w:sz w:val="72"/>
          <w:szCs w:val="72"/>
        </w:rPr>
      </w:pPr>
      <w:r w:rsidRPr="00605229">
        <w:rPr>
          <w:rFonts w:ascii="Times New Roman" w:eastAsia="Times New Roman" w:hAnsi="Times New Roman" w:cs="Times New Roman"/>
          <w:b/>
          <w:noProof/>
          <w:sz w:val="72"/>
          <w:szCs w:val="72"/>
          <w:lang w:val="en-US" w:eastAsia="en-US" w:bidi="gu-IN"/>
        </w:rPr>
        <w:drawing>
          <wp:inline distT="114300" distB="114300" distL="114300" distR="114300">
            <wp:extent cx="3058174" cy="1700213"/>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4" name="image7.png"/>
                    <pic:cNvPicPr/>
                  </pic:nvPicPr>
                  <pic:blipFill>
                    <a:blip r:embed="rId8" cstate="print"/>
                    <a:stretch>
                      <a:fillRect/>
                    </a:stretch>
                  </pic:blipFill>
                  <pic:spPr>
                    <a:xfrm>
                      <a:off x="0" y="0"/>
                      <a:ext cx="3058174" cy="1700213"/>
                    </a:xfrm>
                    <a:prstGeom prst="rect">
                      <a:avLst/>
                    </a:prstGeom>
                  </pic:spPr>
                </pic:pic>
              </a:graphicData>
            </a:graphic>
          </wp:inline>
        </w:drawing>
      </w:r>
    </w:p>
    <w:p w:rsidR="003622BB" w:rsidRPr="00605229" w:rsidRDefault="003147FC">
      <w:pPr>
        <w:spacing w:line="360" w:lineRule="auto"/>
        <w:jc w:val="center"/>
        <w:rPr>
          <w:rFonts w:ascii="Times New Roman" w:eastAsia="Times New Roman" w:hAnsi="Times New Roman" w:cs="Times New Roman"/>
          <w:b/>
          <w:sz w:val="52"/>
          <w:szCs w:val="52"/>
        </w:rPr>
      </w:pPr>
      <w:r w:rsidRPr="00605229">
        <w:rPr>
          <w:rFonts w:ascii="Times New Roman" w:eastAsia="Times New Roman" w:hAnsi="Times New Roman" w:cs="Times New Roman"/>
          <w:b/>
          <w:sz w:val="52"/>
          <w:szCs w:val="52"/>
        </w:rPr>
        <w:t>MASTER OF BUSINESS ADMINISTRATION</w:t>
      </w:r>
    </w:p>
    <w:p w:rsidR="003622BB" w:rsidRPr="00605229" w:rsidRDefault="003147FC">
      <w:pPr>
        <w:spacing w:line="360" w:lineRule="auto"/>
        <w:jc w:val="center"/>
        <w:rPr>
          <w:rFonts w:ascii="Times New Roman" w:eastAsia="Times New Roman" w:hAnsi="Times New Roman" w:cs="Times New Roman"/>
          <w:b/>
          <w:sz w:val="52"/>
          <w:szCs w:val="52"/>
        </w:rPr>
      </w:pPr>
      <w:r w:rsidRPr="00605229">
        <w:rPr>
          <w:rFonts w:ascii="Times New Roman" w:eastAsia="Times New Roman" w:hAnsi="Times New Roman" w:cs="Times New Roman"/>
          <w:b/>
          <w:sz w:val="52"/>
          <w:szCs w:val="52"/>
        </w:rPr>
        <w:t>HUMAN RESOURCE MANAGEMENT</w:t>
      </w:r>
    </w:p>
    <w:p w:rsidR="003622BB" w:rsidRPr="00605229" w:rsidRDefault="003147FC">
      <w:pPr>
        <w:spacing w:line="360" w:lineRule="auto"/>
        <w:jc w:val="center"/>
        <w:rPr>
          <w:rFonts w:ascii="Times New Roman" w:eastAsia="Times New Roman" w:hAnsi="Times New Roman" w:cs="Times New Roman"/>
          <w:b/>
          <w:sz w:val="60"/>
          <w:szCs w:val="60"/>
        </w:rPr>
      </w:pPr>
      <w:r w:rsidRPr="00605229">
        <w:rPr>
          <w:rFonts w:ascii="Times New Roman" w:eastAsia="Times New Roman" w:hAnsi="Times New Roman" w:cs="Times New Roman"/>
          <w:b/>
          <w:sz w:val="60"/>
          <w:szCs w:val="60"/>
        </w:rPr>
        <w:t>LCMB7000</w:t>
      </w:r>
    </w:p>
    <w:p w:rsidR="003622BB" w:rsidRPr="00605229" w:rsidRDefault="003147FC">
      <w:pPr>
        <w:spacing w:line="360" w:lineRule="auto"/>
        <w:jc w:val="center"/>
        <w:rPr>
          <w:rFonts w:ascii="Times New Roman" w:eastAsia="Times New Roman" w:hAnsi="Times New Roman" w:cs="Times New Roman"/>
          <w:b/>
          <w:sz w:val="48"/>
          <w:szCs w:val="48"/>
        </w:rPr>
      </w:pPr>
      <w:r w:rsidRPr="00605229">
        <w:rPr>
          <w:rFonts w:ascii="Times New Roman" w:eastAsia="Times New Roman" w:hAnsi="Times New Roman" w:cs="Times New Roman"/>
          <w:b/>
          <w:sz w:val="48"/>
          <w:szCs w:val="48"/>
        </w:rPr>
        <w:t>Individual report – CW1</w:t>
      </w:r>
    </w:p>
    <w:p w:rsidR="003622BB" w:rsidRPr="00605229" w:rsidRDefault="003622BB">
      <w:pPr>
        <w:spacing w:line="360" w:lineRule="auto"/>
        <w:jc w:val="center"/>
        <w:rPr>
          <w:rFonts w:ascii="Times New Roman" w:eastAsia="Times New Roman" w:hAnsi="Times New Roman" w:cs="Times New Roman"/>
          <w:b/>
          <w:sz w:val="36"/>
          <w:szCs w:val="36"/>
        </w:rPr>
      </w:pPr>
    </w:p>
    <w:p w:rsidR="003622BB" w:rsidRPr="00605229" w:rsidRDefault="003147FC">
      <w:pPr>
        <w:spacing w:line="360" w:lineRule="auto"/>
        <w:jc w:val="center"/>
        <w:rPr>
          <w:rFonts w:ascii="Times New Roman" w:eastAsia="Times New Roman" w:hAnsi="Times New Roman" w:cs="Times New Roman"/>
          <w:b/>
          <w:sz w:val="36"/>
          <w:szCs w:val="36"/>
        </w:rPr>
      </w:pPr>
      <w:r w:rsidRPr="00605229">
        <w:rPr>
          <w:rFonts w:ascii="Times New Roman" w:eastAsia="Times New Roman" w:hAnsi="Times New Roman" w:cs="Times New Roman"/>
          <w:b/>
          <w:sz w:val="36"/>
          <w:szCs w:val="36"/>
        </w:rPr>
        <w:t>Student Name:</w:t>
      </w:r>
      <w:r w:rsidR="003B2974">
        <w:rPr>
          <w:rFonts w:ascii="Times New Roman" w:eastAsia="Times New Roman" w:hAnsi="Times New Roman" w:cs="Times New Roman"/>
          <w:b/>
          <w:sz w:val="36"/>
          <w:szCs w:val="36"/>
        </w:rPr>
        <w:t>Shivaniben jay patel</w:t>
      </w:r>
    </w:p>
    <w:p w:rsidR="003B2974" w:rsidRPr="00605229" w:rsidRDefault="003147FC" w:rsidP="003B2974">
      <w:pPr>
        <w:spacing w:line="360" w:lineRule="auto"/>
        <w:jc w:val="center"/>
        <w:rPr>
          <w:rFonts w:ascii="Times New Roman" w:eastAsia="Times New Roman" w:hAnsi="Times New Roman" w:cs="Times New Roman"/>
          <w:b/>
          <w:sz w:val="36"/>
          <w:szCs w:val="36"/>
        </w:rPr>
      </w:pPr>
      <w:r w:rsidRPr="00605229">
        <w:rPr>
          <w:rFonts w:ascii="Times New Roman" w:eastAsia="Times New Roman" w:hAnsi="Times New Roman" w:cs="Times New Roman"/>
          <w:b/>
          <w:sz w:val="36"/>
          <w:szCs w:val="36"/>
        </w:rPr>
        <w:t>Student ID:</w:t>
      </w:r>
      <w:r w:rsidR="003B2974">
        <w:rPr>
          <w:rFonts w:ascii="Times New Roman" w:eastAsia="Times New Roman" w:hAnsi="Times New Roman" w:cs="Times New Roman"/>
          <w:b/>
          <w:sz w:val="36"/>
          <w:szCs w:val="36"/>
        </w:rPr>
        <w:t>2242383</w:t>
      </w:r>
    </w:p>
    <w:p w:rsidR="003622BB" w:rsidRPr="00605229" w:rsidRDefault="003147FC">
      <w:pPr>
        <w:spacing w:line="360" w:lineRule="auto"/>
        <w:jc w:val="center"/>
        <w:rPr>
          <w:rFonts w:ascii="Times New Roman" w:eastAsia="Times New Roman" w:hAnsi="Times New Roman" w:cs="Times New Roman"/>
          <w:b/>
          <w:sz w:val="36"/>
          <w:szCs w:val="36"/>
        </w:rPr>
      </w:pPr>
      <w:r w:rsidRPr="00605229">
        <w:rPr>
          <w:rFonts w:ascii="Times New Roman" w:eastAsia="Times New Roman" w:hAnsi="Times New Roman" w:cs="Times New Roman"/>
          <w:b/>
          <w:sz w:val="36"/>
          <w:szCs w:val="36"/>
        </w:rPr>
        <w:t>Words:</w:t>
      </w:r>
      <w:r w:rsidR="003B2974">
        <w:rPr>
          <w:rFonts w:ascii="Times New Roman" w:eastAsia="Times New Roman" w:hAnsi="Times New Roman" w:cs="Times New Roman"/>
          <w:b/>
          <w:sz w:val="36"/>
          <w:szCs w:val="36"/>
        </w:rPr>
        <w:t>2500</w:t>
      </w:r>
      <w:r w:rsidRPr="00605229">
        <w:br w:type="page"/>
      </w:r>
      <w:bookmarkStart w:id="0" w:name="_GoBack"/>
      <w:bookmarkEnd w:id="0"/>
    </w:p>
    <w:sdt>
      <w:sdtPr>
        <w:rPr>
          <w:rFonts w:ascii="Arial" w:hAnsi="Arial"/>
          <w:b w:val="0"/>
          <w:sz w:val="22"/>
          <w:szCs w:val="22"/>
        </w:rPr>
        <w:id w:val="1025209434"/>
        <w:docPartObj>
          <w:docPartGallery w:val="Table of Contents"/>
          <w:docPartUnique/>
        </w:docPartObj>
      </w:sdtPr>
      <w:sdtEndPr>
        <w:rPr>
          <w:bCs/>
        </w:rPr>
      </w:sdtEndPr>
      <w:sdtContent>
        <w:p w:rsidR="002C700B" w:rsidRPr="00605229" w:rsidRDefault="003147FC" w:rsidP="002C700B">
          <w:pPr>
            <w:pStyle w:val="Heading1"/>
            <w:jc w:val="center"/>
          </w:pPr>
          <w:r w:rsidRPr="00605229">
            <w:t>Table of Contents</w:t>
          </w:r>
        </w:p>
        <w:p w:rsidR="002C700B" w:rsidRPr="00605229" w:rsidRDefault="000A7F5A" w:rsidP="002C700B">
          <w:pPr>
            <w:pStyle w:val="TOC1"/>
            <w:tabs>
              <w:tab w:val="right" w:leader="dot" w:pos="9019"/>
            </w:tabs>
            <w:spacing w:line="360" w:lineRule="auto"/>
            <w:rPr>
              <w:rFonts w:ascii="Times New Roman" w:hAnsi="Times New Roman" w:cs="Times New Roman"/>
              <w:sz w:val="24"/>
              <w:szCs w:val="24"/>
            </w:rPr>
          </w:pPr>
          <w:r w:rsidRPr="00605229">
            <w:fldChar w:fldCharType="begin"/>
          </w:r>
          <w:r w:rsidR="003147FC" w:rsidRPr="00605229">
            <w:instrText xml:space="preserve"> TOC \o "1-3" \h \z \u </w:instrText>
          </w:r>
          <w:r w:rsidRPr="00605229">
            <w:fldChar w:fldCharType="separate"/>
          </w:r>
          <w:hyperlink w:anchor="_Toc137814138" w:history="1">
            <w:r w:rsidR="003147FC" w:rsidRPr="00605229">
              <w:rPr>
                <w:rStyle w:val="Hyperlink"/>
                <w:rFonts w:ascii="Times New Roman" w:hAnsi="Times New Roman" w:cs="Times New Roman"/>
                <w:sz w:val="24"/>
                <w:szCs w:val="24"/>
              </w:rPr>
              <w:t>Individual report</w:t>
            </w:r>
            <w:r w:rsidR="003147FC" w:rsidRPr="00605229">
              <w:rPr>
                <w:rFonts w:ascii="Times New Roman" w:hAnsi="Times New Roman" w:cs="Times New Roman"/>
                <w:webHidden/>
                <w:sz w:val="24"/>
                <w:szCs w:val="24"/>
              </w:rPr>
              <w:tab/>
            </w:r>
            <w:r w:rsidRPr="00605229">
              <w:rPr>
                <w:rFonts w:ascii="Times New Roman" w:hAnsi="Times New Roman" w:cs="Times New Roman"/>
                <w:webHidden/>
                <w:sz w:val="24"/>
                <w:szCs w:val="24"/>
              </w:rPr>
              <w:fldChar w:fldCharType="begin"/>
            </w:r>
            <w:r w:rsidR="003147FC" w:rsidRPr="00605229">
              <w:rPr>
                <w:rFonts w:ascii="Times New Roman" w:hAnsi="Times New Roman" w:cs="Times New Roman"/>
                <w:webHidden/>
                <w:sz w:val="24"/>
                <w:szCs w:val="24"/>
              </w:rPr>
              <w:instrText xml:space="preserve"> PAGEREF _Toc137814138 \h </w:instrText>
            </w:r>
            <w:r w:rsidRPr="00605229">
              <w:rPr>
                <w:rFonts w:ascii="Times New Roman" w:hAnsi="Times New Roman" w:cs="Times New Roman"/>
                <w:webHidden/>
                <w:sz w:val="24"/>
                <w:szCs w:val="24"/>
              </w:rPr>
            </w:r>
            <w:r w:rsidRPr="00605229">
              <w:rPr>
                <w:rFonts w:ascii="Times New Roman" w:hAnsi="Times New Roman" w:cs="Times New Roman"/>
                <w:webHidden/>
                <w:sz w:val="24"/>
                <w:szCs w:val="24"/>
              </w:rPr>
              <w:fldChar w:fldCharType="separate"/>
            </w:r>
            <w:r w:rsidR="003147FC" w:rsidRPr="00605229">
              <w:rPr>
                <w:rFonts w:ascii="Times New Roman" w:hAnsi="Times New Roman" w:cs="Times New Roman"/>
                <w:webHidden/>
                <w:sz w:val="24"/>
                <w:szCs w:val="24"/>
              </w:rPr>
              <w:t>3</w:t>
            </w:r>
            <w:r w:rsidRPr="00605229">
              <w:rPr>
                <w:rFonts w:ascii="Times New Roman" w:hAnsi="Times New Roman" w:cs="Times New Roman"/>
                <w:webHidden/>
                <w:sz w:val="24"/>
                <w:szCs w:val="24"/>
              </w:rPr>
              <w:fldChar w:fldCharType="end"/>
            </w:r>
          </w:hyperlink>
        </w:p>
        <w:p w:rsidR="002C700B" w:rsidRPr="00605229" w:rsidRDefault="00D63D60" w:rsidP="002C700B">
          <w:pPr>
            <w:pStyle w:val="TOC1"/>
            <w:tabs>
              <w:tab w:val="right" w:leader="dot" w:pos="9019"/>
            </w:tabs>
            <w:spacing w:line="360" w:lineRule="auto"/>
            <w:rPr>
              <w:rFonts w:ascii="Times New Roman" w:hAnsi="Times New Roman" w:cs="Times New Roman"/>
              <w:sz w:val="24"/>
              <w:szCs w:val="24"/>
            </w:rPr>
          </w:pPr>
          <w:hyperlink w:anchor="_Toc137814139" w:history="1">
            <w:r w:rsidR="003147FC" w:rsidRPr="00605229">
              <w:rPr>
                <w:rStyle w:val="Hyperlink"/>
                <w:rFonts w:ascii="Times New Roman" w:hAnsi="Times New Roman" w:cs="Times New Roman"/>
                <w:sz w:val="24"/>
                <w:szCs w:val="24"/>
              </w:rPr>
              <w:t>Introduction</w:t>
            </w:r>
            <w:r w:rsidR="003147FC" w:rsidRPr="00605229">
              <w:rPr>
                <w:rFonts w:ascii="Times New Roman" w:hAnsi="Times New Roman" w:cs="Times New Roman"/>
                <w:webHidden/>
                <w:sz w:val="24"/>
                <w:szCs w:val="24"/>
              </w:rPr>
              <w:tab/>
            </w:r>
            <w:r w:rsidR="000A7F5A" w:rsidRPr="00605229">
              <w:rPr>
                <w:rFonts w:ascii="Times New Roman" w:hAnsi="Times New Roman" w:cs="Times New Roman"/>
                <w:webHidden/>
                <w:sz w:val="24"/>
                <w:szCs w:val="24"/>
              </w:rPr>
              <w:fldChar w:fldCharType="begin"/>
            </w:r>
            <w:r w:rsidR="003147FC" w:rsidRPr="00605229">
              <w:rPr>
                <w:rFonts w:ascii="Times New Roman" w:hAnsi="Times New Roman" w:cs="Times New Roman"/>
                <w:webHidden/>
                <w:sz w:val="24"/>
                <w:szCs w:val="24"/>
              </w:rPr>
              <w:instrText xml:space="preserve"> PAGEREF _Toc137814139 \h </w:instrText>
            </w:r>
            <w:r w:rsidR="000A7F5A" w:rsidRPr="00605229">
              <w:rPr>
                <w:rFonts w:ascii="Times New Roman" w:hAnsi="Times New Roman" w:cs="Times New Roman"/>
                <w:webHidden/>
                <w:sz w:val="24"/>
                <w:szCs w:val="24"/>
              </w:rPr>
            </w:r>
            <w:r w:rsidR="000A7F5A" w:rsidRPr="00605229">
              <w:rPr>
                <w:rFonts w:ascii="Times New Roman" w:hAnsi="Times New Roman" w:cs="Times New Roman"/>
                <w:webHidden/>
                <w:sz w:val="24"/>
                <w:szCs w:val="24"/>
              </w:rPr>
              <w:fldChar w:fldCharType="separate"/>
            </w:r>
            <w:r w:rsidR="003147FC" w:rsidRPr="00605229">
              <w:rPr>
                <w:rFonts w:ascii="Times New Roman" w:hAnsi="Times New Roman" w:cs="Times New Roman"/>
                <w:webHidden/>
                <w:sz w:val="24"/>
                <w:szCs w:val="24"/>
              </w:rPr>
              <w:t>3</w:t>
            </w:r>
            <w:r w:rsidR="000A7F5A" w:rsidRPr="00605229">
              <w:rPr>
                <w:rFonts w:ascii="Times New Roman" w:hAnsi="Times New Roman" w:cs="Times New Roman"/>
                <w:webHidden/>
                <w:sz w:val="24"/>
                <w:szCs w:val="24"/>
              </w:rPr>
              <w:fldChar w:fldCharType="end"/>
            </w:r>
          </w:hyperlink>
        </w:p>
        <w:p w:rsidR="002C700B" w:rsidRPr="00605229" w:rsidRDefault="00D63D60" w:rsidP="002C700B">
          <w:pPr>
            <w:pStyle w:val="TOC1"/>
            <w:tabs>
              <w:tab w:val="right" w:leader="dot" w:pos="9019"/>
            </w:tabs>
            <w:spacing w:line="360" w:lineRule="auto"/>
            <w:rPr>
              <w:rFonts w:ascii="Times New Roman" w:hAnsi="Times New Roman" w:cs="Times New Roman"/>
              <w:sz w:val="24"/>
              <w:szCs w:val="24"/>
            </w:rPr>
          </w:pPr>
          <w:hyperlink w:anchor="_Toc137814140" w:history="1">
            <w:r w:rsidR="003147FC" w:rsidRPr="00605229">
              <w:rPr>
                <w:rStyle w:val="Hyperlink"/>
                <w:rFonts w:ascii="Times New Roman" w:hAnsi="Times New Roman" w:cs="Times New Roman"/>
                <w:sz w:val="24"/>
                <w:szCs w:val="24"/>
              </w:rPr>
              <w:t>How does HR in the private sector differ from HR in the public sector</w:t>
            </w:r>
            <w:r w:rsidR="003147FC" w:rsidRPr="00605229">
              <w:rPr>
                <w:rFonts w:ascii="Times New Roman" w:hAnsi="Times New Roman" w:cs="Times New Roman"/>
                <w:webHidden/>
                <w:sz w:val="24"/>
                <w:szCs w:val="24"/>
              </w:rPr>
              <w:tab/>
            </w:r>
            <w:r w:rsidR="000A7F5A" w:rsidRPr="00605229">
              <w:rPr>
                <w:rFonts w:ascii="Times New Roman" w:hAnsi="Times New Roman" w:cs="Times New Roman"/>
                <w:webHidden/>
                <w:sz w:val="24"/>
                <w:szCs w:val="24"/>
              </w:rPr>
              <w:fldChar w:fldCharType="begin"/>
            </w:r>
            <w:r w:rsidR="003147FC" w:rsidRPr="00605229">
              <w:rPr>
                <w:rFonts w:ascii="Times New Roman" w:hAnsi="Times New Roman" w:cs="Times New Roman"/>
                <w:webHidden/>
                <w:sz w:val="24"/>
                <w:szCs w:val="24"/>
              </w:rPr>
              <w:instrText xml:space="preserve"> PAGEREF _Toc137814140 \h </w:instrText>
            </w:r>
            <w:r w:rsidR="000A7F5A" w:rsidRPr="00605229">
              <w:rPr>
                <w:rFonts w:ascii="Times New Roman" w:hAnsi="Times New Roman" w:cs="Times New Roman"/>
                <w:webHidden/>
                <w:sz w:val="24"/>
                <w:szCs w:val="24"/>
              </w:rPr>
            </w:r>
            <w:r w:rsidR="000A7F5A" w:rsidRPr="00605229">
              <w:rPr>
                <w:rFonts w:ascii="Times New Roman" w:hAnsi="Times New Roman" w:cs="Times New Roman"/>
                <w:webHidden/>
                <w:sz w:val="24"/>
                <w:szCs w:val="24"/>
              </w:rPr>
              <w:fldChar w:fldCharType="separate"/>
            </w:r>
            <w:r w:rsidR="003147FC" w:rsidRPr="00605229">
              <w:rPr>
                <w:rFonts w:ascii="Times New Roman" w:hAnsi="Times New Roman" w:cs="Times New Roman"/>
                <w:webHidden/>
                <w:sz w:val="24"/>
                <w:szCs w:val="24"/>
              </w:rPr>
              <w:t>3</w:t>
            </w:r>
            <w:r w:rsidR="000A7F5A" w:rsidRPr="00605229">
              <w:rPr>
                <w:rFonts w:ascii="Times New Roman" w:hAnsi="Times New Roman" w:cs="Times New Roman"/>
                <w:webHidden/>
                <w:sz w:val="24"/>
                <w:szCs w:val="24"/>
              </w:rPr>
              <w:fldChar w:fldCharType="end"/>
            </w:r>
          </w:hyperlink>
        </w:p>
        <w:p w:rsidR="002C700B" w:rsidRPr="00605229" w:rsidRDefault="00D63D60" w:rsidP="002C700B">
          <w:pPr>
            <w:pStyle w:val="TOC1"/>
            <w:tabs>
              <w:tab w:val="right" w:leader="dot" w:pos="9019"/>
            </w:tabs>
            <w:spacing w:line="360" w:lineRule="auto"/>
            <w:rPr>
              <w:rFonts w:ascii="Times New Roman" w:hAnsi="Times New Roman" w:cs="Times New Roman"/>
              <w:sz w:val="24"/>
              <w:szCs w:val="24"/>
            </w:rPr>
          </w:pPr>
          <w:hyperlink w:anchor="_Toc137814141" w:history="1">
            <w:r w:rsidR="003147FC" w:rsidRPr="00605229">
              <w:rPr>
                <w:rStyle w:val="Hyperlink"/>
                <w:rFonts w:ascii="Times New Roman" w:hAnsi="Times New Roman" w:cs="Times New Roman"/>
                <w:sz w:val="24"/>
                <w:szCs w:val="24"/>
              </w:rPr>
              <w:t>How does the sector determine the effectiveness of HR strategy</w:t>
            </w:r>
            <w:r w:rsidR="003147FC" w:rsidRPr="00605229">
              <w:rPr>
                <w:rFonts w:ascii="Times New Roman" w:hAnsi="Times New Roman" w:cs="Times New Roman"/>
                <w:webHidden/>
                <w:sz w:val="24"/>
                <w:szCs w:val="24"/>
              </w:rPr>
              <w:tab/>
            </w:r>
            <w:r w:rsidR="000A7F5A" w:rsidRPr="00605229">
              <w:rPr>
                <w:rFonts w:ascii="Times New Roman" w:hAnsi="Times New Roman" w:cs="Times New Roman"/>
                <w:webHidden/>
                <w:sz w:val="24"/>
                <w:szCs w:val="24"/>
              </w:rPr>
              <w:fldChar w:fldCharType="begin"/>
            </w:r>
            <w:r w:rsidR="003147FC" w:rsidRPr="00605229">
              <w:rPr>
                <w:rFonts w:ascii="Times New Roman" w:hAnsi="Times New Roman" w:cs="Times New Roman"/>
                <w:webHidden/>
                <w:sz w:val="24"/>
                <w:szCs w:val="24"/>
              </w:rPr>
              <w:instrText xml:space="preserve"> PAGEREF _Toc137814141 \h </w:instrText>
            </w:r>
            <w:r w:rsidR="000A7F5A" w:rsidRPr="00605229">
              <w:rPr>
                <w:rFonts w:ascii="Times New Roman" w:hAnsi="Times New Roman" w:cs="Times New Roman"/>
                <w:webHidden/>
                <w:sz w:val="24"/>
                <w:szCs w:val="24"/>
              </w:rPr>
            </w:r>
            <w:r w:rsidR="000A7F5A" w:rsidRPr="00605229">
              <w:rPr>
                <w:rFonts w:ascii="Times New Roman" w:hAnsi="Times New Roman" w:cs="Times New Roman"/>
                <w:webHidden/>
                <w:sz w:val="24"/>
                <w:szCs w:val="24"/>
              </w:rPr>
              <w:fldChar w:fldCharType="separate"/>
            </w:r>
            <w:r w:rsidR="003147FC" w:rsidRPr="00605229">
              <w:rPr>
                <w:rFonts w:ascii="Times New Roman" w:hAnsi="Times New Roman" w:cs="Times New Roman"/>
                <w:webHidden/>
                <w:sz w:val="24"/>
                <w:szCs w:val="24"/>
              </w:rPr>
              <w:t>6</w:t>
            </w:r>
            <w:r w:rsidR="000A7F5A" w:rsidRPr="00605229">
              <w:rPr>
                <w:rFonts w:ascii="Times New Roman" w:hAnsi="Times New Roman" w:cs="Times New Roman"/>
                <w:webHidden/>
                <w:sz w:val="24"/>
                <w:szCs w:val="24"/>
              </w:rPr>
              <w:fldChar w:fldCharType="end"/>
            </w:r>
          </w:hyperlink>
        </w:p>
        <w:p w:rsidR="002C700B" w:rsidRPr="00605229" w:rsidRDefault="00D63D60" w:rsidP="002C700B">
          <w:pPr>
            <w:pStyle w:val="TOC1"/>
            <w:tabs>
              <w:tab w:val="right" w:leader="dot" w:pos="9019"/>
            </w:tabs>
            <w:spacing w:line="360" w:lineRule="auto"/>
            <w:rPr>
              <w:rFonts w:ascii="Times New Roman" w:hAnsi="Times New Roman" w:cs="Times New Roman"/>
              <w:sz w:val="24"/>
              <w:szCs w:val="24"/>
            </w:rPr>
          </w:pPr>
          <w:hyperlink w:anchor="_Toc137814142" w:history="1">
            <w:r w:rsidR="003147FC" w:rsidRPr="00605229">
              <w:rPr>
                <w:rStyle w:val="Hyperlink"/>
                <w:rFonts w:ascii="Times New Roman" w:hAnsi="Times New Roman" w:cs="Times New Roman"/>
                <w:sz w:val="24"/>
                <w:szCs w:val="24"/>
              </w:rPr>
              <w:t>How can HR develop employees to achieve strategic goals</w:t>
            </w:r>
            <w:r w:rsidR="003147FC" w:rsidRPr="00605229">
              <w:rPr>
                <w:rFonts w:ascii="Times New Roman" w:hAnsi="Times New Roman" w:cs="Times New Roman"/>
                <w:webHidden/>
                <w:sz w:val="24"/>
                <w:szCs w:val="24"/>
              </w:rPr>
              <w:tab/>
            </w:r>
            <w:r w:rsidR="000A7F5A" w:rsidRPr="00605229">
              <w:rPr>
                <w:rFonts w:ascii="Times New Roman" w:hAnsi="Times New Roman" w:cs="Times New Roman"/>
                <w:webHidden/>
                <w:sz w:val="24"/>
                <w:szCs w:val="24"/>
              </w:rPr>
              <w:fldChar w:fldCharType="begin"/>
            </w:r>
            <w:r w:rsidR="003147FC" w:rsidRPr="00605229">
              <w:rPr>
                <w:rFonts w:ascii="Times New Roman" w:hAnsi="Times New Roman" w:cs="Times New Roman"/>
                <w:webHidden/>
                <w:sz w:val="24"/>
                <w:szCs w:val="24"/>
              </w:rPr>
              <w:instrText xml:space="preserve"> PAGEREF _Toc137814142 \h </w:instrText>
            </w:r>
            <w:r w:rsidR="000A7F5A" w:rsidRPr="00605229">
              <w:rPr>
                <w:rFonts w:ascii="Times New Roman" w:hAnsi="Times New Roman" w:cs="Times New Roman"/>
                <w:webHidden/>
                <w:sz w:val="24"/>
                <w:szCs w:val="24"/>
              </w:rPr>
            </w:r>
            <w:r w:rsidR="000A7F5A" w:rsidRPr="00605229">
              <w:rPr>
                <w:rFonts w:ascii="Times New Roman" w:hAnsi="Times New Roman" w:cs="Times New Roman"/>
                <w:webHidden/>
                <w:sz w:val="24"/>
                <w:szCs w:val="24"/>
              </w:rPr>
              <w:fldChar w:fldCharType="separate"/>
            </w:r>
            <w:r w:rsidR="003147FC" w:rsidRPr="00605229">
              <w:rPr>
                <w:rFonts w:ascii="Times New Roman" w:hAnsi="Times New Roman" w:cs="Times New Roman"/>
                <w:webHidden/>
                <w:sz w:val="24"/>
                <w:szCs w:val="24"/>
              </w:rPr>
              <w:t>9</w:t>
            </w:r>
            <w:r w:rsidR="000A7F5A" w:rsidRPr="00605229">
              <w:rPr>
                <w:rFonts w:ascii="Times New Roman" w:hAnsi="Times New Roman" w:cs="Times New Roman"/>
                <w:webHidden/>
                <w:sz w:val="24"/>
                <w:szCs w:val="24"/>
              </w:rPr>
              <w:fldChar w:fldCharType="end"/>
            </w:r>
          </w:hyperlink>
        </w:p>
        <w:p w:rsidR="002C700B" w:rsidRPr="00605229" w:rsidRDefault="00D63D60" w:rsidP="002C700B">
          <w:pPr>
            <w:pStyle w:val="TOC1"/>
            <w:tabs>
              <w:tab w:val="right" w:leader="dot" w:pos="9019"/>
            </w:tabs>
            <w:spacing w:line="360" w:lineRule="auto"/>
            <w:rPr>
              <w:rFonts w:ascii="Times New Roman" w:hAnsi="Times New Roman" w:cs="Times New Roman"/>
              <w:sz w:val="24"/>
              <w:szCs w:val="24"/>
            </w:rPr>
          </w:pPr>
          <w:hyperlink w:anchor="_Toc137814143" w:history="1">
            <w:r w:rsidR="003147FC" w:rsidRPr="00605229">
              <w:rPr>
                <w:rStyle w:val="Hyperlink"/>
                <w:rFonts w:ascii="Times New Roman" w:hAnsi="Times New Roman" w:cs="Times New Roman"/>
                <w:sz w:val="24"/>
                <w:szCs w:val="24"/>
              </w:rPr>
              <w:t>What organisational climate factors affect the effectiveness of HR Strategy</w:t>
            </w:r>
            <w:r w:rsidR="003147FC" w:rsidRPr="00605229">
              <w:rPr>
                <w:rFonts w:ascii="Times New Roman" w:hAnsi="Times New Roman" w:cs="Times New Roman"/>
                <w:webHidden/>
                <w:sz w:val="24"/>
                <w:szCs w:val="24"/>
              </w:rPr>
              <w:tab/>
            </w:r>
            <w:r w:rsidR="000A7F5A" w:rsidRPr="00605229">
              <w:rPr>
                <w:rFonts w:ascii="Times New Roman" w:hAnsi="Times New Roman" w:cs="Times New Roman"/>
                <w:webHidden/>
                <w:sz w:val="24"/>
                <w:szCs w:val="24"/>
              </w:rPr>
              <w:fldChar w:fldCharType="begin"/>
            </w:r>
            <w:r w:rsidR="003147FC" w:rsidRPr="00605229">
              <w:rPr>
                <w:rFonts w:ascii="Times New Roman" w:hAnsi="Times New Roman" w:cs="Times New Roman"/>
                <w:webHidden/>
                <w:sz w:val="24"/>
                <w:szCs w:val="24"/>
              </w:rPr>
              <w:instrText xml:space="preserve"> PAGEREF _Toc137814143 \h </w:instrText>
            </w:r>
            <w:r w:rsidR="000A7F5A" w:rsidRPr="00605229">
              <w:rPr>
                <w:rFonts w:ascii="Times New Roman" w:hAnsi="Times New Roman" w:cs="Times New Roman"/>
                <w:webHidden/>
                <w:sz w:val="24"/>
                <w:szCs w:val="24"/>
              </w:rPr>
            </w:r>
            <w:r w:rsidR="000A7F5A" w:rsidRPr="00605229">
              <w:rPr>
                <w:rFonts w:ascii="Times New Roman" w:hAnsi="Times New Roman" w:cs="Times New Roman"/>
                <w:webHidden/>
                <w:sz w:val="24"/>
                <w:szCs w:val="24"/>
              </w:rPr>
              <w:fldChar w:fldCharType="separate"/>
            </w:r>
            <w:r w:rsidR="003147FC" w:rsidRPr="00605229">
              <w:rPr>
                <w:rFonts w:ascii="Times New Roman" w:hAnsi="Times New Roman" w:cs="Times New Roman"/>
                <w:webHidden/>
                <w:sz w:val="24"/>
                <w:szCs w:val="24"/>
              </w:rPr>
              <w:t>11</w:t>
            </w:r>
            <w:r w:rsidR="000A7F5A" w:rsidRPr="00605229">
              <w:rPr>
                <w:rFonts w:ascii="Times New Roman" w:hAnsi="Times New Roman" w:cs="Times New Roman"/>
                <w:webHidden/>
                <w:sz w:val="24"/>
                <w:szCs w:val="24"/>
              </w:rPr>
              <w:fldChar w:fldCharType="end"/>
            </w:r>
          </w:hyperlink>
        </w:p>
        <w:p w:rsidR="002C700B" w:rsidRPr="00605229" w:rsidRDefault="00D63D60" w:rsidP="002C700B">
          <w:pPr>
            <w:pStyle w:val="TOC1"/>
            <w:tabs>
              <w:tab w:val="right" w:leader="dot" w:pos="9019"/>
            </w:tabs>
            <w:spacing w:line="360" w:lineRule="auto"/>
            <w:rPr>
              <w:rFonts w:ascii="Times New Roman" w:hAnsi="Times New Roman" w:cs="Times New Roman"/>
              <w:sz w:val="24"/>
              <w:szCs w:val="24"/>
            </w:rPr>
          </w:pPr>
          <w:hyperlink w:anchor="_Toc137814144" w:history="1">
            <w:r w:rsidR="003147FC" w:rsidRPr="00605229">
              <w:rPr>
                <w:rStyle w:val="Hyperlink"/>
                <w:rFonts w:ascii="Times New Roman" w:hAnsi="Times New Roman" w:cs="Times New Roman"/>
                <w:sz w:val="24"/>
                <w:szCs w:val="24"/>
              </w:rPr>
              <w:t>Conclusion</w:t>
            </w:r>
            <w:r w:rsidR="003147FC" w:rsidRPr="00605229">
              <w:rPr>
                <w:rFonts w:ascii="Times New Roman" w:hAnsi="Times New Roman" w:cs="Times New Roman"/>
                <w:webHidden/>
                <w:sz w:val="24"/>
                <w:szCs w:val="24"/>
              </w:rPr>
              <w:tab/>
            </w:r>
            <w:r w:rsidR="000A7F5A" w:rsidRPr="00605229">
              <w:rPr>
                <w:rFonts w:ascii="Times New Roman" w:hAnsi="Times New Roman" w:cs="Times New Roman"/>
                <w:webHidden/>
                <w:sz w:val="24"/>
                <w:szCs w:val="24"/>
              </w:rPr>
              <w:fldChar w:fldCharType="begin"/>
            </w:r>
            <w:r w:rsidR="003147FC" w:rsidRPr="00605229">
              <w:rPr>
                <w:rFonts w:ascii="Times New Roman" w:hAnsi="Times New Roman" w:cs="Times New Roman"/>
                <w:webHidden/>
                <w:sz w:val="24"/>
                <w:szCs w:val="24"/>
              </w:rPr>
              <w:instrText xml:space="preserve"> PAGEREF _Toc137814144 \h </w:instrText>
            </w:r>
            <w:r w:rsidR="000A7F5A" w:rsidRPr="00605229">
              <w:rPr>
                <w:rFonts w:ascii="Times New Roman" w:hAnsi="Times New Roman" w:cs="Times New Roman"/>
                <w:webHidden/>
                <w:sz w:val="24"/>
                <w:szCs w:val="24"/>
              </w:rPr>
            </w:r>
            <w:r w:rsidR="000A7F5A" w:rsidRPr="00605229">
              <w:rPr>
                <w:rFonts w:ascii="Times New Roman" w:hAnsi="Times New Roman" w:cs="Times New Roman"/>
                <w:webHidden/>
                <w:sz w:val="24"/>
                <w:szCs w:val="24"/>
              </w:rPr>
              <w:fldChar w:fldCharType="separate"/>
            </w:r>
            <w:r w:rsidR="003147FC" w:rsidRPr="00605229">
              <w:rPr>
                <w:rFonts w:ascii="Times New Roman" w:hAnsi="Times New Roman" w:cs="Times New Roman"/>
                <w:webHidden/>
                <w:sz w:val="24"/>
                <w:szCs w:val="24"/>
              </w:rPr>
              <w:t>12</w:t>
            </w:r>
            <w:r w:rsidR="000A7F5A" w:rsidRPr="00605229">
              <w:rPr>
                <w:rFonts w:ascii="Times New Roman" w:hAnsi="Times New Roman" w:cs="Times New Roman"/>
                <w:webHidden/>
                <w:sz w:val="24"/>
                <w:szCs w:val="24"/>
              </w:rPr>
              <w:fldChar w:fldCharType="end"/>
            </w:r>
          </w:hyperlink>
        </w:p>
        <w:p w:rsidR="002C700B" w:rsidRPr="00605229" w:rsidRDefault="00D63D60" w:rsidP="002C700B">
          <w:pPr>
            <w:pStyle w:val="TOC1"/>
            <w:tabs>
              <w:tab w:val="right" w:leader="dot" w:pos="9019"/>
            </w:tabs>
            <w:spacing w:line="360" w:lineRule="auto"/>
          </w:pPr>
          <w:hyperlink w:anchor="_Toc137814145" w:history="1">
            <w:r w:rsidR="003147FC" w:rsidRPr="00605229">
              <w:rPr>
                <w:rStyle w:val="Hyperlink"/>
                <w:rFonts w:ascii="Times New Roman" w:hAnsi="Times New Roman" w:cs="Times New Roman"/>
                <w:sz w:val="24"/>
                <w:szCs w:val="24"/>
              </w:rPr>
              <w:t>References</w:t>
            </w:r>
            <w:r w:rsidR="003147FC" w:rsidRPr="00605229">
              <w:rPr>
                <w:rFonts w:ascii="Times New Roman" w:hAnsi="Times New Roman" w:cs="Times New Roman"/>
                <w:webHidden/>
                <w:sz w:val="24"/>
                <w:szCs w:val="24"/>
              </w:rPr>
              <w:tab/>
            </w:r>
            <w:r w:rsidR="000A7F5A" w:rsidRPr="00605229">
              <w:rPr>
                <w:rFonts w:ascii="Times New Roman" w:hAnsi="Times New Roman" w:cs="Times New Roman"/>
                <w:webHidden/>
                <w:sz w:val="24"/>
                <w:szCs w:val="24"/>
              </w:rPr>
              <w:fldChar w:fldCharType="begin"/>
            </w:r>
            <w:r w:rsidR="003147FC" w:rsidRPr="00605229">
              <w:rPr>
                <w:rFonts w:ascii="Times New Roman" w:hAnsi="Times New Roman" w:cs="Times New Roman"/>
                <w:webHidden/>
                <w:sz w:val="24"/>
                <w:szCs w:val="24"/>
              </w:rPr>
              <w:instrText xml:space="preserve"> PAGEREF _Toc137814145 \h </w:instrText>
            </w:r>
            <w:r w:rsidR="000A7F5A" w:rsidRPr="00605229">
              <w:rPr>
                <w:rFonts w:ascii="Times New Roman" w:hAnsi="Times New Roman" w:cs="Times New Roman"/>
                <w:webHidden/>
                <w:sz w:val="24"/>
                <w:szCs w:val="24"/>
              </w:rPr>
            </w:r>
            <w:r w:rsidR="000A7F5A" w:rsidRPr="00605229">
              <w:rPr>
                <w:rFonts w:ascii="Times New Roman" w:hAnsi="Times New Roman" w:cs="Times New Roman"/>
                <w:webHidden/>
                <w:sz w:val="24"/>
                <w:szCs w:val="24"/>
              </w:rPr>
              <w:fldChar w:fldCharType="separate"/>
            </w:r>
            <w:r w:rsidR="003147FC" w:rsidRPr="00605229">
              <w:rPr>
                <w:rFonts w:ascii="Times New Roman" w:hAnsi="Times New Roman" w:cs="Times New Roman"/>
                <w:webHidden/>
                <w:sz w:val="24"/>
                <w:szCs w:val="24"/>
              </w:rPr>
              <w:t>14</w:t>
            </w:r>
            <w:r w:rsidR="000A7F5A" w:rsidRPr="00605229">
              <w:rPr>
                <w:rFonts w:ascii="Times New Roman" w:hAnsi="Times New Roman" w:cs="Times New Roman"/>
                <w:webHidden/>
                <w:sz w:val="24"/>
                <w:szCs w:val="24"/>
              </w:rPr>
              <w:fldChar w:fldCharType="end"/>
            </w:r>
          </w:hyperlink>
        </w:p>
        <w:p w:rsidR="002C700B" w:rsidRPr="00605229" w:rsidRDefault="000A7F5A">
          <w:r w:rsidRPr="00605229">
            <w:rPr>
              <w:b/>
              <w:bCs/>
            </w:rPr>
            <w:fldChar w:fldCharType="end"/>
          </w:r>
        </w:p>
      </w:sdtContent>
    </w:sdt>
    <w:p w:rsidR="002C700B" w:rsidRPr="00605229" w:rsidRDefault="003147FC">
      <w:pPr>
        <w:rPr>
          <w:rFonts w:ascii="Times New Roman" w:eastAsia="Times New Roman" w:hAnsi="Times New Roman" w:cs="Times New Roman"/>
          <w:b/>
          <w:sz w:val="28"/>
          <w:szCs w:val="28"/>
        </w:rPr>
      </w:pPr>
      <w:r w:rsidRPr="00605229">
        <w:rPr>
          <w:rFonts w:ascii="Times New Roman" w:eastAsia="Times New Roman" w:hAnsi="Times New Roman" w:cs="Times New Roman"/>
          <w:b/>
          <w:sz w:val="28"/>
          <w:szCs w:val="28"/>
        </w:rPr>
        <w:br w:type="page"/>
      </w:r>
    </w:p>
    <w:p w:rsidR="002C700B" w:rsidRPr="00605229" w:rsidRDefault="003147FC" w:rsidP="002C700B">
      <w:pPr>
        <w:pStyle w:val="Heading1"/>
      </w:pPr>
      <w:bookmarkStart w:id="1" w:name="_Toc137814139"/>
      <w:r w:rsidRPr="00605229">
        <w:lastRenderedPageBreak/>
        <w:t>Introduction</w:t>
      </w:r>
      <w:bookmarkEnd w:id="1"/>
    </w:p>
    <w:p w:rsidR="003622B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sz w:val="24"/>
          <w:szCs w:val="24"/>
        </w:rPr>
        <w:t>East Coast County (ECC), a company in the public sector, aids its customers through a range of HR and organisational growth programmes. Around five years ago, ECC identified a serious issue in the general public sector: a lack of capacity for strategic HR collaboration. The lack of qualified individuals in top HR positions was causing problems for employers in the area by limiting their ability to effectively address organisational needs. ECC decided to take action because it understood the value of strategic HR partnerships and the need to build a talent pipeline. The organisation understood that if they were to lack a large pool of applicants with great business relationship skills, they were going to continue having a lot of openings at the Head of Human Resources level. In order to solve this issue, ECC's chief executive, Jill Paterson, stressed the importance of building a pipeline of talent as a way of nurturing and developing people who could fill these critical managerial human resources jobs. By tackling the lack of proactive HR partnering capabilities and actively developing a talent pipeline, ECC sought to equip the public sector with qualified HR professionals capable of fostering organisational success and overcoming the particular problems faced by public sector organisations.</w:t>
      </w:r>
    </w:p>
    <w:p w:rsidR="002C700B" w:rsidRPr="00605229" w:rsidRDefault="003147FC" w:rsidP="002C700B">
      <w:pPr>
        <w:pStyle w:val="Heading1"/>
      </w:pPr>
      <w:bookmarkStart w:id="2" w:name="_Toc137814140"/>
      <w:r w:rsidRPr="00605229">
        <w:t>How does HR in the private sector differ from HR in the public sector</w:t>
      </w:r>
      <w:bookmarkEnd w:id="2"/>
    </w:p>
    <w:p w:rsidR="003622B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sz w:val="24"/>
          <w:szCs w:val="24"/>
        </w:rPr>
        <w:t>HR differences between the private and public sectors can take many different forms. These differences arise from variations in organisational goals, priorities, legal frameworks, stakeholder relationships, and operating environments. Critically addressing these variations, we can highlight the following factors:</w:t>
      </w:r>
    </w:p>
    <w:p w:rsidR="003622B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b/>
          <w:i/>
          <w:sz w:val="24"/>
          <w:szCs w:val="24"/>
        </w:rPr>
        <w:t>Organisational Goals and Priorities:</w:t>
      </w:r>
      <w:r w:rsidRPr="00605229">
        <w:rPr>
          <w:rFonts w:ascii="Times New Roman" w:eastAsia="Times New Roman" w:hAnsi="Times New Roman" w:cs="Times New Roman"/>
          <w:sz w:val="24"/>
          <w:szCs w:val="24"/>
        </w:rPr>
        <w:t xml:space="preserve"> Private sector HR departments are generally conscious of maximising profitability, driving enterprise growth, and delivering shareholder value. The HR function inside the private segment regularly works closely with different enterprise units to align HR techniques with organisational goals, which include skills acquisition, retention, and overall performance management, to gain a competitive position (García-Juan, Escrig-Tena and Roca-Puig, 2019). In contrast, HR in the public sector is more mission-driven, aiming to serve the public interest and provide vibrant and effective public services. Public sector HR emphasises fairness, equity, and transparency in its practices, making sure of compliance with legal and ethical requirements.</w:t>
      </w:r>
    </w:p>
    <w:p w:rsidR="003622BB" w:rsidRPr="00605229" w:rsidRDefault="003147FC">
      <w:pPr>
        <w:spacing w:before="240" w:after="240" w:line="360" w:lineRule="auto"/>
        <w:jc w:val="center"/>
        <w:rPr>
          <w:rFonts w:ascii="Times New Roman" w:eastAsia="Times New Roman" w:hAnsi="Times New Roman" w:cs="Times New Roman"/>
          <w:b/>
          <w:sz w:val="24"/>
          <w:szCs w:val="24"/>
        </w:rPr>
      </w:pPr>
      <w:r w:rsidRPr="00605229">
        <w:rPr>
          <w:rFonts w:ascii="Times New Roman" w:eastAsia="Times New Roman" w:hAnsi="Times New Roman" w:cs="Times New Roman"/>
          <w:noProof/>
          <w:sz w:val="24"/>
          <w:szCs w:val="24"/>
          <w:lang w:val="en-US" w:eastAsia="en-US" w:bidi="gu-IN"/>
        </w:rPr>
        <w:lastRenderedPageBreak/>
        <w:drawing>
          <wp:inline distT="114300" distB="114300" distL="114300" distR="114300">
            <wp:extent cx="5731200" cy="41275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9"/>
                    <a:stretch>
                      <a:fillRect/>
                    </a:stretch>
                  </pic:blipFill>
                  <pic:spPr>
                    <a:xfrm>
                      <a:off x="0" y="0"/>
                      <a:ext cx="5731200" cy="4127500"/>
                    </a:xfrm>
                    <a:prstGeom prst="rect">
                      <a:avLst/>
                    </a:prstGeom>
                  </pic:spPr>
                </pic:pic>
              </a:graphicData>
            </a:graphic>
          </wp:inline>
        </w:drawing>
      </w:r>
      <w:r w:rsidRPr="00605229">
        <w:rPr>
          <w:rFonts w:ascii="Times New Roman" w:eastAsia="Times New Roman" w:hAnsi="Times New Roman" w:cs="Times New Roman"/>
          <w:b/>
          <w:sz w:val="24"/>
          <w:szCs w:val="24"/>
        </w:rPr>
        <w:t>Figure.Organisational Objectives</w:t>
      </w:r>
    </w:p>
    <w:p w:rsidR="003622BB" w:rsidRPr="00605229" w:rsidRDefault="003147FC">
      <w:pPr>
        <w:spacing w:before="240" w:after="240" w:line="360" w:lineRule="auto"/>
        <w:jc w:val="center"/>
        <w:rPr>
          <w:rFonts w:ascii="Times New Roman" w:eastAsia="Times New Roman" w:hAnsi="Times New Roman" w:cs="Times New Roman"/>
          <w:sz w:val="24"/>
          <w:szCs w:val="24"/>
        </w:rPr>
      </w:pPr>
      <w:r w:rsidRPr="00605229">
        <w:rPr>
          <w:rFonts w:ascii="Times New Roman" w:eastAsia="Times New Roman" w:hAnsi="Times New Roman" w:cs="Times New Roman"/>
          <w:sz w:val="24"/>
          <w:szCs w:val="24"/>
        </w:rPr>
        <w:t>(Source: Self-Made)</w:t>
      </w:r>
    </w:p>
    <w:p w:rsidR="003622B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b/>
          <w:i/>
          <w:sz w:val="24"/>
          <w:szCs w:val="24"/>
        </w:rPr>
        <w:t>Legal Framework and Regulations:</w:t>
      </w:r>
      <w:r w:rsidRPr="00605229">
        <w:rPr>
          <w:rFonts w:ascii="Times New Roman" w:eastAsia="Times New Roman" w:hAnsi="Times New Roman" w:cs="Times New Roman"/>
          <w:sz w:val="24"/>
          <w:szCs w:val="24"/>
        </w:rPr>
        <w:t xml:space="preserve"> HR in the public sector operates within a more strict legal and regulatory framework than the private sector. Public sector businesses frequently face greater scrutiny and are subject to precise laws and guidelines associated with employment practices, labour relations, and public accountability (Kuziemski and Misuraca, 2020). These regulatory surroundings affect HR approaches which include recruitment, selection, compensation, and disciplinary procedures, which should adhere to strict guidelines and public sector policies.</w:t>
      </w:r>
    </w:p>
    <w:p w:rsidR="003622BB" w:rsidRPr="00605229" w:rsidRDefault="003147FC">
      <w:pPr>
        <w:spacing w:before="240" w:after="240" w:line="360" w:lineRule="auto"/>
        <w:jc w:val="center"/>
        <w:rPr>
          <w:rFonts w:ascii="Times New Roman" w:eastAsia="Times New Roman" w:hAnsi="Times New Roman" w:cs="Times New Roman"/>
          <w:sz w:val="24"/>
          <w:szCs w:val="24"/>
        </w:rPr>
      </w:pPr>
      <w:r w:rsidRPr="00605229">
        <w:rPr>
          <w:rFonts w:ascii="Times New Roman" w:eastAsia="Times New Roman" w:hAnsi="Times New Roman" w:cs="Times New Roman"/>
          <w:noProof/>
          <w:sz w:val="24"/>
          <w:szCs w:val="24"/>
          <w:lang w:val="en-US" w:eastAsia="en-US" w:bidi="gu-IN"/>
        </w:rPr>
        <w:lastRenderedPageBreak/>
        <w:drawing>
          <wp:inline distT="114300" distB="114300" distL="114300" distR="114300">
            <wp:extent cx="5731200" cy="21844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10"/>
                    <a:stretch>
                      <a:fillRect/>
                    </a:stretch>
                  </pic:blipFill>
                  <pic:spPr>
                    <a:xfrm>
                      <a:off x="0" y="0"/>
                      <a:ext cx="5731200" cy="2184400"/>
                    </a:xfrm>
                    <a:prstGeom prst="rect">
                      <a:avLst/>
                    </a:prstGeom>
                  </pic:spPr>
                </pic:pic>
              </a:graphicData>
            </a:graphic>
          </wp:inline>
        </w:drawing>
      </w:r>
    </w:p>
    <w:p w:rsidR="003622BB" w:rsidRPr="00605229" w:rsidRDefault="003147FC">
      <w:pPr>
        <w:spacing w:before="240" w:after="240" w:line="360" w:lineRule="auto"/>
        <w:jc w:val="center"/>
        <w:rPr>
          <w:rFonts w:ascii="Times New Roman" w:eastAsia="Times New Roman" w:hAnsi="Times New Roman" w:cs="Times New Roman"/>
          <w:b/>
          <w:sz w:val="24"/>
          <w:szCs w:val="24"/>
        </w:rPr>
      </w:pPr>
      <w:r w:rsidRPr="00605229">
        <w:rPr>
          <w:rFonts w:ascii="Times New Roman" w:eastAsia="Times New Roman" w:hAnsi="Times New Roman" w:cs="Times New Roman"/>
          <w:b/>
          <w:sz w:val="24"/>
          <w:szCs w:val="24"/>
        </w:rPr>
        <w:t>Figure: Regulatory Environment</w:t>
      </w:r>
    </w:p>
    <w:p w:rsidR="003622BB" w:rsidRPr="00605229" w:rsidRDefault="003147FC">
      <w:pPr>
        <w:spacing w:before="240" w:after="240" w:line="360" w:lineRule="auto"/>
        <w:jc w:val="center"/>
        <w:rPr>
          <w:rFonts w:ascii="Times New Roman" w:eastAsia="Times New Roman" w:hAnsi="Times New Roman" w:cs="Times New Roman"/>
          <w:sz w:val="24"/>
          <w:szCs w:val="24"/>
        </w:rPr>
      </w:pPr>
      <w:r w:rsidRPr="00605229">
        <w:rPr>
          <w:rFonts w:ascii="Times New Roman" w:eastAsia="Times New Roman" w:hAnsi="Times New Roman" w:cs="Times New Roman"/>
          <w:sz w:val="24"/>
          <w:szCs w:val="24"/>
        </w:rPr>
        <w:t>(Source: Self-Made)</w:t>
      </w:r>
    </w:p>
    <w:p w:rsidR="003622B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b/>
          <w:i/>
          <w:sz w:val="24"/>
          <w:szCs w:val="24"/>
        </w:rPr>
        <w:t>Stakeholder Relationships:</w:t>
      </w:r>
      <w:r w:rsidRPr="00605229">
        <w:rPr>
          <w:rFonts w:ascii="Times New Roman" w:eastAsia="Times New Roman" w:hAnsi="Times New Roman" w:cs="Times New Roman"/>
          <w:sz w:val="24"/>
          <w:szCs w:val="24"/>
        </w:rPr>
        <w:t xml:space="preserve"> Private sector HR usually specialises in assembling the goals and expectancies of shareholders, executives, managers, and personnel. The HR characteristic plays a strategic role in talent management, worker engagement, and creating an excellent work culture that helps business goals. In the public sector, HR should stabilise the interests of several stakeholders, along with elected officials, citizens, unions, and public interest communities (Kravariti and Johnston, 2020). Public sector HR often involves extensive sessions, collaboration, and negotiation with diverse stakeholders to ensure the delivery of effective and fair public services.</w:t>
      </w:r>
    </w:p>
    <w:p w:rsidR="003622B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b/>
          <w:i/>
          <w:sz w:val="24"/>
          <w:szCs w:val="24"/>
        </w:rPr>
        <w:t>Budgetary Constraints and Resource Allocation:</w:t>
      </w:r>
      <w:r w:rsidRPr="00605229">
        <w:rPr>
          <w:rFonts w:ascii="Times New Roman" w:eastAsia="Times New Roman" w:hAnsi="Times New Roman" w:cs="Times New Roman"/>
          <w:sz w:val="24"/>
          <w:szCs w:val="24"/>
        </w:rPr>
        <w:t xml:space="preserve"> HR in the public sector frequently face budgetary constraints and limited sources as compared to the private sector. Public sector businesses have to perform within the limits of allotted budgets and demonstrate efficient use of public finances. This impacts HR's ability to implement comprehensive education and improvement applications, competitive compensation applications, and advanced HR technologies, which can be more easily available inside the private sector.</w:t>
      </w:r>
    </w:p>
    <w:p w:rsidR="003622BB" w:rsidRPr="00605229" w:rsidRDefault="003147FC">
      <w:pPr>
        <w:spacing w:before="240" w:after="240" w:line="360" w:lineRule="auto"/>
        <w:jc w:val="center"/>
        <w:rPr>
          <w:rFonts w:ascii="Times New Roman" w:eastAsia="Times New Roman" w:hAnsi="Times New Roman" w:cs="Times New Roman"/>
          <w:sz w:val="24"/>
          <w:szCs w:val="24"/>
        </w:rPr>
      </w:pPr>
      <w:r w:rsidRPr="00605229">
        <w:rPr>
          <w:rFonts w:ascii="Times New Roman" w:eastAsia="Times New Roman" w:hAnsi="Times New Roman" w:cs="Times New Roman"/>
          <w:noProof/>
          <w:sz w:val="24"/>
          <w:szCs w:val="24"/>
          <w:lang w:val="en-US" w:eastAsia="en-US" w:bidi="gu-IN"/>
        </w:rPr>
        <w:lastRenderedPageBreak/>
        <w:drawing>
          <wp:inline distT="114300" distB="114300" distL="114300" distR="114300">
            <wp:extent cx="5731200" cy="1778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tretch>
                      <a:fillRect/>
                    </a:stretch>
                  </pic:blipFill>
                  <pic:spPr>
                    <a:xfrm>
                      <a:off x="0" y="0"/>
                      <a:ext cx="5731200" cy="1778000"/>
                    </a:xfrm>
                    <a:prstGeom prst="rect">
                      <a:avLst/>
                    </a:prstGeom>
                  </pic:spPr>
                </pic:pic>
              </a:graphicData>
            </a:graphic>
          </wp:inline>
        </w:drawing>
      </w:r>
    </w:p>
    <w:p w:rsidR="003622BB" w:rsidRPr="00605229" w:rsidRDefault="003147FC">
      <w:pPr>
        <w:spacing w:before="240" w:after="240" w:line="360" w:lineRule="auto"/>
        <w:jc w:val="center"/>
        <w:rPr>
          <w:rFonts w:ascii="Times New Roman" w:eastAsia="Times New Roman" w:hAnsi="Times New Roman" w:cs="Times New Roman"/>
          <w:b/>
          <w:sz w:val="24"/>
          <w:szCs w:val="24"/>
        </w:rPr>
      </w:pPr>
      <w:r w:rsidRPr="00605229">
        <w:rPr>
          <w:rFonts w:ascii="Times New Roman" w:eastAsia="Times New Roman" w:hAnsi="Times New Roman" w:cs="Times New Roman"/>
          <w:b/>
          <w:sz w:val="24"/>
          <w:szCs w:val="24"/>
        </w:rPr>
        <w:t>Figure: Funding &amp; Budget Constraints</w:t>
      </w:r>
    </w:p>
    <w:p w:rsidR="003622BB" w:rsidRPr="00605229" w:rsidRDefault="003147FC">
      <w:pPr>
        <w:spacing w:before="240" w:after="240" w:line="360" w:lineRule="auto"/>
        <w:jc w:val="center"/>
        <w:rPr>
          <w:rFonts w:ascii="Times New Roman" w:eastAsia="Times New Roman" w:hAnsi="Times New Roman" w:cs="Times New Roman"/>
          <w:sz w:val="24"/>
          <w:szCs w:val="24"/>
        </w:rPr>
      </w:pPr>
      <w:r w:rsidRPr="00605229">
        <w:rPr>
          <w:rFonts w:ascii="Times New Roman" w:eastAsia="Times New Roman" w:hAnsi="Times New Roman" w:cs="Times New Roman"/>
          <w:sz w:val="24"/>
          <w:szCs w:val="24"/>
        </w:rPr>
        <w:t>(Source: Self-Made)</w:t>
      </w:r>
    </w:p>
    <w:p w:rsidR="003622B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b/>
          <w:i/>
          <w:sz w:val="24"/>
          <w:szCs w:val="24"/>
        </w:rPr>
        <w:t>Decision-Making Processes:</w:t>
      </w:r>
      <w:r w:rsidRPr="00605229">
        <w:rPr>
          <w:rFonts w:ascii="Times New Roman" w:eastAsia="Times New Roman" w:hAnsi="Times New Roman" w:cs="Times New Roman"/>
          <w:sz w:val="24"/>
          <w:szCs w:val="24"/>
        </w:rPr>
        <w:t xml:space="preserve"> Private sector HR departments commonly have more autonomy in decision-making processes, allowing them to respond rapidly to market needs and business goals. They can quickly put into effect modifications to HR regulations, practices, and techniques that adhere to the dynamic business environment (García-Juan, Escrig-Tena and Roca-Puig, 2019). However, public sector HR decisions may also contain a couple of layers of approval, bureaucratic methods, and adherence to public sector guidelines, resulting in slower decision-making methods and a more dependent approach.</w:t>
      </w:r>
    </w:p>
    <w:p w:rsidR="003622B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sz w:val="24"/>
          <w:szCs w:val="24"/>
        </w:rPr>
        <w:t>It's essential to be aware that the extent of these differences can range across countries, areas, and specific agencies within the private and public sectors. Additionally, there can be instances of overlap or convergence between HR practices in both sectors as companies attempt to adopt best practices from each other.</w:t>
      </w:r>
    </w:p>
    <w:p w:rsidR="003622BB" w:rsidRPr="00605229" w:rsidRDefault="003147FC" w:rsidP="002C700B">
      <w:pPr>
        <w:pStyle w:val="Heading1"/>
      </w:pPr>
      <w:bookmarkStart w:id="3" w:name="_Toc137814141"/>
      <w:r w:rsidRPr="00605229">
        <w:t>How does the sector determine the effectiveness of HR strategy</w:t>
      </w:r>
      <w:bookmarkEnd w:id="3"/>
    </w:p>
    <w:p w:rsidR="003622B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sz w:val="24"/>
          <w:szCs w:val="24"/>
        </w:rPr>
        <w:t>The effectiveness of an HR strategy in any sector, which includes the public sector, may be decided via various indicators and measures. Here are some key elements that can be taken into consideration whilst evaluating the effectiveness of an HR method:</w:t>
      </w:r>
    </w:p>
    <w:p w:rsidR="003622BB" w:rsidRPr="00605229" w:rsidRDefault="003147FC">
      <w:pPr>
        <w:spacing w:before="240" w:after="240" w:line="360" w:lineRule="auto"/>
        <w:jc w:val="center"/>
        <w:rPr>
          <w:rFonts w:ascii="Times New Roman" w:eastAsia="Times New Roman" w:hAnsi="Times New Roman" w:cs="Times New Roman"/>
          <w:sz w:val="24"/>
          <w:szCs w:val="24"/>
        </w:rPr>
      </w:pPr>
      <w:r w:rsidRPr="00605229">
        <w:rPr>
          <w:rFonts w:ascii="Times New Roman" w:eastAsia="Times New Roman" w:hAnsi="Times New Roman" w:cs="Times New Roman"/>
          <w:noProof/>
          <w:sz w:val="24"/>
          <w:szCs w:val="24"/>
          <w:lang w:val="en-US" w:eastAsia="en-US" w:bidi="gu-IN"/>
        </w:rPr>
        <w:lastRenderedPageBreak/>
        <w:drawing>
          <wp:inline distT="114300" distB="114300" distL="114300" distR="114300">
            <wp:extent cx="5731200" cy="453390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7" name="image4.png"/>
                    <pic:cNvPicPr/>
                  </pic:nvPicPr>
                  <pic:blipFill>
                    <a:blip r:embed="rId12"/>
                    <a:stretch>
                      <a:fillRect/>
                    </a:stretch>
                  </pic:blipFill>
                  <pic:spPr>
                    <a:xfrm>
                      <a:off x="0" y="0"/>
                      <a:ext cx="5731200" cy="4533900"/>
                    </a:xfrm>
                    <a:prstGeom prst="rect">
                      <a:avLst/>
                    </a:prstGeom>
                  </pic:spPr>
                </pic:pic>
              </a:graphicData>
            </a:graphic>
          </wp:inline>
        </w:drawing>
      </w:r>
    </w:p>
    <w:p w:rsidR="003622BB" w:rsidRPr="00605229" w:rsidRDefault="003147FC">
      <w:pPr>
        <w:spacing w:before="240" w:after="240" w:line="360" w:lineRule="auto"/>
        <w:jc w:val="center"/>
        <w:rPr>
          <w:rFonts w:ascii="Times New Roman" w:eastAsia="Times New Roman" w:hAnsi="Times New Roman" w:cs="Times New Roman"/>
          <w:b/>
          <w:sz w:val="24"/>
          <w:szCs w:val="24"/>
        </w:rPr>
      </w:pPr>
      <w:r w:rsidRPr="00605229">
        <w:rPr>
          <w:rFonts w:ascii="Times New Roman" w:eastAsia="Times New Roman" w:hAnsi="Times New Roman" w:cs="Times New Roman"/>
          <w:b/>
          <w:sz w:val="24"/>
          <w:szCs w:val="24"/>
        </w:rPr>
        <w:t>Figure: HR Strategy Effectiveness</w:t>
      </w:r>
    </w:p>
    <w:p w:rsidR="003622BB" w:rsidRPr="00605229" w:rsidRDefault="003147FC">
      <w:pPr>
        <w:spacing w:before="240" w:after="240" w:line="360" w:lineRule="auto"/>
        <w:jc w:val="center"/>
        <w:rPr>
          <w:rFonts w:ascii="Times New Roman" w:eastAsia="Times New Roman" w:hAnsi="Times New Roman" w:cs="Times New Roman"/>
          <w:sz w:val="24"/>
          <w:szCs w:val="24"/>
        </w:rPr>
      </w:pPr>
      <w:r w:rsidRPr="00605229">
        <w:rPr>
          <w:rFonts w:ascii="Times New Roman" w:eastAsia="Times New Roman" w:hAnsi="Times New Roman" w:cs="Times New Roman"/>
          <w:sz w:val="24"/>
          <w:szCs w:val="24"/>
        </w:rPr>
        <w:t>(Source: Self-Made)</w:t>
      </w:r>
    </w:p>
    <w:p w:rsidR="003622B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b/>
          <w:i/>
          <w:sz w:val="24"/>
          <w:szCs w:val="24"/>
        </w:rPr>
        <w:t>Alignment with organisational goals:</w:t>
      </w:r>
      <w:r w:rsidRPr="00605229">
        <w:rPr>
          <w:rFonts w:ascii="Times New Roman" w:eastAsia="Times New Roman" w:hAnsi="Times New Roman" w:cs="Times New Roman"/>
          <w:sz w:val="24"/>
          <w:szCs w:val="24"/>
        </w:rPr>
        <w:t xml:space="preserve"> The HR approach must align with the general desires and objectives of the sector or enterprise (Alves </w:t>
      </w:r>
      <w:r w:rsidRPr="00605229">
        <w:rPr>
          <w:rFonts w:ascii="Times New Roman" w:eastAsia="Times New Roman" w:hAnsi="Times New Roman" w:cs="Times New Roman"/>
          <w:i/>
          <w:sz w:val="24"/>
          <w:szCs w:val="24"/>
        </w:rPr>
        <w:t>et al.</w:t>
      </w:r>
      <w:r w:rsidRPr="00605229">
        <w:rPr>
          <w:rFonts w:ascii="Times New Roman" w:eastAsia="Times New Roman" w:hAnsi="Times New Roman" w:cs="Times New Roman"/>
          <w:sz w:val="24"/>
          <w:szCs w:val="24"/>
        </w:rPr>
        <w:t xml:space="preserve"> 2020). It should aid the project, vision, and strategic priorities, ensuring that HR tasks contribute to achieving broader organisational outcomes.</w:t>
      </w:r>
    </w:p>
    <w:p w:rsidR="003622B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b/>
          <w:i/>
          <w:sz w:val="24"/>
          <w:szCs w:val="24"/>
        </w:rPr>
        <w:t>Talent acquisition and retention:</w:t>
      </w:r>
      <w:r w:rsidRPr="00605229">
        <w:rPr>
          <w:rFonts w:ascii="Times New Roman" w:eastAsia="Times New Roman" w:hAnsi="Times New Roman" w:cs="Times New Roman"/>
          <w:sz w:val="24"/>
          <w:szCs w:val="24"/>
        </w:rPr>
        <w:t xml:space="preserve"> A successful HR approach must attract and keep top talent within the zone. Key metrics to assess effectiveness might also include time-to-fill vacancies, great hires, worker turnover charges, and worker pride surveys. A sturdy HR strategy is aware of attracting remarkable applicants, offering competitive compensation and benefits, and enforcing effective retention packages.</w:t>
      </w:r>
    </w:p>
    <w:p w:rsidR="003622B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b/>
          <w:i/>
          <w:sz w:val="24"/>
          <w:szCs w:val="24"/>
        </w:rPr>
        <w:t>Employee engagement and pleasure:</w:t>
      </w:r>
      <w:r w:rsidRPr="00605229">
        <w:rPr>
          <w:rFonts w:ascii="Times New Roman" w:eastAsia="Times New Roman" w:hAnsi="Times New Roman" w:cs="Times New Roman"/>
          <w:sz w:val="24"/>
          <w:szCs w:val="24"/>
        </w:rPr>
        <w:t xml:space="preserve"> The HR method should promote a positive work environment and foster employee engagement (Verma, 2017). Metrics such as employee </w:t>
      </w:r>
      <w:r w:rsidRPr="00605229">
        <w:rPr>
          <w:rFonts w:ascii="Times New Roman" w:eastAsia="Times New Roman" w:hAnsi="Times New Roman" w:cs="Times New Roman"/>
          <w:sz w:val="24"/>
          <w:szCs w:val="24"/>
        </w:rPr>
        <w:lastRenderedPageBreak/>
        <w:t>engagement surveys, remarks mechanisms, and employee delight ratings can assist in examining whether HR projects contribute to excessive tiers of worker morale, motivation, and productivity.</w:t>
      </w:r>
    </w:p>
    <w:p w:rsidR="003622B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b/>
          <w:i/>
          <w:sz w:val="24"/>
          <w:szCs w:val="24"/>
        </w:rPr>
        <w:t>Leadership development and decision planning:</w:t>
      </w:r>
      <w:r w:rsidRPr="00605229">
        <w:rPr>
          <w:rFonts w:ascii="Times New Roman" w:eastAsia="Times New Roman" w:hAnsi="Times New Roman" w:cs="Times New Roman"/>
          <w:sz w:val="24"/>
          <w:szCs w:val="24"/>
        </w:rPr>
        <w:t xml:space="preserve"> A powerful HR strategy must emphasise leadership development and decision-making plans. It must perceive high-capacity personnel, provide them with opportunities for boom and advancement, and ensure a clean transition of leadership positions (Paauwe and Boon, 2018). Tracking the range of personnel in management development applications, the achievement fee of internal promotions, and the availability of certified successors for critical roles can imply the strategy's effectiveness in this place.</w:t>
      </w:r>
    </w:p>
    <w:p w:rsidR="003622B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b/>
          <w:i/>
          <w:sz w:val="24"/>
          <w:szCs w:val="24"/>
        </w:rPr>
        <w:t>Learning and improvement:</w:t>
      </w:r>
      <w:r w:rsidRPr="00605229">
        <w:rPr>
          <w:rFonts w:ascii="Times New Roman" w:eastAsia="Times New Roman" w:hAnsi="Times New Roman" w:cs="Times New Roman"/>
          <w:sz w:val="24"/>
          <w:szCs w:val="24"/>
        </w:rPr>
        <w:t xml:space="preserve"> The HR method has to help continuous mastering and development opportunities for employees. Assessing the participation costs in schooling packages, measuring the impact of training on worker performance, and tracking the utility of recent abilities and expertise can assist in deciding the effectiveness of the HR method in enhancing worker capabilities.</w:t>
      </w:r>
    </w:p>
    <w:p w:rsidR="003622B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b/>
          <w:i/>
          <w:sz w:val="24"/>
          <w:szCs w:val="24"/>
        </w:rPr>
        <w:t>Employee overall performance management:</w:t>
      </w:r>
      <w:r w:rsidRPr="00605229">
        <w:rPr>
          <w:rFonts w:ascii="Times New Roman" w:eastAsia="Times New Roman" w:hAnsi="Times New Roman" w:cs="Times New Roman"/>
          <w:sz w:val="24"/>
          <w:szCs w:val="24"/>
        </w:rPr>
        <w:t>A practical HR approach should consist of sturdy performance control systems that set clean expectancies, provide regular feedback, and recognize and reward high performance (Anwar and Abdullah, 2021). Evaluating key performance indicators (KPIs), performance appraisal ratings, and the alignment of individual goals with organisational targets can offer insights into the effectiveness of the approach in dealing with worker performance.</w:t>
      </w:r>
    </w:p>
    <w:p w:rsidR="003622B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b/>
          <w:i/>
          <w:sz w:val="24"/>
          <w:szCs w:val="24"/>
        </w:rPr>
        <w:t>HR metrics and analytics:</w:t>
      </w:r>
      <w:r w:rsidRPr="00605229">
        <w:rPr>
          <w:rFonts w:ascii="Times New Roman" w:eastAsia="Times New Roman" w:hAnsi="Times New Roman" w:cs="Times New Roman"/>
          <w:sz w:val="24"/>
          <w:szCs w:val="24"/>
        </w:rPr>
        <w:t xml:space="preserve"> Utilising HR metrics and analytics can provide treasured insights into HR tasks' effect on overall organisational metrics, along with cost consistent with hire, turnover charges, education ROI, and productiveness measures, which can be used to assess the effectiveness and implementation of the HR method.</w:t>
      </w:r>
    </w:p>
    <w:p w:rsidR="003622B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sz w:val="24"/>
          <w:szCs w:val="24"/>
        </w:rPr>
        <w:t>It's vital to note that the effectiveness of an HR strategy can also be prompted by external elements, including adjustments in the complex work marketplace, regulatory necessities, and technological advancements. Therefore, frequently reviewing and adjusting the HR approach primarily based on feedback, information analysis, and converting organisational desires is vital to ensure ongoing effectiveness and achievement.</w:t>
      </w:r>
    </w:p>
    <w:p w:rsidR="003622BB" w:rsidRPr="00605229" w:rsidRDefault="003147FC" w:rsidP="002C700B">
      <w:pPr>
        <w:pStyle w:val="Heading1"/>
      </w:pPr>
      <w:bookmarkStart w:id="4" w:name="_Toc137814142"/>
      <w:r w:rsidRPr="00605229">
        <w:lastRenderedPageBreak/>
        <w:t>How can HR develop employees to achieve strategic goals</w:t>
      </w:r>
      <w:bookmarkEnd w:id="4"/>
    </w:p>
    <w:p w:rsidR="003622B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sz w:val="24"/>
          <w:szCs w:val="24"/>
        </w:rPr>
        <w:t>Through creating an atmosphere that is conducive to growth and education and coordinating personal growth with organisational goals, HR plays a critical role in helping people develop to reach strategic goals.</w:t>
      </w:r>
    </w:p>
    <w:p w:rsidR="003622B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b/>
          <w:i/>
          <w:sz w:val="24"/>
          <w:szCs w:val="24"/>
        </w:rPr>
        <w:t>Programmes for Training and Development:</w:t>
      </w:r>
      <w:r w:rsidRPr="00605229">
        <w:rPr>
          <w:rFonts w:ascii="Times New Roman" w:eastAsia="Times New Roman" w:hAnsi="Times New Roman" w:cs="Times New Roman"/>
          <w:sz w:val="24"/>
          <w:szCs w:val="24"/>
        </w:rPr>
        <w:t xml:space="preserve"> HR has the capacity to design and administer training initiatives that enhance staff members' expertise in light of their responsibilities and the company's strategic aims. These courses could cover technical instruction, growth in leadership, industry-specific credentials, and interpersonal and managerial training. By funding employee training, HR makes sure that the staff has the skills needed to implement strategic objectives successfully.</w:t>
      </w:r>
    </w:p>
    <w:p w:rsidR="003622B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b/>
          <w:i/>
          <w:sz w:val="24"/>
          <w:szCs w:val="24"/>
        </w:rPr>
        <w:t>Performance Management:</w:t>
      </w:r>
      <w:r w:rsidRPr="00605229">
        <w:rPr>
          <w:rFonts w:ascii="Times New Roman" w:eastAsia="Times New Roman" w:hAnsi="Times New Roman" w:cs="Times New Roman"/>
          <w:sz w:val="24"/>
          <w:szCs w:val="24"/>
        </w:rPr>
        <w:t xml:space="preserve"> HR may set up mechanisms to track employee progress towards organisational objectives, give regular feedback, and establish established standards. Examples of this include developing key performance indicators (KPIs) and establishing procedures for performance review (</w:t>
      </w:r>
      <w:r w:rsidRPr="00605229">
        <w:rPr>
          <w:rFonts w:ascii="Times New Roman" w:eastAsia="Times New Roman" w:hAnsi="Times New Roman" w:cs="Times New Roman"/>
          <w:color w:val="222222"/>
          <w:sz w:val="24"/>
          <w:szCs w:val="24"/>
          <w:highlight w:val="white"/>
        </w:rPr>
        <w:t>Saputra,  2022)</w:t>
      </w:r>
      <w:r w:rsidRPr="00605229">
        <w:rPr>
          <w:rFonts w:ascii="Times New Roman" w:eastAsia="Times New Roman" w:hAnsi="Times New Roman" w:cs="Times New Roman"/>
          <w:sz w:val="24"/>
          <w:szCs w:val="24"/>
        </w:rPr>
        <w:t>. HR supports staff members in understanding how they contribute to the organization's success and offers chances for recognition and growth by tying their individual achievements to strategic goals.</w:t>
      </w:r>
    </w:p>
    <w:p w:rsidR="003622B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b/>
          <w:i/>
          <w:sz w:val="24"/>
          <w:szCs w:val="24"/>
        </w:rPr>
        <w:t xml:space="preserve">Planning for Succession: </w:t>
      </w:r>
      <w:r w:rsidRPr="00605229">
        <w:rPr>
          <w:rFonts w:ascii="Times New Roman" w:eastAsia="Times New Roman" w:hAnsi="Times New Roman" w:cs="Times New Roman"/>
          <w:sz w:val="24"/>
          <w:szCs w:val="24"/>
        </w:rPr>
        <w:t>HR may create succession planning programmes to identify and develop staff members with strong potential employees. HR makes sure the company has a pool of skilled people ready to fill important positions as they open up. Building capacities for leadership and assisting in retaining top people are all benefits of succession planning, which guarantees the continuity of activities and strategic objectives.</w:t>
      </w:r>
    </w:p>
    <w:p w:rsidR="003622B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b/>
          <w:i/>
          <w:sz w:val="24"/>
          <w:szCs w:val="24"/>
        </w:rPr>
        <w:t>Opportunities for Career Development:</w:t>
      </w:r>
      <w:r w:rsidRPr="00605229">
        <w:rPr>
          <w:rFonts w:ascii="Times New Roman" w:eastAsia="Times New Roman" w:hAnsi="Times New Roman" w:cs="Times New Roman"/>
          <w:sz w:val="24"/>
          <w:szCs w:val="24"/>
        </w:rPr>
        <w:t xml:space="preserve"> HR may support career advancement prospects by creating career development programmes, offering mentoring and coaching support, and establishing promotion policies based on merit and performance. This inspires workers, cultivates a sense of loyalty, and enables them to see a clear route for advancement inside the company. By tying employee aspirations to organisational needs, HR can foster a highly engaged staff that is committed to accomplishing strategic goals.</w:t>
      </w:r>
    </w:p>
    <w:p w:rsidR="003622B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b/>
          <w:i/>
          <w:sz w:val="24"/>
          <w:szCs w:val="24"/>
        </w:rPr>
        <w:t>Initiatives for Employee Engagement:</w:t>
      </w:r>
      <w:r w:rsidRPr="00605229">
        <w:rPr>
          <w:rFonts w:ascii="Times New Roman" w:eastAsia="Times New Roman" w:hAnsi="Times New Roman" w:cs="Times New Roman"/>
          <w:sz w:val="24"/>
          <w:szCs w:val="24"/>
        </w:rPr>
        <w:t xml:space="preserve"> HR activities that can increase employee engagement include employee appreciation programmes, consistent communication channels, and chances for employee input into decision-making (</w:t>
      </w:r>
      <w:r w:rsidRPr="00605229">
        <w:rPr>
          <w:rFonts w:ascii="Times New Roman" w:eastAsia="Times New Roman" w:hAnsi="Times New Roman" w:cs="Times New Roman"/>
          <w:color w:val="222222"/>
          <w:sz w:val="24"/>
          <w:szCs w:val="24"/>
          <w:highlight w:val="white"/>
        </w:rPr>
        <w:t xml:space="preserve">Werdhiastutie </w:t>
      </w:r>
      <w:r w:rsidRPr="00605229">
        <w:rPr>
          <w:rFonts w:ascii="Times New Roman" w:eastAsia="Times New Roman" w:hAnsi="Times New Roman" w:cs="Times New Roman"/>
          <w:i/>
          <w:color w:val="222222"/>
          <w:sz w:val="24"/>
          <w:szCs w:val="24"/>
          <w:highlight w:val="white"/>
        </w:rPr>
        <w:t>et al.</w:t>
      </w:r>
      <w:r w:rsidRPr="00605229">
        <w:rPr>
          <w:rFonts w:ascii="Times New Roman" w:eastAsia="Times New Roman" w:hAnsi="Times New Roman" w:cs="Times New Roman"/>
          <w:color w:val="222222"/>
          <w:sz w:val="24"/>
          <w:szCs w:val="24"/>
          <w:highlight w:val="white"/>
        </w:rPr>
        <w:t xml:space="preserve"> 2020)</w:t>
      </w:r>
      <w:r w:rsidRPr="00605229">
        <w:rPr>
          <w:rFonts w:ascii="Times New Roman" w:eastAsia="Times New Roman" w:hAnsi="Times New Roman" w:cs="Times New Roman"/>
          <w:sz w:val="24"/>
          <w:szCs w:val="24"/>
        </w:rPr>
        <w:t xml:space="preserve">. Engaged workers are </w:t>
      </w:r>
      <w:r w:rsidRPr="00605229">
        <w:rPr>
          <w:rFonts w:ascii="Times New Roman" w:eastAsia="Times New Roman" w:hAnsi="Times New Roman" w:cs="Times New Roman"/>
          <w:sz w:val="24"/>
          <w:szCs w:val="24"/>
        </w:rPr>
        <w:lastRenderedPageBreak/>
        <w:t>more likely to be dedicated to the company's goals, to take the initiative, and to offer original ideas that can affect strategic outcomes.</w:t>
      </w:r>
    </w:p>
    <w:p w:rsidR="003622B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b/>
          <w:i/>
          <w:sz w:val="24"/>
          <w:szCs w:val="24"/>
        </w:rPr>
        <w:t>Sharing of knowledge and continuous learning:</w:t>
      </w:r>
      <w:r w:rsidRPr="00605229">
        <w:rPr>
          <w:rFonts w:ascii="Times New Roman" w:eastAsia="Times New Roman" w:hAnsi="Times New Roman" w:cs="Times New Roman"/>
          <w:sz w:val="24"/>
          <w:szCs w:val="24"/>
        </w:rPr>
        <w:t xml:space="preserve"> HR may promote a culture of constant advancement by encouraging employees to take part in ongoing professional development activities, attend events and workshops, and join organisations specific to their industry. Additionally, HR can support internal knowledge-sharing platforms like communities of practice where staff members may impart information, best practices, and lessons learned.</w:t>
      </w:r>
    </w:p>
    <w:p w:rsidR="003622BB" w:rsidRPr="00605229" w:rsidRDefault="003147FC">
      <w:pPr>
        <w:spacing w:before="240" w:after="240" w:line="360" w:lineRule="auto"/>
        <w:jc w:val="center"/>
        <w:rPr>
          <w:rFonts w:ascii="Times New Roman" w:eastAsia="Times New Roman" w:hAnsi="Times New Roman" w:cs="Times New Roman"/>
          <w:sz w:val="24"/>
          <w:szCs w:val="24"/>
        </w:rPr>
      </w:pPr>
      <w:r w:rsidRPr="00605229">
        <w:rPr>
          <w:rFonts w:ascii="Times New Roman" w:eastAsia="Times New Roman" w:hAnsi="Times New Roman" w:cs="Times New Roman"/>
          <w:noProof/>
          <w:sz w:val="24"/>
          <w:szCs w:val="24"/>
          <w:lang w:val="en-US" w:eastAsia="en-US" w:bidi="gu-IN"/>
        </w:rPr>
        <w:drawing>
          <wp:inline distT="114300" distB="114300" distL="114300" distR="114300">
            <wp:extent cx="2849400" cy="1766214"/>
            <wp:effectExtent l="0" t="0" r="0" b="0"/>
            <wp:docPr id="2" name="image3.jpg"/>
            <wp:cNvGraphicFramePr/>
            <a:graphic xmlns:a="http://schemas.openxmlformats.org/drawingml/2006/main">
              <a:graphicData uri="http://schemas.openxmlformats.org/drawingml/2006/picture">
                <pic:pic xmlns:pic="http://schemas.openxmlformats.org/drawingml/2006/picture">
                  <pic:nvPicPr>
                    <pic:cNvPr id="2" name="image3.jpg"/>
                    <pic:cNvPicPr/>
                  </pic:nvPicPr>
                  <pic:blipFill>
                    <a:blip r:embed="rId13"/>
                    <a:stretch>
                      <a:fillRect/>
                    </a:stretch>
                  </pic:blipFill>
                  <pic:spPr>
                    <a:xfrm>
                      <a:off x="0" y="0"/>
                      <a:ext cx="2849400" cy="1766214"/>
                    </a:xfrm>
                    <a:prstGeom prst="rect">
                      <a:avLst/>
                    </a:prstGeom>
                  </pic:spPr>
                </pic:pic>
              </a:graphicData>
            </a:graphic>
          </wp:inline>
        </w:drawing>
      </w:r>
    </w:p>
    <w:p w:rsidR="003622BB" w:rsidRPr="00605229" w:rsidRDefault="003147FC">
      <w:pPr>
        <w:spacing w:before="240" w:after="240" w:line="360" w:lineRule="auto"/>
        <w:jc w:val="center"/>
        <w:rPr>
          <w:rFonts w:ascii="Times New Roman" w:eastAsia="Times New Roman" w:hAnsi="Times New Roman" w:cs="Times New Roman"/>
          <w:b/>
          <w:sz w:val="24"/>
          <w:szCs w:val="24"/>
        </w:rPr>
      </w:pPr>
      <w:r w:rsidRPr="00605229">
        <w:rPr>
          <w:rFonts w:ascii="Times New Roman" w:eastAsia="Times New Roman" w:hAnsi="Times New Roman" w:cs="Times New Roman"/>
          <w:b/>
          <w:sz w:val="24"/>
          <w:szCs w:val="24"/>
        </w:rPr>
        <w:t>Figure: 9 Steps of Employee Development</w:t>
      </w:r>
    </w:p>
    <w:p w:rsidR="003622BB" w:rsidRPr="00605229" w:rsidRDefault="003147FC">
      <w:pPr>
        <w:spacing w:before="240" w:after="240" w:line="360" w:lineRule="auto"/>
        <w:jc w:val="center"/>
        <w:rPr>
          <w:rFonts w:ascii="Times New Roman" w:eastAsia="Times New Roman" w:hAnsi="Times New Roman" w:cs="Times New Roman"/>
          <w:sz w:val="24"/>
          <w:szCs w:val="24"/>
        </w:rPr>
      </w:pPr>
      <w:r w:rsidRPr="00605229">
        <w:rPr>
          <w:rFonts w:ascii="Times New Roman" w:eastAsia="Times New Roman" w:hAnsi="Times New Roman" w:cs="Times New Roman"/>
          <w:sz w:val="24"/>
          <w:szCs w:val="24"/>
        </w:rPr>
        <w:t>(Source: Siocon, G. 2022)</w:t>
      </w:r>
    </w:p>
    <w:p w:rsidR="003622B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sz w:val="24"/>
          <w:szCs w:val="24"/>
        </w:rPr>
        <w:t>To ensure that initiatives for employee development are in line with the organization's strategic objectives, HR must work closely with managers and leaders across the organization. Feedback, performance metrics, and employee surveys should be used on a regular basis by HR to assess these initiatives' efficacy and make any necessary adjustments to continuously enhance the development programs and their impact on achieving strategic goals (</w:t>
      </w:r>
      <w:r w:rsidRPr="00605229">
        <w:rPr>
          <w:rFonts w:ascii="Times New Roman" w:eastAsia="Times New Roman" w:hAnsi="Times New Roman" w:cs="Times New Roman"/>
          <w:color w:val="222222"/>
          <w:sz w:val="24"/>
          <w:szCs w:val="24"/>
          <w:highlight w:val="white"/>
        </w:rPr>
        <w:t>Alsafadi and Altahat, 2021)</w:t>
      </w:r>
      <w:r w:rsidRPr="00605229">
        <w:rPr>
          <w:rFonts w:ascii="Times New Roman" w:eastAsia="Times New Roman" w:hAnsi="Times New Roman" w:cs="Times New Roman"/>
          <w:sz w:val="24"/>
          <w:szCs w:val="24"/>
        </w:rPr>
        <w:t>. By implementing training and development programs, performance management systems, succession planning initiatives, career advancement opportunities, employee engagement initiatives, continuous learning platforms, and performance-based incentives, HR plays a crucial role in developing employees to achieve strategic goals. HR improves individual capabilities as well as aligns employees' skills and motivations with the organization's strategic priorities by investing in employee development. This results in a workforce that is more engaged and high-performing, which drives the achievement of strategic goals.</w:t>
      </w:r>
    </w:p>
    <w:p w:rsidR="002C700B" w:rsidRPr="00605229" w:rsidRDefault="003147FC" w:rsidP="002C700B">
      <w:pPr>
        <w:pStyle w:val="Heading1"/>
      </w:pPr>
      <w:bookmarkStart w:id="5" w:name="_Toc137814143"/>
      <w:r w:rsidRPr="00605229">
        <w:lastRenderedPageBreak/>
        <w:t>What organisational climate factors affect the effectiveness of HR strategy</w:t>
      </w:r>
      <w:bookmarkEnd w:id="5"/>
    </w:p>
    <w:p w:rsidR="003622B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sz w:val="24"/>
          <w:szCs w:val="24"/>
        </w:rPr>
        <w:t>Organizational climate factors significantly influence HR strategies' efficacy. These factors significantly impact how HR initiatives are received and implemented and shape the workplace as a whole. The effectiveness of HR strategy is influenced by leadership support, employee engagement, communication and collaboration, organizational culture, and other key organizational climate factors. HR strategies can only succeed with strong support from top executives (</w:t>
      </w:r>
      <w:r w:rsidRPr="00605229">
        <w:rPr>
          <w:rFonts w:ascii="Times New Roman" w:eastAsia="Times New Roman" w:hAnsi="Times New Roman" w:cs="Times New Roman"/>
          <w:color w:val="222222"/>
          <w:sz w:val="24"/>
          <w:szCs w:val="24"/>
          <w:highlight w:val="white"/>
        </w:rPr>
        <w:t>Chams and García-Blandón, 2019)</w:t>
      </w:r>
      <w:r w:rsidRPr="00605229">
        <w:rPr>
          <w:rFonts w:ascii="Times New Roman" w:eastAsia="Times New Roman" w:hAnsi="Times New Roman" w:cs="Times New Roman"/>
          <w:sz w:val="24"/>
          <w:szCs w:val="24"/>
        </w:rPr>
        <w:t>. It shows their commitment and encourages employee participation when leaders actively endorse and advocate for HR initiatives. Support from leadership ensures that HR strategies are given the resources, visibility, and organizational priority they need to be successful. Collaboration and communication channels that work well improve comprehension, engagement, and alignment with HR strategies. Employees are better able to comprehend the purpose, benefits, and expectations of HR programs if communication is open and honest (</w:t>
      </w:r>
      <w:r w:rsidRPr="00605229">
        <w:rPr>
          <w:rFonts w:ascii="Times New Roman" w:eastAsia="Times New Roman" w:hAnsi="Times New Roman" w:cs="Times New Roman"/>
          <w:color w:val="222222"/>
          <w:sz w:val="24"/>
          <w:szCs w:val="24"/>
          <w:highlight w:val="white"/>
        </w:rPr>
        <w:t xml:space="preserve">Yong </w:t>
      </w:r>
      <w:r w:rsidRPr="00605229">
        <w:rPr>
          <w:rFonts w:ascii="Times New Roman" w:eastAsia="Times New Roman" w:hAnsi="Times New Roman" w:cs="Times New Roman"/>
          <w:i/>
          <w:color w:val="222222"/>
          <w:sz w:val="24"/>
          <w:szCs w:val="24"/>
          <w:highlight w:val="white"/>
        </w:rPr>
        <w:t>et al</w:t>
      </w:r>
      <w:r w:rsidRPr="00605229">
        <w:rPr>
          <w:rFonts w:ascii="Times New Roman" w:eastAsia="Times New Roman" w:hAnsi="Times New Roman" w:cs="Times New Roman"/>
          <w:color w:val="222222"/>
          <w:sz w:val="24"/>
          <w:szCs w:val="24"/>
          <w:highlight w:val="white"/>
        </w:rPr>
        <w:t>. 2020)</w:t>
      </w:r>
      <w:r w:rsidRPr="00605229">
        <w:rPr>
          <w:rFonts w:ascii="Times New Roman" w:eastAsia="Times New Roman" w:hAnsi="Times New Roman" w:cs="Times New Roman"/>
          <w:sz w:val="24"/>
          <w:szCs w:val="24"/>
        </w:rPr>
        <w:t>.</w:t>
      </w:r>
    </w:p>
    <w:p w:rsidR="003622B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sz w:val="24"/>
          <w:szCs w:val="24"/>
        </w:rPr>
        <w:t>HR and other departments should work together to create a unified strategy and ensure that HR strategies are seamlessly integrated into the overall organizational framework. The efficacy of HR strategies is positively impacted by employee engagement. Engaged workers are more likely to embrace change, contribute their thoughts, and actively participate in HR initiatives. By fostering a supportive and inclusive work environment, recognizing and valuing employee contributions, and providing opportunities for involvement, HR can increase employee engagement. HR strategies' success is significantly influenced by the culture of the organization. HR initiatives are more likely to align with and be made easier to implement in a culture that values employee development, encourages innovation, and supports continuous learning (</w:t>
      </w:r>
      <w:r w:rsidRPr="00605229">
        <w:rPr>
          <w:rFonts w:ascii="Times New Roman" w:eastAsia="Times New Roman" w:hAnsi="Times New Roman" w:cs="Times New Roman"/>
          <w:color w:val="222222"/>
          <w:sz w:val="24"/>
          <w:szCs w:val="24"/>
          <w:highlight w:val="white"/>
        </w:rPr>
        <w:t xml:space="preserve">Jerónimo </w:t>
      </w:r>
      <w:r w:rsidRPr="00605229">
        <w:rPr>
          <w:rFonts w:ascii="Times New Roman" w:eastAsia="Times New Roman" w:hAnsi="Times New Roman" w:cs="Times New Roman"/>
          <w:i/>
          <w:color w:val="222222"/>
          <w:sz w:val="24"/>
          <w:szCs w:val="24"/>
          <w:highlight w:val="white"/>
        </w:rPr>
        <w:t>et al.</w:t>
      </w:r>
      <w:r w:rsidRPr="00605229">
        <w:rPr>
          <w:rFonts w:ascii="Times New Roman" w:eastAsia="Times New Roman" w:hAnsi="Times New Roman" w:cs="Times New Roman"/>
          <w:color w:val="222222"/>
          <w:sz w:val="24"/>
          <w:szCs w:val="24"/>
          <w:highlight w:val="white"/>
        </w:rPr>
        <w:t xml:space="preserve"> 2020)</w:t>
      </w:r>
      <w:r w:rsidRPr="00605229">
        <w:rPr>
          <w:rFonts w:ascii="Times New Roman" w:eastAsia="Times New Roman" w:hAnsi="Times New Roman" w:cs="Times New Roman"/>
          <w:sz w:val="24"/>
          <w:szCs w:val="24"/>
        </w:rPr>
        <w:t xml:space="preserve">. A positive organizational culture that is open to HR practices and supports the achievement of strategic goals should be the goal of HR. For HR strategy to work, a good performance management system is important. It encourages accountability and drives performance improvement when performance expectations are clearly defined, feedback is provided frequently, and evaluations are fair and objective. HR should ensure that the performance management processes align with the company's strategic goals so that the company can find areas for improvement and make it easier for employees to grow. Successfully implementing HR strategies necessitates an appropriate allocation of resources, including financial, technological, and human resources. HR can make investments in training programs, technology infrastructure, and efforts to </w:t>
      </w:r>
      <w:r w:rsidRPr="00605229">
        <w:rPr>
          <w:rFonts w:ascii="Times New Roman" w:eastAsia="Times New Roman" w:hAnsi="Times New Roman" w:cs="Times New Roman"/>
          <w:sz w:val="24"/>
          <w:szCs w:val="24"/>
        </w:rPr>
        <w:lastRenderedPageBreak/>
        <w:t>acquire talent with sufficient funding (</w:t>
      </w:r>
      <w:r w:rsidRPr="00605229">
        <w:rPr>
          <w:rFonts w:ascii="Times New Roman" w:eastAsia="Times New Roman" w:hAnsi="Times New Roman" w:cs="Times New Roman"/>
          <w:color w:val="222222"/>
          <w:sz w:val="24"/>
          <w:szCs w:val="24"/>
          <w:highlight w:val="white"/>
        </w:rPr>
        <w:t xml:space="preserve">Yusliza </w:t>
      </w:r>
      <w:r w:rsidRPr="00605229">
        <w:rPr>
          <w:rFonts w:ascii="Times New Roman" w:eastAsia="Times New Roman" w:hAnsi="Times New Roman" w:cs="Times New Roman"/>
          <w:i/>
          <w:color w:val="222222"/>
          <w:sz w:val="24"/>
          <w:szCs w:val="24"/>
          <w:highlight w:val="white"/>
        </w:rPr>
        <w:t>et al.</w:t>
      </w:r>
      <w:r w:rsidRPr="00605229">
        <w:rPr>
          <w:rFonts w:ascii="Times New Roman" w:eastAsia="Times New Roman" w:hAnsi="Times New Roman" w:cs="Times New Roman"/>
          <w:color w:val="222222"/>
          <w:sz w:val="24"/>
          <w:szCs w:val="24"/>
          <w:highlight w:val="white"/>
        </w:rPr>
        <w:t xml:space="preserve"> 2019)</w:t>
      </w:r>
      <w:r w:rsidRPr="00605229">
        <w:rPr>
          <w:rFonts w:ascii="Times New Roman" w:eastAsia="Times New Roman" w:hAnsi="Times New Roman" w:cs="Times New Roman"/>
          <w:sz w:val="24"/>
          <w:szCs w:val="24"/>
        </w:rPr>
        <w:t>. In order to acquire the necessary resources and ensure that their allocation is in line with strategic priorities, HR should collaborate with organizational leaders. HR strategies cannot be successful unless employees are able to successfully manage change. HR should actively address resistance to change, explain the motivations behind HR initiatives, and assist employees in adjusting to new procedures with support and training. HR strategies are more likely to be successfully implemented, and the growth of the company is aided by a culture that embraces and manages change. HR professionals can maximize the impact of their initiatives and contribute to the success of their organizations by recognizing and addressing these organizational climate factors. HR strategies' efficacy is influenced by leadership support, employee engagement, communication and collaboration, and organizational culture. HR initiatives are successful when they are implemented and adopted in an atmosphere where employees are receptive, engaged, and aligned with organizational goals. In the end, this helps the organization achieve its objectives.</w:t>
      </w:r>
    </w:p>
    <w:p w:rsidR="003622BB" w:rsidRPr="00605229" w:rsidRDefault="003147FC">
      <w:pPr>
        <w:spacing w:before="240" w:after="240" w:line="360" w:lineRule="auto"/>
        <w:jc w:val="center"/>
        <w:rPr>
          <w:rFonts w:ascii="Times New Roman" w:eastAsia="Times New Roman" w:hAnsi="Times New Roman" w:cs="Times New Roman"/>
          <w:sz w:val="24"/>
          <w:szCs w:val="24"/>
        </w:rPr>
      </w:pPr>
      <w:r w:rsidRPr="00605229">
        <w:rPr>
          <w:rFonts w:ascii="Times New Roman" w:eastAsia="Times New Roman" w:hAnsi="Times New Roman" w:cs="Times New Roman"/>
          <w:noProof/>
          <w:sz w:val="24"/>
          <w:szCs w:val="24"/>
          <w:lang w:val="en-US" w:eastAsia="en-US" w:bidi="gu-IN"/>
        </w:rPr>
        <w:drawing>
          <wp:inline distT="114300" distB="114300" distL="114300" distR="114300">
            <wp:extent cx="2562649" cy="2319784"/>
            <wp:effectExtent l="0" t="0" r="0" b="0"/>
            <wp:docPr id="3" name="image2.jpg"/>
            <wp:cNvGraphicFramePr/>
            <a:graphic xmlns:a="http://schemas.openxmlformats.org/drawingml/2006/main">
              <a:graphicData uri="http://schemas.openxmlformats.org/drawingml/2006/picture">
                <pic:pic xmlns:pic="http://schemas.openxmlformats.org/drawingml/2006/picture">
                  <pic:nvPicPr>
                    <pic:cNvPr id="3" name="image2.jpg"/>
                    <pic:cNvPicPr/>
                  </pic:nvPicPr>
                  <pic:blipFill>
                    <a:blip r:embed="rId14"/>
                    <a:stretch>
                      <a:fillRect/>
                    </a:stretch>
                  </pic:blipFill>
                  <pic:spPr>
                    <a:xfrm>
                      <a:off x="0" y="0"/>
                      <a:ext cx="2562649" cy="2319784"/>
                    </a:xfrm>
                    <a:prstGeom prst="rect">
                      <a:avLst/>
                    </a:prstGeom>
                  </pic:spPr>
                </pic:pic>
              </a:graphicData>
            </a:graphic>
          </wp:inline>
        </w:drawing>
      </w:r>
    </w:p>
    <w:p w:rsidR="003622BB" w:rsidRPr="00605229" w:rsidRDefault="003147FC">
      <w:pPr>
        <w:spacing w:before="240" w:after="240" w:line="360" w:lineRule="auto"/>
        <w:jc w:val="center"/>
        <w:rPr>
          <w:rFonts w:ascii="Times New Roman" w:eastAsia="Times New Roman" w:hAnsi="Times New Roman" w:cs="Times New Roman"/>
          <w:b/>
          <w:sz w:val="24"/>
          <w:szCs w:val="24"/>
        </w:rPr>
      </w:pPr>
      <w:r w:rsidRPr="00605229">
        <w:rPr>
          <w:rFonts w:ascii="Times New Roman" w:eastAsia="Times New Roman" w:hAnsi="Times New Roman" w:cs="Times New Roman"/>
          <w:b/>
          <w:sz w:val="24"/>
          <w:szCs w:val="24"/>
        </w:rPr>
        <w:t>Figure: HR Strategy</w:t>
      </w:r>
    </w:p>
    <w:p w:rsidR="003622BB" w:rsidRPr="00605229" w:rsidRDefault="003147FC">
      <w:pPr>
        <w:spacing w:before="240" w:after="240" w:line="360" w:lineRule="auto"/>
        <w:jc w:val="center"/>
        <w:rPr>
          <w:rFonts w:ascii="Times New Roman" w:eastAsia="Times New Roman" w:hAnsi="Times New Roman" w:cs="Times New Roman"/>
          <w:sz w:val="24"/>
          <w:szCs w:val="24"/>
        </w:rPr>
      </w:pPr>
      <w:r w:rsidRPr="00605229">
        <w:rPr>
          <w:rFonts w:ascii="Times New Roman" w:eastAsia="Times New Roman" w:hAnsi="Times New Roman" w:cs="Times New Roman"/>
          <w:sz w:val="24"/>
          <w:szCs w:val="24"/>
        </w:rPr>
        <w:t>(Source: Workbook, 2021)</w:t>
      </w:r>
    </w:p>
    <w:p w:rsidR="003622BB" w:rsidRPr="00605229" w:rsidRDefault="003147FC" w:rsidP="002C700B">
      <w:pPr>
        <w:pStyle w:val="Heading1"/>
      </w:pPr>
      <w:bookmarkStart w:id="6" w:name="_Toc137814144"/>
      <w:r w:rsidRPr="00605229">
        <w:t>Conclusion</w:t>
      </w:r>
      <w:bookmarkEnd w:id="6"/>
    </w:p>
    <w:p w:rsidR="003622B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sz w:val="24"/>
          <w:szCs w:val="24"/>
        </w:rPr>
        <w:t xml:space="preserve">From the study, it can be concluded that this essay emphasized the importance of addressing the public sector's lack of strategic HR partnering capability and the role of HR in employee development for senior HR positions. Employers face difficulties filling these positions due to a lack of qualified applicants, as the case study of East Coast County (ECC) demonstrated. </w:t>
      </w:r>
      <w:r w:rsidRPr="00605229">
        <w:rPr>
          <w:rFonts w:ascii="Times New Roman" w:eastAsia="Times New Roman" w:hAnsi="Times New Roman" w:cs="Times New Roman"/>
          <w:sz w:val="24"/>
          <w:szCs w:val="24"/>
        </w:rPr>
        <w:lastRenderedPageBreak/>
        <w:t>The essay talked about factors like leadership support, communication, collaboration, employee engagement, and organizational culture that affect how well HR strategies work. In order to build a skilled workforce capable of achieving strategic HR goals, it emphasized the significance of investing in employee development through training, performance management, succession planning, and career advancement opportunities.</w:t>
      </w:r>
      <w:r w:rsidRPr="00605229">
        <w:br w:type="page"/>
      </w:r>
    </w:p>
    <w:p w:rsidR="002C700B" w:rsidRPr="00605229" w:rsidRDefault="003147FC" w:rsidP="002C700B">
      <w:pPr>
        <w:pStyle w:val="Heading1"/>
      </w:pPr>
      <w:bookmarkStart w:id="7" w:name="_Toc137814145"/>
      <w:r w:rsidRPr="00605229">
        <w:lastRenderedPageBreak/>
        <w:t>References</w:t>
      </w:r>
      <w:bookmarkEnd w:id="7"/>
    </w:p>
    <w:p w:rsidR="002C700B" w:rsidRPr="00605229" w:rsidRDefault="003147FC">
      <w:pPr>
        <w:spacing w:after="200" w:line="360" w:lineRule="auto"/>
        <w:jc w:val="both"/>
        <w:rPr>
          <w:rFonts w:ascii="Times New Roman" w:eastAsia="Times New Roman" w:hAnsi="Times New Roman" w:cs="Times New Roman"/>
          <w:color w:val="222222"/>
          <w:sz w:val="24"/>
          <w:szCs w:val="24"/>
          <w:highlight w:val="white"/>
        </w:rPr>
      </w:pPr>
      <w:r w:rsidRPr="00605229">
        <w:rPr>
          <w:rFonts w:ascii="Times New Roman" w:eastAsia="Times New Roman" w:hAnsi="Times New Roman" w:cs="Times New Roman"/>
          <w:color w:val="222222"/>
          <w:sz w:val="24"/>
          <w:szCs w:val="24"/>
          <w:highlight w:val="white"/>
        </w:rPr>
        <w:t xml:space="preserve">Alsafadi, Y. and Altahat, S., 2021. Human resource management practices and employee performance: the role of job satisfaction. </w:t>
      </w:r>
      <w:r w:rsidRPr="00605229">
        <w:rPr>
          <w:rFonts w:ascii="Times New Roman" w:eastAsia="Times New Roman" w:hAnsi="Times New Roman" w:cs="Times New Roman"/>
          <w:i/>
          <w:color w:val="222222"/>
          <w:sz w:val="24"/>
          <w:szCs w:val="24"/>
          <w:highlight w:val="white"/>
        </w:rPr>
        <w:t>The Journal of Asian Finance, Economics and Business</w:t>
      </w:r>
      <w:r w:rsidRPr="00605229">
        <w:rPr>
          <w:rFonts w:ascii="Times New Roman" w:eastAsia="Times New Roman" w:hAnsi="Times New Roman" w:cs="Times New Roman"/>
          <w:color w:val="222222"/>
          <w:sz w:val="24"/>
          <w:szCs w:val="24"/>
          <w:highlight w:val="white"/>
        </w:rPr>
        <w:t xml:space="preserve">, </w:t>
      </w:r>
      <w:r w:rsidRPr="00605229">
        <w:rPr>
          <w:rFonts w:ascii="Times New Roman" w:eastAsia="Times New Roman" w:hAnsi="Times New Roman" w:cs="Times New Roman"/>
          <w:i/>
          <w:color w:val="222222"/>
          <w:sz w:val="24"/>
          <w:szCs w:val="24"/>
          <w:highlight w:val="white"/>
        </w:rPr>
        <w:t>8</w:t>
      </w:r>
      <w:r w:rsidRPr="00605229">
        <w:rPr>
          <w:rFonts w:ascii="Times New Roman" w:eastAsia="Times New Roman" w:hAnsi="Times New Roman" w:cs="Times New Roman"/>
          <w:color w:val="222222"/>
          <w:sz w:val="24"/>
          <w:szCs w:val="24"/>
          <w:highlight w:val="white"/>
        </w:rPr>
        <w:t xml:space="preserve">(1), pp.519-529. Available at: </w:t>
      </w:r>
      <w:hyperlink r:id="rId15">
        <w:r w:rsidRPr="00605229">
          <w:rPr>
            <w:rFonts w:ascii="Times New Roman" w:eastAsia="Times New Roman" w:hAnsi="Times New Roman" w:cs="Times New Roman"/>
            <w:color w:val="1155CC"/>
            <w:sz w:val="24"/>
            <w:szCs w:val="24"/>
            <w:highlight w:val="white"/>
            <w:u w:val="single"/>
          </w:rPr>
          <w:t>https://www.researchgate.net/profile/Yousef-Alsafadi-3/publication/348481834_Human_Resource_Management_Practices_and_Employee_Performance_The_Role_of_Job_Satisfaction/links/6000d0fa45851553a044fb76/Human-Resource-Management-Practices-and-Employee-Performance-The-Role-of-Job-Satisfaction.pdf</w:t>
        </w:r>
      </w:hyperlink>
      <w:r w:rsidRPr="00605229">
        <w:rPr>
          <w:rFonts w:ascii="Times New Roman" w:eastAsia="Times New Roman" w:hAnsi="Times New Roman" w:cs="Times New Roman"/>
          <w:color w:val="222222"/>
          <w:sz w:val="24"/>
          <w:szCs w:val="24"/>
          <w:highlight w:val="white"/>
        </w:rPr>
        <w:t xml:space="preserve">  [Accessed on 16 June 2023]</w:t>
      </w:r>
    </w:p>
    <w:p w:rsidR="002C700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sz w:val="24"/>
          <w:szCs w:val="24"/>
        </w:rPr>
        <w:t xml:space="preserve">Alves, J.C., Lok, T.C., Luo, Y. and Hao, W., 2020. Crisis management for small business during the COVID-19 outbreak: Survival, resilience and renewal strategies of firms in Macau. Available at: </w:t>
      </w:r>
      <w:hyperlink r:id="rId16">
        <w:r w:rsidRPr="00605229">
          <w:rPr>
            <w:rFonts w:ascii="Times New Roman" w:eastAsia="Times New Roman" w:hAnsi="Times New Roman" w:cs="Times New Roman"/>
            <w:color w:val="1155CC"/>
            <w:sz w:val="24"/>
            <w:szCs w:val="24"/>
            <w:u w:val="single"/>
          </w:rPr>
          <w:t>https://www.researchsquare.com/article/rs-34541/latest.pdf</w:t>
        </w:r>
      </w:hyperlink>
      <w:r w:rsidRPr="00605229">
        <w:rPr>
          <w:rFonts w:ascii="Times New Roman" w:eastAsia="Times New Roman" w:hAnsi="Times New Roman" w:cs="Times New Roman"/>
          <w:sz w:val="24"/>
          <w:szCs w:val="24"/>
        </w:rPr>
        <w:t xml:space="preserve"> [Accessed 16 June 2023]</w:t>
      </w:r>
    </w:p>
    <w:p w:rsidR="002C700B" w:rsidRPr="00605229" w:rsidRDefault="003147FC">
      <w:pPr>
        <w:spacing w:before="240" w:after="240" w:line="360" w:lineRule="auto"/>
        <w:jc w:val="both"/>
        <w:rPr>
          <w:rFonts w:ascii="Times New Roman" w:eastAsia="Times New Roman" w:hAnsi="Times New Roman" w:cs="Times New Roman"/>
          <w:color w:val="222222"/>
          <w:sz w:val="24"/>
          <w:szCs w:val="24"/>
          <w:highlight w:val="white"/>
        </w:rPr>
      </w:pPr>
      <w:r w:rsidRPr="00605229">
        <w:rPr>
          <w:rFonts w:ascii="Times New Roman" w:eastAsia="Times New Roman" w:hAnsi="Times New Roman" w:cs="Times New Roman"/>
          <w:sz w:val="24"/>
          <w:szCs w:val="24"/>
        </w:rPr>
        <w:t xml:space="preserve">Anwar, G. and Abdullah, N.N., 2021. The impact of Human resource management practice on Organizational performance. </w:t>
      </w:r>
      <w:r w:rsidRPr="00605229">
        <w:rPr>
          <w:rFonts w:ascii="Times New Roman" w:eastAsia="Times New Roman" w:hAnsi="Times New Roman" w:cs="Times New Roman"/>
          <w:i/>
          <w:sz w:val="24"/>
          <w:szCs w:val="24"/>
        </w:rPr>
        <w:t>International journal of Engineering, Business and Management (IJEBM)</w:t>
      </w:r>
      <w:r w:rsidRPr="00605229">
        <w:rPr>
          <w:rFonts w:ascii="Times New Roman" w:eastAsia="Times New Roman" w:hAnsi="Times New Roman" w:cs="Times New Roman"/>
          <w:sz w:val="24"/>
          <w:szCs w:val="24"/>
        </w:rPr>
        <w:t xml:space="preserve">, </w:t>
      </w:r>
      <w:r w:rsidRPr="00605229">
        <w:rPr>
          <w:rFonts w:ascii="Times New Roman" w:eastAsia="Times New Roman" w:hAnsi="Times New Roman" w:cs="Times New Roman"/>
          <w:i/>
          <w:sz w:val="24"/>
          <w:szCs w:val="24"/>
        </w:rPr>
        <w:t>5</w:t>
      </w:r>
      <w:r w:rsidRPr="00605229">
        <w:rPr>
          <w:rFonts w:ascii="Times New Roman" w:eastAsia="Times New Roman" w:hAnsi="Times New Roman" w:cs="Times New Roman"/>
          <w:sz w:val="24"/>
          <w:szCs w:val="24"/>
        </w:rPr>
        <w:t xml:space="preserve">. Available at: </w:t>
      </w:r>
      <w:hyperlink r:id="rId17">
        <w:r w:rsidRPr="00605229">
          <w:rPr>
            <w:rFonts w:ascii="Times New Roman" w:eastAsia="Times New Roman" w:hAnsi="Times New Roman" w:cs="Times New Roman"/>
            <w:color w:val="1155CC"/>
            <w:sz w:val="24"/>
            <w:szCs w:val="24"/>
            <w:u w:val="single"/>
          </w:rPr>
          <w:t>http://www.journal-repository.theshillonga.com/index.php/ijebm/article/view/3409/3213</w:t>
        </w:r>
      </w:hyperlink>
      <w:r w:rsidRPr="00605229">
        <w:rPr>
          <w:rFonts w:ascii="Times New Roman" w:eastAsia="Times New Roman" w:hAnsi="Times New Roman" w:cs="Times New Roman"/>
          <w:sz w:val="24"/>
          <w:szCs w:val="24"/>
        </w:rPr>
        <w:t xml:space="preserve"> [Accessed 16 June 2023]</w:t>
      </w:r>
    </w:p>
    <w:p w:rsidR="002C700B" w:rsidRPr="00605229" w:rsidRDefault="003147FC">
      <w:pPr>
        <w:spacing w:after="200" w:line="360" w:lineRule="auto"/>
        <w:jc w:val="both"/>
        <w:rPr>
          <w:rFonts w:ascii="Times New Roman" w:eastAsia="Times New Roman" w:hAnsi="Times New Roman" w:cs="Times New Roman"/>
          <w:color w:val="222222"/>
          <w:sz w:val="24"/>
          <w:szCs w:val="24"/>
          <w:highlight w:val="white"/>
        </w:rPr>
      </w:pPr>
      <w:r w:rsidRPr="00605229">
        <w:rPr>
          <w:rFonts w:ascii="Times New Roman" w:eastAsia="Times New Roman" w:hAnsi="Times New Roman" w:cs="Times New Roman"/>
          <w:color w:val="222222"/>
          <w:sz w:val="24"/>
          <w:szCs w:val="24"/>
          <w:highlight w:val="white"/>
        </w:rPr>
        <w:t xml:space="preserve">Chams, N. and García-Blandón, J., 2019. On the importance of sustainable human resource management for the adoption of sustainable development goals. </w:t>
      </w:r>
      <w:r w:rsidRPr="00605229">
        <w:rPr>
          <w:rFonts w:ascii="Times New Roman" w:eastAsia="Times New Roman" w:hAnsi="Times New Roman" w:cs="Times New Roman"/>
          <w:i/>
          <w:color w:val="222222"/>
          <w:sz w:val="24"/>
          <w:szCs w:val="24"/>
          <w:highlight w:val="white"/>
        </w:rPr>
        <w:t>Resources, Conservation and Recycling</w:t>
      </w:r>
      <w:r w:rsidRPr="00605229">
        <w:rPr>
          <w:rFonts w:ascii="Times New Roman" w:eastAsia="Times New Roman" w:hAnsi="Times New Roman" w:cs="Times New Roman"/>
          <w:color w:val="222222"/>
          <w:sz w:val="24"/>
          <w:szCs w:val="24"/>
          <w:highlight w:val="white"/>
        </w:rPr>
        <w:t xml:space="preserve">, </w:t>
      </w:r>
      <w:r w:rsidRPr="00605229">
        <w:rPr>
          <w:rFonts w:ascii="Times New Roman" w:eastAsia="Times New Roman" w:hAnsi="Times New Roman" w:cs="Times New Roman"/>
          <w:i/>
          <w:color w:val="222222"/>
          <w:sz w:val="24"/>
          <w:szCs w:val="24"/>
          <w:highlight w:val="white"/>
        </w:rPr>
        <w:t>141</w:t>
      </w:r>
      <w:r w:rsidRPr="00605229">
        <w:rPr>
          <w:rFonts w:ascii="Times New Roman" w:eastAsia="Times New Roman" w:hAnsi="Times New Roman" w:cs="Times New Roman"/>
          <w:color w:val="222222"/>
          <w:sz w:val="24"/>
          <w:szCs w:val="24"/>
          <w:highlight w:val="white"/>
        </w:rPr>
        <w:t xml:space="preserve">, pp.109-122. Available at: </w:t>
      </w:r>
      <w:hyperlink r:id="rId18">
        <w:r w:rsidRPr="00605229">
          <w:rPr>
            <w:rFonts w:ascii="Times New Roman" w:eastAsia="Times New Roman" w:hAnsi="Times New Roman" w:cs="Times New Roman"/>
            <w:color w:val="1155CC"/>
            <w:sz w:val="24"/>
            <w:szCs w:val="24"/>
            <w:highlight w:val="white"/>
            <w:u w:val="single"/>
          </w:rPr>
          <w:t>https://fardapaper.ir/mohavaha/uploads/2018/11/Fardapaper-On-the-importance-of-sustainable-human-resource-management-for-the-adoption-of-sustainable-development-goals.pdf</w:t>
        </w:r>
      </w:hyperlink>
      <w:r w:rsidRPr="00605229">
        <w:rPr>
          <w:rFonts w:ascii="Times New Roman" w:eastAsia="Times New Roman" w:hAnsi="Times New Roman" w:cs="Times New Roman"/>
          <w:color w:val="222222"/>
          <w:sz w:val="24"/>
          <w:szCs w:val="24"/>
          <w:highlight w:val="white"/>
        </w:rPr>
        <w:t xml:space="preserve"> [Accessed on 16 June 2023]</w:t>
      </w:r>
    </w:p>
    <w:p w:rsidR="002C700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sz w:val="24"/>
          <w:szCs w:val="24"/>
        </w:rPr>
        <w:t xml:space="preserve">García-Juan, B., Escrig-Tena, A.B. and Roca-Puig, V., 2019. Empowerment in the public sector: Testing the influence of goal orientation. </w:t>
      </w:r>
      <w:r w:rsidRPr="00605229">
        <w:rPr>
          <w:rFonts w:ascii="Times New Roman" w:eastAsia="Times New Roman" w:hAnsi="Times New Roman" w:cs="Times New Roman"/>
          <w:i/>
          <w:sz w:val="24"/>
          <w:szCs w:val="24"/>
        </w:rPr>
        <w:t>Public personnel management</w:t>
      </w:r>
      <w:r w:rsidRPr="00605229">
        <w:rPr>
          <w:rFonts w:ascii="Times New Roman" w:eastAsia="Times New Roman" w:hAnsi="Times New Roman" w:cs="Times New Roman"/>
          <w:sz w:val="24"/>
          <w:szCs w:val="24"/>
        </w:rPr>
        <w:t xml:space="preserve">, </w:t>
      </w:r>
      <w:r w:rsidRPr="00605229">
        <w:rPr>
          <w:rFonts w:ascii="Times New Roman" w:eastAsia="Times New Roman" w:hAnsi="Times New Roman" w:cs="Times New Roman"/>
          <w:i/>
          <w:sz w:val="24"/>
          <w:szCs w:val="24"/>
        </w:rPr>
        <w:t>48</w:t>
      </w:r>
      <w:r w:rsidRPr="00605229">
        <w:rPr>
          <w:rFonts w:ascii="Times New Roman" w:eastAsia="Times New Roman" w:hAnsi="Times New Roman" w:cs="Times New Roman"/>
          <w:sz w:val="24"/>
          <w:szCs w:val="24"/>
        </w:rPr>
        <w:t xml:space="preserve">(4), pp.443-470. Available at: </w:t>
      </w:r>
      <w:hyperlink r:id="rId19">
        <w:r w:rsidRPr="00605229">
          <w:rPr>
            <w:rFonts w:ascii="Times New Roman" w:eastAsia="Times New Roman" w:hAnsi="Times New Roman" w:cs="Times New Roman"/>
            <w:color w:val="1155CC"/>
            <w:sz w:val="24"/>
            <w:szCs w:val="24"/>
            <w:u w:val="single"/>
          </w:rPr>
          <w:t>https://repositori.uji.es/xmlui/bitstream/handle/10234/184170/63086.pdf?sequence=1&amp;isAllowed=y</w:t>
        </w:r>
      </w:hyperlink>
      <w:r w:rsidRPr="00605229">
        <w:rPr>
          <w:rFonts w:ascii="Times New Roman" w:eastAsia="Times New Roman" w:hAnsi="Times New Roman" w:cs="Times New Roman"/>
          <w:sz w:val="24"/>
          <w:szCs w:val="24"/>
        </w:rPr>
        <w:t xml:space="preserve"> [Accessed 16 June 2023]</w:t>
      </w:r>
    </w:p>
    <w:p w:rsidR="002C700B" w:rsidRPr="00605229" w:rsidRDefault="003147FC">
      <w:pPr>
        <w:spacing w:after="200" w:line="360" w:lineRule="auto"/>
        <w:jc w:val="both"/>
        <w:rPr>
          <w:rFonts w:ascii="Times New Roman" w:eastAsia="Times New Roman" w:hAnsi="Times New Roman" w:cs="Times New Roman"/>
          <w:color w:val="222222"/>
          <w:sz w:val="24"/>
          <w:szCs w:val="24"/>
          <w:highlight w:val="white"/>
        </w:rPr>
      </w:pPr>
      <w:r w:rsidRPr="00605229">
        <w:rPr>
          <w:rFonts w:ascii="Times New Roman" w:eastAsia="Times New Roman" w:hAnsi="Times New Roman" w:cs="Times New Roman"/>
          <w:color w:val="222222"/>
          <w:sz w:val="24"/>
          <w:szCs w:val="24"/>
          <w:highlight w:val="white"/>
        </w:rPr>
        <w:lastRenderedPageBreak/>
        <w:t xml:space="preserve">Jerónimo, H.M., Henriques, P.L., de Lacerda, T.C., da Silva, F.P. and Vieira, P.R., 2020. Going green and sustainable: The influence of green HR practices on the organizational rationale for sustainability. </w:t>
      </w:r>
      <w:r w:rsidRPr="00605229">
        <w:rPr>
          <w:rFonts w:ascii="Times New Roman" w:eastAsia="Times New Roman" w:hAnsi="Times New Roman" w:cs="Times New Roman"/>
          <w:i/>
          <w:color w:val="222222"/>
          <w:sz w:val="24"/>
          <w:szCs w:val="24"/>
          <w:highlight w:val="white"/>
        </w:rPr>
        <w:t>Journal of Business Research</w:t>
      </w:r>
      <w:r w:rsidRPr="00605229">
        <w:rPr>
          <w:rFonts w:ascii="Times New Roman" w:eastAsia="Times New Roman" w:hAnsi="Times New Roman" w:cs="Times New Roman"/>
          <w:color w:val="222222"/>
          <w:sz w:val="24"/>
          <w:szCs w:val="24"/>
          <w:highlight w:val="white"/>
        </w:rPr>
        <w:t xml:space="preserve">, </w:t>
      </w:r>
      <w:r w:rsidRPr="00605229">
        <w:rPr>
          <w:rFonts w:ascii="Times New Roman" w:eastAsia="Times New Roman" w:hAnsi="Times New Roman" w:cs="Times New Roman"/>
          <w:i/>
          <w:color w:val="222222"/>
          <w:sz w:val="24"/>
          <w:szCs w:val="24"/>
          <w:highlight w:val="white"/>
        </w:rPr>
        <w:t>112</w:t>
      </w:r>
      <w:r w:rsidRPr="00605229">
        <w:rPr>
          <w:rFonts w:ascii="Times New Roman" w:eastAsia="Times New Roman" w:hAnsi="Times New Roman" w:cs="Times New Roman"/>
          <w:color w:val="222222"/>
          <w:sz w:val="24"/>
          <w:szCs w:val="24"/>
          <w:highlight w:val="white"/>
        </w:rPr>
        <w:t xml:space="preserve">, pp.413-421. Available at: </w:t>
      </w:r>
      <w:hyperlink r:id="rId20">
        <w:r w:rsidRPr="00605229">
          <w:rPr>
            <w:rFonts w:ascii="Times New Roman" w:eastAsia="Times New Roman" w:hAnsi="Times New Roman" w:cs="Times New Roman"/>
            <w:color w:val="1155CC"/>
            <w:sz w:val="24"/>
            <w:szCs w:val="24"/>
            <w:highlight w:val="white"/>
            <w:u w:val="single"/>
          </w:rPr>
          <w:t>https://www.repository.utl.pt/bitstream/10400.5/24882/1/Paulo%20Henriques%20et%20al..pdf</w:t>
        </w:r>
      </w:hyperlink>
      <w:r w:rsidRPr="00605229">
        <w:rPr>
          <w:rFonts w:ascii="Times New Roman" w:eastAsia="Times New Roman" w:hAnsi="Times New Roman" w:cs="Times New Roman"/>
          <w:color w:val="222222"/>
          <w:sz w:val="24"/>
          <w:szCs w:val="24"/>
          <w:highlight w:val="white"/>
        </w:rPr>
        <w:t xml:space="preserve"> [Accessed on 16 June 2023]</w:t>
      </w:r>
    </w:p>
    <w:p w:rsidR="002C700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sz w:val="24"/>
          <w:szCs w:val="24"/>
        </w:rPr>
        <w:t xml:space="preserve">Kravariti, F. and Johnston, K., 2020. Talent management: a critical literature review and research agenda for public sector human resource management. </w:t>
      </w:r>
      <w:r w:rsidRPr="00605229">
        <w:rPr>
          <w:rFonts w:ascii="Times New Roman" w:eastAsia="Times New Roman" w:hAnsi="Times New Roman" w:cs="Times New Roman"/>
          <w:i/>
          <w:sz w:val="24"/>
          <w:szCs w:val="24"/>
        </w:rPr>
        <w:t>Public Management Review</w:t>
      </w:r>
      <w:r w:rsidRPr="00605229">
        <w:rPr>
          <w:rFonts w:ascii="Times New Roman" w:eastAsia="Times New Roman" w:hAnsi="Times New Roman" w:cs="Times New Roman"/>
          <w:sz w:val="24"/>
          <w:szCs w:val="24"/>
        </w:rPr>
        <w:t xml:space="preserve">, </w:t>
      </w:r>
      <w:r w:rsidRPr="00605229">
        <w:rPr>
          <w:rFonts w:ascii="Times New Roman" w:eastAsia="Times New Roman" w:hAnsi="Times New Roman" w:cs="Times New Roman"/>
          <w:i/>
          <w:sz w:val="24"/>
          <w:szCs w:val="24"/>
        </w:rPr>
        <w:t>22</w:t>
      </w:r>
      <w:r w:rsidRPr="00605229">
        <w:rPr>
          <w:rFonts w:ascii="Times New Roman" w:eastAsia="Times New Roman" w:hAnsi="Times New Roman" w:cs="Times New Roman"/>
          <w:sz w:val="24"/>
          <w:szCs w:val="24"/>
        </w:rPr>
        <w:t xml:space="preserve">(1), pp.75-95. Available at: </w:t>
      </w:r>
      <w:hyperlink r:id="rId21">
        <w:r w:rsidRPr="00605229">
          <w:rPr>
            <w:rFonts w:ascii="Times New Roman" w:eastAsia="Times New Roman" w:hAnsi="Times New Roman" w:cs="Times New Roman"/>
            <w:color w:val="1155CC"/>
            <w:sz w:val="24"/>
            <w:szCs w:val="24"/>
            <w:u w:val="single"/>
          </w:rPr>
          <w:t>https://www.researchgate.net/profile/Karen-Johnston-16/publication/334529849_Talent_management_a_critical_literature_review_and_research_agenda_for_public_sector_human_resource_management/links/5dc04f16a6fdcc212801d7c0/Talent-management-a-critical-literature-review-and-research-agenda-for-public-sector-human-resource-management.pdf</w:t>
        </w:r>
      </w:hyperlink>
      <w:r w:rsidRPr="00605229">
        <w:rPr>
          <w:rFonts w:ascii="Times New Roman" w:eastAsia="Times New Roman" w:hAnsi="Times New Roman" w:cs="Times New Roman"/>
          <w:sz w:val="24"/>
          <w:szCs w:val="24"/>
        </w:rPr>
        <w:t xml:space="preserve"> [Accessed 16 June 2023]</w:t>
      </w:r>
    </w:p>
    <w:p w:rsidR="002C700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sz w:val="24"/>
          <w:szCs w:val="24"/>
        </w:rPr>
        <w:t xml:space="preserve">Kuziemski, M. and Misuraca, G., 2020. AI governance in the public sector: Three tales from the frontiers of automated decision-making in democratic settings. </w:t>
      </w:r>
      <w:r w:rsidRPr="00605229">
        <w:rPr>
          <w:rFonts w:ascii="Times New Roman" w:eastAsia="Times New Roman" w:hAnsi="Times New Roman" w:cs="Times New Roman"/>
          <w:i/>
          <w:sz w:val="24"/>
          <w:szCs w:val="24"/>
        </w:rPr>
        <w:t>Telecommunications policy</w:t>
      </w:r>
      <w:r w:rsidRPr="00605229">
        <w:rPr>
          <w:rFonts w:ascii="Times New Roman" w:eastAsia="Times New Roman" w:hAnsi="Times New Roman" w:cs="Times New Roman"/>
          <w:sz w:val="24"/>
          <w:szCs w:val="24"/>
        </w:rPr>
        <w:t xml:space="preserve">, </w:t>
      </w:r>
      <w:r w:rsidRPr="00605229">
        <w:rPr>
          <w:rFonts w:ascii="Times New Roman" w:eastAsia="Times New Roman" w:hAnsi="Times New Roman" w:cs="Times New Roman"/>
          <w:i/>
          <w:sz w:val="24"/>
          <w:szCs w:val="24"/>
        </w:rPr>
        <w:t>44</w:t>
      </w:r>
      <w:r w:rsidRPr="00605229">
        <w:rPr>
          <w:rFonts w:ascii="Times New Roman" w:eastAsia="Times New Roman" w:hAnsi="Times New Roman" w:cs="Times New Roman"/>
          <w:sz w:val="24"/>
          <w:szCs w:val="24"/>
        </w:rPr>
        <w:t xml:space="preserve">(6), p.101976. Available at: </w:t>
      </w:r>
      <w:hyperlink r:id="rId22">
        <w:r w:rsidRPr="00605229">
          <w:rPr>
            <w:rFonts w:ascii="Times New Roman" w:eastAsia="Times New Roman" w:hAnsi="Times New Roman" w:cs="Times New Roman"/>
            <w:color w:val="1155CC"/>
            <w:sz w:val="24"/>
            <w:szCs w:val="24"/>
            <w:u w:val="single"/>
          </w:rPr>
          <w:t>https://www.ncbi.nlm.nih.gov/pmc/articles/PMC7164913/</w:t>
        </w:r>
      </w:hyperlink>
      <w:r w:rsidRPr="00605229">
        <w:rPr>
          <w:rFonts w:ascii="Times New Roman" w:eastAsia="Times New Roman" w:hAnsi="Times New Roman" w:cs="Times New Roman"/>
          <w:sz w:val="24"/>
          <w:szCs w:val="24"/>
        </w:rPr>
        <w:t xml:space="preserve"> [Accessed 16 June 2023]</w:t>
      </w:r>
    </w:p>
    <w:p w:rsidR="002C700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sz w:val="24"/>
          <w:szCs w:val="24"/>
        </w:rPr>
        <w:t xml:space="preserve">Paauwe, J. and Boon, C., 2018. Strategic HRM: A critical review. </w:t>
      </w:r>
      <w:r w:rsidRPr="00605229">
        <w:rPr>
          <w:rFonts w:ascii="Times New Roman" w:eastAsia="Times New Roman" w:hAnsi="Times New Roman" w:cs="Times New Roman"/>
          <w:i/>
          <w:sz w:val="24"/>
          <w:szCs w:val="24"/>
        </w:rPr>
        <w:t>Human resource management</w:t>
      </w:r>
      <w:r w:rsidRPr="00605229">
        <w:rPr>
          <w:rFonts w:ascii="Times New Roman" w:eastAsia="Times New Roman" w:hAnsi="Times New Roman" w:cs="Times New Roman"/>
          <w:sz w:val="24"/>
          <w:szCs w:val="24"/>
        </w:rPr>
        <w:t xml:space="preserve">, pp.49-73. Available at: </w:t>
      </w:r>
      <w:hyperlink r:id="rId23" w:anchor="page=68">
        <w:r w:rsidRPr="00605229">
          <w:rPr>
            <w:rFonts w:ascii="Times New Roman" w:eastAsia="Times New Roman" w:hAnsi="Times New Roman" w:cs="Times New Roman"/>
            <w:color w:val="1155CC"/>
            <w:sz w:val="24"/>
            <w:szCs w:val="24"/>
            <w:u w:val="single"/>
          </w:rPr>
          <w:t>https://nibmehub.com/opac-service/pdf/read/Human%20Resource%20Management%20A%20Critical%20Approach%20by%20David%20G.%20Collings.pdf#page=68</w:t>
        </w:r>
      </w:hyperlink>
      <w:r w:rsidRPr="00605229">
        <w:rPr>
          <w:rFonts w:ascii="Times New Roman" w:eastAsia="Times New Roman" w:hAnsi="Times New Roman" w:cs="Times New Roman"/>
          <w:sz w:val="24"/>
          <w:szCs w:val="24"/>
        </w:rPr>
        <w:t xml:space="preserve"> [Accessed 16 June 2023]</w:t>
      </w:r>
    </w:p>
    <w:p w:rsidR="002C700B" w:rsidRPr="00605229" w:rsidRDefault="003147FC">
      <w:pPr>
        <w:spacing w:after="200" w:line="360" w:lineRule="auto"/>
        <w:jc w:val="both"/>
        <w:rPr>
          <w:rFonts w:ascii="Times New Roman" w:eastAsia="Times New Roman" w:hAnsi="Times New Roman" w:cs="Times New Roman"/>
          <w:color w:val="222222"/>
          <w:sz w:val="24"/>
          <w:szCs w:val="24"/>
          <w:highlight w:val="white"/>
        </w:rPr>
      </w:pPr>
      <w:r w:rsidRPr="00605229">
        <w:rPr>
          <w:rFonts w:ascii="Times New Roman" w:eastAsia="Times New Roman" w:hAnsi="Times New Roman" w:cs="Times New Roman"/>
          <w:color w:val="222222"/>
          <w:sz w:val="24"/>
          <w:szCs w:val="24"/>
          <w:highlight w:val="white"/>
        </w:rPr>
        <w:t xml:space="preserve">Saputra, F., 2022. The Role of Human Resources, Hardware, and Databases in Mass Media Companies. </w:t>
      </w:r>
      <w:r w:rsidRPr="00605229">
        <w:rPr>
          <w:rFonts w:ascii="Times New Roman" w:eastAsia="Times New Roman" w:hAnsi="Times New Roman" w:cs="Times New Roman"/>
          <w:i/>
          <w:color w:val="222222"/>
          <w:sz w:val="24"/>
          <w:szCs w:val="24"/>
          <w:highlight w:val="white"/>
        </w:rPr>
        <w:t>International Journal of Advanced Multidisciplinary</w:t>
      </w:r>
      <w:r w:rsidRPr="00605229">
        <w:rPr>
          <w:rFonts w:ascii="Times New Roman" w:eastAsia="Times New Roman" w:hAnsi="Times New Roman" w:cs="Times New Roman"/>
          <w:color w:val="222222"/>
          <w:sz w:val="24"/>
          <w:szCs w:val="24"/>
          <w:highlight w:val="white"/>
        </w:rPr>
        <w:t xml:space="preserve">, </w:t>
      </w:r>
      <w:r w:rsidRPr="00605229">
        <w:rPr>
          <w:rFonts w:ascii="Times New Roman" w:eastAsia="Times New Roman" w:hAnsi="Times New Roman" w:cs="Times New Roman"/>
          <w:i/>
          <w:color w:val="222222"/>
          <w:sz w:val="24"/>
          <w:szCs w:val="24"/>
          <w:highlight w:val="white"/>
        </w:rPr>
        <w:t>1</w:t>
      </w:r>
      <w:r w:rsidRPr="00605229">
        <w:rPr>
          <w:rFonts w:ascii="Times New Roman" w:eastAsia="Times New Roman" w:hAnsi="Times New Roman" w:cs="Times New Roman"/>
          <w:color w:val="222222"/>
          <w:sz w:val="24"/>
          <w:szCs w:val="24"/>
          <w:highlight w:val="white"/>
        </w:rPr>
        <w:t xml:space="preserve">(1), pp.47-55. Available at: </w:t>
      </w:r>
      <w:hyperlink r:id="rId24">
        <w:r w:rsidRPr="00605229">
          <w:rPr>
            <w:rFonts w:ascii="Times New Roman" w:eastAsia="Times New Roman" w:hAnsi="Times New Roman" w:cs="Times New Roman"/>
            <w:color w:val="1155CC"/>
            <w:sz w:val="24"/>
            <w:szCs w:val="24"/>
            <w:highlight w:val="white"/>
            <w:u w:val="single"/>
          </w:rPr>
          <w:t>https://greenpub.org/IJAM/article/download/10/10</w:t>
        </w:r>
      </w:hyperlink>
      <w:r w:rsidRPr="00605229">
        <w:rPr>
          <w:rFonts w:ascii="Times New Roman" w:eastAsia="Times New Roman" w:hAnsi="Times New Roman" w:cs="Times New Roman"/>
          <w:color w:val="222222"/>
          <w:sz w:val="24"/>
          <w:szCs w:val="24"/>
          <w:highlight w:val="white"/>
        </w:rPr>
        <w:t xml:space="preserve"> [Accessed on 16 June 2023]</w:t>
      </w:r>
    </w:p>
    <w:p w:rsidR="002C700B" w:rsidRPr="00605229" w:rsidRDefault="003147FC">
      <w:pPr>
        <w:spacing w:before="240" w:after="20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sz w:val="24"/>
          <w:szCs w:val="24"/>
        </w:rPr>
        <w:t xml:space="preserve">Siocon, G. (2022) </w:t>
      </w:r>
      <w:r w:rsidRPr="00605229">
        <w:rPr>
          <w:rFonts w:ascii="Times New Roman" w:eastAsia="Times New Roman" w:hAnsi="Times New Roman" w:cs="Times New Roman"/>
          <w:i/>
          <w:sz w:val="24"/>
          <w:szCs w:val="24"/>
        </w:rPr>
        <w:t>9 HR steps to create an impactful employee development plan</w:t>
      </w:r>
      <w:r w:rsidRPr="00605229">
        <w:rPr>
          <w:rFonts w:ascii="Times New Roman" w:eastAsia="Times New Roman" w:hAnsi="Times New Roman" w:cs="Times New Roman"/>
          <w:sz w:val="24"/>
          <w:szCs w:val="24"/>
        </w:rPr>
        <w:t xml:space="preserve">, </w:t>
      </w:r>
      <w:r w:rsidRPr="00605229">
        <w:rPr>
          <w:rFonts w:ascii="Times New Roman" w:eastAsia="Times New Roman" w:hAnsi="Times New Roman" w:cs="Times New Roman"/>
          <w:i/>
          <w:sz w:val="24"/>
          <w:szCs w:val="24"/>
        </w:rPr>
        <w:t>AIHR</w:t>
      </w:r>
      <w:r w:rsidRPr="00605229">
        <w:rPr>
          <w:rFonts w:ascii="Times New Roman" w:eastAsia="Times New Roman" w:hAnsi="Times New Roman" w:cs="Times New Roman"/>
          <w:sz w:val="24"/>
          <w:szCs w:val="24"/>
        </w:rPr>
        <w:t xml:space="preserve">. Available at: </w:t>
      </w:r>
      <w:hyperlink r:id="rId25">
        <w:r w:rsidRPr="00605229">
          <w:rPr>
            <w:rFonts w:ascii="Times New Roman" w:eastAsia="Times New Roman" w:hAnsi="Times New Roman" w:cs="Times New Roman"/>
            <w:color w:val="1155CC"/>
            <w:sz w:val="24"/>
            <w:szCs w:val="24"/>
            <w:u w:val="single"/>
          </w:rPr>
          <w:t>https://www.aihr.com/blog/employee-development-plan/</w:t>
        </w:r>
      </w:hyperlink>
      <w:r w:rsidRPr="00605229">
        <w:rPr>
          <w:rFonts w:ascii="Times New Roman" w:eastAsia="Times New Roman" w:hAnsi="Times New Roman" w:cs="Times New Roman"/>
          <w:color w:val="222222"/>
          <w:sz w:val="24"/>
          <w:szCs w:val="24"/>
          <w:highlight w:val="white"/>
        </w:rPr>
        <w:t>[Accessed on 16 June 2023]</w:t>
      </w:r>
    </w:p>
    <w:p w:rsidR="002C700B" w:rsidRPr="00605229" w:rsidRDefault="003147FC">
      <w:pPr>
        <w:spacing w:before="240" w:after="24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sz w:val="24"/>
          <w:szCs w:val="24"/>
        </w:rPr>
        <w:t xml:space="preserve">Verma, A., 2017. What do unions do to the workplace? Union effects on management and HRM policies. In </w:t>
      </w:r>
      <w:r w:rsidRPr="00605229">
        <w:rPr>
          <w:rFonts w:ascii="Times New Roman" w:eastAsia="Times New Roman" w:hAnsi="Times New Roman" w:cs="Times New Roman"/>
          <w:i/>
          <w:sz w:val="24"/>
          <w:szCs w:val="24"/>
        </w:rPr>
        <w:t>What Do Unions Do?</w:t>
      </w:r>
      <w:r w:rsidRPr="00605229">
        <w:rPr>
          <w:rFonts w:ascii="Times New Roman" w:eastAsia="Times New Roman" w:hAnsi="Times New Roman" w:cs="Times New Roman"/>
          <w:sz w:val="24"/>
          <w:szCs w:val="24"/>
        </w:rPr>
        <w:t xml:space="preserve"> (pp. 275-311). Routledge. Available at: </w:t>
      </w:r>
      <w:hyperlink r:id="rId26">
        <w:r w:rsidRPr="00605229">
          <w:rPr>
            <w:rFonts w:ascii="Times New Roman" w:eastAsia="Times New Roman" w:hAnsi="Times New Roman" w:cs="Times New Roman"/>
            <w:color w:val="1155CC"/>
            <w:sz w:val="24"/>
            <w:szCs w:val="24"/>
            <w:u w:val="single"/>
          </w:rPr>
          <w:t>http://www-2.rotman.utoronto.ca/~verma/PapersForWeb/What%20Do%20Unions%20Do%20to%20the%20Workplace.pdf</w:t>
        </w:r>
      </w:hyperlink>
      <w:r w:rsidRPr="00605229">
        <w:rPr>
          <w:rFonts w:ascii="Times New Roman" w:eastAsia="Times New Roman" w:hAnsi="Times New Roman" w:cs="Times New Roman"/>
          <w:sz w:val="24"/>
          <w:szCs w:val="24"/>
        </w:rPr>
        <w:t xml:space="preserve"> [Accessed 16 June 2023]</w:t>
      </w:r>
    </w:p>
    <w:p w:rsidR="002C700B" w:rsidRPr="00605229" w:rsidRDefault="003147FC">
      <w:pPr>
        <w:spacing w:after="200" w:line="360" w:lineRule="auto"/>
        <w:jc w:val="both"/>
        <w:rPr>
          <w:rFonts w:ascii="Times New Roman" w:eastAsia="Times New Roman" w:hAnsi="Times New Roman" w:cs="Times New Roman"/>
          <w:color w:val="222222"/>
          <w:sz w:val="24"/>
          <w:szCs w:val="24"/>
          <w:highlight w:val="white"/>
        </w:rPr>
      </w:pPr>
      <w:r w:rsidRPr="00605229">
        <w:rPr>
          <w:rFonts w:ascii="Times New Roman" w:eastAsia="Times New Roman" w:hAnsi="Times New Roman" w:cs="Times New Roman"/>
          <w:color w:val="222222"/>
          <w:sz w:val="24"/>
          <w:szCs w:val="24"/>
          <w:highlight w:val="white"/>
        </w:rPr>
        <w:lastRenderedPageBreak/>
        <w:t xml:space="preserve">Werdhiastutie, A., Suhariadi, F. and Partiwi, S.G., 2020. Achievement motivation as antecedents of quality improvement of organizational human resources. </w:t>
      </w:r>
      <w:r w:rsidRPr="00605229">
        <w:rPr>
          <w:rFonts w:ascii="Times New Roman" w:eastAsia="Times New Roman" w:hAnsi="Times New Roman" w:cs="Times New Roman"/>
          <w:i/>
          <w:color w:val="222222"/>
          <w:sz w:val="24"/>
          <w:szCs w:val="24"/>
          <w:highlight w:val="white"/>
        </w:rPr>
        <w:t>Budapest International Research and Critics Institute-Journal (BIRCI-Journal) Volume</w:t>
      </w:r>
      <w:r w:rsidRPr="00605229">
        <w:rPr>
          <w:rFonts w:ascii="Times New Roman" w:eastAsia="Times New Roman" w:hAnsi="Times New Roman" w:cs="Times New Roman"/>
          <w:color w:val="222222"/>
          <w:sz w:val="24"/>
          <w:szCs w:val="24"/>
          <w:highlight w:val="white"/>
        </w:rPr>
        <w:t xml:space="preserve">, </w:t>
      </w:r>
      <w:r w:rsidRPr="00605229">
        <w:rPr>
          <w:rFonts w:ascii="Times New Roman" w:eastAsia="Times New Roman" w:hAnsi="Times New Roman" w:cs="Times New Roman"/>
          <w:i/>
          <w:color w:val="222222"/>
          <w:sz w:val="24"/>
          <w:szCs w:val="24"/>
          <w:highlight w:val="white"/>
        </w:rPr>
        <w:t>3</w:t>
      </w:r>
      <w:r w:rsidRPr="00605229">
        <w:rPr>
          <w:rFonts w:ascii="Times New Roman" w:eastAsia="Times New Roman" w:hAnsi="Times New Roman" w:cs="Times New Roman"/>
          <w:color w:val="222222"/>
          <w:sz w:val="24"/>
          <w:szCs w:val="24"/>
          <w:highlight w:val="white"/>
        </w:rPr>
        <w:t xml:space="preserve">, pp.747-752. Available at: </w:t>
      </w:r>
      <w:hyperlink r:id="rId27">
        <w:r w:rsidRPr="00605229">
          <w:rPr>
            <w:rFonts w:ascii="Times New Roman" w:eastAsia="Times New Roman" w:hAnsi="Times New Roman" w:cs="Times New Roman"/>
            <w:color w:val="1155CC"/>
            <w:sz w:val="24"/>
            <w:szCs w:val="24"/>
            <w:highlight w:val="white"/>
            <w:u w:val="single"/>
          </w:rPr>
          <w:t>https://pdfs.semanticscholar.org/8bd0/8806b8509359e02b0ecf4a903995fa7a8fb6.pdf</w:t>
        </w:r>
      </w:hyperlink>
      <w:r w:rsidRPr="00605229">
        <w:rPr>
          <w:rFonts w:ascii="Times New Roman" w:eastAsia="Times New Roman" w:hAnsi="Times New Roman" w:cs="Times New Roman"/>
          <w:color w:val="222222"/>
          <w:sz w:val="24"/>
          <w:szCs w:val="24"/>
          <w:highlight w:val="white"/>
        </w:rPr>
        <w:t xml:space="preserve"> [Accessed on 16 June 2023]</w:t>
      </w:r>
    </w:p>
    <w:p w:rsidR="002C700B" w:rsidRPr="00605229" w:rsidRDefault="003147FC">
      <w:pPr>
        <w:spacing w:before="240" w:after="200" w:line="360" w:lineRule="auto"/>
        <w:jc w:val="both"/>
        <w:rPr>
          <w:rFonts w:ascii="Times New Roman" w:eastAsia="Times New Roman" w:hAnsi="Times New Roman" w:cs="Times New Roman"/>
          <w:sz w:val="24"/>
          <w:szCs w:val="24"/>
        </w:rPr>
      </w:pPr>
      <w:r w:rsidRPr="00605229">
        <w:rPr>
          <w:rFonts w:ascii="Times New Roman" w:eastAsia="Times New Roman" w:hAnsi="Times New Roman" w:cs="Times New Roman"/>
          <w:sz w:val="24"/>
          <w:szCs w:val="24"/>
        </w:rPr>
        <w:t xml:space="preserve">Workbook, A.E. (2021) </w:t>
      </w:r>
      <w:r w:rsidRPr="00605229">
        <w:rPr>
          <w:rFonts w:ascii="Times New Roman" w:eastAsia="Times New Roman" w:hAnsi="Times New Roman" w:cs="Times New Roman"/>
          <w:i/>
          <w:sz w:val="24"/>
          <w:szCs w:val="24"/>
        </w:rPr>
        <w:t>What is HR strategy? meaning, objectives, components &amp; types</w:t>
      </w:r>
      <w:r w:rsidRPr="00605229">
        <w:rPr>
          <w:rFonts w:ascii="Times New Roman" w:eastAsia="Times New Roman" w:hAnsi="Times New Roman" w:cs="Times New Roman"/>
          <w:sz w:val="24"/>
          <w:szCs w:val="24"/>
        </w:rPr>
        <w:t xml:space="preserve">, </w:t>
      </w:r>
      <w:r w:rsidRPr="00605229">
        <w:rPr>
          <w:rFonts w:ascii="Times New Roman" w:eastAsia="Times New Roman" w:hAnsi="Times New Roman" w:cs="Times New Roman"/>
          <w:i/>
          <w:sz w:val="24"/>
          <w:szCs w:val="24"/>
        </w:rPr>
        <w:t>ElectricalWorkbook</w:t>
      </w:r>
      <w:r w:rsidRPr="00605229">
        <w:rPr>
          <w:rFonts w:ascii="Times New Roman" w:eastAsia="Times New Roman" w:hAnsi="Times New Roman" w:cs="Times New Roman"/>
          <w:sz w:val="24"/>
          <w:szCs w:val="24"/>
        </w:rPr>
        <w:t xml:space="preserve">. Available at: </w:t>
      </w:r>
      <w:hyperlink r:id="rId28">
        <w:r w:rsidRPr="00605229">
          <w:rPr>
            <w:rFonts w:ascii="Times New Roman" w:eastAsia="Times New Roman" w:hAnsi="Times New Roman" w:cs="Times New Roman"/>
            <w:color w:val="1155CC"/>
            <w:sz w:val="24"/>
            <w:szCs w:val="24"/>
            <w:u w:val="single"/>
          </w:rPr>
          <w:t>https://electricalworkbook.com/hr-strategy/</w:t>
        </w:r>
      </w:hyperlink>
      <w:r w:rsidRPr="00605229">
        <w:rPr>
          <w:rFonts w:ascii="Times New Roman" w:eastAsia="Times New Roman" w:hAnsi="Times New Roman" w:cs="Times New Roman"/>
          <w:color w:val="222222"/>
          <w:sz w:val="24"/>
          <w:szCs w:val="24"/>
          <w:highlight w:val="white"/>
        </w:rPr>
        <w:t>[Accessed on 16 June 2023]</w:t>
      </w:r>
    </w:p>
    <w:p w:rsidR="002C700B" w:rsidRPr="00605229" w:rsidRDefault="003147FC">
      <w:pPr>
        <w:spacing w:after="200" w:line="360" w:lineRule="auto"/>
        <w:jc w:val="both"/>
        <w:rPr>
          <w:rFonts w:ascii="Times New Roman" w:eastAsia="Times New Roman" w:hAnsi="Times New Roman" w:cs="Times New Roman"/>
          <w:color w:val="222222"/>
          <w:sz w:val="24"/>
          <w:szCs w:val="24"/>
          <w:highlight w:val="white"/>
        </w:rPr>
      </w:pPr>
      <w:r w:rsidRPr="00605229">
        <w:rPr>
          <w:rFonts w:ascii="Times New Roman" w:eastAsia="Times New Roman" w:hAnsi="Times New Roman" w:cs="Times New Roman"/>
          <w:color w:val="222222"/>
          <w:sz w:val="24"/>
          <w:szCs w:val="24"/>
          <w:highlight w:val="white"/>
        </w:rPr>
        <w:t xml:space="preserve">Yong, J.Y., Yusliza, M.Y., Ramayah, T., Chiappetta Jabbour, C.J., Sehnem, S. and Mani, V., 2020. Pathways towards sustainability in manufacturing organizations: Empirical evidence on the role of green human resource management. </w:t>
      </w:r>
      <w:r w:rsidRPr="00605229">
        <w:rPr>
          <w:rFonts w:ascii="Times New Roman" w:eastAsia="Times New Roman" w:hAnsi="Times New Roman" w:cs="Times New Roman"/>
          <w:i/>
          <w:color w:val="222222"/>
          <w:sz w:val="24"/>
          <w:szCs w:val="24"/>
          <w:highlight w:val="white"/>
        </w:rPr>
        <w:t>Business Strategy and the Environment</w:t>
      </w:r>
      <w:r w:rsidRPr="00605229">
        <w:rPr>
          <w:rFonts w:ascii="Times New Roman" w:eastAsia="Times New Roman" w:hAnsi="Times New Roman" w:cs="Times New Roman"/>
          <w:color w:val="222222"/>
          <w:sz w:val="24"/>
          <w:szCs w:val="24"/>
          <w:highlight w:val="white"/>
        </w:rPr>
        <w:t xml:space="preserve">, </w:t>
      </w:r>
      <w:r w:rsidRPr="00605229">
        <w:rPr>
          <w:rFonts w:ascii="Times New Roman" w:eastAsia="Times New Roman" w:hAnsi="Times New Roman" w:cs="Times New Roman"/>
          <w:i/>
          <w:color w:val="222222"/>
          <w:sz w:val="24"/>
          <w:szCs w:val="24"/>
          <w:highlight w:val="white"/>
        </w:rPr>
        <w:t>29</w:t>
      </w:r>
      <w:r w:rsidRPr="00605229">
        <w:rPr>
          <w:rFonts w:ascii="Times New Roman" w:eastAsia="Times New Roman" w:hAnsi="Times New Roman" w:cs="Times New Roman"/>
          <w:color w:val="222222"/>
          <w:sz w:val="24"/>
          <w:szCs w:val="24"/>
          <w:highlight w:val="white"/>
        </w:rPr>
        <w:t xml:space="preserve">(1), pp.212-228. Available at: </w:t>
      </w:r>
      <w:hyperlink r:id="rId29">
        <w:r w:rsidRPr="00605229">
          <w:rPr>
            <w:rFonts w:ascii="Times New Roman" w:eastAsia="Times New Roman" w:hAnsi="Times New Roman" w:cs="Times New Roman"/>
            <w:color w:val="1155CC"/>
            <w:sz w:val="24"/>
            <w:szCs w:val="24"/>
            <w:highlight w:val="white"/>
            <w:u w:val="single"/>
          </w:rPr>
          <w:t>https://www.researchgate.net/profile/Venkatesh-Mani/publication/334572211_Pathways_towards_sustainability_in_manufacturing_organizations_Empirical_evidence_on_the_role_of_green_human_resource_management/links/5d31f5d2299bf1995b39513f/Pathways-towards-sustainability-in-manufacturing-organizations-Empirical-evidence-on-the-role-of-green-human-resource-management.pdf</w:t>
        </w:r>
      </w:hyperlink>
      <w:r w:rsidRPr="00605229">
        <w:rPr>
          <w:rFonts w:ascii="Times New Roman" w:eastAsia="Times New Roman" w:hAnsi="Times New Roman" w:cs="Times New Roman"/>
          <w:color w:val="222222"/>
          <w:sz w:val="24"/>
          <w:szCs w:val="24"/>
          <w:highlight w:val="white"/>
        </w:rPr>
        <w:t xml:space="preserve">  [Accessed on 16 June 2023]</w:t>
      </w:r>
    </w:p>
    <w:p w:rsidR="002C700B" w:rsidRPr="00605229" w:rsidRDefault="003147FC">
      <w:pPr>
        <w:spacing w:after="200" w:line="360" w:lineRule="auto"/>
        <w:jc w:val="both"/>
        <w:rPr>
          <w:rFonts w:ascii="Times New Roman" w:eastAsia="Times New Roman" w:hAnsi="Times New Roman" w:cs="Times New Roman"/>
          <w:color w:val="222222"/>
          <w:sz w:val="24"/>
          <w:szCs w:val="24"/>
          <w:highlight w:val="white"/>
        </w:rPr>
      </w:pPr>
      <w:r w:rsidRPr="00605229">
        <w:rPr>
          <w:rFonts w:ascii="Times New Roman" w:eastAsia="Times New Roman" w:hAnsi="Times New Roman" w:cs="Times New Roman"/>
          <w:color w:val="222222"/>
          <w:sz w:val="24"/>
          <w:szCs w:val="24"/>
          <w:highlight w:val="white"/>
        </w:rPr>
        <w:t xml:space="preserve">Yusliza, M.Y., Choo, P.W., Jayaraman, K., Rimi, N.N. and Muhammad, Z., 2019. HR line manager’s reflections on HRM effectiveness through HR roles and role stressors. </w:t>
      </w:r>
      <w:r w:rsidRPr="00605229">
        <w:rPr>
          <w:rFonts w:ascii="Times New Roman" w:eastAsia="Times New Roman" w:hAnsi="Times New Roman" w:cs="Times New Roman"/>
          <w:i/>
          <w:color w:val="222222"/>
          <w:sz w:val="24"/>
          <w:szCs w:val="24"/>
          <w:highlight w:val="white"/>
        </w:rPr>
        <w:t>South East European Journal of Economics and Business</w:t>
      </w:r>
      <w:r w:rsidRPr="00605229">
        <w:rPr>
          <w:rFonts w:ascii="Times New Roman" w:eastAsia="Times New Roman" w:hAnsi="Times New Roman" w:cs="Times New Roman"/>
          <w:color w:val="222222"/>
          <w:sz w:val="24"/>
          <w:szCs w:val="24"/>
          <w:highlight w:val="white"/>
        </w:rPr>
        <w:t xml:space="preserve">, </w:t>
      </w:r>
      <w:r w:rsidRPr="00605229">
        <w:rPr>
          <w:rFonts w:ascii="Times New Roman" w:eastAsia="Times New Roman" w:hAnsi="Times New Roman" w:cs="Times New Roman"/>
          <w:i/>
          <w:color w:val="222222"/>
          <w:sz w:val="24"/>
          <w:szCs w:val="24"/>
          <w:highlight w:val="white"/>
        </w:rPr>
        <w:t>14</w:t>
      </w:r>
      <w:r w:rsidRPr="00605229">
        <w:rPr>
          <w:rFonts w:ascii="Times New Roman" w:eastAsia="Times New Roman" w:hAnsi="Times New Roman" w:cs="Times New Roman"/>
          <w:color w:val="222222"/>
          <w:sz w:val="24"/>
          <w:szCs w:val="24"/>
          <w:highlight w:val="white"/>
        </w:rPr>
        <w:t xml:space="preserve">(1), pp.34-48. Available at:  </w:t>
      </w:r>
      <w:hyperlink r:id="rId30">
        <w:r w:rsidRPr="00605229">
          <w:rPr>
            <w:rFonts w:ascii="Times New Roman" w:eastAsia="Times New Roman" w:hAnsi="Times New Roman" w:cs="Times New Roman"/>
            <w:color w:val="1155CC"/>
            <w:sz w:val="24"/>
            <w:szCs w:val="24"/>
            <w:highlight w:val="white"/>
            <w:u w:val="single"/>
          </w:rPr>
          <w:t>https://sciendo.com/pdf/10.2478/jeb-2019-0002</w:t>
        </w:r>
      </w:hyperlink>
      <w:r w:rsidRPr="00605229">
        <w:rPr>
          <w:rFonts w:ascii="Times New Roman" w:eastAsia="Times New Roman" w:hAnsi="Times New Roman" w:cs="Times New Roman"/>
          <w:color w:val="222222"/>
          <w:sz w:val="24"/>
          <w:szCs w:val="24"/>
          <w:highlight w:val="white"/>
        </w:rPr>
        <w:t xml:space="preserve"> [Accessed on 16 June 2023]</w:t>
      </w:r>
    </w:p>
    <w:p w:rsidR="003622BB" w:rsidRPr="00605229" w:rsidRDefault="003622BB">
      <w:pPr>
        <w:spacing w:before="240" w:after="240" w:line="360" w:lineRule="auto"/>
        <w:jc w:val="both"/>
        <w:rPr>
          <w:rFonts w:ascii="Times New Roman" w:eastAsia="Times New Roman" w:hAnsi="Times New Roman" w:cs="Times New Roman"/>
          <w:sz w:val="24"/>
          <w:szCs w:val="24"/>
        </w:rPr>
      </w:pPr>
    </w:p>
    <w:sectPr w:rsidR="003622BB" w:rsidRPr="00605229" w:rsidSect="002C700B">
      <w:footerReference w:type="default" r:id="rId31"/>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147FC" w:rsidRDefault="003147FC" w:rsidP="000A7F5A">
      <w:pPr>
        <w:spacing w:line="240" w:lineRule="auto"/>
      </w:pPr>
      <w:r>
        <w:separator/>
      </w:r>
    </w:p>
  </w:endnote>
  <w:endnote w:type="continuationSeparator" w:id="0">
    <w:p w:rsidR="003147FC" w:rsidRDefault="003147FC" w:rsidP="000A7F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sz w:val="24"/>
        <w:szCs w:val="24"/>
      </w:rPr>
      <w:id w:val="-243719714"/>
      <w:docPartObj>
        <w:docPartGallery w:val="Page Numbers (Bottom of Page)"/>
        <w:docPartUnique/>
      </w:docPartObj>
    </w:sdtPr>
    <w:sdtEndPr/>
    <w:sdtContent>
      <w:sdt>
        <w:sdtPr>
          <w:rPr>
            <w:rFonts w:ascii="Times New Roman" w:hAnsi="Times New Roman" w:cs="Times New Roman"/>
            <w:sz w:val="24"/>
            <w:szCs w:val="24"/>
          </w:rPr>
          <w:id w:val="-1769616900"/>
          <w:docPartObj>
            <w:docPartGallery w:val="Page Numbers (Top of Page)"/>
            <w:docPartUnique/>
          </w:docPartObj>
        </w:sdtPr>
        <w:sdtEndPr/>
        <w:sdtContent>
          <w:p w:rsidR="002C700B" w:rsidRPr="002C700B" w:rsidRDefault="003147FC">
            <w:pPr>
              <w:pStyle w:val="Footer"/>
              <w:jc w:val="right"/>
              <w:rPr>
                <w:rFonts w:ascii="Times New Roman" w:hAnsi="Times New Roman" w:cs="Times New Roman"/>
                <w:sz w:val="24"/>
                <w:szCs w:val="24"/>
              </w:rPr>
            </w:pPr>
            <w:r w:rsidRPr="002C700B">
              <w:rPr>
                <w:rFonts w:ascii="Times New Roman" w:hAnsi="Times New Roman" w:cs="Times New Roman"/>
                <w:sz w:val="24"/>
                <w:szCs w:val="24"/>
              </w:rPr>
              <w:t xml:space="preserve">Page </w:t>
            </w:r>
            <w:r w:rsidR="000A7F5A" w:rsidRPr="002C700B">
              <w:rPr>
                <w:rFonts w:ascii="Times New Roman" w:hAnsi="Times New Roman" w:cs="Times New Roman"/>
                <w:b/>
                <w:bCs/>
                <w:sz w:val="24"/>
                <w:szCs w:val="24"/>
              </w:rPr>
              <w:fldChar w:fldCharType="begin"/>
            </w:r>
            <w:r w:rsidRPr="002C700B">
              <w:rPr>
                <w:rFonts w:ascii="Times New Roman" w:hAnsi="Times New Roman" w:cs="Times New Roman"/>
                <w:b/>
                <w:bCs/>
                <w:sz w:val="24"/>
                <w:szCs w:val="24"/>
              </w:rPr>
              <w:instrText xml:space="preserve"> PAGE </w:instrText>
            </w:r>
            <w:r w:rsidR="000A7F5A" w:rsidRPr="002C700B">
              <w:rPr>
                <w:rFonts w:ascii="Times New Roman" w:hAnsi="Times New Roman" w:cs="Times New Roman"/>
                <w:b/>
                <w:bCs/>
                <w:sz w:val="24"/>
                <w:szCs w:val="24"/>
              </w:rPr>
              <w:fldChar w:fldCharType="separate"/>
            </w:r>
            <w:r w:rsidR="00D63D60">
              <w:rPr>
                <w:rFonts w:ascii="Times New Roman" w:hAnsi="Times New Roman" w:cs="Times New Roman"/>
                <w:b/>
                <w:bCs/>
                <w:noProof/>
                <w:sz w:val="24"/>
                <w:szCs w:val="24"/>
              </w:rPr>
              <w:t>2</w:t>
            </w:r>
            <w:r w:rsidR="000A7F5A" w:rsidRPr="002C700B">
              <w:rPr>
                <w:rFonts w:ascii="Times New Roman" w:hAnsi="Times New Roman" w:cs="Times New Roman"/>
                <w:b/>
                <w:bCs/>
                <w:sz w:val="24"/>
                <w:szCs w:val="24"/>
              </w:rPr>
              <w:fldChar w:fldCharType="end"/>
            </w:r>
            <w:r w:rsidRPr="002C700B">
              <w:rPr>
                <w:rFonts w:ascii="Times New Roman" w:hAnsi="Times New Roman" w:cs="Times New Roman"/>
                <w:sz w:val="24"/>
                <w:szCs w:val="24"/>
              </w:rPr>
              <w:t xml:space="preserve"> of </w:t>
            </w:r>
            <w:r w:rsidR="000A7F5A" w:rsidRPr="002C700B">
              <w:rPr>
                <w:rFonts w:ascii="Times New Roman" w:hAnsi="Times New Roman" w:cs="Times New Roman"/>
                <w:b/>
                <w:bCs/>
                <w:sz w:val="24"/>
                <w:szCs w:val="24"/>
              </w:rPr>
              <w:fldChar w:fldCharType="begin"/>
            </w:r>
            <w:r w:rsidRPr="002C700B">
              <w:rPr>
                <w:rFonts w:ascii="Times New Roman" w:hAnsi="Times New Roman" w:cs="Times New Roman"/>
                <w:b/>
                <w:bCs/>
                <w:sz w:val="24"/>
                <w:szCs w:val="24"/>
              </w:rPr>
              <w:instrText xml:space="preserve"> NUMPAGES  </w:instrText>
            </w:r>
            <w:r w:rsidR="000A7F5A" w:rsidRPr="002C700B">
              <w:rPr>
                <w:rFonts w:ascii="Times New Roman" w:hAnsi="Times New Roman" w:cs="Times New Roman"/>
                <w:b/>
                <w:bCs/>
                <w:sz w:val="24"/>
                <w:szCs w:val="24"/>
              </w:rPr>
              <w:fldChar w:fldCharType="separate"/>
            </w:r>
            <w:r w:rsidR="00D63D60">
              <w:rPr>
                <w:rFonts w:ascii="Times New Roman" w:hAnsi="Times New Roman" w:cs="Times New Roman"/>
                <w:b/>
                <w:bCs/>
                <w:noProof/>
                <w:sz w:val="24"/>
                <w:szCs w:val="24"/>
              </w:rPr>
              <w:t>16</w:t>
            </w:r>
            <w:r w:rsidR="000A7F5A" w:rsidRPr="002C700B">
              <w:rPr>
                <w:rFonts w:ascii="Times New Roman" w:hAnsi="Times New Roman" w:cs="Times New Roman"/>
                <w:b/>
                <w:bCs/>
                <w:sz w:val="24"/>
                <w:szCs w:val="24"/>
              </w:rPr>
              <w:fldChar w:fldCharType="end"/>
            </w:r>
          </w:p>
        </w:sdtContent>
      </w:sdt>
    </w:sdtContent>
  </w:sdt>
  <w:p w:rsidR="002C700B" w:rsidRDefault="002C700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147FC" w:rsidRDefault="003147FC" w:rsidP="000A7F5A">
      <w:pPr>
        <w:spacing w:line="240" w:lineRule="auto"/>
      </w:pPr>
      <w:r>
        <w:separator/>
      </w:r>
    </w:p>
  </w:footnote>
  <w:footnote w:type="continuationSeparator" w:id="0">
    <w:p w:rsidR="003147FC" w:rsidRDefault="003147FC" w:rsidP="000A7F5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622BB"/>
    <w:rsid w:val="000A7F5A"/>
    <w:rsid w:val="002C2D71"/>
    <w:rsid w:val="002C700B"/>
    <w:rsid w:val="003147FC"/>
    <w:rsid w:val="003622BB"/>
    <w:rsid w:val="003B2974"/>
    <w:rsid w:val="00605229"/>
    <w:rsid w:val="008E2BB0"/>
    <w:rsid w:val="00D63D60"/>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0A7F5A"/>
    <w:rPr>
      <w:lang w:val="en-GB"/>
    </w:rPr>
  </w:style>
  <w:style w:type="paragraph" w:styleId="Heading1">
    <w:name w:val="heading 1"/>
    <w:basedOn w:val="Normal"/>
    <w:next w:val="Normal"/>
    <w:rsid w:val="002C700B"/>
    <w:pPr>
      <w:keepNext/>
      <w:keepLines/>
      <w:spacing w:before="520" w:after="240"/>
      <w:outlineLvl w:val="0"/>
    </w:pPr>
    <w:rPr>
      <w:rFonts w:ascii="Times New Roman" w:hAnsi="Times New Roman"/>
      <w:b/>
      <w:sz w:val="28"/>
      <w:szCs w:val="40"/>
    </w:rPr>
  </w:style>
  <w:style w:type="paragraph" w:styleId="Heading2">
    <w:name w:val="heading 2"/>
    <w:basedOn w:val="Normal"/>
    <w:next w:val="Normal"/>
    <w:rsid w:val="000A7F5A"/>
    <w:pPr>
      <w:keepNext/>
      <w:keepLines/>
      <w:spacing w:before="360" w:after="120"/>
      <w:outlineLvl w:val="1"/>
    </w:pPr>
    <w:rPr>
      <w:sz w:val="32"/>
      <w:szCs w:val="32"/>
    </w:rPr>
  </w:style>
  <w:style w:type="paragraph" w:styleId="Heading3">
    <w:name w:val="heading 3"/>
    <w:basedOn w:val="Normal"/>
    <w:next w:val="Normal"/>
    <w:rsid w:val="000A7F5A"/>
    <w:pPr>
      <w:keepNext/>
      <w:keepLines/>
      <w:spacing w:before="320" w:after="80"/>
      <w:outlineLvl w:val="2"/>
    </w:pPr>
    <w:rPr>
      <w:color w:val="434343"/>
      <w:sz w:val="28"/>
      <w:szCs w:val="28"/>
    </w:rPr>
  </w:style>
  <w:style w:type="paragraph" w:styleId="Heading4">
    <w:name w:val="heading 4"/>
    <w:basedOn w:val="Normal"/>
    <w:next w:val="Normal"/>
    <w:rsid w:val="000A7F5A"/>
    <w:pPr>
      <w:keepNext/>
      <w:keepLines/>
      <w:spacing w:before="280" w:after="80"/>
      <w:outlineLvl w:val="3"/>
    </w:pPr>
    <w:rPr>
      <w:color w:val="666666"/>
      <w:sz w:val="24"/>
      <w:szCs w:val="24"/>
    </w:rPr>
  </w:style>
  <w:style w:type="paragraph" w:styleId="Heading5">
    <w:name w:val="heading 5"/>
    <w:basedOn w:val="Normal"/>
    <w:next w:val="Normal"/>
    <w:rsid w:val="000A7F5A"/>
    <w:pPr>
      <w:keepNext/>
      <w:keepLines/>
      <w:spacing w:before="240" w:after="80"/>
      <w:outlineLvl w:val="4"/>
    </w:pPr>
    <w:rPr>
      <w:color w:val="666666"/>
    </w:rPr>
  </w:style>
  <w:style w:type="paragraph" w:styleId="Heading6">
    <w:name w:val="heading 6"/>
    <w:basedOn w:val="Normal"/>
    <w:next w:val="Normal"/>
    <w:rsid w:val="000A7F5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0A7F5A"/>
    <w:pPr>
      <w:keepNext/>
      <w:keepLines/>
      <w:spacing w:after="60"/>
    </w:pPr>
    <w:rPr>
      <w:sz w:val="52"/>
      <w:szCs w:val="52"/>
    </w:rPr>
  </w:style>
  <w:style w:type="paragraph" w:styleId="Subtitle">
    <w:name w:val="Subtitle"/>
    <w:basedOn w:val="Normal"/>
    <w:next w:val="Normal"/>
    <w:rsid w:val="000A7F5A"/>
    <w:pPr>
      <w:keepNext/>
      <w:keepLines/>
      <w:spacing w:after="320"/>
    </w:pPr>
    <w:rPr>
      <w:color w:val="666666"/>
      <w:sz w:val="30"/>
      <w:szCs w:val="30"/>
    </w:rPr>
  </w:style>
  <w:style w:type="paragraph" w:styleId="Header">
    <w:name w:val="header"/>
    <w:basedOn w:val="Normal"/>
    <w:link w:val="HeaderChar"/>
    <w:uiPriority w:val="99"/>
    <w:unhideWhenUsed/>
    <w:rsid w:val="002C700B"/>
    <w:pPr>
      <w:tabs>
        <w:tab w:val="center" w:pos="4513"/>
        <w:tab w:val="right" w:pos="9026"/>
      </w:tabs>
      <w:spacing w:line="240" w:lineRule="auto"/>
    </w:pPr>
  </w:style>
  <w:style w:type="character" w:customStyle="1" w:styleId="HeaderChar">
    <w:name w:val="Header Char"/>
    <w:basedOn w:val="DefaultParagraphFont"/>
    <w:link w:val="Header"/>
    <w:uiPriority w:val="99"/>
    <w:rsid w:val="002C700B"/>
  </w:style>
  <w:style w:type="paragraph" w:styleId="Footer">
    <w:name w:val="footer"/>
    <w:basedOn w:val="Normal"/>
    <w:link w:val="FooterChar"/>
    <w:uiPriority w:val="99"/>
    <w:unhideWhenUsed/>
    <w:rsid w:val="002C700B"/>
    <w:pPr>
      <w:tabs>
        <w:tab w:val="center" w:pos="4513"/>
        <w:tab w:val="right" w:pos="9026"/>
      </w:tabs>
      <w:spacing w:line="240" w:lineRule="auto"/>
    </w:pPr>
  </w:style>
  <w:style w:type="character" w:customStyle="1" w:styleId="FooterChar">
    <w:name w:val="Footer Char"/>
    <w:basedOn w:val="DefaultParagraphFont"/>
    <w:link w:val="Footer"/>
    <w:uiPriority w:val="99"/>
    <w:rsid w:val="002C700B"/>
  </w:style>
  <w:style w:type="paragraph" w:styleId="TOCHeading">
    <w:name w:val="TOC Heading"/>
    <w:basedOn w:val="Heading1"/>
    <w:next w:val="Normal"/>
    <w:uiPriority w:val="39"/>
    <w:unhideWhenUsed/>
    <w:qFormat/>
    <w:rsid w:val="002C700B"/>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C700B"/>
    <w:pPr>
      <w:spacing w:after="100"/>
    </w:pPr>
  </w:style>
  <w:style w:type="character" w:styleId="Hyperlink">
    <w:name w:val="Hyperlink"/>
    <w:basedOn w:val="DefaultParagraphFont"/>
    <w:uiPriority w:val="99"/>
    <w:unhideWhenUsed/>
    <w:rsid w:val="002C700B"/>
    <w:rPr>
      <w:color w:val="0000FF" w:themeColor="hyperlink"/>
      <w:u w:val="single"/>
    </w:rPr>
  </w:style>
  <w:style w:type="paragraph" w:styleId="BalloonText">
    <w:name w:val="Balloon Text"/>
    <w:basedOn w:val="Normal"/>
    <w:link w:val="BalloonTextChar"/>
    <w:uiPriority w:val="99"/>
    <w:semiHidden/>
    <w:unhideWhenUsed/>
    <w:rsid w:val="0060522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522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0A7F5A"/>
    <w:rPr>
      <w:lang w:val="en-GB"/>
    </w:rPr>
  </w:style>
  <w:style w:type="paragraph" w:styleId="Heading1">
    <w:name w:val="heading 1"/>
    <w:basedOn w:val="Normal"/>
    <w:next w:val="Normal"/>
    <w:rsid w:val="002C700B"/>
    <w:pPr>
      <w:keepNext/>
      <w:keepLines/>
      <w:spacing w:before="520" w:after="240"/>
      <w:outlineLvl w:val="0"/>
    </w:pPr>
    <w:rPr>
      <w:rFonts w:ascii="Times New Roman" w:hAnsi="Times New Roman"/>
      <w:b/>
      <w:sz w:val="28"/>
      <w:szCs w:val="40"/>
    </w:rPr>
  </w:style>
  <w:style w:type="paragraph" w:styleId="Heading2">
    <w:name w:val="heading 2"/>
    <w:basedOn w:val="Normal"/>
    <w:next w:val="Normal"/>
    <w:rsid w:val="000A7F5A"/>
    <w:pPr>
      <w:keepNext/>
      <w:keepLines/>
      <w:spacing w:before="360" w:after="120"/>
      <w:outlineLvl w:val="1"/>
    </w:pPr>
    <w:rPr>
      <w:sz w:val="32"/>
      <w:szCs w:val="32"/>
    </w:rPr>
  </w:style>
  <w:style w:type="paragraph" w:styleId="Heading3">
    <w:name w:val="heading 3"/>
    <w:basedOn w:val="Normal"/>
    <w:next w:val="Normal"/>
    <w:rsid w:val="000A7F5A"/>
    <w:pPr>
      <w:keepNext/>
      <w:keepLines/>
      <w:spacing w:before="320" w:after="80"/>
      <w:outlineLvl w:val="2"/>
    </w:pPr>
    <w:rPr>
      <w:color w:val="434343"/>
      <w:sz w:val="28"/>
      <w:szCs w:val="28"/>
    </w:rPr>
  </w:style>
  <w:style w:type="paragraph" w:styleId="Heading4">
    <w:name w:val="heading 4"/>
    <w:basedOn w:val="Normal"/>
    <w:next w:val="Normal"/>
    <w:rsid w:val="000A7F5A"/>
    <w:pPr>
      <w:keepNext/>
      <w:keepLines/>
      <w:spacing w:before="280" w:after="80"/>
      <w:outlineLvl w:val="3"/>
    </w:pPr>
    <w:rPr>
      <w:color w:val="666666"/>
      <w:sz w:val="24"/>
      <w:szCs w:val="24"/>
    </w:rPr>
  </w:style>
  <w:style w:type="paragraph" w:styleId="Heading5">
    <w:name w:val="heading 5"/>
    <w:basedOn w:val="Normal"/>
    <w:next w:val="Normal"/>
    <w:rsid w:val="000A7F5A"/>
    <w:pPr>
      <w:keepNext/>
      <w:keepLines/>
      <w:spacing w:before="240" w:after="80"/>
      <w:outlineLvl w:val="4"/>
    </w:pPr>
    <w:rPr>
      <w:color w:val="666666"/>
    </w:rPr>
  </w:style>
  <w:style w:type="paragraph" w:styleId="Heading6">
    <w:name w:val="heading 6"/>
    <w:basedOn w:val="Normal"/>
    <w:next w:val="Normal"/>
    <w:rsid w:val="000A7F5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0A7F5A"/>
    <w:pPr>
      <w:keepNext/>
      <w:keepLines/>
      <w:spacing w:after="60"/>
    </w:pPr>
    <w:rPr>
      <w:sz w:val="52"/>
      <w:szCs w:val="52"/>
    </w:rPr>
  </w:style>
  <w:style w:type="paragraph" w:styleId="Subtitle">
    <w:name w:val="Subtitle"/>
    <w:basedOn w:val="Normal"/>
    <w:next w:val="Normal"/>
    <w:rsid w:val="000A7F5A"/>
    <w:pPr>
      <w:keepNext/>
      <w:keepLines/>
      <w:spacing w:after="320"/>
    </w:pPr>
    <w:rPr>
      <w:color w:val="666666"/>
      <w:sz w:val="30"/>
      <w:szCs w:val="30"/>
    </w:rPr>
  </w:style>
  <w:style w:type="paragraph" w:styleId="Header">
    <w:name w:val="header"/>
    <w:basedOn w:val="Normal"/>
    <w:link w:val="HeaderChar"/>
    <w:uiPriority w:val="99"/>
    <w:unhideWhenUsed/>
    <w:rsid w:val="002C700B"/>
    <w:pPr>
      <w:tabs>
        <w:tab w:val="center" w:pos="4513"/>
        <w:tab w:val="right" w:pos="9026"/>
      </w:tabs>
      <w:spacing w:line="240" w:lineRule="auto"/>
    </w:pPr>
  </w:style>
  <w:style w:type="character" w:customStyle="1" w:styleId="HeaderChar">
    <w:name w:val="Header Char"/>
    <w:basedOn w:val="DefaultParagraphFont"/>
    <w:link w:val="Header"/>
    <w:uiPriority w:val="99"/>
    <w:rsid w:val="002C700B"/>
  </w:style>
  <w:style w:type="paragraph" w:styleId="Footer">
    <w:name w:val="footer"/>
    <w:basedOn w:val="Normal"/>
    <w:link w:val="FooterChar"/>
    <w:uiPriority w:val="99"/>
    <w:unhideWhenUsed/>
    <w:rsid w:val="002C700B"/>
    <w:pPr>
      <w:tabs>
        <w:tab w:val="center" w:pos="4513"/>
        <w:tab w:val="right" w:pos="9026"/>
      </w:tabs>
      <w:spacing w:line="240" w:lineRule="auto"/>
    </w:pPr>
  </w:style>
  <w:style w:type="character" w:customStyle="1" w:styleId="FooterChar">
    <w:name w:val="Footer Char"/>
    <w:basedOn w:val="DefaultParagraphFont"/>
    <w:link w:val="Footer"/>
    <w:uiPriority w:val="99"/>
    <w:rsid w:val="002C700B"/>
  </w:style>
  <w:style w:type="paragraph" w:styleId="TOCHeading">
    <w:name w:val="TOC Heading"/>
    <w:basedOn w:val="Heading1"/>
    <w:next w:val="Normal"/>
    <w:uiPriority w:val="39"/>
    <w:unhideWhenUsed/>
    <w:qFormat/>
    <w:rsid w:val="002C700B"/>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C700B"/>
    <w:pPr>
      <w:spacing w:after="100"/>
    </w:pPr>
  </w:style>
  <w:style w:type="character" w:styleId="Hyperlink">
    <w:name w:val="Hyperlink"/>
    <w:basedOn w:val="DefaultParagraphFont"/>
    <w:uiPriority w:val="99"/>
    <w:unhideWhenUsed/>
    <w:rsid w:val="002C700B"/>
    <w:rPr>
      <w:color w:val="0000FF" w:themeColor="hyperlink"/>
      <w:u w:val="single"/>
    </w:rPr>
  </w:style>
  <w:style w:type="paragraph" w:styleId="BalloonText">
    <w:name w:val="Balloon Text"/>
    <w:basedOn w:val="Normal"/>
    <w:link w:val="BalloonTextChar"/>
    <w:uiPriority w:val="99"/>
    <w:semiHidden/>
    <w:unhideWhenUsed/>
    <w:rsid w:val="0060522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522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fardapaper.ir/mohavaha/uploads/2018/11/Fardapaper-On-the-importance-of-sustainable-human-resource-management-for-the-adoption-of-sustainable-development-goals.pdf" TargetMode="External"/><Relationship Id="rId26" Type="http://schemas.openxmlformats.org/officeDocument/2006/relationships/hyperlink" Target="http://www-2.rotman.utoronto.ca/~verma/PapersForWeb/What%20Do%20Unions%20Do%20to%20the%20Workplace.pdf" TargetMode="External"/><Relationship Id="rId3" Type="http://schemas.microsoft.com/office/2007/relationships/stylesWithEffects" Target="stylesWithEffects.xml"/><Relationship Id="rId21" Type="http://schemas.openxmlformats.org/officeDocument/2006/relationships/hyperlink" Target="https://www.researchgate.net/profile/Karen-Johnston-16/publication/334529849_Talent_management_a_critical_literature_review_and_research_agenda_for_public_sector_human_resource_management/links/5dc04f16a6fdcc212801d7c0/Talent-management-a-critical-literature-review-and-research-agenda-for-public-sector-human-resource-management.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journal-repository.theshillonga.com/index.php/ijebm/article/view/3409/3213" TargetMode="External"/><Relationship Id="rId25" Type="http://schemas.openxmlformats.org/officeDocument/2006/relationships/hyperlink" Target="https://www.aihr.com/blog/employee-development-plan/"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researchsquare.com/article/rs-34541/latest.pdf" TargetMode="External"/><Relationship Id="rId20" Type="http://schemas.openxmlformats.org/officeDocument/2006/relationships/hyperlink" Target="https://www.repository.utl.pt/bitstream/10400.5/24882/1/Paulo%20Henriques%20et%20al..pdf" TargetMode="External"/><Relationship Id="rId29" Type="http://schemas.openxmlformats.org/officeDocument/2006/relationships/hyperlink" Target="https://www.researchgate.net/profile/Venkatesh-Mani/publication/334572211_Pathways_towards_sustainability_in_manufacturing_organizations_Empirical_evidence_on_the_role_of_green_human_resource_management/links/5d31f5d2299bf1995b39513f/Pathways-towards-sustainability-in-manufacturing-organizations-Empirical-evidence-on-the-role-of-green-human-resource-managemen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greenpub.org/IJAM/article/download/10/10"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esearchgate.net/profile/Yousef-Alsafadi-3/publication/348481834_Human_Resource_Management_Practices_and_Employee_Performance_The_Role_of_Job_Satisfaction/links/6000d0fa45851553a044fb76/Human-Resource-Management-Practices-and-Employee-Performance-The-Role-of-Job-Satisfaction.pdf" TargetMode="External"/><Relationship Id="rId23" Type="http://schemas.openxmlformats.org/officeDocument/2006/relationships/hyperlink" Target="https://nibmehub.com/opac-service/pdf/read/Human%20Resource%20Management%20A%20Critical%20Approach%20by%20David%20G.%20Collings.pdf" TargetMode="External"/><Relationship Id="rId28" Type="http://schemas.openxmlformats.org/officeDocument/2006/relationships/hyperlink" Target="https://electricalworkbook.com/hr-strategy/" TargetMode="External"/><Relationship Id="rId10" Type="http://schemas.openxmlformats.org/officeDocument/2006/relationships/image" Target="media/image3.png"/><Relationship Id="rId19" Type="http://schemas.openxmlformats.org/officeDocument/2006/relationships/hyperlink" Target="https://repositori.uji.es/xmlui/bitstream/handle/10234/184170/63086.pdf?sequence=1&amp;isAllowed=y"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ncbi.nlm.nih.gov/pmc/articles/PMC7164913/" TargetMode="External"/><Relationship Id="rId27" Type="http://schemas.openxmlformats.org/officeDocument/2006/relationships/hyperlink" Target="https://pdfs.semanticscholar.org/8bd0/8806b8509359e02b0ecf4a903995fa7a8fb6.pdf" TargetMode="External"/><Relationship Id="rId30" Type="http://schemas.openxmlformats.org/officeDocument/2006/relationships/hyperlink" Target="https://sciendo.com/pdf/10.2478/jeb-2019-0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583424-7EAA-4AFF-80C5-CEBC824564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4045</Words>
  <Characters>23062</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dc:creator>
  <cp:lastModifiedBy>Jay</cp:lastModifiedBy>
  <cp:revision>2</cp:revision>
  <dcterms:created xsi:type="dcterms:W3CDTF">2023-06-23T16:23:00Z</dcterms:created>
  <dcterms:modified xsi:type="dcterms:W3CDTF">2023-06-23T16:23:00Z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ba141fc061c72fba92537152f69be2f3b240670e0dce61c2e036d14433de05a5</vt:lpwstr>
  </property>
</Properties>
</file>