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47119752"/>
        <w:docPartObj>
          <w:docPartGallery w:val="Cover Pages"/>
          <w:docPartUnique/>
        </w:docPartObj>
      </w:sdtPr>
      <w:sdtEndPr>
        <w:rPr>
          <w:rFonts w:ascii="Arial Black" w:eastAsiaTheme="minorHAnsi" w:hAnsi="Arial Black" w:cs="Arial"/>
          <w:b/>
          <w:bCs/>
          <w:kern w:val="2"/>
          <w:sz w:val="24"/>
          <w:szCs w:val="24"/>
          <w:u w:val="wave"/>
          <w:lang w:val="en-GB"/>
          <w14:ligatures w14:val="standardContextual"/>
        </w:rPr>
      </w:sdtEndPr>
      <w:sdtContent>
        <w:p w14:paraId="505A6789" w14:textId="6C52195B" w:rsidR="00F106A8" w:rsidRPr="00F106A8" w:rsidRDefault="00F106A8" w:rsidP="00F106A8">
          <w:pPr>
            <w:pStyle w:val="NoSpacing"/>
            <w:spacing w:line="480" w:lineRule="auto"/>
            <w:rPr>
              <w:rFonts w:ascii="Arial Black" w:hAnsi="Arial Black"/>
            </w:rPr>
          </w:pPr>
          <w:r w:rsidRPr="00F106A8">
            <w:rPr>
              <w:rFonts w:ascii="Arial Black" w:hAnsi="Arial Black"/>
            </w:rPr>
            <w:t>Student name</w:t>
          </w:r>
          <w:r w:rsidRPr="00F106A8">
            <w:rPr>
              <w:rFonts w:ascii="Arial Black" w:hAnsi="Arial Black"/>
            </w:rPr>
            <w:t xml:space="preserve">: </w:t>
          </w:r>
          <w:r>
            <w:rPr>
              <w:rFonts w:ascii="Arial Black" w:hAnsi="Arial Black"/>
            </w:rPr>
            <w:t>Roponica Clemansa</w:t>
          </w:r>
          <w:r w:rsidRPr="00F106A8">
            <w:rPr>
              <w:rFonts w:ascii="Arial Black" w:hAnsi="Arial Black"/>
            </w:rPr>
            <w:t xml:space="preserve">   </w:t>
          </w:r>
        </w:p>
        <w:p w14:paraId="3742D946" w14:textId="51D574AA" w:rsidR="00F106A8" w:rsidRPr="00F106A8" w:rsidRDefault="00F106A8" w:rsidP="00F106A8">
          <w:pPr>
            <w:pStyle w:val="NoSpacing"/>
            <w:spacing w:line="480" w:lineRule="auto"/>
            <w:rPr>
              <w:rFonts w:ascii="Arial Black" w:hAnsi="Arial Black"/>
            </w:rPr>
          </w:pPr>
          <w:r w:rsidRPr="00F106A8">
            <w:rPr>
              <w:rFonts w:ascii="Arial Black" w:hAnsi="Arial Black"/>
            </w:rPr>
            <w:t>Programme:</w:t>
          </w:r>
          <w:r w:rsidRPr="00F106A8">
            <w:rPr>
              <w:rFonts w:ascii="Arial Black" w:hAnsi="Arial Black"/>
            </w:rPr>
            <w:t xml:space="preserve"> </w:t>
          </w:r>
          <w:r w:rsidRPr="00F106A8">
            <w:rPr>
              <w:rFonts w:ascii="Arial Black" w:hAnsi="Arial Black"/>
            </w:rPr>
            <w:t>BA/HND Business and Management</w:t>
          </w:r>
        </w:p>
        <w:p w14:paraId="1A96187E" w14:textId="3079AD40" w:rsidR="00F106A8" w:rsidRPr="00F106A8" w:rsidRDefault="00F106A8" w:rsidP="00F106A8">
          <w:pPr>
            <w:pStyle w:val="NoSpacing"/>
            <w:spacing w:line="480" w:lineRule="auto"/>
            <w:rPr>
              <w:rFonts w:ascii="Arial Black" w:hAnsi="Arial Black"/>
            </w:rPr>
          </w:pPr>
          <w:r w:rsidRPr="00F106A8">
            <w:rPr>
              <w:rFonts w:ascii="Arial Black" w:hAnsi="Arial Black"/>
            </w:rPr>
            <w:t>Module</w:t>
          </w:r>
          <w:r w:rsidRPr="00F106A8">
            <w:rPr>
              <w:rFonts w:ascii="Arial Black" w:hAnsi="Arial Black"/>
            </w:rPr>
            <w:t xml:space="preserve">: </w:t>
          </w:r>
          <w:r w:rsidRPr="00F106A8">
            <w:rPr>
              <w:rFonts w:ascii="Arial Black" w:hAnsi="Arial Black"/>
            </w:rPr>
            <w:t xml:space="preserve">Financial Management </w:t>
          </w:r>
          <w:r w:rsidRPr="00F106A8">
            <w:rPr>
              <w:rFonts w:ascii="Arial Black" w:hAnsi="Arial Black"/>
            </w:rPr>
            <w:t>for</w:t>
          </w:r>
          <w:r w:rsidRPr="00F106A8">
            <w:rPr>
              <w:rFonts w:ascii="Arial Black" w:hAnsi="Arial Black"/>
            </w:rPr>
            <w:t xml:space="preserve"> Business Sustainability</w:t>
          </w:r>
        </w:p>
        <w:p w14:paraId="0B3646E2" w14:textId="3DB24C5D" w:rsidR="00F106A8" w:rsidRPr="00F106A8" w:rsidRDefault="00F106A8" w:rsidP="00F106A8">
          <w:pPr>
            <w:pStyle w:val="NoSpacing"/>
            <w:spacing w:line="480" w:lineRule="auto"/>
            <w:rPr>
              <w:rFonts w:ascii="Arial Black" w:hAnsi="Arial Black"/>
            </w:rPr>
          </w:pPr>
          <w:r w:rsidRPr="00F106A8">
            <w:rPr>
              <w:rFonts w:ascii="Arial Black" w:hAnsi="Arial Black"/>
            </w:rPr>
            <w:t>Module code:</w:t>
          </w:r>
          <w:r w:rsidRPr="00F106A8">
            <w:rPr>
              <w:rFonts w:ascii="Arial Black" w:hAnsi="Arial Black"/>
            </w:rPr>
            <w:t xml:space="preserve"> </w:t>
          </w:r>
          <w:r w:rsidRPr="00F106A8">
            <w:rPr>
              <w:rFonts w:ascii="Arial Black" w:hAnsi="Arial Black"/>
            </w:rPr>
            <w:t>BMSP4011D</w:t>
          </w:r>
        </w:p>
        <w:p w14:paraId="7B85F11E" w14:textId="1341E201" w:rsidR="00B715C4" w:rsidRPr="00F106A8" w:rsidRDefault="00F106A8" w:rsidP="00F106A8">
          <w:pPr>
            <w:pStyle w:val="NoSpacing"/>
            <w:spacing w:line="480" w:lineRule="auto"/>
            <w:rPr>
              <w:rFonts w:ascii="Arial Black" w:hAnsi="Arial Black"/>
            </w:rPr>
          </w:pPr>
          <w:r w:rsidRPr="00F106A8">
            <w:rPr>
              <w:rFonts w:ascii="Arial Black" w:hAnsi="Arial Black"/>
            </w:rPr>
            <w:t>Lecturer:</w:t>
          </w:r>
          <w:r w:rsidRPr="00F106A8">
            <w:rPr>
              <w:rFonts w:ascii="Arial Black" w:hAnsi="Arial Black"/>
            </w:rPr>
            <w:t xml:space="preserve"> </w:t>
          </w:r>
          <w:r w:rsidRPr="00F106A8">
            <w:rPr>
              <w:rFonts w:ascii="Arial Black" w:hAnsi="Arial Black"/>
            </w:rPr>
            <w:t>Navdeep Randhawa</w:t>
          </w:r>
        </w:p>
        <w:p w14:paraId="4144D73E" w14:textId="0BC0B148" w:rsidR="00B715C4" w:rsidRDefault="00B715C4">
          <w:pPr>
            <w:rPr>
              <w:rFonts w:ascii="Arial Black" w:hAnsi="Arial Black" w:cs="Arial"/>
              <w:b/>
              <w:bCs/>
              <w:u w:val="wave"/>
            </w:rPr>
          </w:pPr>
          <w:r>
            <w:rPr>
              <w:noProof/>
            </w:rPr>
            <mc:AlternateContent>
              <mc:Choice Requires="wps">
                <w:drawing>
                  <wp:anchor distT="0" distB="0" distL="114300" distR="114300" simplePos="0" relativeHeight="251660288" behindDoc="0" locked="0" layoutInCell="1" allowOverlap="1" wp14:anchorId="19427B01" wp14:editId="3F06735A">
                    <wp:simplePos x="0" y="0"/>
                    <wp:positionH relativeFrom="margin">
                      <wp:posOffset>264160</wp:posOffset>
                    </wp:positionH>
                    <wp:positionV relativeFrom="page">
                      <wp:posOffset>4819650</wp:posOffset>
                    </wp:positionV>
                    <wp:extent cx="5483860" cy="1069340"/>
                    <wp:effectExtent l="0" t="0" r="2540" b="1270"/>
                    <wp:wrapNone/>
                    <wp:docPr id="1" name="Text Box 30"/>
                    <wp:cNvGraphicFramePr/>
                    <a:graphic xmlns:a="http://schemas.openxmlformats.org/drawingml/2006/main">
                      <a:graphicData uri="http://schemas.microsoft.com/office/word/2010/wordprocessingShape">
                        <wps:wsp>
                          <wps:cNvSpPr txBox="1"/>
                          <wps:spPr>
                            <a:xfrm>
                              <a:off x="0" y="0"/>
                              <a:ext cx="548386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7041D7" w14:textId="4A4DE007" w:rsidR="00B715C4" w:rsidRPr="00F106A8" w:rsidRDefault="00B715C4" w:rsidP="00B715C4">
                                <w:pPr>
                                  <w:pStyle w:val="NoSpacing"/>
                                  <w:jc w:val="center"/>
                                  <w:rPr>
                                    <w:rFonts w:ascii="Arial Black" w:eastAsiaTheme="majorEastAsia" w:hAnsi="Arial Black" w:cstheme="majorBidi"/>
                                    <w:color w:val="262626" w:themeColor="text1" w:themeTint="D9"/>
                                    <w:sz w:val="72"/>
                                    <w:szCs w:val="72"/>
                                    <w:u w:val="wave"/>
                                  </w:rPr>
                                </w:pPr>
                                <w:sdt>
                                  <w:sdtPr>
                                    <w:rPr>
                                      <w:rFonts w:ascii="Arial Black" w:eastAsiaTheme="majorEastAsia" w:hAnsi="Arial Black" w:cstheme="majorBidi"/>
                                      <w:color w:val="262626" w:themeColor="text1" w:themeTint="D9"/>
                                      <w:sz w:val="72"/>
                                      <w:szCs w:val="72"/>
                                      <w:u w:val="wav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106A8">
                                      <w:rPr>
                                        <w:rFonts w:ascii="Arial Black" w:eastAsiaTheme="majorEastAsia" w:hAnsi="Arial Black" w:cstheme="majorBidi"/>
                                        <w:color w:val="262626" w:themeColor="text1" w:themeTint="D9"/>
                                        <w:sz w:val="72"/>
                                        <w:szCs w:val="72"/>
                                        <w:u w:val="wave"/>
                                      </w:rPr>
                                      <w:t>Financial Analysis</w:t>
                                    </w:r>
                                  </w:sdtContent>
                                </w:sdt>
                              </w:p>
                              <w:p w14:paraId="0B9AB445" w14:textId="035CBE1E" w:rsidR="00B715C4" w:rsidRPr="00F106A8" w:rsidRDefault="00B715C4" w:rsidP="00B715C4">
                                <w:pPr>
                                  <w:spacing w:before="120"/>
                                  <w:jc w:val="center"/>
                                  <w:rPr>
                                    <w:rFonts w:ascii="Arial Black" w:hAnsi="Arial Black"/>
                                    <w:color w:val="404040" w:themeColor="text1" w:themeTint="BF"/>
                                    <w:sz w:val="72"/>
                                    <w:szCs w:val="72"/>
                                    <w:u w:val="wave"/>
                                  </w:rPr>
                                </w:pPr>
                                <w:sdt>
                                  <w:sdtPr>
                                    <w:rPr>
                                      <w:rFonts w:ascii="Arial Black" w:hAnsi="Arial Black"/>
                                      <w:color w:val="404040" w:themeColor="text1" w:themeTint="BF"/>
                                      <w:sz w:val="72"/>
                                      <w:szCs w:val="72"/>
                                      <w:u w:val="wav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106A8">
                                      <w:rPr>
                                        <w:rFonts w:ascii="Arial Black" w:hAnsi="Arial Black"/>
                                        <w:color w:val="404040" w:themeColor="text1" w:themeTint="BF"/>
                                        <w:sz w:val="72"/>
                                        <w:szCs w:val="72"/>
                                        <w:u w:val="wave"/>
                                      </w:rPr>
                                      <w:t>Assignment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9427B01" id="_x0000_t202" coordsize="21600,21600" o:spt="202" path="m,l,21600r21600,l21600,xe">
                    <v:stroke joinstyle="miter"/>
                    <v:path gradientshapeok="t" o:connecttype="rect"/>
                  </v:shapetype>
                  <v:shape id="Text Box 30" o:spid="_x0000_s1026" type="#_x0000_t202" style="position:absolute;margin-left:20.8pt;margin-top:379.5pt;width:431.8pt;height:84.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" filled="f" stroked="f" strokeweight=".5pt">
                    <v:textbox style="mso-fit-shape-to-text:t" inset="0,0,0,0">
                      <w:txbxContent>
                        <w:p w14:paraId="367041D7" w14:textId="4A4DE007" w:rsidR="00B715C4" w:rsidRPr="00F106A8" w:rsidRDefault="00B715C4" w:rsidP="00B715C4">
                          <w:pPr>
                            <w:pStyle w:val="NoSpacing"/>
                            <w:jc w:val="center"/>
                            <w:rPr>
                              <w:rFonts w:ascii="Arial Black" w:eastAsiaTheme="majorEastAsia" w:hAnsi="Arial Black" w:cstheme="majorBidi"/>
                              <w:color w:val="262626" w:themeColor="text1" w:themeTint="D9"/>
                              <w:sz w:val="72"/>
                              <w:szCs w:val="72"/>
                              <w:u w:val="wave"/>
                            </w:rPr>
                          </w:pPr>
                          <w:sdt>
                            <w:sdtPr>
                              <w:rPr>
                                <w:rFonts w:ascii="Arial Black" w:eastAsiaTheme="majorEastAsia" w:hAnsi="Arial Black" w:cstheme="majorBidi"/>
                                <w:color w:val="262626" w:themeColor="text1" w:themeTint="D9"/>
                                <w:sz w:val="72"/>
                                <w:szCs w:val="72"/>
                                <w:u w:val="wav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F106A8">
                                <w:rPr>
                                  <w:rFonts w:ascii="Arial Black" w:eastAsiaTheme="majorEastAsia" w:hAnsi="Arial Black" w:cstheme="majorBidi"/>
                                  <w:color w:val="262626" w:themeColor="text1" w:themeTint="D9"/>
                                  <w:sz w:val="72"/>
                                  <w:szCs w:val="72"/>
                                  <w:u w:val="wave"/>
                                </w:rPr>
                                <w:t>Financial Analysis</w:t>
                              </w:r>
                            </w:sdtContent>
                          </w:sdt>
                        </w:p>
                        <w:p w14:paraId="0B9AB445" w14:textId="035CBE1E" w:rsidR="00B715C4" w:rsidRPr="00F106A8" w:rsidRDefault="00B715C4" w:rsidP="00B715C4">
                          <w:pPr>
                            <w:spacing w:before="120"/>
                            <w:jc w:val="center"/>
                            <w:rPr>
                              <w:rFonts w:ascii="Arial Black" w:hAnsi="Arial Black"/>
                              <w:color w:val="404040" w:themeColor="text1" w:themeTint="BF"/>
                              <w:sz w:val="72"/>
                              <w:szCs w:val="72"/>
                              <w:u w:val="wave"/>
                            </w:rPr>
                          </w:pPr>
                          <w:sdt>
                            <w:sdtPr>
                              <w:rPr>
                                <w:rFonts w:ascii="Arial Black" w:hAnsi="Arial Black"/>
                                <w:color w:val="404040" w:themeColor="text1" w:themeTint="BF"/>
                                <w:sz w:val="72"/>
                                <w:szCs w:val="72"/>
                                <w:u w:val="wav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106A8">
                                <w:rPr>
                                  <w:rFonts w:ascii="Arial Black" w:hAnsi="Arial Black"/>
                                  <w:color w:val="404040" w:themeColor="text1" w:themeTint="BF"/>
                                  <w:sz w:val="72"/>
                                  <w:szCs w:val="72"/>
                                  <w:u w:val="wave"/>
                                </w:rPr>
                                <w:t>Assignment 1</w:t>
                              </w:r>
                            </w:sdtContent>
                          </w:sdt>
                        </w:p>
                      </w:txbxContent>
                    </v:textbox>
                    <w10:wrap anchorx="margin" anchory="page"/>
                  </v:shape>
                </w:pict>
              </mc:Fallback>
            </mc:AlternateContent>
          </w:r>
          <w:r>
            <w:rPr>
              <w:rFonts w:ascii="Arial Black" w:hAnsi="Arial Black" w:cs="Arial"/>
              <w:b/>
              <w:bCs/>
              <w:u w:val="wave"/>
            </w:rPr>
            <w:br w:type="page"/>
          </w:r>
        </w:p>
      </w:sdtContent>
    </w:sdt>
    <w:p w14:paraId="555B2BA9" w14:textId="39D87D1F" w:rsidR="00B715C4" w:rsidRDefault="00B715C4">
      <w:pPr>
        <w:rPr>
          <w:rFonts w:ascii="Arial Black" w:hAnsi="Arial Black" w:cs="Arial"/>
          <w:b/>
          <w:bCs/>
          <w:u w:val="wave"/>
        </w:rPr>
      </w:pPr>
      <w:r>
        <w:rPr>
          <w:rFonts w:ascii="Arial Black" w:hAnsi="Arial Black" w:cs="Arial"/>
          <w:b/>
          <w:bCs/>
          <w:u w:val="wave"/>
        </w:rPr>
        <w:lastRenderedPageBreak/>
        <w:t>Table of Contents</w:t>
      </w:r>
    </w:p>
    <w:p w14:paraId="0034CBD5" w14:textId="77777777" w:rsidR="00B715C4" w:rsidRDefault="00B715C4" w:rsidP="00B715C4">
      <w:pPr>
        <w:pStyle w:val="ListParagraph"/>
        <w:numPr>
          <w:ilvl w:val="0"/>
          <w:numId w:val="4"/>
        </w:numPr>
        <w:spacing w:line="360" w:lineRule="auto"/>
        <w:rPr>
          <w:rFonts w:ascii="Arial" w:hAnsi="Arial" w:cs="Arial"/>
        </w:rPr>
      </w:pPr>
      <w:r w:rsidRPr="00B715C4">
        <w:rPr>
          <w:rFonts w:ascii="Arial" w:hAnsi="Arial" w:cs="Arial"/>
        </w:rPr>
        <w:t>Executive Summary</w:t>
      </w:r>
    </w:p>
    <w:p w14:paraId="37672A8B" w14:textId="77777777" w:rsidR="00B715C4" w:rsidRDefault="00B715C4" w:rsidP="00B715C4">
      <w:pPr>
        <w:pStyle w:val="ListParagraph"/>
        <w:numPr>
          <w:ilvl w:val="0"/>
          <w:numId w:val="4"/>
        </w:numPr>
        <w:spacing w:line="360" w:lineRule="auto"/>
        <w:rPr>
          <w:rFonts w:ascii="Arial" w:hAnsi="Arial" w:cs="Arial"/>
        </w:rPr>
      </w:pPr>
      <w:r w:rsidRPr="00B715C4">
        <w:rPr>
          <w:rFonts w:ascii="Arial" w:hAnsi="Arial" w:cs="Arial"/>
        </w:rPr>
        <w:t>Introduction</w:t>
      </w:r>
    </w:p>
    <w:p w14:paraId="53CC3BD2" w14:textId="11DF1CF9" w:rsidR="00B715C4" w:rsidRPr="00B715C4" w:rsidRDefault="00B715C4" w:rsidP="00B715C4">
      <w:pPr>
        <w:pStyle w:val="ListParagraph"/>
        <w:numPr>
          <w:ilvl w:val="0"/>
          <w:numId w:val="4"/>
        </w:numPr>
        <w:spacing w:line="360" w:lineRule="auto"/>
        <w:rPr>
          <w:rFonts w:ascii="Arial" w:hAnsi="Arial" w:cs="Arial"/>
        </w:rPr>
      </w:pPr>
      <w:r w:rsidRPr="00B715C4">
        <w:rPr>
          <w:rFonts w:ascii="Arial" w:hAnsi="Arial" w:cs="Arial"/>
        </w:rPr>
        <w:t>Methodology and Selected Ratios</w:t>
      </w:r>
    </w:p>
    <w:p w14:paraId="5D1FDBBA" w14:textId="2E397899" w:rsidR="00B715C4" w:rsidRPr="00B715C4" w:rsidRDefault="00B715C4" w:rsidP="00B715C4">
      <w:pPr>
        <w:pStyle w:val="ListParagraph"/>
        <w:numPr>
          <w:ilvl w:val="0"/>
          <w:numId w:val="5"/>
        </w:numPr>
        <w:spacing w:line="360" w:lineRule="auto"/>
        <w:rPr>
          <w:rFonts w:ascii="Arial" w:hAnsi="Arial" w:cs="Arial"/>
        </w:rPr>
      </w:pPr>
      <w:r w:rsidRPr="00B715C4">
        <w:rPr>
          <w:rFonts w:ascii="Arial" w:hAnsi="Arial" w:cs="Arial"/>
        </w:rPr>
        <w:t>Revenue Growth Rate</w:t>
      </w:r>
    </w:p>
    <w:p w14:paraId="2A3D52C0" w14:textId="74F320AD" w:rsidR="00B715C4" w:rsidRPr="00B715C4" w:rsidRDefault="00B715C4" w:rsidP="00B715C4">
      <w:pPr>
        <w:pStyle w:val="ListParagraph"/>
        <w:numPr>
          <w:ilvl w:val="0"/>
          <w:numId w:val="5"/>
        </w:numPr>
        <w:spacing w:line="360" w:lineRule="auto"/>
        <w:rPr>
          <w:rFonts w:ascii="Arial" w:hAnsi="Arial" w:cs="Arial"/>
        </w:rPr>
      </w:pPr>
      <w:r w:rsidRPr="00B715C4">
        <w:rPr>
          <w:rFonts w:ascii="Arial" w:hAnsi="Arial" w:cs="Arial"/>
        </w:rPr>
        <w:t>Operating Margin</w:t>
      </w:r>
    </w:p>
    <w:p w14:paraId="0D9C63F9" w14:textId="45A20DAB" w:rsidR="00B715C4" w:rsidRPr="00B715C4" w:rsidRDefault="00B715C4" w:rsidP="00B715C4">
      <w:pPr>
        <w:pStyle w:val="ListParagraph"/>
        <w:numPr>
          <w:ilvl w:val="0"/>
          <w:numId w:val="5"/>
        </w:numPr>
        <w:spacing w:line="360" w:lineRule="auto"/>
        <w:rPr>
          <w:rFonts w:ascii="Arial" w:hAnsi="Arial" w:cs="Arial"/>
        </w:rPr>
      </w:pPr>
      <w:r w:rsidRPr="00B715C4">
        <w:rPr>
          <w:rFonts w:ascii="Arial" w:hAnsi="Arial" w:cs="Arial"/>
        </w:rPr>
        <w:t>Free Cash Flow (FCF) Margin</w:t>
      </w:r>
    </w:p>
    <w:p w14:paraId="6B9FE9A1" w14:textId="465B58E4" w:rsidR="00B715C4" w:rsidRPr="00B715C4" w:rsidRDefault="00B715C4" w:rsidP="00B715C4">
      <w:pPr>
        <w:pStyle w:val="ListParagraph"/>
        <w:numPr>
          <w:ilvl w:val="0"/>
          <w:numId w:val="4"/>
        </w:numPr>
        <w:spacing w:line="360" w:lineRule="auto"/>
        <w:rPr>
          <w:rFonts w:ascii="Arial" w:hAnsi="Arial" w:cs="Arial"/>
        </w:rPr>
      </w:pPr>
      <w:r w:rsidRPr="00B715C4">
        <w:rPr>
          <w:rFonts w:ascii="Arial" w:hAnsi="Arial" w:cs="Arial"/>
        </w:rPr>
        <w:t>Calculations and Comparison</w:t>
      </w:r>
    </w:p>
    <w:p w14:paraId="70D2C457" w14:textId="74711927" w:rsidR="00B715C4" w:rsidRPr="00B715C4" w:rsidRDefault="00B715C4" w:rsidP="00B715C4">
      <w:pPr>
        <w:pStyle w:val="ListParagraph"/>
        <w:numPr>
          <w:ilvl w:val="0"/>
          <w:numId w:val="6"/>
        </w:numPr>
        <w:spacing w:line="360" w:lineRule="auto"/>
        <w:rPr>
          <w:rFonts w:ascii="Arial" w:hAnsi="Arial" w:cs="Arial"/>
        </w:rPr>
      </w:pPr>
      <w:r w:rsidRPr="00B715C4">
        <w:rPr>
          <w:rFonts w:ascii="Arial" w:hAnsi="Arial" w:cs="Arial"/>
        </w:rPr>
        <w:t>Revenue and Revenue Growth Rate</w:t>
      </w:r>
    </w:p>
    <w:p w14:paraId="60C32B60" w14:textId="31DED5D8" w:rsidR="00B715C4" w:rsidRPr="00B715C4" w:rsidRDefault="00B715C4" w:rsidP="00B715C4">
      <w:pPr>
        <w:pStyle w:val="ListParagraph"/>
        <w:numPr>
          <w:ilvl w:val="0"/>
          <w:numId w:val="6"/>
        </w:numPr>
        <w:spacing w:line="360" w:lineRule="auto"/>
        <w:rPr>
          <w:rFonts w:ascii="Arial" w:hAnsi="Arial" w:cs="Arial"/>
        </w:rPr>
      </w:pPr>
      <w:r w:rsidRPr="00B715C4">
        <w:rPr>
          <w:rFonts w:ascii="Arial" w:hAnsi="Arial" w:cs="Arial"/>
        </w:rPr>
        <w:t>Operating Margin Calculation</w:t>
      </w:r>
    </w:p>
    <w:p w14:paraId="3A63DFC3" w14:textId="4CBE8FDE" w:rsidR="00B715C4" w:rsidRPr="00B715C4" w:rsidRDefault="00B715C4" w:rsidP="00B715C4">
      <w:pPr>
        <w:pStyle w:val="ListParagraph"/>
        <w:numPr>
          <w:ilvl w:val="0"/>
          <w:numId w:val="6"/>
        </w:numPr>
        <w:spacing w:line="360" w:lineRule="auto"/>
        <w:rPr>
          <w:rFonts w:ascii="Arial" w:hAnsi="Arial" w:cs="Arial"/>
        </w:rPr>
      </w:pPr>
      <w:r w:rsidRPr="00B715C4">
        <w:rPr>
          <w:rFonts w:ascii="Arial" w:hAnsi="Arial" w:cs="Arial"/>
        </w:rPr>
        <w:t>Free Cash Flow Margin Calculation</w:t>
      </w:r>
    </w:p>
    <w:p w14:paraId="2AD580A8" w14:textId="5CEF38B7" w:rsidR="00B715C4" w:rsidRPr="00B715C4" w:rsidRDefault="00B715C4" w:rsidP="00B715C4">
      <w:pPr>
        <w:pStyle w:val="ListParagraph"/>
        <w:numPr>
          <w:ilvl w:val="0"/>
          <w:numId w:val="4"/>
        </w:numPr>
        <w:spacing w:line="360" w:lineRule="auto"/>
        <w:rPr>
          <w:rFonts w:ascii="Arial" w:hAnsi="Arial" w:cs="Arial"/>
        </w:rPr>
      </w:pPr>
      <w:r w:rsidRPr="00B715C4">
        <w:rPr>
          <w:rFonts w:ascii="Arial" w:hAnsi="Arial" w:cs="Arial"/>
        </w:rPr>
        <w:t>Analysis of Results</w:t>
      </w:r>
    </w:p>
    <w:p w14:paraId="5BB5691F" w14:textId="79FC4B35" w:rsidR="00B715C4" w:rsidRPr="00B715C4" w:rsidRDefault="00B715C4" w:rsidP="00B715C4">
      <w:pPr>
        <w:pStyle w:val="ListParagraph"/>
        <w:numPr>
          <w:ilvl w:val="0"/>
          <w:numId w:val="7"/>
        </w:numPr>
        <w:spacing w:line="360" w:lineRule="auto"/>
        <w:rPr>
          <w:rFonts w:ascii="Arial" w:hAnsi="Arial" w:cs="Arial"/>
        </w:rPr>
      </w:pPr>
      <w:r w:rsidRPr="00B715C4">
        <w:rPr>
          <w:rFonts w:ascii="Arial" w:hAnsi="Arial" w:cs="Arial"/>
        </w:rPr>
        <w:t>Revenue Growth and Market Penetration</w:t>
      </w:r>
    </w:p>
    <w:p w14:paraId="273D02D2" w14:textId="347BE41E" w:rsidR="00B715C4" w:rsidRPr="00B715C4" w:rsidRDefault="00B715C4" w:rsidP="00B715C4">
      <w:pPr>
        <w:pStyle w:val="ListParagraph"/>
        <w:numPr>
          <w:ilvl w:val="0"/>
          <w:numId w:val="7"/>
        </w:numPr>
        <w:spacing w:line="360" w:lineRule="auto"/>
        <w:rPr>
          <w:rFonts w:ascii="Arial" w:hAnsi="Arial" w:cs="Arial"/>
        </w:rPr>
      </w:pPr>
      <w:r w:rsidRPr="00B715C4">
        <w:rPr>
          <w:rFonts w:ascii="Arial" w:hAnsi="Arial" w:cs="Arial"/>
        </w:rPr>
        <w:t>Improved Operating Efficiency</w:t>
      </w:r>
    </w:p>
    <w:p w14:paraId="2334F808" w14:textId="77777777" w:rsidR="00B715C4" w:rsidRPr="00B715C4" w:rsidRDefault="00B715C4" w:rsidP="00B715C4">
      <w:pPr>
        <w:pStyle w:val="ListParagraph"/>
        <w:numPr>
          <w:ilvl w:val="0"/>
          <w:numId w:val="7"/>
        </w:numPr>
        <w:spacing w:line="360" w:lineRule="auto"/>
        <w:rPr>
          <w:rFonts w:ascii="Arial" w:hAnsi="Arial" w:cs="Arial"/>
        </w:rPr>
      </w:pPr>
      <w:r w:rsidRPr="00B715C4">
        <w:rPr>
          <w:rFonts w:ascii="Arial" w:hAnsi="Arial" w:cs="Arial"/>
        </w:rPr>
        <w:t>Turnaround of Free Cash Flow</w:t>
      </w:r>
    </w:p>
    <w:p w14:paraId="728BB574" w14:textId="6AB605E6" w:rsidR="00B715C4" w:rsidRPr="00B715C4" w:rsidRDefault="00B715C4" w:rsidP="00B715C4">
      <w:pPr>
        <w:pStyle w:val="ListParagraph"/>
        <w:numPr>
          <w:ilvl w:val="0"/>
          <w:numId w:val="7"/>
        </w:numPr>
        <w:spacing w:line="360" w:lineRule="auto"/>
        <w:rPr>
          <w:rFonts w:ascii="Arial" w:hAnsi="Arial" w:cs="Arial"/>
        </w:rPr>
      </w:pPr>
      <w:r w:rsidRPr="00B715C4">
        <w:rPr>
          <w:rFonts w:ascii="Arial" w:hAnsi="Arial" w:cs="Arial"/>
        </w:rPr>
        <w:t>Larger Context in Macroeconomic Conditions</w:t>
      </w:r>
    </w:p>
    <w:p w14:paraId="2969F727" w14:textId="77777777" w:rsidR="00B715C4" w:rsidRDefault="00B715C4" w:rsidP="00B715C4">
      <w:pPr>
        <w:pStyle w:val="ListParagraph"/>
        <w:numPr>
          <w:ilvl w:val="0"/>
          <w:numId w:val="4"/>
        </w:numPr>
        <w:spacing w:line="360" w:lineRule="auto"/>
        <w:rPr>
          <w:rFonts w:ascii="Arial" w:hAnsi="Arial" w:cs="Arial"/>
        </w:rPr>
      </w:pPr>
      <w:r w:rsidRPr="00B715C4">
        <w:rPr>
          <w:rFonts w:ascii="Arial" w:hAnsi="Arial" w:cs="Arial"/>
        </w:rPr>
        <w:t>Suggestions for Future Financial Health and Sustainability</w:t>
      </w:r>
    </w:p>
    <w:p w14:paraId="4DBFB2B7" w14:textId="77777777" w:rsidR="00B715C4" w:rsidRDefault="00B715C4" w:rsidP="00B715C4">
      <w:pPr>
        <w:pStyle w:val="ListParagraph"/>
        <w:numPr>
          <w:ilvl w:val="0"/>
          <w:numId w:val="4"/>
        </w:numPr>
        <w:spacing w:line="360" w:lineRule="auto"/>
        <w:rPr>
          <w:rFonts w:ascii="Arial" w:hAnsi="Arial" w:cs="Arial"/>
        </w:rPr>
      </w:pPr>
      <w:r w:rsidRPr="00B715C4">
        <w:rPr>
          <w:rFonts w:ascii="Arial" w:hAnsi="Arial" w:cs="Arial"/>
        </w:rPr>
        <w:t>Conclusion</w:t>
      </w:r>
    </w:p>
    <w:p w14:paraId="45280CDC" w14:textId="36CF676E" w:rsidR="00B715C4" w:rsidRPr="00B715C4" w:rsidRDefault="00B715C4" w:rsidP="00B715C4">
      <w:pPr>
        <w:pStyle w:val="ListParagraph"/>
        <w:numPr>
          <w:ilvl w:val="0"/>
          <w:numId w:val="4"/>
        </w:numPr>
        <w:spacing w:line="360" w:lineRule="auto"/>
        <w:rPr>
          <w:rFonts w:ascii="Arial" w:hAnsi="Arial" w:cs="Arial"/>
        </w:rPr>
      </w:pPr>
      <w:r w:rsidRPr="00B715C4">
        <w:rPr>
          <w:rFonts w:ascii="Arial" w:hAnsi="Arial" w:cs="Arial"/>
        </w:rPr>
        <w:t>References</w:t>
      </w:r>
      <w:r w:rsidRPr="00B715C4">
        <w:rPr>
          <w:rFonts w:ascii="Arial" w:hAnsi="Arial" w:cs="Arial"/>
        </w:rPr>
        <w:t xml:space="preserve"> </w:t>
      </w:r>
      <w:r w:rsidRPr="00B715C4">
        <w:rPr>
          <w:rFonts w:ascii="Arial" w:hAnsi="Arial" w:cs="Arial"/>
        </w:rPr>
        <w:br w:type="page"/>
      </w:r>
    </w:p>
    <w:p w14:paraId="7115CAD5" w14:textId="229EE79C" w:rsidR="008E21F1" w:rsidRPr="003476C6" w:rsidRDefault="008E21F1" w:rsidP="00C6108E">
      <w:pPr>
        <w:spacing w:line="480" w:lineRule="auto"/>
        <w:rPr>
          <w:rFonts w:ascii="Arial Black" w:hAnsi="Arial Black" w:cs="Arial"/>
          <w:b/>
          <w:bCs/>
          <w:u w:val="wave"/>
        </w:rPr>
      </w:pPr>
      <w:r w:rsidRPr="003476C6">
        <w:rPr>
          <w:rFonts w:ascii="Arial Black" w:hAnsi="Arial Black" w:cs="Arial"/>
          <w:b/>
          <w:bCs/>
          <w:u w:val="wave"/>
        </w:rPr>
        <w:lastRenderedPageBreak/>
        <w:t>Executive Summary</w:t>
      </w:r>
    </w:p>
    <w:p w14:paraId="52471670" w14:textId="754868DD" w:rsidR="008E21F1" w:rsidRDefault="008E21F1" w:rsidP="00C6108E">
      <w:pPr>
        <w:spacing w:line="480" w:lineRule="auto"/>
        <w:rPr>
          <w:rFonts w:ascii="Arial" w:hAnsi="Arial" w:cs="Arial"/>
        </w:rPr>
      </w:pPr>
      <w:r w:rsidRPr="008E21F1">
        <w:rPr>
          <w:rFonts w:ascii="Arial" w:hAnsi="Arial" w:cs="Arial"/>
        </w:rPr>
        <w:t xml:space="preserve">According to a comprehensive ratio analysis, Amazon.com, Inc. improved in almost every single financial measure from 2022 to 2023. Except for free cash flow, revenue increased by about 12%, from US$514 billion in 2022 to US$575 billion in 2023. Its operating margins improved greatly, from 2.4% to 6.4%. This brings into account whether the company enjoyed better control of operating expenses, and more efficient management of their costs. The free cash flow margin moved from a negative number in 2022 to a </w:t>
      </w:r>
      <w:r>
        <w:rPr>
          <w:rFonts w:ascii="Arial" w:hAnsi="Arial" w:cs="Arial"/>
        </w:rPr>
        <w:t>positive</w:t>
      </w:r>
      <w:r w:rsidRPr="008E21F1">
        <w:rPr>
          <w:rFonts w:ascii="Arial" w:hAnsi="Arial" w:cs="Arial"/>
        </w:rPr>
        <w:t xml:space="preserve"> level of 6.17% in 2023, indicating better capital allocation and capital generation. </w:t>
      </w:r>
      <w:r w:rsidRPr="008E21F1">
        <w:rPr>
          <w:rFonts w:ascii="Arial" w:hAnsi="Arial" w:cs="Arial"/>
        </w:rPr>
        <w:t>All</w:t>
      </w:r>
      <w:r w:rsidRPr="008E21F1">
        <w:rPr>
          <w:rFonts w:ascii="Arial" w:hAnsi="Arial" w:cs="Arial"/>
        </w:rPr>
        <w:t xml:space="preserve"> these positive improvements, which were produced through strategic movements of the company, optimi</w:t>
      </w:r>
      <w:r>
        <w:rPr>
          <w:rFonts w:ascii="Arial" w:hAnsi="Arial" w:cs="Arial"/>
        </w:rPr>
        <w:t>s</w:t>
      </w:r>
      <w:r w:rsidRPr="008E21F1">
        <w:rPr>
          <w:rFonts w:ascii="Arial" w:hAnsi="Arial" w:cs="Arial"/>
        </w:rPr>
        <w:t xml:space="preserve">ing the </w:t>
      </w:r>
      <w:r w:rsidRPr="008E21F1">
        <w:rPr>
          <w:rFonts w:ascii="Arial" w:hAnsi="Arial" w:cs="Arial"/>
        </w:rPr>
        <w:t>fulfilment</w:t>
      </w:r>
      <w:r w:rsidRPr="008E21F1">
        <w:rPr>
          <w:rFonts w:ascii="Arial" w:hAnsi="Arial" w:cs="Arial"/>
        </w:rPr>
        <w:t xml:space="preserve"> network, placement of inventory regionally, and better automation and </w:t>
      </w:r>
      <w:r w:rsidRPr="008E21F1">
        <w:rPr>
          <w:rFonts w:ascii="Arial" w:hAnsi="Arial" w:cs="Arial"/>
        </w:rPr>
        <w:t>technology.</w:t>
      </w:r>
      <w:r>
        <w:rPr>
          <w:rFonts w:ascii="Arial" w:hAnsi="Arial" w:cs="Arial"/>
        </w:rPr>
        <w:t xml:space="preserve"> </w:t>
      </w:r>
    </w:p>
    <w:p w14:paraId="5F7B9742" w14:textId="5EBD37AF" w:rsidR="008E21F1" w:rsidRDefault="008E21F1" w:rsidP="00C6108E">
      <w:pPr>
        <w:spacing w:line="480" w:lineRule="auto"/>
        <w:rPr>
          <w:rFonts w:ascii="Arial" w:hAnsi="Arial" w:cs="Arial"/>
        </w:rPr>
      </w:pPr>
      <w:r w:rsidRPr="008E21F1">
        <w:rPr>
          <w:rFonts w:ascii="Arial" w:hAnsi="Arial" w:cs="Arial"/>
        </w:rPr>
        <w:t xml:space="preserve">Amazon also </w:t>
      </w:r>
      <w:r w:rsidR="00F57D29">
        <w:rPr>
          <w:rFonts w:ascii="Arial" w:hAnsi="Arial" w:cs="Arial"/>
        </w:rPr>
        <w:t>entre</w:t>
      </w:r>
      <w:r w:rsidRPr="008E21F1">
        <w:rPr>
          <w:rFonts w:ascii="Arial" w:hAnsi="Arial" w:cs="Arial"/>
        </w:rPr>
        <w:t xml:space="preserve"> into foreign markets as well as improvements in customer-oriented innovations, improving overall financial strength. To sustain Amazon's growth, some recommendations would </w:t>
      </w:r>
      <w:r w:rsidR="00F57D29" w:rsidRPr="008E21F1">
        <w:rPr>
          <w:rFonts w:ascii="Arial" w:hAnsi="Arial" w:cs="Arial"/>
        </w:rPr>
        <w:t>be</w:t>
      </w:r>
      <w:r w:rsidRPr="008E21F1">
        <w:rPr>
          <w:rFonts w:ascii="Arial" w:hAnsi="Arial" w:cs="Arial"/>
        </w:rPr>
        <w:t xml:space="preserve"> continued investment in automation, better management of liquidity, and increased focus on renewable sustainable practices to reduce environmental risks. Overall, the ratio analysis presented not only transparent insights into operational performance but also informed recommendations for strategy to enhance operational performance allowing for the ability to maintain their competitive advantage and long-term financial sustainability (Babalola, Y. A., &amp; Abiola, F. R. (2013); Barnes, P. (1987); Hamzah, K. D. (2022)).</w:t>
      </w:r>
    </w:p>
    <w:p w14:paraId="368AA75A" w14:textId="77777777" w:rsidR="008E21F1" w:rsidRDefault="008E21F1" w:rsidP="00C6108E">
      <w:pPr>
        <w:spacing w:line="480" w:lineRule="auto"/>
        <w:rPr>
          <w:rFonts w:ascii="Arial" w:hAnsi="Arial" w:cs="Arial"/>
        </w:rPr>
      </w:pPr>
    </w:p>
    <w:p w14:paraId="2343119A" w14:textId="77777777" w:rsidR="008E21F1" w:rsidRDefault="008E21F1" w:rsidP="00C6108E">
      <w:pPr>
        <w:spacing w:line="480" w:lineRule="auto"/>
        <w:rPr>
          <w:rFonts w:ascii="Arial" w:hAnsi="Arial" w:cs="Arial"/>
        </w:rPr>
      </w:pPr>
    </w:p>
    <w:p w14:paraId="2C008F15" w14:textId="77777777" w:rsidR="008E21F1" w:rsidRDefault="008E21F1" w:rsidP="00C6108E">
      <w:pPr>
        <w:spacing w:line="480" w:lineRule="auto"/>
        <w:rPr>
          <w:rFonts w:ascii="Arial" w:hAnsi="Arial" w:cs="Arial"/>
        </w:rPr>
      </w:pPr>
    </w:p>
    <w:p w14:paraId="4143716C" w14:textId="1C0E1F59" w:rsidR="00C6108E" w:rsidRPr="003476C6" w:rsidRDefault="00C6108E" w:rsidP="00C6108E">
      <w:pPr>
        <w:spacing w:line="480" w:lineRule="auto"/>
        <w:rPr>
          <w:rFonts w:ascii="Arial Black" w:hAnsi="Arial Black" w:cs="Arial"/>
          <w:u w:val="wave"/>
        </w:rPr>
      </w:pPr>
      <w:r w:rsidRPr="003476C6">
        <w:rPr>
          <w:rFonts w:ascii="Arial Black" w:hAnsi="Arial Black" w:cs="Arial"/>
          <w:u w:val="wave"/>
        </w:rPr>
        <w:lastRenderedPageBreak/>
        <w:t>Introduction</w:t>
      </w:r>
    </w:p>
    <w:p w14:paraId="284D22EC" w14:textId="77777777" w:rsidR="00C6108E" w:rsidRDefault="00C6108E" w:rsidP="00C6108E">
      <w:pPr>
        <w:spacing w:line="480" w:lineRule="auto"/>
        <w:rPr>
          <w:rFonts w:ascii="Arial" w:hAnsi="Arial" w:cs="Arial"/>
        </w:rPr>
      </w:pPr>
      <w:r w:rsidRPr="00C6108E">
        <w:rPr>
          <w:rFonts w:ascii="Arial" w:hAnsi="Arial" w:cs="Arial"/>
        </w:rPr>
        <w:t>Amazon.com, Inc. is a global leader in e</w:t>
      </w:r>
      <w:r w:rsidRPr="00C6108E">
        <w:rPr>
          <w:rFonts w:ascii="Cambria Math" w:hAnsi="Cambria Math" w:cs="Cambria Math"/>
        </w:rPr>
        <w:t>‑</w:t>
      </w:r>
      <w:r w:rsidRPr="00C6108E">
        <w:rPr>
          <w:rFonts w:ascii="Arial" w:hAnsi="Arial" w:cs="Arial"/>
        </w:rPr>
        <w:t>commerce, cloud computing, and digital services. This analysis utili</w:t>
      </w:r>
      <w:r>
        <w:rPr>
          <w:rFonts w:ascii="Arial" w:hAnsi="Arial" w:cs="Arial"/>
        </w:rPr>
        <w:t>s</w:t>
      </w:r>
      <w:r w:rsidRPr="00C6108E">
        <w:rPr>
          <w:rFonts w:ascii="Arial" w:hAnsi="Arial" w:cs="Arial"/>
        </w:rPr>
        <w:t xml:space="preserve">es the most recently available annual reports for Amazon.com, Inc. from both 2022 and 2023 to measure critical financial ratios, compare the performance of the company over the two consecutive years in review, and present an analysis of the reasons for the improved performance of the company. In addition, recommendations are made for improving future performance and continuing the performance trajectory. Financial ratios are useful decision-making strategies to </w:t>
      </w:r>
      <w:r w:rsidRPr="00C6108E">
        <w:rPr>
          <w:rFonts w:ascii="Arial" w:hAnsi="Arial" w:cs="Arial"/>
        </w:rPr>
        <w:t>analyse</w:t>
      </w:r>
      <w:r w:rsidRPr="00C6108E">
        <w:rPr>
          <w:rFonts w:ascii="Arial" w:hAnsi="Arial" w:cs="Arial"/>
        </w:rPr>
        <w:t xml:space="preserve"> the operational efficiency and financial condition</w:t>
      </w:r>
      <w:r>
        <w:rPr>
          <w:rFonts w:ascii="Arial" w:hAnsi="Arial" w:cs="Arial"/>
        </w:rPr>
        <w:t xml:space="preserve">. </w:t>
      </w:r>
    </w:p>
    <w:p w14:paraId="13AF1D4D" w14:textId="77777777" w:rsidR="00C6108E" w:rsidRDefault="00C6108E" w:rsidP="00C6108E">
      <w:pPr>
        <w:spacing w:line="480" w:lineRule="auto"/>
        <w:rPr>
          <w:rFonts w:ascii="Arial" w:hAnsi="Arial" w:cs="Arial"/>
        </w:rPr>
      </w:pPr>
    </w:p>
    <w:p w14:paraId="6B0F24E3" w14:textId="77777777" w:rsidR="00C6108E" w:rsidRDefault="00C6108E" w:rsidP="00C6108E">
      <w:pPr>
        <w:spacing w:line="480" w:lineRule="auto"/>
        <w:rPr>
          <w:rFonts w:ascii="Arial" w:hAnsi="Arial" w:cs="Arial"/>
        </w:rPr>
      </w:pPr>
    </w:p>
    <w:p w14:paraId="0D50150C" w14:textId="77777777" w:rsidR="00C6108E" w:rsidRDefault="00C6108E" w:rsidP="00C6108E">
      <w:pPr>
        <w:spacing w:line="480" w:lineRule="auto"/>
        <w:rPr>
          <w:rFonts w:ascii="Arial" w:hAnsi="Arial" w:cs="Arial"/>
        </w:rPr>
      </w:pPr>
    </w:p>
    <w:p w14:paraId="56980D4C" w14:textId="77777777" w:rsidR="00C6108E" w:rsidRDefault="00C6108E" w:rsidP="00C6108E">
      <w:pPr>
        <w:spacing w:line="480" w:lineRule="auto"/>
        <w:rPr>
          <w:rFonts w:ascii="Arial" w:hAnsi="Arial" w:cs="Arial"/>
        </w:rPr>
      </w:pPr>
    </w:p>
    <w:p w14:paraId="0184A275" w14:textId="77777777" w:rsidR="00C6108E" w:rsidRDefault="00C6108E" w:rsidP="00C6108E">
      <w:pPr>
        <w:spacing w:line="480" w:lineRule="auto"/>
        <w:rPr>
          <w:rFonts w:ascii="Arial" w:hAnsi="Arial" w:cs="Arial"/>
        </w:rPr>
      </w:pPr>
    </w:p>
    <w:p w14:paraId="6C4E341F" w14:textId="77777777" w:rsidR="00C6108E" w:rsidRDefault="00C6108E" w:rsidP="00C6108E">
      <w:pPr>
        <w:spacing w:line="480" w:lineRule="auto"/>
        <w:rPr>
          <w:rFonts w:ascii="Arial" w:hAnsi="Arial" w:cs="Arial"/>
        </w:rPr>
      </w:pPr>
    </w:p>
    <w:p w14:paraId="1FD9371A" w14:textId="77777777" w:rsidR="00C6108E" w:rsidRDefault="00C6108E" w:rsidP="00C6108E">
      <w:pPr>
        <w:spacing w:line="480" w:lineRule="auto"/>
        <w:rPr>
          <w:rFonts w:ascii="Arial" w:hAnsi="Arial" w:cs="Arial"/>
        </w:rPr>
      </w:pPr>
    </w:p>
    <w:p w14:paraId="51475B60" w14:textId="77777777" w:rsidR="00C6108E" w:rsidRDefault="00C6108E" w:rsidP="00C6108E">
      <w:pPr>
        <w:spacing w:line="480" w:lineRule="auto"/>
        <w:rPr>
          <w:rFonts w:ascii="Arial" w:hAnsi="Arial" w:cs="Arial"/>
        </w:rPr>
      </w:pPr>
    </w:p>
    <w:p w14:paraId="6643D975" w14:textId="77777777" w:rsidR="00C6108E" w:rsidRDefault="00C6108E" w:rsidP="00C6108E">
      <w:pPr>
        <w:spacing w:line="480" w:lineRule="auto"/>
        <w:rPr>
          <w:rFonts w:ascii="Arial" w:hAnsi="Arial" w:cs="Arial"/>
        </w:rPr>
      </w:pPr>
    </w:p>
    <w:p w14:paraId="431E2623" w14:textId="77777777" w:rsidR="00C6108E" w:rsidRDefault="00C6108E" w:rsidP="00C6108E">
      <w:pPr>
        <w:spacing w:line="480" w:lineRule="auto"/>
        <w:rPr>
          <w:rFonts w:ascii="Arial" w:hAnsi="Arial" w:cs="Arial"/>
        </w:rPr>
      </w:pPr>
    </w:p>
    <w:p w14:paraId="70B39399" w14:textId="77777777" w:rsidR="00C6108E" w:rsidRDefault="00C6108E" w:rsidP="00C6108E">
      <w:pPr>
        <w:spacing w:line="480" w:lineRule="auto"/>
        <w:rPr>
          <w:rFonts w:ascii="Arial" w:hAnsi="Arial" w:cs="Arial"/>
        </w:rPr>
      </w:pPr>
    </w:p>
    <w:p w14:paraId="0E0C9201" w14:textId="77777777" w:rsidR="003476C6" w:rsidRDefault="003476C6" w:rsidP="00C6108E">
      <w:pPr>
        <w:spacing w:line="480" w:lineRule="auto"/>
        <w:rPr>
          <w:rFonts w:ascii="Arial" w:hAnsi="Arial" w:cs="Arial"/>
        </w:rPr>
      </w:pPr>
    </w:p>
    <w:p w14:paraId="07FD0B04" w14:textId="4520954D" w:rsidR="00C6108E" w:rsidRPr="003476C6" w:rsidRDefault="00C6108E" w:rsidP="00C6108E">
      <w:pPr>
        <w:spacing w:line="480" w:lineRule="auto"/>
        <w:rPr>
          <w:rFonts w:ascii="Arial Black" w:hAnsi="Arial Black" w:cs="Arial"/>
          <w:u w:val="wave"/>
        </w:rPr>
      </w:pPr>
      <w:r w:rsidRPr="003476C6">
        <w:rPr>
          <w:rFonts w:ascii="Arial Black" w:hAnsi="Arial Black" w:cs="Arial"/>
          <w:u w:val="wave"/>
        </w:rPr>
        <w:lastRenderedPageBreak/>
        <w:t>Methodology and Selected Ratios</w:t>
      </w:r>
    </w:p>
    <w:p w14:paraId="68D91CBD" w14:textId="77777777" w:rsidR="00C6108E" w:rsidRDefault="00C6108E" w:rsidP="00C6108E">
      <w:pPr>
        <w:spacing w:line="480" w:lineRule="auto"/>
        <w:rPr>
          <w:rFonts w:ascii="Arial" w:hAnsi="Arial" w:cs="Arial"/>
        </w:rPr>
      </w:pPr>
      <w:r w:rsidRPr="00C6108E">
        <w:rPr>
          <w:rFonts w:ascii="Arial" w:hAnsi="Arial" w:cs="Arial"/>
        </w:rPr>
        <w:t xml:space="preserve">This </w:t>
      </w:r>
      <w:r>
        <w:rPr>
          <w:rFonts w:ascii="Arial" w:hAnsi="Arial" w:cs="Arial"/>
        </w:rPr>
        <w:t>analysis</w:t>
      </w:r>
      <w:r w:rsidRPr="00C6108E">
        <w:rPr>
          <w:rFonts w:ascii="Arial" w:hAnsi="Arial" w:cs="Arial"/>
        </w:rPr>
        <w:t xml:space="preserve"> focuses on three ratios: </w:t>
      </w:r>
    </w:p>
    <w:p w14:paraId="78670D56" w14:textId="77777777" w:rsidR="00C6108E" w:rsidRPr="00C6108E" w:rsidRDefault="00C6108E" w:rsidP="00C6108E">
      <w:pPr>
        <w:pStyle w:val="ListParagraph"/>
        <w:numPr>
          <w:ilvl w:val="0"/>
          <w:numId w:val="1"/>
        </w:numPr>
        <w:spacing w:line="480" w:lineRule="auto"/>
        <w:rPr>
          <w:rFonts w:ascii="Arial" w:hAnsi="Arial" w:cs="Arial"/>
        </w:rPr>
      </w:pPr>
      <w:r w:rsidRPr="00C6108E">
        <w:rPr>
          <w:rFonts w:ascii="Arial" w:hAnsi="Arial" w:cs="Arial"/>
        </w:rPr>
        <w:t>Revenue Growth Rate</w:t>
      </w:r>
      <w:r w:rsidRPr="00C6108E">
        <w:rPr>
          <w:rFonts w:ascii="Arial" w:hAnsi="Arial" w:cs="Arial"/>
        </w:rPr>
        <w:t xml:space="preserve">: </w:t>
      </w:r>
      <w:r w:rsidRPr="00C6108E">
        <w:rPr>
          <w:rFonts w:ascii="Arial" w:hAnsi="Arial" w:cs="Arial"/>
        </w:rPr>
        <w:t>Indicates the percentage change on the top-line earnings</w:t>
      </w:r>
      <w:r w:rsidRPr="00C6108E">
        <w:rPr>
          <w:rFonts w:ascii="Arial" w:hAnsi="Arial" w:cs="Arial"/>
        </w:rPr>
        <w:t>.</w:t>
      </w:r>
    </w:p>
    <w:p w14:paraId="0F50E44B" w14:textId="77777777" w:rsidR="00C6108E" w:rsidRPr="00C6108E" w:rsidRDefault="00C6108E" w:rsidP="00C6108E">
      <w:pPr>
        <w:pStyle w:val="ListParagraph"/>
        <w:numPr>
          <w:ilvl w:val="0"/>
          <w:numId w:val="1"/>
        </w:numPr>
        <w:spacing w:line="480" w:lineRule="auto"/>
        <w:rPr>
          <w:rFonts w:ascii="Arial" w:hAnsi="Arial" w:cs="Arial"/>
        </w:rPr>
      </w:pPr>
      <w:r w:rsidRPr="00C6108E">
        <w:rPr>
          <w:rFonts w:ascii="Arial" w:hAnsi="Arial" w:cs="Arial"/>
        </w:rPr>
        <w:t>Operating Margin</w:t>
      </w:r>
      <w:r w:rsidRPr="00C6108E">
        <w:rPr>
          <w:rFonts w:ascii="Arial" w:hAnsi="Arial" w:cs="Arial"/>
        </w:rPr>
        <w:t xml:space="preserve">: </w:t>
      </w:r>
      <w:r w:rsidRPr="00C6108E">
        <w:rPr>
          <w:rFonts w:ascii="Arial" w:hAnsi="Arial" w:cs="Arial"/>
        </w:rPr>
        <w:t xml:space="preserve">Indicates, by ratio, the company's effectiveness in converting revenue to operating income and serves as an indicator of the efficiency of expense management. </w:t>
      </w:r>
    </w:p>
    <w:p w14:paraId="7E6BE640" w14:textId="77777777" w:rsidR="00C6108E" w:rsidRPr="00C6108E" w:rsidRDefault="00C6108E" w:rsidP="00C6108E">
      <w:pPr>
        <w:pStyle w:val="ListParagraph"/>
        <w:numPr>
          <w:ilvl w:val="0"/>
          <w:numId w:val="1"/>
        </w:numPr>
        <w:spacing w:line="480" w:lineRule="auto"/>
        <w:rPr>
          <w:rFonts w:ascii="Arial" w:hAnsi="Arial" w:cs="Arial"/>
        </w:rPr>
      </w:pPr>
      <w:r w:rsidRPr="00C6108E">
        <w:rPr>
          <w:rFonts w:ascii="Arial" w:hAnsi="Arial" w:cs="Arial"/>
        </w:rPr>
        <w:t>Free Cash Flow (FCF) Margin</w:t>
      </w:r>
      <w:r w:rsidRPr="00C6108E">
        <w:rPr>
          <w:rFonts w:ascii="Arial" w:hAnsi="Arial" w:cs="Arial"/>
        </w:rPr>
        <w:t xml:space="preserve">: </w:t>
      </w:r>
      <w:r w:rsidRPr="00C6108E">
        <w:rPr>
          <w:rFonts w:ascii="Arial" w:hAnsi="Arial" w:cs="Arial"/>
        </w:rPr>
        <w:t xml:space="preserve">Indicates in ratio form what percentage of revenue remains after capital expenditures. </w:t>
      </w:r>
    </w:p>
    <w:p w14:paraId="02E81D3E" w14:textId="77777777" w:rsidR="00C6108E" w:rsidRDefault="00C6108E" w:rsidP="00C6108E">
      <w:pPr>
        <w:spacing w:line="480" w:lineRule="auto"/>
        <w:rPr>
          <w:rFonts w:ascii="Arial" w:hAnsi="Arial" w:cs="Arial"/>
        </w:rPr>
      </w:pPr>
      <w:r w:rsidRPr="00C6108E">
        <w:rPr>
          <w:rFonts w:ascii="Arial" w:hAnsi="Arial" w:cs="Arial"/>
        </w:rPr>
        <w:t>Each calculation answers specific questions regarding Amazon's performance, with each ratio providing insight into different aspects of performance. Ratios are specifically important for evaluating operational improvements and diagnosing total company financial strength (Hamzah, K. D.</w:t>
      </w:r>
      <w:r>
        <w:rPr>
          <w:rFonts w:ascii="Arial" w:hAnsi="Arial" w:cs="Arial"/>
        </w:rPr>
        <w:t xml:space="preserve">, </w:t>
      </w:r>
      <w:r w:rsidRPr="00C6108E">
        <w:rPr>
          <w:rFonts w:ascii="Arial" w:hAnsi="Arial" w:cs="Arial"/>
        </w:rPr>
        <w:t xml:space="preserve">2022). </w:t>
      </w:r>
    </w:p>
    <w:p w14:paraId="0A67B00C" w14:textId="77777777" w:rsidR="00C6108E" w:rsidRPr="003476C6" w:rsidRDefault="00C6108E" w:rsidP="00C6108E">
      <w:pPr>
        <w:spacing w:line="480" w:lineRule="auto"/>
        <w:rPr>
          <w:rFonts w:ascii="Arial Black" w:hAnsi="Arial Black" w:cs="Arial"/>
          <w:u w:val="wave"/>
        </w:rPr>
      </w:pPr>
      <w:r w:rsidRPr="003476C6">
        <w:rPr>
          <w:rFonts w:ascii="Arial Black" w:hAnsi="Arial Black" w:cs="Arial"/>
          <w:u w:val="wave"/>
        </w:rPr>
        <w:t xml:space="preserve">Calculations and Comparison </w:t>
      </w:r>
    </w:p>
    <w:p w14:paraId="64C71B29" w14:textId="4569E449" w:rsidR="00C6108E" w:rsidRPr="003476C6" w:rsidRDefault="00C6108E" w:rsidP="00C6108E">
      <w:pPr>
        <w:spacing w:line="480" w:lineRule="auto"/>
        <w:rPr>
          <w:rFonts w:ascii="Arial Black" w:hAnsi="Arial Black" w:cs="Arial"/>
          <w:u w:val="wave"/>
        </w:rPr>
      </w:pPr>
      <w:r w:rsidRPr="003476C6">
        <w:rPr>
          <w:rFonts w:ascii="Arial Black" w:hAnsi="Arial Black" w:cs="Arial"/>
          <w:u w:val="wave"/>
        </w:rPr>
        <w:t xml:space="preserve">Revenue Values and Revenue Growth Rate </w:t>
      </w:r>
    </w:p>
    <w:p w14:paraId="3D06D1B9" w14:textId="77777777" w:rsidR="00C6108E" w:rsidRDefault="00C6108E" w:rsidP="00C6108E">
      <w:pPr>
        <w:spacing w:line="480" w:lineRule="auto"/>
        <w:rPr>
          <w:rFonts w:ascii="Arial" w:hAnsi="Arial" w:cs="Arial"/>
        </w:rPr>
      </w:pPr>
      <w:r>
        <w:rPr>
          <w:rFonts w:ascii="Arial" w:hAnsi="Arial" w:cs="Arial"/>
        </w:rPr>
        <w:t>R</w:t>
      </w:r>
      <w:r w:rsidRPr="00C6108E">
        <w:rPr>
          <w:rFonts w:ascii="Arial" w:hAnsi="Arial" w:cs="Arial"/>
        </w:rPr>
        <w:t xml:space="preserve">evenue for Amazon for the year ended 2022 reported </w:t>
      </w:r>
      <w:r>
        <w:rPr>
          <w:rFonts w:ascii="Arial" w:hAnsi="Arial" w:cs="Arial"/>
        </w:rPr>
        <w:t>a total</w:t>
      </w:r>
      <w:r w:rsidRPr="00C6108E">
        <w:rPr>
          <w:rFonts w:ascii="Arial" w:hAnsi="Arial" w:cs="Arial"/>
        </w:rPr>
        <w:t xml:space="preserve"> of $514B. In 2023 total revenue reported was $575B. The revenue growth rate is </w:t>
      </w:r>
      <w:r>
        <w:rPr>
          <w:rFonts w:ascii="Arial" w:hAnsi="Arial" w:cs="Arial"/>
        </w:rPr>
        <w:t>calculated</w:t>
      </w:r>
      <w:r w:rsidRPr="00C6108E">
        <w:rPr>
          <w:rFonts w:ascii="Arial" w:hAnsi="Arial" w:cs="Arial"/>
        </w:rPr>
        <w:t xml:space="preserve"> as follows:</w:t>
      </w:r>
    </w:p>
    <w:p w14:paraId="1917C3F6" w14:textId="4E404967" w:rsidR="00C6108E" w:rsidRDefault="00C6108E" w:rsidP="003476C6">
      <w:pPr>
        <w:spacing w:line="480" w:lineRule="auto"/>
        <w:jc w:val="center"/>
        <w:rPr>
          <w:rFonts w:ascii="Arial" w:hAnsi="Arial" w:cs="Arial"/>
        </w:rPr>
      </w:pPr>
      <w:r w:rsidRPr="00C6108E">
        <w:rPr>
          <w:rFonts w:ascii="Arial" w:hAnsi="Arial" w:cs="Arial"/>
        </w:rPr>
        <w:t>Revenue Growth Rate (</w:t>
      </w:r>
      <w:r w:rsidRPr="00C6108E">
        <w:rPr>
          <w:rFonts w:ascii="Arial" w:hAnsi="Arial" w:cs="Arial"/>
        </w:rPr>
        <w:t>%) = (</w:t>
      </w:r>
      <w:r w:rsidRPr="00C6108E">
        <w:rPr>
          <w:rFonts w:ascii="Arial" w:hAnsi="Arial" w:cs="Arial"/>
        </w:rPr>
        <w:t>575</w:t>
      </w:r>
      <w:r>
        <w:rPr>
          <w:rFonts w:ascii="Arial" w:hAnsi="Arial" w:cs="Arial"/>
        </w:rPr>
        <w:t xml:space="preserve"> </w:t>
      </w:r>
      <w:r w:rsidRPr="00C6108E">
        <w:rPr>
          <w:rFonts w:ascii="Arial" w:hAnsi="Arial" w:cs="Arial"/>
        </w:rPr>
        <w:t>−</w:t>
      </w:r>
      <w:r>
        <w:rPr>
          <w:rFonts w:ascii="Arial" w:hAnsi="Arial" w:cs="Arial"/>
        </w:rPr>
        <w:t xml:space="preserve"> </w:t>
      </w:r>
      <w:r w:rsidRPr="00C6108E">
        <w:rPr>
          <w:rFonts w:ascii="Arial" w:hAnsi="Arial" w:cs="Arial"/>
        </w:rPr>
        <w:t>514</w:t>
      </w:r>
      <w:r>
        <w:rPr>
          <w:rFonts w:ascii="Arial" w:hAnsi="Arial" w:cs="Arial"/>
        </w:rPr>
        <w:t xml:space="preserve"> / </w:t>
      </w:r>
      <w:r w:rsidRPr="00C6108E">
        <w:rPr>
          <w:rFonts w:ascii="Arial" w:hAnsi="Arial" w:cs="Arial"/>
        </w:rPr>
        <w:t>514)</w:t>
      </w:r>
      <w:r>
        <w:rPr>
          <w:rFonts w:ascii="Arial" w:hAnsi="Arial" w:cs="Arial"/>
        </w:rPr>
        <w:t xml:space="preserve"> x </w:t>
      </w:r>
      <w:r w:rsidRPr="00C6108E">
        <w:rPr>
          <w:rFonts w:ascii="Arial" w:hAnsi="Arial" w:cs="Arial"/>
        </w:rPr>
        <w:t>100</w:t>
      </w:r>
      <w:r>
        <w:rPr>
          <w:rFonts w:ascii="Arial" w:hAnsi="Arial" w:cs="Arial"/>
        </w:rPr>
        <w:t xml:space="preserve"> = </w:t>
      </w:r>
      <w:r w:rsidRPr="00C6108E">
        <w:rPr>
          <w:rFonts w:ascii="Arial" w:hAnsi="Arial" w:cs="Arial"/>
        </w:rPr>
        <w:t>11.86%</w:t>
      </w:r>
    </w:p>
    <w:p w14:paraId="05916024" w14:textId="77777777" w:rsidR="00C6108E" w:rsidRDefault="00C6108E" w:rsidP="00C6108E">
      <w:pPr>
        <w:spacing w:line="480" w:lineRule="auto"/>
        <w:rPr>
          <w:rFonts w:ascii="Arial" w:hAnsi="Arial" w:cs="Arial"/>
        </w:rPr>
      </w:pPr>
      <w:r w:rsidRPr="00C6108E">
        <w:rPr>
          <w:rFonts w:ascii="Arial" w:hAnsi="Arial" w:cs="Arial"/>
        </w:rPr>
        <w:t>Rounding, we observe roughly a 12% increase in revenue from 2022 to 2023. This steady growth reflects an expanding customer base and new market opportunities Operating Margin</w:t>
      </w:r>
    </w:p>
    <w:p w14:paraId="4158A2C8" w14:textId="77777777" w:rsidR="00C6108E" w:rsidRDefault="00C6108E" w:rsidP="00C6108E">
      <w:pPr>
        <w:spacing w:line="480" w:lineRule="auto"/>
        <w:rPr>
          <w:rFonts w:ascii="Arial" w:hAnsi="Arial" w:cs="Arial"/>
        </w:rPr>
      </w:pPr>
      <w:r w:rsidRPr="00C6108E">
        <w:rPr>
          <w:rFonts w:ascii="Arial" w:hAnsi="Arial" w:cs="Arial"/>
        </w:rPr>
        <w:lastRenderedPageBreak/>
        <w:t>Operating margin represents the ratio of operating income to revenue. It signifies the efficiency with which an organi</w:t>
      </w:r>
      <w:r>
        <w:rPr>
          <w:rFonts w:ascii="Arial" w:hAnsi="Arial" w:cs="Arial"/>
        </w:rPr>
        <w:t>s</w:t>
      </w:r>
      <w:r w:rsidRPr="00C6108E">
        <w:rPr>
          <w:rFonts w:ascii="Arial" w:hAnsi="Arial" w:cs="Arial"/>
        </w:rPr>
        <w:t>ation relies on its costs. The formula is:</w:t>
      </w:r>
    </w:p>
    <w:p w14:paraId="74532E0C" w14:textId="102D2DB9" w:rsidR="00C6108E" w:rsidRPr="003476C6" w:rsidRDefault="00C6108E" w:rsidP="003476C6">
      <w:pPr>
        <w:spacing w:line="480" w:lineRule="auto"/>
        <w:jc w:val="center"/>
        <w:rPr>
          <w:rFonts w:ascii="Arial" w:hAnsi="Arial" w:cs="Arial"/>
          <w:b/>
          <w:bCs/>
        </w:rPr>
      </w:pPr>
      <w:r w:rsidRPr="003476C6">
        <w:rPr>
          <w:rFonts w:ascii="Arial" w:hAnsi="Arial" w:cs="Arial"/>
          <w:b/>
          <w:bCs/>
        </w:rPr>
        <w:t>Operating Margin (</w:t>
      </w:r>
      <w:r w:rsidRPr="003476C6">
        <w:rPr>
          <w:rFonts w:ascii="Arial" w:hAnsi="Arial" w:cs="Arial"/>
          <w:b/>
          <w:bCs/>
        </w:rPr>
        <w:t>%) = (</w:t>
      </w:r>
      <w:r w:rsidRPr="003476C6">
        <w:rPr>
          <w:rFonts w:ascii="Arial" w:hAnsi="Arial" w:cs="Arial"/>
          <w:b/>
          <w:bCs/>
        </w:rPr>
        <w:t>Operating Income</w:t>
      </w:r>
      <w:r w:rsidRPr="003476C6">
        <w:rPr>
          <w:rFonts w:ascii="Arial" w:hAnsi="Arial" w:cs="Arial"/>
          <w:b/>
          <w:bCs/>
        </w:rPr>
        <w:t xml:space="preserve"> / </w:t>
      </w:r>
      <w:r w:rsidRPr="003476C6">
        <w:rPr>
          <w:rFonts w:ascii="Arial" w:hAnsi="Arial" w:cs="Arial"/>
          <w:b/>
          <w:bCs/>
        </w:rPr>
        <w:t>Revenue)</w:t>
      </w:r>
      <w:r w:rsidRPr="003476C6">
        <w:rPr>
          <w:rFonts w:ascii="Arial" w:hAnsi="Arial" w:cs="Arial"/>
          <w:b/>
          <w:bCs/>
        </w:rPr>
        <w:t xml:space="preserve"> x </w:t>
      </w:r>
      <w:r w:rsidRPr="003476C6">
        <w:rPr>
          <w:rFonts w:ascii="Arial" w:hAnsi="Arial" w:cs="Arial"/>
          <w:b/>
          <w:bCs/>
        </w:rPr>
        <w:t>100</w:t>
      </w:r>
    </w:p>
    <w:p w14:paraId="7569AEDC" w14:textId="2B5B1EF4" w:rsidR="00633E0A" w:rsidRDefault="00C6108E" w:rsidP="00C6108E">
      <w:pPr>
        <w:spacing w:line="480" w:lineRule="auto"/>
        <w:rPr>
          <w:rFonts w:ascii="Arial" w:hAnsi="Arial" w:cs="Arial"/>
        </w:rPr>
      </w:pPr>
      <w:r w:rsidRPr="00C6108E">
        <w:rPr>
          <w:rFonts w:ascii="Arial" w:hAnsi="Arial" w:cs="Arial"/>
        </w:rPr>
        <w:t>In 2022, operating income was US$12.2 billion</w:t>
      </w:r>
      <w:r w:rsidR="00633E0A">
        <w:rPr>
          <w:rFonts w:ascii="Arial" w:hAnsi="Arial" w:cs="Arial"/>
        </w:rPr>
        <w:t>.</w:t>
      </w:r>
    </w:p>
    <w:p w14:paraId="39A3FA04" w14:textId="71E57A2C" w:rsidR="00633E0A" w:rsidRDefault="00633E0A" w:rsidP="003476C6">
      <w:pPr>
        <w:spacing w:line="480" w:lineRule="auto"/>
        <w:jc w:val="center"/>
        <w:rPr>
          <w:rFonts w:ascii="Arial" w:hAnsi="Arial" w:cs="Arial"/>
        </w:rPr>
      </w:pPr>
      <w:r w:rsidRPr="00C6108E">
        <w:rPr>
          <w:rFonts w:ascii="Arial" w:hAnsi="Arial" w:cs="Arial"/>
        </w:rPr>
        <w:t>Operating</w:t>
      </w:r>
      <w:r w:rsidR="00C6108E" w:rsidRPr="00C6108E">
        <w:rPr>
          <w:rFonts w:ascii="Arial" w:hAnsi="Arial" w:cs="Arial"/>
        </w:rPr>
        <w:t xml:space="preserve"> Margin</w:t>
      </w:r>
      <w:r>
        <w:rPr>
          <w:rFonts w:ascii="Arial" w:hAnsi="Arial" w:cs="Arial"/>
        </w:rPr>
        <w:t xml:space="preserve"> </w:t>
      </w:r>
      <w:r w:rsidR="00C6108E" w:rsidRPr="00C6108E">
        <w:rPr>
          <w:rFonts w:ascii="Arial" w:hAnsi="Arial" w:cs="Arial"/>
        </w:rPr>
        <w:t>2022</w:t>
      </w:r>
      <w:r w:rsidRPr="00C6108E">
        <w:rPr>
          <w:rFonts w:ascii="Arial" w:hAnsi="Arial" w:cs="Arial"/>
        </w:rPr>
        <w:t>= (</w:t>
      </w:r>
      <w:r w:rsidR="00C6108E" w:rsidRPr="00C6108E">
        <w:rPr>
          <w:rFonts w:ascii="Arial" w:hAnsi="Arial" w:cs="Arial"/>
        </w:rPr>
        <w:t>12.2</w:t>
      </w:r>
      <w:r>
        <w:rPr>
          <w:rFonts w:ascii="Arial" w:hAnsi="Arial" w:cs="Arial"/>
        </w:rPr>
        <w:t xml:space="preserve"> / </w:t>
      </w:r>
      <w:r w:rsidR="00C6108E" w:rsidRPr="00C6108E">
        <w:rPr>
          <w:rFonts w:ascii="Arial" w:hAnsi="Arial" w:cs="Arial"/>
        </w:rPr>
        <w:t>514)</w:t>
      </w:r>
      <w:r>
        <w:rPr>
          <w:rFonts w:ascii="Arial" w:hAnsi="Arial" w:cs="Arial"/>
        </w:rPr>
        <w:t xml:space="preserve"> x </w:t>
      </w:r>
      <w:r w:rsidR="00C6108E" w:rsidRPr="00C6108E">
        <w:rPr>
          <w:rFonts w:ascii="Arial" w:hAnsi="Arial" w:cs="Arial"/>
        </w:rPr>
        <w:t>100</w:t>
      </w:r>
      <w:r>
        <w:rPr>
          <w:rFonts w:ascii="Arial" w:hAnsi="Arial" w:cs="Arial"/>
        </w:rPr>
        <w:t xml:space="preserve"> = </w:t>
      </w:r>
      <w:r w:rsidR="00C6108E" w:rsidRPr="00C6108E">
        <w:rPr>
          <w:rFonts w:ascii="Arial" w:hAnsi="Arial" w:cs="Arial"/>
        </w:rPr>
        <w:t>2.37%</w:t>
      </w:r>
    </w:p>
    <w:p w14:paraId="38D89B8F" w14:textId="2AA34C2A" w:rsidR="00633E0A" w:rsidRDefault="00C6108E" w:rsidP="00C6108E">
      <w:pPr>
        <w:spacing w:line="480" w:lineRule="auto"/>
        <w:rPr>
          <w:rFonts w:ascii="Arial" w:hAnsi="Arial" w:cs="Arial"/>
        </w:rPr>
      </w:pPr>
      <w:r w:rsidRPr="00C6108E">
        <w:rPr>
          <w:rFonts w:ascii="Arial" w:hAnsi="Arial" w:cs="Arial"/>
        </w:rPr>
        <w:t>In 2023, operating income was US$36.9 billion.</w:t>
      </w:r>
    </w:p>
    <w:p w14:paraId="4F3C5E22" w14:textId="77777777" w:rsidR="00633E0A" w:rsidRDefault="00C6108E" w:rsidP="003476C6">
      <w:pPr>
        <w:spacing w:line="480" w:lineRule="auto"/>
        <w:jc w:val="center"/>
        <w:rPr>
          <w:rFonts w:ascii="Arial" w:hAnsi="Arial" w:cs="Arial"/>
        </w:rPr>
      </w:pPr>
      <w:r w:rsidRPr="00C6108E">
        <w:rPr>
          <w:rFonts w:ascii="Arial" w:hAnsi="Arial" w:cs="Arial"/>
        </w:rPr>
        <w:t>Operating Margin2023</w:t>
      </w:r>
      <w:r w:rsidR="00633E0A">
        <w:rPr>
          <w:rFonts w:ascii="Arial" w:hAnsi="Arial" w:cs="Arial"/>
        </w:rPr>
        <w:t xml:space="preserve"> </w:t>
      </w:r>
      <w:r w:rsidRPr="00C6108E">
        <w:rPr>
          <w:rFonts w:ascii="Arial" w:hAnsi="Arial" w:cs="Arial"/>
        </w:rPr>
        <w:t>=</w:t>
      </w:r>
      <w:r w:rsidR="00633E0A">
        <w:rPr>
          <w:rFonts w:ascii="Arial" w:hAnsi="Arial" w:cs="Arial"/>
        </w:rPr>
        <w:t xml:space="preserve"> </w:t>
      </w:r>
      <w:r w:rsidRPr="00C6108E">
        <w:rPr>
          <w:rFonts w:ascii="Arial" w:hAnsi="Arial" w:cs="Arial"/>
        </w:rPr>
        <w:t>(36.9</w:t>
      </w:r>
      <w:r w:rsidR="00633E0A">
        <w:rPr>
          <w:rFonts w:ascii="Arial" w:hAnsi="Arial" w:cs="Arial"/>
        </w:rPr>
        <w:t xml:space="preserve"> / </w:t>
      </w:r>
      <w:r w:rsidRPr="00C6108E">
        <w:rPr>
          <w:rFonts w:ascii="Arial" w:hAnsi="Arial" w:cs="Arial"/>
        </w:rPr>
        <w:t>575)</w:t>
      </w:r>
      <w:r w:rsidR="00633E0A">
        <w:rPr>
          <w:rFonts w:ascii="Arial" w:hAnsi="Arial" w:cs="Arial"/>
        </w:rPr>
        <w:t xml:space="preserve"> x </w:t>
      </w:r>
      <w:r w:rsidRPr="00C6108E">
        <w:rPr>
          <w:rFonts w:ascii="Arial" w:hAnsi="Arial" w:cs="Arial"/>
        </w:rPr>
        <w:t>100</w:t>
      </w:r>
      <w:r w:rsidR="00633E0A">
        <w:rPr>
          <w:rFonts w:ascii="Arial" w:hAnsi="Arial" w:cs="Arial"/>
        </w:rPr>
        <w:t xml:space="preserve"> = </w:t>
      </w:r>
      <w:r w:rsidRPr="00C6108E">
        <w:rPr>
          <w:rFonts w:ascii="Arial" w:hAnsi="Arial" w:cs="Arial"/>
        </w:rPr>
        <w:t>6.42</w:t>
      </w:r>
    </w:p>
    <w:p w14:paraId="7CCD41B7" w14:textId="591A5174" w:rsidR="00633E0A" w:rsidRDefault="00633E0A" w:rsidP="00C6108E">
      <w:pPr>
        <w:spacing w:line="480" w:lineRule="auto"/>
        <w:rPr>
          <w:rFonts w:ascii="Arial" w:hAnsi="Arial" w:cs="Arial"/>
        </w:rPr>
      </w:pPr>
      <w:r>
        <w:rPr>
          <w:rFonts w:ascii="Arial" w:hAnsi="Arial" w:cs="Arial"/>
        </w:rPr>
        <w:t>T</w:t>
      </w:r>
      <w:r w:rsidR="00C6108E" w:rsidRPr="00C6108E">
        <w:rPr>
          <w:rFonts w:ascii="Arial" w:hAnsi="Arial" w:cs="Arial"/>
        </w:rPr>
        <w:t>he operating revenue margin increased from approximately 2.4% to 6.4%. This indicates far better management of operating expenses than revenue (Lee, C. C</w:t>
      </w:r>
      <w:r>
        <w:rPr>
          <w:rFonts w:ascii="Arial" w:hAnsi="Arial" w:cs="Arial"/>
        </w:rPr>
        <w:t xml:space="preserve">., </w:t>
      </w:r>
      <w:r w:rsidR="00C6108E" w:rsidRPr="00C6108E">
        <w:rPr>
          <w:rFonts w:ascii="Arial" w:hAnsi="Arial" w:cs="Arial"/>
        </w:rPr>
        <w:t>2023).</w:t>
      </w:r>
    </w:p>
    <w:p w14:paraId="4546ACC5" w14:textId="77777777" w:rsidR="00633E0A" w:rsidRPr="003476C6" w:rsidRDefault="00C6108E" w:rsidP="00C6108E">
      <w:pPr>
        <w:spacing w:line="480" w:lineRule="auto"/>
        <w:rPr>
          <w:rFonts w:ascii="Arial Black" w:hAnsi="Arial Black" w:cs="Arial"/>
          <w:u w:val="wave"/>
        </w:rPr>
      </w:pPr>
      <w:r w:rsidRPr="003476C6">
        <w:rPr>
          <w:rFonts w:ascii="Arial Black" w:hAnsi="Arial Black" w:cs="Arial"/>
          <w:u w:val="wave"/>
        </w:rPr>
        <w:t>Free Cash Flow (FCF) Margin</w:t>
      </w:r>
    </w:p>
    <w:p w14:paraId="26D51052" w14:textId="77777777" w:rsidR="00633E0A" w:rsidRDefault="00C6108E" w:rsidP="00C6108E">
      <w:pPr>
        <w:spacing w:line="480" w:lineRule="auto"/>
        <w:rPr>
          <w:rFonts w:ascii="Arial" w:hAnsi="Arial" w:cs="Arial"/>
        </w:rPr>
      </w:pPr>
      <w:r w:rsidRPr="00C6108E">
        <w:rPr>
          <w:rFonts w:ascii="Arial" w:hAnsi="Arial" w:cs="Arial"/>
        </w:rPr>
        <w:t>The FCF margin indicates the amount of cash remaining after capital expenditures have been subtracted from revenue:</w:t>
      </w:r>
    </w:p>
    <w:p w14:paraId="2DFAC584" w14:textId="77777777" w:rsidR="00633E0A" w:rsidRPr="003476C6" w:rsidRDefault="00C6108E" w:rsidP="003476C6">
      <w:pPr>
        <w:spacing w:line="480" w:lineRule="auto"/>
        <w:jc w:val="center"/>
        <w:rPr>
          <w:rFonts w:ascii="Arial" w:hAnsi="Arial" w:cs="Arial"/>
          <w:b/>
          <w:bCs/>
        </w:rPr>
      </w:pPr>
      <w:r w:rsidRPr="003476C6">
        <w:rPr>
          <w:rFonts w:ascii="Arial" w:hAnsi="Arial" w:cs="Arial"/>
          <w:b/>
          <w:bCs/>
        </w:rPr>
        <w:t>FCF Margin (%</w:t>
      </w:r>
      <w:r w:rsidR="00633E0A" w:rsidRPr="003476C6">
        <w:rPr>
          <w:rFonts w:ascii="Arial" w:hAnsi="Arial" w:cs="Arial"/>
          <w:b/>
          <w:bCs/>
        </w:rPr>
        <w:t xml:space="preserve">) </w:t>
      </w:r>
      <w:r w:rsidRPr="003476C6">
        <w:rPr>
          <w:rFonts w:ascii="Arial" w:hAnsi="Arial" w:cs="Arial"/>
          <w:b/>
          <w:bCs/>
        </w:rPr>
        <w:t>=</w:t>
      </w:r>
      <w:r w:rsidR="00633E0A" w:rsidRPr="003476C6">
        <w:rPr>
          <w:rFonts w:ascii="Arial" w:hAnsi="Arial" w:cs="Arial"/>
          <w:b/>
          <w:bCs/>
        </w:rPr>
        <w:t xml:space="preserve"> </w:t>
      </w:r>
      <w:r w:rsidRPr="003476C6">
        <w:rPr>
          <w:rFonts w:ascii="Arial" w:hAnsi="Arial" w:cs="Arial"/>
          <w:b/>
          <w:bCs/>
        </w:rPr>
        <w:t>(Free Cash Flow</w:t>
      </w:r>
      <w:r w:rsidR="00633E0A" w:rsidRPr="003476C6">
        <w:rPr>
          <w:rFonts w:ascii="Arial" w:hAnsi="Arial" w:cs="Arial"/>
          <w:b/>
          <w:bCs/>
        </w:rPr>
        <w:t xml:space="preserve"> / </w:t>
      </w:r>
      <w:r w:rsidRPr="003476C6">
        <w:rPr>
          <w:rFonts w:ascii="Arial" w:hAnsi="Arial" w:cs="Arial"/>
          <w:b/>
          <w:bCs/>
        </w:rPr>
        <w:t>Revenue)</w:t>
      </w:r>
      <w:r w:rsidR="00633E0A" w:rsidRPr="003476C6">
        <w:rPr>
          <w:rFonts w:ascii="Arial" w:hAnsi="Arial" w:cs="Arial"/>
          <w:b/>
          <w:bCs/>
        </w:rPr>
        <w:t xml:space="preserve"> x </w:t>
      </w:r>
      <w:r w:rsidRPr="003476C6">
        <w:rPr>
          <w:rFonts w:ascii="Arial" w:hAnsi="Arial" w:cs="Arial"/>
          <w:b/>
          <w:bCs/>
        </w:rPr>
        <w:t>100</w:t>
      </w:r>
    </w:p>
    <w:p w14:paraId="143A382C" w14:textId="73C6923C" w:rsidR="00633E0A" w:rsidRDefault="00633E0A" w:rsidP="00C6108E">
      <w:pPr>
        <w:spacing w:line="480" w:lineRule="auto"/>
        <w:rPr>
          <w:rFonts w:ascii="Arial" w:hAnsi="Arial" w:cs="Arial"/>
        </w:rPr>
      </w:pPr>
      <w:r>
        <w:rPr>
          <w:rFonts w:ascii="Arial" w:hAnsi="Arial" w:cs="Arial"/>
        </w:rPr>
        <w:t xml:space="preserve">For </w:t>
      </w:r>
      <w:r w:rsidR="00C6108E" w:rsidRPr="00C6108E">
        <w:rPr>
          <w:rFonts w:ascii="Arial" w:hAnsi="Arial" w:cs="Arial"/>
        </w:rPr>
        <w:t>2022, Amazon reported a FCF of –US$12.8 billion</w:t>
      </w:r>
      <w:r>
        <w:rPr>
          <w:rFonts w:ascii="Arial" w:hAnsi="Arial" w:cs="Arial"/>
        </w:rPr>
        <w:t>.</w:t>
      </w:r>
    </w:p>
    <w:p w14:paraId="6F8561B2" w14:textId="1AD0B8E0" w:rsidR="00633E0A" w:rsidRDefault="00C6108E" w:rsidP="006853F6">
      <w:pPr>
        <w:spacing w:line="480" w:lineRule="auto"/>
        <w:jc w:val="center"/>
        <w:rPr>
          <w:rFonts w:ascii="Arial" w:hAnsi="Arial" w:cs="Arial"/>
        </w:rPr>
      </w:pPr>
      <w:r w:rsidRPr="00C6108E">
        <w:rPr>
          <w:rFonts w:ascii="Arial" w:hAnsi="Arial" w:cs="Arial"/>
        </w:rPr>
        <w:t>FCF Margin 2022</w:t>
      </w:r>
      <w:r w:rsidR="00633E0A">
        <w:rPr>
          <w:rFonts w:ascii="Arial" w:hAnsi="Arial" w:cs="Arial"/>
        </w:rPr>
        <w:t xml:space="preserve"> </w:t>
      </w:r>
      <w:r w:rsidR="00633E0A" w:rsidRPr="00C6108E">
        <w:rPr>
          <w:rFonts w:ascii="Arial" w:hAnsi="Arial" w:cs="Arial"/>
        </w:rPr>
        <w:t>=</w:t>
      </w:r>
      <w:r w:rsidR="00633E0A">
        <w:rPr>
          <w:rFonts w:ascii="Arial" w:hAnsi="Arial" w:cs="Arial"/>
        </w:rPr>
        <w:t xml:space="preserve"> </w:t>
      </w:r>
      <w:r w:rsidR="00633E0A" w:rsidRPr="00C6108E">
        <w:rPr>
          <w:rFonts w:ascii="Arial" w:hAnsi="Arial" w:cs="Arial"/>
        </w:rPr>
        <w:t>514</w:t>
      </w:r>
      <w:r w:rsidR="00633E0A">
        <w:rPr>
          <w:rFonts w:ascii="Arial" w:hAnsi="Arial" w:cs="Arial"/>
        </w:rPr>
        <w:t xml:space="preserve"> / (</w:t>
      </w:r>
      <w:r w:rsidRPr="00C6108E">
        <w:rPr>
          <w:rFonts w:ascii="Arial" w:hAnsi="Arial" w:cs="Arial"/>
        </w:rPr>
        <w:t>−</w:t>
      </w:r>
      <w:r w:rsidR="00633E0A">
        <w:rPr>
          <w:rFonts w:ascii="Arial" w:hAnsi="Arial" w:cs="Arial"/>
        </w:rPr>
        <w:t xml:space="preserve"> </w:t>
      </w:r>
      <w:r w:rsidRPr="00C6108E">
        <w:rPr>
          <w:rFonts w:ascii="Arial" w:hAnsi="Arial" w:cs="Arial"/>
        </w:rPr>
        <w:t>12.8</w:t>
      </w:r>
      <w:r w:rsidR="00633E0A" w:rsidRPr="00C6108E">
        <w:rPr>
          <w:rFonts w:ascii="Arial" w:hAnsi="Arial" w:cs="Arial"/>
        </w:rPr>
        <w:t>​)</w:t>
      </w:r>
      <w:r w:rsidR="00633E0A">
        <w:rPr>
          <w:rFonts w:ascii="Arial" w:hAnsi="Arial" w:cs="Arial"/>
        </w:rPr>
        <w:t xml:space="preserve"> x </w:t>
      </w:r>
      <w:r w:rsidRPr="00C6108E">
        <w:rPr>
          <w:rFonts w:ascii="Arial" w:hAnsi="Arial" w:cs="Arial"/>
        </w:rPr>
        <w:t>100</w:t>
      </w:r>
      <w:r w:rsidR="00633E0A">
        <w:rPr>
          <w:rFonts w:ascii="Arial" w:hAnsi="Arial" w:cs="Arial"/>
        </w:rPr>
        <w:t xml:space="preserve"> = </w:t>
      </w:r>
      <w:r w:rsidRPr="00C6108E">
        <w:rPr>
          <w:rFonts w:ascii="Arial" w:hAnsi="Arial" w:cs="Arial"/>
        </w:rPr>
        <w:t>−2.49%</w:t>
      </w:r>
    </w:p>
    <w:p w14:paraId="486A963E" w14:textId="77777777" w:rsidR="00633E0A" w:rsidRDefault="00633E0A" w:rsidP="00C6108E">
      <w:pPr>
        <w:spacing w:line="480" w:lineRule="auto"/>
        <w:rPr>
          <w:rFonts w:ascii="Arial" w:hAnsi="Arial" w:cs="Arial"/>
        </w:rPr>
      </w:pPr>
      <w:r>
        <w:rPr>
          <w:rFonts w:ascii="Arial" w:hAnsi="Arial" w:cs="Arial"/>
        </w:rPr>
        <w:t>I</w:t>
      </w:r>
      <w:r w:rsidR="00C6108E" w:rsidRPr="00C6108E">
        <w:rPr>
          <w:rFonts w:ascii="Arial" w:hAnsi="Arial" w:cs="Arial"/>
        </w:rPr>
        <w:t>n 2023, FCF increased to US$35.5 billion:</w:t>
      </w:r>
    </w:p>
    <w:p w14:paraId="0FCE551D" w14:textId="5DD47D30" w:rsidR="00633E0A" w:rsidRDefault="00C6108E" w:rsidP="006853F6">
      <w:pPr>
        <w:spacing w:line="480" w:lineRule="auto"/>
        <w:jc w:val="center"/>
        <w:rPr>
          <w:rFonts w:ascii="Arial" w:hAnsi="Arial" w:cs="Arial"/>
        </w:rPr>
      </w:pPr>
      <w:r w:rsidRPr="00C6108E">
        <w:rPr>
          <w:rFonts w:ascii="Arial" w:hAnsi="Arial" w:cs="Arial"/>
        </w:rPr>
        <w:t>FCF Margin 2023</w:t>
      </w:r>
      <w:r w:rsidR="00633E0A">
        <w:rPr>
          <w:rFonts w:ascii="Arial" w:hAnsi="Arial" w:cs="Arial"/>
        </w:rPr>
        <w:t xml:space="preserve"> </w:t>
      </w:r>
      <w:r w:rsidRPr="00C6108E">
        <w:rPr>
          <w:rFonts w:ascii="Arial" w:hAnsi="Arial" w:cs="Arial"/>
        </w:rPr>
        <w:t>=</w:t>
      </w:r>
      <w:r w:rsidR="00633E0A">
        <w:rPr>
          <w:rFonts w:ascii="Arial" w:hAnsi="Arial" w:cs="Arial"/>
        </w:rPr>
        <w:t xml:space="preserve"> </w:t>
      </w:r>
      <w:r w:rsidR="00633E0A" w:rsidRPr="00C6108E">
        <w:rPr>
          <w:rFonts w:ascii="Arial" w:hAnsi="Arial" w:cs="Arial"/>
        </w:rPr>
        <w:t>(57535</w:t>
      </w:r>
      <w:r w:rsidRPr="00C6108E">
        <w:rPr>
          <w:rFonts w:ascii="Arial" w:hAnsi="Arial" w:cs="Arial"/>
        </w:rPr>
        <w:t>.5</w:t>
      </w:r>
      <w:r w:rsidR="006853F6" w:rsidRPr="00C6108E">
        <w:rPr>
          <w:rFonts w:ascii="Arial" w:hAnsi="Arial" w:cs="Arial"/>
        </w:rPr>
        <w:t>​)</w:t>
      </w:r>
      <w:r w:rsidR="00633E0A">
        <w:rPr>
          <w:rFonts w:ascii="Arial" w:hAnsi="Arial" w:cs="Arial"/>
        </w:rPr>
        <w:t xml:space="preserve"> x </w:t>
      </w:r>
      <w:r w:rsidRPr="00C6108E">
        <w:rPr>
          <w:rFonts w:ascii="Arial" w:hAnsi="Arial" w:cs="Arial"/>
        </w:rPr>
        <w:t>100</w:t>
      </w:r>
      <w:r w:rsidR="00633E0A">
        <w:rPr>
          <w:rFonts w:ascii="Arial" w:hAnsi="Arial" w:cs="Arial"/>
        </w:rPr>
        <w:t xml:space="preserve"> = </w:t>
      </w:r>
      <w:r w:rsidRPr="00C6108E">
        <w:rPr>
          <w:rFonts w:ascii="Arial" w:hAnsi="Arial" w:cs="Arial"/>
        </w:rPr>
        <w:t>6.17%</w:t>
      </w:r>
    </w:p>
    <w:p w14:paraId="169401BA" w14:textId="4559A904" w:rsidR="00633E0A" w:rsidRDefault="00C6108E" w:rsidP="00C6108E">
      <w:pPr>
        <w:spacing w:line="480" w:lineRule="auto"/>
        <w:rPr>
          <w:rFonts w:ascii="Arial" w:hAnsi="Arial" w:cs="Arial"/>
        </w:rPr>
      </w:pPr>
      <w:r w:rsidRPr="00C6108E">
        <w:rPr>
          <w:rFonts w:ascii="Arial" w:hAnsi="Arial" w:cs="Arial"/>
        </w:rPr>
        <w:t>The increase in the free cash flow margin from negative to positive shows a transition from massive reinvestment to very positive free cash flow (Wood, F.</w:t>
      </w:r>
      <w:r w:rsidR="00633E0A">
        <w:rPr>
          <w:rFonts w:ascii="Arial" w:hAnsi="Arial" w:cs="Arial"/>
        </w:rPr>
        <w:t xml:space="preserve">, </w:t>
      </w:r>
      <w:r w:rsidRPr="00C6108E">
        <w:rPr>
          <w:rFonts w:ascii="Arial" w:hAnsi="Arial" w:cs="Arial"/>
        </w:rPr>
        <w:t xml:space="preserve">2015). </w:t>
      </w:r>
    </w:p>
    <w:p w14:paraId="3BB0277D" w14:textId="77777777" w:rsidR="006853F6" w:rsidRDefault="006853F6" w:rsidP="00C6108E">
      <w:pPr>
        <w:spacing w:line="480" w:lineRule="auto"/>
        <w:rPr>
          <w:rFonts w:ascii="Arial" w:hAnsi="Arial" w:cs="Arial"/>
        </w:rPr>
      </w:pPr>
    </w:p>
    <w:p w14:paraId="284EDCE8" w14:textId="3BD37EB1" w:rsidR="00633E0A" w:rsidRPr="006853F6" w:rsidRDefault="00C6108E" w:rsidP="00C6108E">
      <w:pPr>
        <w:spacing w:line="480" w:lineRule="auto"/>
        <w:rPr>
          <w:rFonts w:ascii="Arial Black" w:hAnsi="Arial Black" w:cs="Arial"/>
          <w:u w:val="wave"/>
        </w:rPr>
      </w:pPr>
      <w:r w:rsidRPr="006853F6">
        <w:rPr>
          <w:rFonts w:ascii="Arial Black" w:hAnsi="Arial Black" w:cs="Arial"/>
          <w:u w:val="wave"/>
        </w:rPr>
        <w:lastRenderedPageBreak/>
        <w:t>Analysis of Results</w:t>
      </w:r>
    </w:p>
    <w:p w14:paraId="4E209803" w14:textId="77777777" w:rsidR="0049708A" w:rsidRDefault="00C6108E" w:rsidP="00C6108E">
      <w:pPr>
        <w:spacing w:line="480" w:lineRule="auto"/>
        <w:rPr>
          <w:rFonts w:ascii="Arial" w:hAnsi="Arial" w:cs="Arial"/>
        </w:rPr>
      </w:pPr>
      <w:r w:rsidRPr="00C6108E">
        <w:rPr>
          <w:rFonts w:ascii="Arial" w:hAnsi="Arial" w:cs="Arial"/>
        </w:rPr>
        <w:t>The ratios demonstrate significant improvement from 2022 and 2023:</w:t>
      </w:r>
    </w:p>
    <w:p w14:paraId="26965AAD" w14:textId="492E8C7A" w:rsidR="0049708A" w:rsidRPr="006853F6" w:rsidRDefault="00C6108E" w:rsidP="006853F6">
      <w:pPr>
        <w:pStyle w:val="ListParagraph"/>
        <w:numPr>
          <w:ilvl w:val="0"/>
          <w:numId w:val="2"/>
        </w:numPr>
        <w:spacing w:line="480" w:lineRule="auto"/>
        <w:rPr>
          <w:rFonts w:ascii="Arial" w:hAnsi="Arial" w:cs="Arial"/>
        </w:rPr>
      </w:pPr>
      <w:r w:rsidRPr="006853F6">
        <w:rPr>
          <w:rFonts w:ascii="Arial" w:hAnsi="Arial" w:cs="Arial"/>
        </w:rPr>
        <w:t>Revenue Growth and Market Penetration:</w:t>
      </w:r>
      <w:r w:rsidR="0049708A" w:rsidRPr="006853F6">
        <w:rPr>
          <w:rFonts w:ascii="Arial" w:hAnsi="Arial" w:cs="Arial"/>
        </w:rPr>
        <w:t xml:space="preserve"> </w:t>
      </w:r>
      <w:r w:rsidRPr="006853F6">
        <w:rPr>
          <w:rFonts w:ascii="Arial" w:hAnsi="Arial" w:cs="Arial"/>
        </w:rPr>
        <w:t xml:space="preserve">Around a 12% increase in total revenue demonstrates that the company is still very good at identifying rapidly growing market opportunities and has many business segments to support this growth (North America, International, AWS, etc.). Importantly, the gap in revenue suggests that the company remains well-positioned in its market and capable of adapting well to changing </w:t>
      </w:r>
      <w:r w:rsidR="0049708A" w:rsidRPr="006853F6">
        <w:rPr>
          <w:rFonts w:ascii="Arial" w:hAnsi="Arial" w:cs="Arial"/>
        </w:rPr>
        <w:t>demands.</w:t>
      </w:r>
    </w:p>
    <w:p w14:paraId="01AF2192" w14:textId="77777777" w:rsidR="0049708A" w:rsidRPr="006853F6" w:rsidRDefault="00C6108E" w:rsidP="006853F6">
      <w:pPr>
        <w:pStyle w:val="ListParagraph"/>
        <w:numPr>
          <w:ilvl w:val="0"/>
          <w:numId w:val="2"/>
        </w:numPr>
        <w:spacing w:line="480" w:lineRule="auto"/>
        <w:rPr>
          <w:rFonts w:ascii="Arial" w:hAnsi="Arial" w:cs="Arial"/>
        </w:rPr>
      </w:pPr>
      <w:r w:rsidRPr="006853F6">
        <w:rPr>
          <w:rFonts w:ascii="Arial" w:hAnsi="Arial" w:cs="Arial"/>
        </w:rPr>
        <w:t xml:space="preserve">Improved Operating Efficiency: The increase in operating margin, from 2.4% to 6.4%, shows that Amazon has improved its operational control. The enhancements are mainly due to initiatives to improve efficiency in logistics and the restructuring of </w:t>
      </w:r>
      <w:r w:rsidR="0049708A" w:rsidRPr="006853F6">
        <w:rPr>
          <w:rFonts w:ascii="Arial" w:hAnsi="Arial" w:cs="Arial"/>
        </w:rPr>
        <w:t>fulfilment</w:t>
      </w:r>
      <w:r w:rsidRPr="006853F6">
        <w:rPr>
          <w:rFonts w:ascii="Arial" w:hAnsi="Arial" w:cs="Arial"/>
        </w:rPr>
        <w:t xml:space="preserve"> operations, such as moving from a centrali</w:t>
      </w:r>
      <w:r w:rsidR="0049708A" w:rsidRPr="006853F6">
        <w:rPr>
          <w:rFonts w:ascii="Arial" w:hAnsi="Arial" w:cs="Arial"/>
        </w:rPr>
        <w:t>s</w:t>
      </w:r>
      <w:r w:rsidRPr="006853F6">
        <w:rPr>
          <w:rFonts w:ascii="Arial" w:hAnsi="Arial" w:cs="Arial"/>
        </w:rPr>
        <w:t>ed to a regionali</w:t>
      </w:r>
      <w:r w:rsidR="0049708A" w:rsidRPr="006853F6">
        <w:rPr>
          <w:rFonts w:ascii="Arial" w:hAnsi="Arial" w:cs="Arial"/>
        </w:rPr>
        <w:t>s</w:t>
      </w:r>
      <w:r w:rsidRPr="006853F6">
        <w:rPr>
          <w:rFonts w:ascii="Arial" w:hAnsi="Arial" w:cs="Arial"/>
        </w:rPr>
        <w:t>ed inventory network, which decreased delivery times and costs (Sharma, P.</w:t>
      </w:r>
      <w:r w:rsidR="0049708A" w:rsidRPr="006853F6">
        <w:rPr>
          <w:rFonts w:ascii="Arial" w:hAnsi="Arial" w:cs="Arial"/>
        </w:rPr>
        <w:t xml:space="preserve">, </w:t>
      </w:r>
      <w:r w:rsidRPr="006853F6">
        <w:rPr>
          <w:rFonts w:ascii="Arial" w:hAnsi="Arial" w:cs="Arial"/>
        </w:rPr>
        <w:t xml:space="preserve">2023). </w:t>
      </w:r>
    </w:p>
    <w:p w14:paraId="33B43908" w14:textId="77777777" w:rsidR="0049708A" w:rsidRPr="006853F6" w:rsidRDefault="00C6108E" w:rsidP="006853F6">
      <w:pPr>
        <w:pStyle w:val="ListParagraph"/>
        <w:numPr>
          <w:ilvl w:val="0"/>
          <w:numId w:val="2"/>
        </w:numPr>
        <w:spacing w:line="480" w:lineRule="auto"/>
        <w:rPr>
          <w:rFonts w:ascii="Arial" w:hAnsi="Arial" w:cs="Arial"/>
        </w:rPr>
      </w:pPr>
      <w:r w:rsidRPr="006853F6">
        <w:rPr>
          <w:rFonts w:ascii="Arial" w:hAnsi="Arial" w:cs="Arial"/>
        </w:rPr>
        <w:t xml:space="preserve">Turnaround of Free Cash Flow: The change from a -2.49% FCF margin in 2022 to a 6.17% margin in 2023 shows a successful shift in Amazon's capital management strategy. In the prior case, heavy reinvestment and capital expansions began to drive negative cash flow; now, the combination of the adjustments in operational efficiency, along with a controlled capital expenditure environment, has produced a healthy cash generation profile (Meduri, E. </w:t>
      </w:r>
      <w:r w:rsidR="0049708A" w:rsidRPr="006853F6">
        <w:rPr>
          <w:rFonts w:ascii="Arial" w:hAnsi="Arial" w:cs="Arial"/>
        </w:rPr>
        <w:t xml:space="preserve">D., </w:t>
      </w:r>
      <w:r w:rsidRPr="006853F6">
        <w:rPr>
          <w:rFonts w:ascii="Arial" w:hAnsi="Arial" w:cs="Arial"/>
        </w:rPr>
        <w:t xml:space="preserve">2023). </w:t>
      </w:r>
    </w:p>
    <w:p w14:paraId="04A24365" w14:textId="77777777" w:rsidR="0049708A" w:rsidRPr="006853F6" w:rsidRDefault="00C6108E" w:rsidP="006853F6">
      <w:pPr>
        <w:pStyle w:val="ListParagraph"/>
        <w:numPr>
          <w:ilvl w:val="0"/>
          <w:numId w:val="2"/>
        </w:numPr>
        <w:spacing w:line="480" w:lineRule="auto"/>
        <w:rPr>
          <w:rFonts w:ascii="Arial" w:hAnsi="Arial" w:cs="Arial"/>
        </w:rPr>
      </w:pPr>
      <w:r w:rsidRPr="006853F6">
        <w:rPr>
          <w:rFonts w:ascii="Arial" w:hAnsi="Arial" w:cs="Arial"/>
        </w:rPr>
        <w:t xml:space="preserve">Larger Context in Macroeconomic Conditions: Finally, we see the same improvements in margins at Amazon despite unfavourable consumer spending trends and increasing supply-chain costs. Furthermore, the </w:t>
      </w:r>
      <w:r w:rsidR="0049708A" w:rsidRPr="006853F6">
        <w:rPr>
          <w:rFonts w:ascii="Arial" w:hAnsi="Arial" w:cs="Arial"/>
        </w:rPr>
        <w:lastRenderedPageBreak/>
        <w:t>fulfilment</w:t>
      </w:r>
      <w:r w:rsidRPr="006853F6">
        <w:rPr>
          <w:rFonts w:ascii="Arial" w:hAnsi="Arial" w:cs="Arial"/>
        </w:rPr>
        <w:t xml:space="preserve"> </w:t>
      </w:r>
      <w:r w:rsidR="0049708A" w:rsidRPr="006853F6">
        <w:rPr>
          <w:rFonts w:ascii="Arial" w:hAnsi="Arial" w:cs="Arial"/>
        </w:rPr>
        <w:t>centre</w:t>
      </w:r>
      <w:r w:rsidRPr="006853F6">
        <w:rPr>
          <w:rFonts w:ascii="Arial" w:hAnsi="Arial" w:cs="Arial"/>
        </w:rPr>
        <w:t xml:space="preserve"> shift from globali</w:t>
      </w:r>
      <w:r w:rsidR="0049708A" w:rsidRPr="006853F6">
        <w:rPr>
          <w:rFonts w:ascii="Arial" w:hAnsi="Arial" w:cs="Arial"/>
        </w:rPr>
        <w:t>s</w:t>
      </w:r>
      <w:r w:rsidRPr="006853F6">
        <w:rPr>
          <w:rFonts w:ascii="Arial" w:hAnsi="Arial" w:cs="Arial"/>
        </w:rPr>
        <w:t xml:space="preserve">ed distribution </w:t>
      </w:r>
      <w:r w:rsidR="0049708A" w:rsidRPr="006853F6">
        <w:rPr>
          <w:rFonts w:ascii="Arial" w:hAnsi="Arial" w:cs="Arial"/>
        </w:rPr>
        <w:t>centres</w:t>
      </w:r>
      <w:r w:rsidRPr="006853F6">
        <w:rPr>
          <w:rFonts w:ascii="Arial" w:hAnsi="Arial" w:cs="Arial"/>
        </w:rPr>
        <w:t xml:space="preserve"> to regional distribution </w:t>
      </w:r>
      <w:r w:rsidR="0049708A" w:rsidRPr="006853F6">
        <w:rPr>
          <w:rFonts w:ascii="Arial" w:hAnsi="Arial" w:cs="Arial"/>
        </w:rPr>
        <w:t>centres</w:t>
      </w:r>
      <w:r w:rsidRPr="006853F6">
        <w:rPr>
          <w:rFonts w:ascii="Arial" w:hAnsi="Arial" w:cs="Arial"/>
        </w:rPr>
        <w:t xml:space="preserve"> can improve the logistics surrounding transportation and delivery, from where earnings could be improved (Choi, J., &amp; Wang, H.</w:t>
      </w:r>
      <w:r w:rsidR="0049708A" w:rsidRPr="006853F6">
        <w:rPr>
          <w:rFonts w:ascii="Arial" w:hAnsi="Arial" w:cs="Arial"/>
        </w:rPr>
        <w:t xml:space="preserve">, </w:t>
      </w:r>
      <w:r w:rsidRPr="006853F6">
        <w:rPr>
          <w:rFonts w:ascii="Arial" w:hAnsi="Arial" w:cs="Arial"/>
        </w:rPr>
        <w:t xml:space="preserve">2009). </w:t>
      </w:r>
    </w:p>
    <w:p w14:paraId="0D8EC5AA" w14:textId="77777777" w:rsidR="0049708A" w:rsidRPr="006853F6" w:rsidRDefault="00C6108E" w:rsidP="00C6108E">
      <w:pPr>
        <w:spacing w:line="480" w:lineRule="auto"/>
        <w:rPr>
          <w:rFonts w:ascii="Arial Black" w:hAnsi="Arial Black" w:cs="Arial"/>
          <w:u w:val="wave"/>
        </w:rPr>
      </w:pPr>
      <w:r w:rsidRPr="006853F6">
        <w:rPr>
          <w:rFonts w:ascii="Arial Black" w:hAnsi="Arial Black" w:cs="Arial"/>
          <w:u w:val="wave"/>
        </w:rPr>
        <w:t>Suggestions for Future Financial Health and</w:t>
      </w:r>
      <w:r w:rsidR="0049708A" w:rsidRPr="006853F6">
        <w:rPr>
          <w:rFonts w:ascii="Arial Black" w:hAnsi="Arial Black" w:cs="Arial"/>
          <w:u w:val="wave"/>
        </w:rPr>
        <w:t xml:space="preserve"> </w:t>
      </w:r>
      <w:r w:rsidRPr="006853F6">
        <w:rPr>
          <w:rFonts w:ascii="Arial Black" w:hAnsi="Arial Black" w:cs="Arial"/>
          <w:u w:val="wave"/>
        </w:rPr>
        <w:t>Sustainability</w:t>
      </w:r>
    </w:p>
    <w:p w14:paraId="4CE7E428" w14:textId="77777777" w:rsidR="006853F6" w:rsidRDefault="0049708A" w:rsidP="00C6108E">
      <w:pPr>
        <w:spacing w:line="480" w:lineRule="auto"/>
        <w:rPr>
          <w:rFonts w:ascii="Arial" w:hAnsi="Arial" w:cs="Arial"/>
        </w:rPr>
      </w:pPr>
      <w:r w:rsidRPr="00C6108E">
        <w:rPr>
          <w:rFonts w:ascii="Arial" w:hAnsi="Arial" w:cs="Arial"/>
        </w:rPr>
        <w:t>Based on</w:t>
      </w:r>
      <w:r w:rsidR="00C6108E" w:rsidRPr="00C6108E">
        <w:rPr>
          <w:rFonts w:ascii="Arial" w:hAnsi="Arial" w:cs="Arial"/>
        </w:rPr>
        <w:t xml:space="preserve"> analysis results regarding ratios, the following suggestions are made:</w:t>
      </w:r>
    </w:p>
    <w:p w14:paraId="69561AC3" w14:textId="26B3704C" w:rsidR="0049708A" w:rsidRPr="006853F6" w:rsidRDefault="00C6108E" w:rsidP="006853F6">
      <w:pPr>
        <w:pStyle w:val="ListParagraph"/>
        <w:numPr>
          <w:ilvl w:val="0"/>
          <w:numId w:val="3"/>
        </w:numPr>
        <w:spacing w:line="480" w:lineRule="auto"/>
        <w:rPr>
          <w:rFonts w:ascii="Arial" w:hAnsi="Arial" w:cs="Arial"/>
        </w:rPr>
      </w:pPr>
      <w:r w:rsidRPr="006853F6">
        <w:rPr>
          <w:rFonts w:ascii="Arial" w:hAnsi="Arial" w:cs="Arial"/>
        </w:rPr>
        <w:t>Continued operational efficiency improvements:</w:t>
      </w:r>
      <w:r w:rsidR="0049708A" w:rsidRPr="006853F6">
        <w:rPr>
          <w:rFonts w:ascii="Arial" w:hAnsi="Arial" w:cs="Arial"/>
        </w:rPr>
        <w:t xml:space="preserve"> </w:t>
      </w:r>
      <w:r w:rsidRPr="006853F6">
        <w:rPr>
          <w:rFonts w:ascii="Arial" w:hAnsi="Arial" w:cs="Arial"/>
        </w:rPr>
        <w:t>Amazon should continue its investment in automation technologies and AI that aid in supply chain management and its operations. These actions will continue to lower cost-to-serve, while also enhancing productivity, by implementing robotics in their warehouses and improving demand forecasting algorithms</w:t>
      </w:r>
      <w:r w:rsidR="0049708A" w:rsidRPr="006853F6">
        <w:rPr>
          <w:rFonts w:ascii="Arial" w:hAnsi="Arial" w:cs="Arial"/>
        </w:rPr>
        <w:t xml:space="preserve">. </w:t>
      </w:r>
    </w:p>
    <w:p w14:paraId="1561B0EC" w14:textId="59EA614D" w:rsidR="0079599F" w:rsidRPr="006853F6" w:rsidRDefault="00C6108E" w:rsidP="006853F6">
      <w:pPr>
        <w:pStyle w:val="ListParagraph"/>
        <w:numPr>
          <w:ilvl w:val="0"/>
          <w:numId w:val="3"/>
        </w:numPr>
        <w:spacing w:line="480" w:lineRule="auto"/>
        <w:rPr>
          <w:rFonts w:ascii="Arial" w:hAnsi="Arial" w:cs="Arial"/>
        </w:rPr>
      </w:pPr>
      <w:r w:rsidRPr="006853F6">
        <w:rPr>
          <w:rFonts w:ascii="Arial" w:hAnsi="Arial" w:cs="Arial"/>
        </w:rPr>
        <w:t xml:space="preserve">Strengthening liquidity and capital </w:t>
      </w:r>
      <w:r w:rsidR="0049708A" w:rsidRPr="006853F6">
        <w:rPr>
          <w:rFonts w:ascii="Arial" w:hAnsi="Arial" w:cs="Arial"/>
        </w:rPr>
        <w:t>allocation: While</w:t>
      </w:r>
      <w:r w:rsidRPr="006853F6">
        <w:rPr>
          <w:rFonts w:ascii="Arial" w:hAnsi="Arial" w:cs="Arial"/>
        </w:rPr>
        <w:t xml:space="preserve"> the FCF margin has improved, Amazon should optimi</w:t>
      </w:r>
      <w:r w:rsidR="0049708A" w:rsidRPr="006853F6">
        <w:rPr>
          <w:rFonts w:ascii="Arial" w:hAnsi="Arial" w:cs="Arial"/>
        </w:rPr>
        <w:t>s</w:t>
      </w:r>
      <w:r w:rsidRPr="006853F6">
        <w:rPr>
          <w:rFonts w:ascii="Arial" w:hAnsi="Arial" w:cs="Arial"/>
        </w:rPr>
        <w:t xml:space="preserve">e its working capital and manage both aggressive investment activities, and the need for cash flow, </w:t>
      </w:r>
      <w:r w:rsidR="0079599F" w:rsidRPr="006853F6">
        <w:rPr>
          <w:rFonts w:ascii="Arial" w:hAnsi="Arial" w:cs="Arial"/>
        </w:rPr>
        <w:t>to</w:t>
      </w:r>
      <w:r w:rsidRPr="006853F6">
        <w:rPr>
          <w:rFonts w:ascii="Arial" w:hAnsi="Arial" w:cs="Arial"/>
        </w:rPr>
        <w:t xml:space="preserve"> ensure strong liquidity. This will protect Amazon from downturns in the economy, while still allowing it to have cash available for future investments in technology and infrastructure (Robert, C. H., Jennifer, L. K., &amp; Todd, M.</w:t>
      </w:r>
      <w:r w:rsidR="0079599F" w:rsidRPr="006853F6">
        <w:rPr>
          <w:rFonts w:ascii="Arial" w:hAnsi="Arial" w:cs="Arial"/>
        </w:rPr>
        <w:t xml:space="preserve">, </w:t>
      </w:r>
      <w:r w:rsidRPr="006853F6">
        <w:rPr>
          <w:rFonts w:ascii="Arial" w:hAnsi="Arial" w:cs="Arial"/>
        </w:rPr>
        <w:t>2023).</w:t>
      </w:r>
    </w:p>
    <w:p w14:paraId="5D4C7BBD" w14:textId="41EF295C" w:rsidR="0079599F" w:rsidRPr="006853F6" w:rsidRDefault="00C6108E" w:rsidP="006853F6">
      <w:pPr>
        <w:pStyle w:val="ListParagraph"/>
        <w:numPr>
          <w:ilvl w:val="0"/>
          <w:numId w:val="3"/>
        </w:numPr>
        <w:spacing w:line="480" w:lineRule="auto"/>
        <w:rPr>
          <w:rFonts w:ascii="Arial" w:hAnsi="Arial" w:cs="Arial"/>
        </w:rPr>
      </w:pPr>
      <w:r w:rsidRPr="006853F6">
        <w:rPr>
          <w:rFonts w:ascii="Arial" w:hAnsi="Arial" w:cs="Arial"/>
        </w:rPr>
        <w:t xml:space="preserve">Building on sustainable business </w:t>
      </w:r>
      <w:r w:rsidR="0079599F" w:rsidRPr="006853F6">
        <w:rPr>
          <w:rFonts w:ascii="Arial" w:hAnsi="Arial" w:cs="Arial"/>
        </w:rPr>
        <w:t>practices: Using</w:t>
      </w:r>
      <w:r w:rsidRPr="006853F6">
        <w:rPr>
          <w:rFonts w:ascii="Arial" w:hAnsi="Arial" w:cs="Arial"/>
        </w:rPr>
        <w:t xml:space="preserve"> renewable energy for the firms' data </w:t>
      </w:r>
      <w:r w:rsidR="0079599F" w:rsidRPr="006853F6">
        <w:rPr>
          <w:rFonts w:ascii="Arial" w:hAnsi="Arial" w:cs="Arial"/>
        </w:rPr>
        <w:t>centres</w:t>
      </w:r>
      <w:r w:rsidRPr="006853F6">
        <w:rPr>
          <w:rFonts w:ascii="Arial" w:hAnsi="Arial" w:cs="Arial"/>
        </w:rPr>
        <w:t xml:space="preserve"> and electric delivery fleet can reduce operating costs in the long run while also enhancing corporate sustainability. These actions will not only reduce energy </w:t>
      </w:r>
      <w:r w:rsidR="0079599F" w:rsidRPr="006853F6">
        <w:rPr>
          <w:rFonts w:ascii="Arial" w:hAnsi="Arial" w:cs="Arial"/>
        </w:rPr>
        <w:t>costs but</w:t>
      </w:r>
      <w:r w:rsidRPr="006853F6">
        <w:rPr>
          <w:rFonts w:ascii="Arial" w:hAnsi="Arial" w:cs="Arial"/>
        </w:rPr>
        <w:t xml:space="preserve"> will also improve Amazon's public perception and lower regulatory risk in the ever-changing environmental landscape (Choi, J., &amp; Wang, H.</w:t>
      </w:r>
      <w:r w:rsidR="0079599F" w:rsidRPr="006853F6">
        <w:rPr>
          <w:rFonts w:ascii="Arial" w:hAnsi="Arial" w:cs="Arial"/>
        </w:rPr>
        <w:t xml:space="preserve">, </w:t>
      </w:r>
      <w:r w:rsidRPr="006853F6">
        <w:rPr>
          <w:rFonts w:ascii="Arial" w:hAnsi="Arial" w:cs="Arial"/>
        </w:rPr>
        <w:t>2009)</w:t>
      </w:r>
      <w:r w:rsidR="0079599F" w:rsidRPr="006853F6">
        <w:rPr>
          <w:rFonts w:ascii="Arial" w:hAnsi="Arial" w:cs="Arial"/>
        </w:rPr>
        <w:t>.</w:t>
      </w:r>
    </w:p>
    <w:p w14:paraId="616EACE4" w14:textId="77777777" w:rsidR="0079599F" w:rsidRPr="006853F6" w:rsidRDefault="0079599F" w:rsidP="006853F6">
      <w:pPr>
        <w:pStyle w:val="ListParagraph"/>
        <w:numPr>
          <w:ilvl w:val="0"/>
          <w:numId w:val="3"/>
        </w:numPr>
        <w:spacing w:line="480" w:lineRule="auto"/>
        <w:rPr>
          <w:rFonts w:ascii="Arial" w:hAnsi="Arial" w:cs="Arial"/>
        </w:rPr>
      </w:pPr>
      <w:r w:rsidRPr="006853F6">
        <w:rPr>
          <w:rFonts w:ascii="Arial" w:hAnsi="Arial" w:cs="Arial"/>
        </w:rPr>
        <w:t>Encouraging</w:t>
      </w:r>
      <w:r w:rsidR="00C6108E" w:rsidRPr="006853F6">
        <w:rPr>
          <w:rFonts w:ascii="Arial" w:hAnsi="Arial" w:cs="Arial"/>
        </w:rPr>
        <w:t xml:space="preserve"> innovation focused on </w:t>
      </w:r>
      <w:r w:rsidRPr="006853F6">
        <w:rPr>
          <w:rFonts w:ascii="Arial" w:hAnsi="Arial" w:cs="Arial"/>
        </w:rPr>
        <w:t>customers: To</w:t>
      </w:r>
      <w:r w:rsidR="00C6108E" w:rsidRPr="006853F6">
        <w:rPr>
          <w:rFonts w:ascii="Arial" w:hAnsi="Arial" w:cs="Arial"/>
        </w:rPr>
        <w:t xml:space="preserve"> maintain a competitive edge in e-commerce and cloud computing, Amazon needs to innovate </w:t>
      </w:r>
      <w:r w:rsidR="00C6108E" w:rsidRPr="006853F6">
        <w:rPr>
          <w:rFonts w:ascii="Arial" w:hAnsi="Arial" w:cs="Arial"/>
        </w:rPr>
        <w:lastRenderedPageBreak/>
        <w:t>constantly. Amazon should continue to enhance their customer data analytics and interface to offer personali</w:t>
      </w:r>
      <w:r w:rsidRPr="006853F6">
        <w:rPr>
          <w:rFonts w:ascii="Arial" w:hAnsi="Arial" w:cs="Arial"/>
        </w:rPr>
        <w:t>s</w:t>
      </w:r>
      <w:r w:rsidR="00C6108E" w:rsidRPr="006853F6">
        <w:rPr>
          <w:rFonts w:ascii="Arial" w:hAnsi="Arial" w:cs="Arial"/>
        </w:rPr>
        <w:t>ed experiences.</w:t>
      </w:r>
      <w:r w:rsidRPr="006853F6">
        <w:rPr>
          <w:rFonts w:ascii="Arial" w:hAnsi="Arial" w:cs="Arial"/>
        </w:rPr>
        <w:t xml:space="preserve"> </w:t>
      </w:r>
      <w:r w:rsidR="00C6108E" w:rsidRPr="006853F6">
        <w:rPr>
          <w:rFonts w:ascii="Arial" w:hAnsi="Arial" w:cs="Arial"/>
        </w:rPr>
        <w:t>Innovations in advertising and AWS offerings, which provide supplemental revenue sources, should further include strategic investments that expand customer engagement and market share (Cruz Lopez, D. E.</w:t>
      </w:r>
      <w:r w:rsidRPr="006853F6">
        <w:rPr>
          <w:rFonts w:ascii="Arial" w:hAnsi="Arial" w:cs="Arial"/>
        </w:rPr>
        <w:t xml:space="preserve">, </w:t>
      </w:r>
      <w:r w:rsidR="00C6108E" w:rsidRPr="006853F6">
        <w:rPr>
          <w:rFonts w:ascii="Arial" w:hAnsi="Arial" w:cs="Arial"/>
        </w:rPr>
        <w:t>2023)</w:t>
      </w:r>
      <w:r w:rsidRPr="006853F6">
        <w:rPr>
          <w:rFonts w:ascii="Arial" w:hAnsi="Arial" w:cs="Arial"/>
        </w:rPr>
        <w:t>.</w:t>
      </w:r>
    </w:p>
    <w:p w14:paraId="60AA2C5A" w14:textId="77777777" w:rsidR="0079599F" w:rsidRPr="006853F6" w:rsidRDefault="00C6108E" w:rsidP="006853F6">
      <w:pPr>
        <w:pStyle w:val="ListParagraph"/>
        <w:numPr>
          <w:ilvl w:val="0"/>
          <w:numId w:val="3"/>
        </w:numPr>
        <w:spacing w:line="480" w:lineRule="auto"/>
        <w:rPr>
          <w:rFonts w:ascii="Arial" w:hAnsi="Arial" w:cs="Arial"/>
        </w:rPr>
      </w:pPr>
      <w:r w:rsidRPr="006853F6">
        <w:rPr>
          <w:rFonts w:ascii="Arial" w:hAnsi="Arial" w:cs="Arial"/>
        </w:rPr>
        <w:t>Expanding into Emerging International Markets</w:t>
      </w:r>
      <w:r w:rsidR="0079599F" w:rsidRPr="006853F6">
        <w:rPr>
          <w:rFonts w:ascii="Arial" w:hAnsi="Arial" w:cs="Arial"/>
        </w:rPr>
        <w:t xml:space="preserve">: </w:t>
      </w:r>
      <w:r w:rsidRPr="006853F6">
        <w:rPr>
          <w:rFonts w:ascii="Arial" w:hAnsi="Arial" w:cs="Arial"/>
        </w:rPr>
        <w:t xml:space="preserve">Amazon’s international segments are starting to generate promising signals of a profitable business. By continuing to </w:t>
      </w:r>
      <w:r w:rsidR="0079599F" w:rsidRPr="006853F6">
        <w:rPr>
          <w:rFonts w:ascii="Arial" w:hAnsi="Arial" w:cs="Arial"/>
        </w:rPr>
        <w:t>localise investment</w:t>
      </w:r>
      <w:r w:rsidRPr="006853F6">
        <w:rPr>
          <w:rFonts w:ascii="Arial" w:hAnsi="Arial" w:cs="Arial"/>
        </w:rPr>
        <w:t xml:space="preserve"> of the various fulfilment </w:t>
      </w:r>
      <w:r w:rsidR="0079599F" w:rsidRPr="006853F6">
        <w:rPr>
          <w:rFonts w:ascii="Arial" w:hAnsi="Arial" w:cs="Arial"/>
        </w:rPr>
        <w:t>centres</w:t>
      </w:r>
      <w:r w:rsidRPr="006853F6">
        <w:rPr>
          <w:rFonts w:ascii="Arial" w:hAnsi="Arial" w:cs="Arial"/>
        </w:rPr>
        <w:t xml:space="preserve"> in a region, and locali</w:t>
      </w:r>
      <w:r w:rsidR="0079599F" w:rsidRPr="006853F6">
        <w:rPr>
          <w:rFonts w:ascii="Arial" w:hAnsi="Arial" w:cs="Arial"/>
        </w:rPr>
        <w:t>s</w:t>
      </w:r>
      <w:r w:rsidRPr="006853F6">
        <w:rPr>
          <w:rFonts w:ascii="Arial" w:hAnsi="Arial" w:cs="Arial"/>
        </w:rPr>
        <w:t>ing</w:t>
      </w:r>
      <w:r w:rsidR="0079599F" w:rsidRPr="006853F6">
        <w:rPr>
          <w:rFonts w:ascii="Arial" w:hAnsi="Arial" w:cs="Arial"/>
        </w:rPr>
        <w:t xml:space="preserve"> </w:t>
      </w:r>
      <w:r w:rsidRPr="006853F6">
        <w:rPr>
          <w:rFonts w:ascii="Arial" w:hAnsi="Arial" w:cs="Arial"/>
        </w:rPr>
        <w:t>product offerings based on population preferences</w:t>
      </w:r>
      <w:r w:rsidR="0079599F" w:rsidRPr="006853F6">
        <w:rPr>
          <w:rFonts w:ascii="Arial" w:hAnsi="Arial" w:cs="Arial"/>
        </w:rPr>
        <w:t xml:space="preserve">, </w:t>
      </w:r>
      <w:r w:rsidRPr="006853F6">
        <w:rPr>
          <w:rFonts w:ascii="Arial" w:hAnsi="Arial" w:cs="Arial"/>
        </w:rPr>
        <w:t>the company can increase revenue and diversify market risk (Kassem, S.</w:t>
      </w:r>
      <w:r w:rsidR="0079599F" w:rsidRPr="006853F6">
        <w:rPr>
          <w:rFonts w:ascii="Arial" w:hAnsi="Arial" w:cs="Arial"/>
        </w:rPr>
        <w:t xml:space="preserve">, </w:t>
      </w:r>
      <w:r w:rsidRPr="006853F6">
        <w:rPr>
          <w:rFonts w:ascii="Arial" w:hAnsi="Arial" w:cs="Arial"/>
        </w:rPr>
        <w:t>2023).</w:t>
      </w:r>
    </w:p>
    <w:p w14:paraId="3904FE24" w14:textId="77777777" w:rsidR="0079599F" w:rsidRPr="003476C6" w:rsidRDefault="00C6108E" w:rsidP="00C6108E">
      <w:pPr>
        <w:spacing w:line="480" w:lineRule="auto"/>
        <w:rPr>
          <w:rFonts w:ascii="Arial Black" w:hAnsi="Arial Black" w:cs="Arial"/>
          <w:u w:val="wave"/>
        </w:rPr>
      </w:pPr>
      <w:r w:rsidRPr="003476C6">
        <w:rPr>
          <w:rFonts w:ascii="Arial Black" w:hAnsi="Arial Black" w:cs="Arial"/>
          <w:u w:val="wave"/>
        </w:rPr>
        <w:t>Conclusion</w:t>
      </w:r>
    </w:p>
    <w:p w14:paraId="26EBAF1F" w14:textId="77777777" w:rsidR="008E21F1" w:rsidRDefault="00C6108E" w:rsidP="00C6108E">
      <w:pPr>
        <w:spacing w:line="480" w:lineRule="auto"/>
        <w:rPr>
          <w:rFonts w:ascii="Arial" w:hAnsi="Arial" w:cs="Arial"/>
        </w:rPr>
      </w:pPr>
      <w:r w:rsidRPr="00C6108E">
        <w:rPr>
          <w:rFonts w:ascii="Arial" w:hAnsi="Arial" w:cs="Arial"/>
        </w:rPr>
        <w:t xml:space="preserve">The ratio analysis of Amazon’s financial statements from 2022 </w:t>
      </w:r>
      <w:r w:rsidR="0079599F" w:rsidRPr="00C6108E">
        <w:rPr>
          <w:rFonts w:ascii="Arial" w:hAnsi="Arial" w:cs="Arial"/>
        </w:rPr>
        <w:t>to 2023</w:t>
      </w:r>
      <w:r w:rsidRPr="00C6108E">
        <w:rPr>
          <w:rFonts w:ascii="Arial" w:hAnsi="Arial" w:cs="Arial"/>
        </w:rPr>
        <w:t xml:space="preserve"> </w:t>
      </w:r>
      <w:r w:rsidR="0079599F" w:rsidRPr="00C6108E">
        <w:rPr>
          <w:rFonts w:ascii="Arial" w:hAnsi="Arial" w:cs="Arial"/>
        </w:rPr>
        <w:t>shows</w:t>
      </w:r>
      <w:r w:rsidRPr="00C6108E">
        <w:rPr>
          <w:rFonts w:ascii="Arial" w:hAnsi="Arial" w:cs="Arial"/>
        </w:rPr>
        <w:t xml:space="preserve"> clear improvements in operating and cash flow margins, reinforced by strong revenue carried over. The operating margin increased from 2.4% to </w:t>
      </w:r>
      <w:r w:rsidR="0079599F" w:rsidRPr="00C6108E">
        <w:rPr>
          <w:rFonts w:ascii="Arial" w:hAnsi="Arial" w:cs="Arial"/>
        </w:rPr>
        <w:t>6.4% and</w:t>
      </w:r>
      <w:r w:rsidRPr="00C6108E">
        <w:rPr>
          <w:rFonts w:ascii="Arial" w:hAnsi="Arial" w:cs="Arial"/>
        </w:rPr>
        <w:t xml:space="preserve"> demonstrates continued improvements in cost control and operational efficiencies, and a move from negative free cash flow margin to a positive (–2.49% to 6.17%) shows improvements from capital management initiatives. Overall, improvements have </w:t>
      </w:r>
      <w:r w:rsidR="0079599F" w:rsidRPr="00C6108E">
        <w:rPr>
          <w:rFonts w:ascii="Arial" w:hAnsi="Arial" w:cs="Arial"/>
        </w:rPr>
        <w:t>occurred</w:t>
      </w:r>
      <w:r w:rsidRPr="00C6108E">
        <w:rPr>
          <w:rFonts w:ascii="Arial" w:hAnsi="Arial" w:cs="Arial"/>
        </w:rPr>
        <w:t xml:space="preserve"> despite broader macroeconomic challenges, as evidence of successful strategic efficiencies to advance logistics, technology, and cost </w:t>
      </w:r>
      <w:r w:rsidR="008E21F1" w:rsidRPr="00C6108E">
        <w:rPr>
          <w:rFonts w:ascii="Arial" w:hAnsi="Arial" w:cs="Arial"/>
        </w:rPr>
        <w:t>efficiency.</w:t>
      </w:r>
    </w:p>
    <w:p w14:paraId="0A9254E4" w14:textId="77777777" w:rsidR="008E21F1" w:rsidRDefault="008E21F1" w:rsidP="00C6108E">
      <w:pPr>
        <w:spacing w:line="480" w:lineRule="auto"/>
        <w:rPr>
          <w:rFonts w:ascii="Arial" w:hAnsi="Arial" w:cs="Arial"/>
        </w:rPr>
      </w:pPr>
      <w:r w:rsidRPr="00C6108E">
        <w:rPr>
          <w:rFonts w:ascii="Arial" w:hAnsi="Arial" w:cs="Arial"/>
        </w:rPr>
        <w:t xml:space="preserve"> Insights</w:t>
      </w:r>
      <w:r w:rsidR="00C6108E" w:rsidRPr="00C6108E">
        <w:rPr>
          <w:rFonts w:ascii="Arial" w:hAnsi="Arial" w:cs="Arial"/>
        </w:rPr>
        <w:t xml:space="preserve"> from this analysis are valuable not only for management to make accurate strategic decisions, but also for investors who utili</w:t>
      </w:r>
      <w:r>
        <w:rPr>
          <w:rFonts w:ascii="Arial" w:hAnsi="Arial" w:cs="Arial"/>
        </w:rPr>
        <w:t>s</w:t>
      </w:r>
      <w:r w:rsidR="00C6108E" w:rsidRPr="00C6108E">
        <w:rPr>
          <w:rFonts w:ascii="Arial" w:hAnsi="Arial" w:cs="Arial"/>
        </w:rPr>
        <w:t>e these metrics as signals of Company health. The recommendations in this conclusion-optimi</w:t>
      </w:r>
      <w:r>
        <w:rPr>
          <w:rFonts w:ascii="Arial" w:hAnsi="Arial" w:cs="Arial"/>
        </w:rPr>
        <w:t>s</w:t>
      </w:r>
      <w:r w:rsidR="00C6108E" w:rsidRPr="00C6108E">
        <w:rPr>
          <w:rFonts w:ascii="Arial" w:hAnsi="Arial" w:cs="Arial"/>
        </w:rPr>
        <w:t xml:space="preserve">e liquidity, embrace further automation, open-up opportunities for sustainability, drive the ideation of customer-centric innovation, and continued expansion strategies for </w:t>
      </w:r>
      <w:r w:rsidR="00C6108E" w:rsidRPr="00C6108E">
        <w:rPr>
          <w:rFonts w:ascii="Arial" w:hAnsi="Arial" w:cs="Arial"/>
        </w:rPr>
        <w:lastRenderedPageBreak/>
        <w:t xml:space="preserve">existing geographic and internationally-market opportunities-represent a balanced strategy to ensure that Amazon has both sustainable and competitive growth potential globally. </w:t>
      </w:r>
    </w:p>
    <w:p w14:paraId="42558C87" w14:textId="395924CB" w:rsidR="00C6108E" w:rsidRDefault="00C6108E" w:rsidP="00C6108E">
      <w:pPr>
        <w:spacing w:line="480" w:lineRule="auto"/>
        <w:rPr>
          <w:rFonts w:ascii="Arial" w:hAnsi="Arial" w:cs="Arial"/>
        </w:rPr>
      </w:pPr>
      <w:r w:rsidRPr="00C6108E">
        <w:rPr>
          <w:rFonts w:ascii="Arial" w:hAnsi="Arial" w:cs="Arial"/>
        </w:rPr>
        <w:t>While the results of the financial ratios before and after are indicating a significant progression is made to develop profit and positive cash flow in this company and sustain positive momentum for growth. Amazon will need to remain vigilant about its operational excellence and continuing to push innovation where strategic opportunities arise, to sustain its long-term growth potential and competitive territory (Babalola, Y. A., &amp; Abiola, F. R.</w:t>
      </w:r>
      <w:r w:rsidR="008E21F1">
        <w:rPr>
          <w:rFonts w:ascii="Arial" w:hAnsi="Arial" w:cs="Arial"/>
        </w:rPr>
        <w:t xml:space="preserve">, </w:t>
      </w:r>
      <w:r w:rsidRPr="00C6108E">
        <w:rPr>
          <w:rFonts w:ascii="Arial" w:hAnsi="Arial" w:cs="Arial"/>
        </w:rPr>
        <w:t>2013</w:t>
      </w:r>
      <w:r w:rsidR="008E21F1">
        <w:rPr>
          <w:rFonts w:ascii="Arial" w:hAnsi="Arial" w:cs="Arial"/>
        </w:rPr>
        <w:t>).</w:t>
      </w:r>
    </w:p>
    <w:p w14:paraId="154C47F7" w14:textId="77777777" w:rsidR="008E21F1" w:rsidRDefault="008E21F1" w:rsidP="00C6108E">
      <w:pPr>
        <w:spacing w:line="480" w:lineRule="auto"/>
        <w:rPr>
          <w:rFonts w:ascii="Arial" w:hAnsi="Arial" w:cs="Arial"/>
        </w:rPr>
      </w:pPr>
    </w:p>
    <w:p w14:paraId="60D92EB3" w14:textId="77777777" w:rsidR="008E21F1" w:rsidRDefault="008E21F1" w:rsidP="00C6108E">
      <w:pPr>
        <w:spacing w:line="480" w:lineRule="auto"/>
        <w:rPr>
          <w:rFonts w:ascii="Arial" w:hAnsi="Arial" w:cs="Arial"/>
        </w:rPr>
      </w:pPr>
    </w:p>
    <w:p w14:paraId="1097A4F1" w14:textId="77777777" w:rsidR="008E21F1" w:rsidRDefault="008E21F1" w:rsidP="00C6108E">
      <w:pPr>
        <w:spacing w:line="480" w:lineRule="auto"/>
        <w:rPr>
          <w:rFonts w:ascii="Arial" w:hAnsi="Arial" w:cs="Arial"/>
        </w:rPr>
      </w:pPr>
    </w:p>
    <w:p w14:paraId="15072BC8" w14:textId="77777777" w:rsidR="008E21F1" w:rsidRDefault="008E21F1" w:rsidP="00C6108E">
      <w:pPr>
        <w:spacing w:line="480" w:lineRule="auto"/>
        <w:rPr>
          <w:rFonts w:ascii="Arial" w:hAnsi="Arial" w:cs="Arial"/>
        </w:rPr>
      </w:pPr>
    </w:p>
    <w:p w14:paraId="34AA844C" w14:textId="77777777" w:rsidR="008E21F1" w:rsidRDefault="008E21F1" w:rsidP="00C6108E">
      <w:pPr>
        <w:spacing w:line="480" w:lineRule="auto"/>
        <w:rPr>
          <w:rFonts w:ascii="Arial" w:hAnsi="Arial" w:cs="Arial"/>
        </w:rPr>
      </w:pPr>
    </w:p>
    <w:p w14:paraId="42533CDA" w14:textId="77777777" w:rsidR="008E21F1" w:rsidRDefault="008E21F1" w:rsidP="00C6108E">
      <w:pPr>
        <w:spacing w:line="480" w:lineRule="auto"/>
        <w:rPr>
          <w:rFonts w:ascii="Arial" w:hAnsi="Arial" w:cs="Arial"/>
        </w:rPr>
      </w:pPr>
    </w:p>
    <w:p w14:paraId="0477B4EA" w14:textId="77777777" w:rsidR="008E21F1" w:rsidRDefault="008E21F1" w:rsidP="00C6108E">
      <w:pPr>
        <w:spacing w:line="480" w:lineRule="auto"/>
        <w:rPr>
          <w:rFonts w:ascii="Arial" w:hAnsi="Arial" w:cs="Arial"/>
        </w:rPr>
      </w:pPr>
    </w:p>
    <w:p w14:paraId="40BCAB5B" w14:textId="77777777" w:rsidR="008E21F1" w:rsidRDefault="008E21F1" w:rsidP="00C6108E">
      <w:pPr>
        <w:spacing w:line="480" w:lineRule="auto"/>
        <w:rPr>
          <w:rFonts w:ascii="Arial" w:hAnsi="Arial" w:cs="Arial"/>
        </w:rPr>
      </w:pPr>
    </w:p>
    <w:p w14:paraId="16B70B4C" w14:textId="77777777" w:rsidR="008E21F1" w:rsidRDefault="008E21F1" w:rsidP="00C6108E">
      <w:pPr>
        <w:spacing w:line="480" w:lineRule="auto"/>
        <w:rPr>
          <w:rFonts w:ascii="Arial" w:hAnsi="Arial" w:cs="Arial"/>
        </w:rPr>
      </w:pPr>
    </w:p>
    <w:p w14:paraId="357B4B5F" w14:textId="77777777" w:rsidR="008E21F1" w:rsidRDefault="008E21F1" w:rsidP="00C6108E">
      <w:pPr>
        <w:spacing w:line="480" w:lineRule="auto"/>
        <w:rPr>
          <w:rFonts w:ascii="Arial" w:hAnsi="Arial" w:cs="Arial"/>
        </w:rPr>
      </w:pPr>
    </w:p>
    <w:p w14:paraId="6F3D5393" w14:textId="77777777" w:rsidR="008E21F1" w:rsidRDefault="008E21F1" w:rsidP="00C6108E">
      <w:pPr>
        <w:spacing w:line="480" w:lineRule="auto"/>
        <w:rPr>
          <w:rFonts w:ascii="Arial" w:hAnsi="Arial" w:cs="Arial"/>
        </w:rPr>
      </w:pPr>
    </w:p>
    <w:p w14:paraId="34B67DA9" w14:textId="77777777" w:rsidR="008E21F1" w:rsidRDefault="008E21F1" w:rsidP="00C6108E">
      <w:pPr>
        <w:spacing w:line="480" w:lineRule="auto"/>
        <w:rPr>
          <w:rFonts w:ascii="Arial" w:hAnsi="Arial" w:cs="Arial"/>
        </w:rPr>
      </w:pPr>
    </w:p>
    <w:p w14:paraId="305CA8B1" w14:textId="1ED0B349" w:rsidR="008E21F1" w:rsidRPr="006853F6" w:rsidRDefault="008E21F1" w:rsidP="00C6108E">
      <w:pPr>
        <w:spacing w:line="480" w:lineRule="auto"/>
        <w:rPr>
          <w:rFonts w:ascii="Arial Black" w:hAnsi="Arial Black" w:cs="Arial"/>
          <w:u w:val="wave"/>
        </w:rPr>
      </w:pPr>
      <w:r w:rsidRPr="006853F6">
        <w:rPr>
          <w:rFonts w:ascii="Arial Black" w:hAnsi="Arial Black" w:cs="Arial"/>
          <w:u w:val="wave"/>
        </w:rPr>
        <w:lastRenderedPageBreak/>
        <w:t xml:space="preserve">References </w:t>
      </w:r>
    </w:p>
    <w:p w14:paraId="0478D996" w14:textId="7BBD0211" w:rsidR="006853F6" w:rsidRPr="006853F6" w:rsidRDefault="006853F6" w:rsidP="006853F6">
      <w:pPr>
        <w:spacing w:line="480" w:lineRule="auto"/>
        <w:rPr>
          <w:rFonts w:ascii="Arial" w:hAnsi="Arial" w:cs="Arial"/>
        </w:rPr>
      </w:pPr>
      <w:r w:rsidRPr="006853F6">
        <w:rPr>
          <w:rFonts w:ascii="Arial" w:hAnsi="Arial" w:cs="Arial"/>
        </w:rPr>
        <w:t>Amazon.com, Inc. (2022). Annual Report 2022 [PDF]. Amazon.com, Inc.</w:t>
      </w:r>
      <w:r w:rsidRPr="006853F6">
        <w:t xml:space="preserve"> </w:t>
      </w:r>
      <w:hyperlink r:id="rId7" w:history="1">
        <w:r w:rsidRPr="00932F96">
          <w:rPr>
            <w:rStyle w:val="Hyperlink"/>
            <w:rFonts w:ascii="Arial" w:hAnsi="Arial" w:cs="Arial"/>
          </w:rPr>
          <w:t>https://s2.q4cdn.com/299287126/files/doc_financials/2023/ar/Amazon-2022-Annual-Report.pdf</w:t>
        </w:r>
      </w:hyperlink>
      <w:r>
        <w:rPr>
          <w:rFonts w:ascii="Arial" w:hAnsi="Arial" w:cs="Arial"/>
        </w:rPr>
        <w:t xml:space="preserve"> </w:t>
      </w:r>
    </w:p>
    <w:p w14:paraId="018A65FD" w14:textId="5797212B" w:rsidR="006853F6" w:rsidRDefault="006853F6" w:rsidP="006853F6">
      <w:pPr>
        <w:spacing w:line="480" w:lineRule="auto"/>
        <w:rPr>
          <w:rFonts w:ascii="Arial" w:hAnsi="Arial" w:cs="Arial"/>
        </w:rPr>
      </w:pPr>
      <w:r w:rsidRPr="006853F6">
        <w:rPr>
          <w:rFonts w:ascii="Arial" w:hAnsi="Arial" w:cs="Arial"/>
        </w:rPr>
        <w:t>Amazon.com, Inc. (2023). Annual Report 2023 [PDF]. Amazon.com, Inc.</w:t>
      </w:r>
      <w:r w:rsidRPr="006853F6">
        <w:t xml:space="preserve"> </w:t>
      </w:r>
      <w:hyperlink r:id="rId8" w:history="1">
        <w:r w:rsidRPr="00932F96">
          <w:rPr>
            <w:rStyle w:val="Hyperlink"/>
            <w:rFonts w:ascii="Arial" w:hAnsi="Arial" w:cs="Arial"/>
          </w:rPr>
          <w:t>https://s2.q4cdn.com/299287126/files/doc_financials/2024/ar/Amazon-com-Inc-2023-Annual-Report.pdf</w:t>
        </w:r>
      </w:hyperlink>
      <w:r>
        <w:rPr>
          <w:rFonts w:ascii="Arial" w:hAnsi="Arial" w:cs="Arial"/>
        </w:rPr>
        <w:t xml:space="preserve"> </w:t>
      </w:r>
    </w:p>
    <w:p w14:paraId="7E6DB5A9" w14:textId="77777777" w:rsidR="003476C6" w:rsidRDefault="003476C6" w:rsidP="003476C6">
      <w:pPr>
        <w:spacing w:line="480" w:lineRule="auto"/>
        <w:rPr>
          <w:rFonts w:ascii="Arial" w:hAnsi="Arial" w:cs="Arial"/>
        </w:rPr>
      </w:pPr>
      <w:r w:rsidRPr="003476C6">
        <w:rPr>
          <w:rFonts w:ascii="Arial" w:hAnsi="Arial" w:cs="Arial"/>
        </w:rPr>
        <w:t xml:space="preserve">Babalola, Y. A., &amp; Abiola, F. R. (2013). Financial ratio analysis of firms: A tool for decision making. </w:t>
      </w:r>
      <w:r w:rsidRPr="003476C6">
        <w:rPr>
          <w:rFonts w:ascii="Arial" w:hAnsi="Arial" w:cs="Arial"/>
          <w:i/>
          <w:iCs/>
        </w:rPr>
        <w:t>International Journal of Management Sciences, 1</w:t>
      </w:r>
      <w:r w:rsidRPr="003476C6">
        <w:rPr>
          <w:rFonts w:ascii="Arial" w:hAnsi="Arial" w:cs="Arial"/>
        </w:rPr>
        <w:t>(4), 132–137.</w:t>
      </w:r>
    </w:p>
    <w:p w14:paraId="65C6EDA6" w14:textId="3DC9B691" w:rsidR="003476C6" w:rsidRPr="003476C6" w:rsidRDefault="003476C6" w:rsidP="003476C6">
      <w:pPr>
        <w:spacing w:line="480" w:lineRule="auto"/>
        <w:rPr>
          <w:rFonts w:ascii="Arial" w:hAnsi="Arial" w:cs="Arial"/>
        </w:rPr>
      </w:pPr>
      <w:r w:rsidRPr="003476C6">
        <w:rPr>
          <w:rFonts w:ascii="Arial" w:hAnsi="Arial" w:cs="Arial"/>
        </w:rPr>
        <w:t xml:space="preserve">Barnes, P. (1987). The analysis and use of financial ratios: A review article. </w:t>
      </w:r>
      <w:r w:rsidRPr="003476C6">
        <w:rPr>
          <w:rFonts w:ascii="Arial" w:hAnsi="Arial" w:cs="Arial"/>
          <w:i/>
          <w:iCs/>
        </w:rPr>
        <w:t>Journal of Business Finance &amp; Accounting, 14</w:t>
      </w:r>
      <w:r w:rsidRPr="003476C6">
        <w:rPr>
          <w:rFonts w:ascii="Arial" w:hAnsi="Arial" w:cs="Arial"/>
        </w:rPr>
        <w:t>(4).</w:t>
      </w:r>
    </w:p>
    <w:p w14:paraId="2AC58187" w14:textId="03997E1D" w:rsidR="003476C6" w:rsidRPr="003476C6" w:rsidRDefault="003476C6" w:rsidP="003476C6">
      <w:pPr>
        <w:spacing w:line="480" w:lineRule="auto"/>
        <w:rPr>
          <w:rFonts w:ascii="Arial" w:hAnsi="Arial" w:cs="Arial"/>
        </w:rPr>
      </w:pPr>
      <w:r w:rsidRPr="003476C6">
        <w:rPr>
          <w:rFonts w:ascii="Arial" w:hAnsi="Arial" w:cs="Arial"/>
        </w:rPr>
        <w:t xml:space="preserve">Bari, A., Yadav, R., Alaria, S. K., Raj, A., &amp; Bhutto, J. K. (2023, November). </w:t>
      </w:r>
      <w:r w:rsidRPr="003476C6">
        <w:rPr>
          <w:rFonts w:ascii="Arial" w:hAnsi="Arial" w:cs="Arial"/>
          <w:i/>
          <w:iCs/>
        </w:rPr>
        <w:t>Analysing</w:t>
      </w:r>
      <w:r w:rsidRPr="003476C6">
        <w:rPr>
          <w:rFonts w:ascii="Arial" w:hAnsi="Arial" w:cs="Arial"/>
          <w:i/>
          <w:iCs/>
        </w:rPr>
        <w:t xml:space="preserve"> the performance of improved random </w:t>
      </w:r>
      <w:r w:rsidRPr="003476C6">
        <w:rPr>
          <w:rFonts w:ascii="Arial" w:hAnsi="Arial" w:cs="Arial"/>
          <w:i/>
          <w:iCs/>
        </w:rPr>
        <w:t>forest-based</w:t>
      </w:r>
      <w:r w:rsidRPr="003476C6">
        <w:rPr>
          <w:rFonts w:ascii="Arial" w:hAnsi="Arial" w:cs="Arial"/>
          <w:i/>
          <w:iCs/>
        </w:rPr>
        <w:t xml:space="preserve"> amazon product review sentiment analysis.</w:t>
      </w:r>
      <w:r w:rsidRPr="003476C6">
        <w:rPr>
          <w:rFonts w:ascii="Arial" w:hAnsi="Arial" w:cs="Arial"/>
        </w:rPr>
        <w:t xml:space="preserve"> In Proceedings of the 5th International Conference on Information Management &amp; Machine Intelligence (pp. 1–9). Johor Bahru, Malaysia: IEOM Society. https://doi.org/10.46254/AP03,20220238</w:t>
      </w:r>
    </w:p>
    <w:p w14:paraId="028E8762" w14:textId="77777777" w:rsidR="003476C6" w:rsidRPr="003476C6" w:rsidRDefault="003476C6" w:rsidP="003476C6">
      <w:pPr>
        <w:spacing w:line="480" w:lineRule="auto"/>
        <w:rPr>
          <w:rFonts w:ascii="Arial" w:hAnsi="Arial" w:cs="Arial"/>
        </w:rPr>
      </w:pPr>
      <w:r w:rsidRPr="003476C6">
        <w:rPr>
          <w:rFonts w:ascii="Arial" w:hAnsi="Arial" w:cs="Arial"/>
        </w:rPr>
        <w:t xml:space="preserve">Choi, J., &amp; Wang, H. (2009). Stakeholder relations and the persistence of corporate financial performance. </w:t>
      </w:r>
      <w:r w:rsidRPr="003476C6">
        <w:rPr>
          <w:rFonts w:ascii="Arial" w:hAnsi="Arial" w:cs="Arial"/>
          <w:i/>
          <w:iCs/>
        </w:rPr>
        <w:t>Strategic Management Journal, 30</w:t>
      </w:r>
      <w:r w:rsidRPr="003476C6">
        <w:rPr>
          <w:rFonts w:ascii="Arial" w:hAnsi="Arial" w:cs="Arial"/>
        </w:rPr>
        <w:t>(8), 895–907.</w:t>
      </w:r>
    </w:p>
    <w:p w14:paraId="781CD463" w14:textId="77777777" w:rsidR="003476C6" w:rsidRPr="003476C6" w:rsidRDefault="003476C6" w:rsidP="003476C6">
      <w:pPr>
        <w:spacing w:line="480" w:lineRule="auto"/>
        <w:rPr>
          <w:rFonts w:ascii="Arial" w:hAnsi="Arial" w:cs="Arial"/>
        </w:rPr>
      </w:pPr>
      <w:r w:rsidRPr="003476C6">
        <w:rPr>
          <w:rFonts w:ascii="Arial" w:hAnsi="Arial" w:cs="Arial"/>
        </w:rPr>
        <w:t xml:space="preserve">Cruz Lopez, D. E. (2023). </w:t>
      </w:r>
      <w:r w:rsidRPr="003476C6">
        <w:rPr>
          <w:rFonts w:ascii="Arial" w:hAnsi="Arial" w:cs="Arial"/>
          <w:i/>
          <w:iCs/>
        </w:rPr>
        <w:t>Amazon corporate analysis</w:t>
      </w:r>
      <w:r w:rsidRPr="003476C6">
        <w:rPr>
          <w:rFonts w:ascii="Arial" w:hAnsi="Arial" w:cs="Arial"/>
        </w:rPr>
        <w:t>. Available at SSRN 4656587.</w:t>
      </w:r>
    </w:p>
    <w:p w14:paraId="57B8E533" w14:textId="77777777" w:rsidR="003476C6" w:rsidRPr="003476C6" w:rsidRDefault="003476C6" w:rsidP="003476C6">
      <w:pPr>
        <w:spacing w:line="480" w:lineRule="auto"/>
        <w:rPr>
          <w:rFonts w:ascii="Arial" w:hAnsi="Arial" w:cs="Arial"/>
        </w:rPr>
      </w:pPr>
      <w:r w:rsidRPr="003476C6">
        <w:rPr>
          <w:rFonts w:ascii="Arial" w:hAnsi="Arial" w:cs="Arial"/>
        </w:rPr>
        <w:t xml:space="preserve">Hamzah, K. D. (2022). Use financial ratios as a tool to evaluate performance efficiency. </w:t>
      </w:r>
      <w:r w:rsidRPr="003476C6">
        <w:rPr>
          <w:rFonts w:ascii="Arial" w:hAnsi="Arial" w:cs="Arial"/>
          <w:i/>
          <w:iCs/>
        </w:rPr>
        <w:t>Iraqi Journal of Humanitarian, Social and Scientific Research, 2</w:t>
      </w:r>
      <w:r w:rsidRPr="003476C6">
        <w:rPr>
          <w:rFonts w:ascii="Arial" w:hAnsi="Arial" w:cs="Arial"/>
        </w:rPr>
        <w:t>(4), 210–228.</w:t>
      </w:r>
    </w:p>
    <w:p w14:paraId="39A58D80" w14:textId="77777777" w:rsidR="003476C6" w:rsidRPr="003476C6" w:rsidRDefault="003476C6" w:rsidP="003476C6">
      <w:pPr>
        <w:spacing w:line="480" w:lineRule="auto"/>
        <w:rPr>
          <w:rFonts w:ascii="Arial" w:hAnsi="Arial" w:cs="Arial"/>
        </w:rPr>
      </w:pPr>
      <w:r w:rsidRPr="003476C6">
        <w:rPr>
          <w:rFonts w:ascii="Arial" w:hAnsi="Arial" w:cs="Arial"/>
        </w:rPr>
        <w:lastRenderedPageBreak/>
        <w:t xml:space="preserve">Kassem, S. (2023). </w:t>
      </w:r>
      <w:r w:rsidRPr="003476C6">
        <w:rPr>
          <w:rFonts w:ascii="Arial" w:hAnsi="Arial" w:cs="Arial"/>
          <w:i/>
          <w:iCs/>
        </w:rPr>
        <w:t>Work and alienation in the platform economy: Amazon and the power of organization.</w:t>
      </w:r>
      <w:r w:rsidRPr="003476C6">
        <w:rPr>
          <w:rFonts w:ascii="Arial" w:hAnsi="Arial" w:cs="Arial"/>
        </w:rPr>
        <w:t xml:space="preserve"> Policy Press.</w:t>
      </w:r>
    </w:p>
    <w:p w14:paraId="50318D69" w14:textId="77777777" w:rsidR="003476C6" w:rsidRDefault="003476C6" w:rsidP="003476C6">
      <w:pPr>
        <w:spacing w:line="480" w:lineRule="auto"/>
        <w:rPr>
          <w:rFonts w:ascii="Arial" w:hAnsi="Arial" w:cs="Arial"/>
        </w:rPr>
      </w:pPr>
      <w:r w:rsidRPr="003476C6">
        <w:rPr>
          <w:rFonts w:ascii="Arial" w:hAnsi="Arial" w:cs="Arial"/>
        </w:rPr>
        <w:t xml:space="preserve">Lee, C. C. (2023). Analyses of the operating performance of information service companies based on indicators of financial statements. </w:t>
      </w:r>
      <w:r w:rsidRPr="003476C6">
        <w:rPr>
          <w:rFonts w:ascii="Arial" w:hAnsi="Arial" w:cs="Arial"/>
          <w:i/>
          <w:iCs/>
        </w:rPr>
        <w:t>Asia Pacific Management Review, 28</w:t>
      </w:r>
      <w:r w:rsidRPr="003476C6">
        <w:rPr>
          <w:rFonts w:ascii="Arial" w:hAnsi="Arial" w:cs="Arial"/>
        </w:rPr>
        <w:t>(4), 410–419.</w:t>
      </w:r>
    </w:p>
    <w:p w14:paraId="26959299" w14:textId="221D1168" w:rsidR="003476C6" w:rsidRPr="003476C6" w:rsidRDefault="003476C6" w:rsidP="003476C6">
      <w:pPr>
        <w:spacing w:line="480" w:lineRule="auto"/>
        <w:rPr>
          <w:rFonts w:ascii="Arial" w:hAnsi="Arial" w:cs="Arial"/>
        </w:rPr>
      </w:pPr>
      <w:r w:rsidRPr="003476C6">
        <w:rPr>
          <w:rFonts w:ascii="Arial" w:hAnsi="Arial" w:cs="Arial"/>
        </w:rPr>
        <w:t xml:space="preserve">Meduri, E. D. (2023). Marketing analytics and its application in ecommerce industry: Amazon. </w:t>
      </w:r>
      <w:r w:rsidRPr="003476C6">
        <w:rPr>
          <w:rFonts w:ascii="Arial" w:hAnsi="Arial" w:cs="Arial"/>
          <w:i/>
          <w:iCs/>
        </w:rPr>
        <w:t>International Journal of Management Research and Business Strategy, 13</w:t>
      </w:r>
      <w:r w:rsidRPr="003476C6">
        <w:rPr>
          <w:rFonts w:ascii="Arial" w:hAnsi="Arial" w:cs="Arial"/>
        </w:rPr>
        <w:t>(3), 150–174.</w:t>
      </w:r>
    </w:p>
    <w:p w14:paraId="170AE98C" w14:textId="3BFF3DAE" w:rsidR="003476C6" w:rsidRDefault="003476C6" w:rsidP="003476C6">
      <w:pPr>
        <w:spacing w:line="480" w:lineRule="auto"/>
        <w:rPr>
          <w:rFonts w:ascii="Arial" w:hAnsi="Arial" w:cs="Arial"/>
        </w:rPr>
      </w:pPr>
      <w:proofErr w:type="spellStart"/>
      <w:r w:rsidRPr="003476C6">
        <w:rPr>
          <w:rFonts w:ascii="Arial" w:hAnsi="Arial" w:cs="Arial"/>
        </w:rPr>
        <w:t>Pratama</w:t>
      </w:r>
      <w:proofErr w:type="spellEnd"/>
      <w:r w:rsidRPr="003476C6">
        <w:rPr>
          <w:rFonts w:ascii="Arial" w:hAnsi="Arial" w:cs="Arial"/>
        </w:rPr>
        <w:t xml:space="preserve">, A. Z., Sutopo, W., &amp; Rochani, R. (2022). </w:t>
      </w:r>
      <w:r w:rsidRPr="003476C6">
        <w:rPr>
          <w:rFonts w:ascii="Arial" w:hAnsi="Arial" w:cs="Arial"/>
          <w:i/>
          <w:iCs/>
        </w:rPr>
        <w:t>Financial performance analysis and business strategy using profitability ratio analysis: A case study</w:t>
      </w:r>
      <w:r w:rsidRPr="003476C6">
        <w:rPr>
          <w:rFonts w:ascii="Arial" w:hAnsi="Arial" w:cs="Arial"/>
        </w:rPr>
        <w:t xml:space="preserve">. In Proceedings of the 3rd Asia Pacific International Conference on Industrial Engineering and Operations Management (pp. 1266–1273). Johor Bahru, Malaysia: IEOM Society. </w:t>
      </w:r>
      <w:hyperlink r:id="rId9" w:history="1">
        <w:r w:rsidRPr="00932F96">
          <w:rPr>
            <w:rStyle w:val="Hyperlink"/>
            <w:rFonts w:ascii="Arial" w:hAnsi="Arial" w:cs="Arial"/>
          </w:rPr>
          <w:t>https://doi.org/10.46254/AP03,20220238</w:t>
        </w:r>
      </w:hyperlink>
    </w:p>
    <w:p w14:paraId="1FD6B3E7" w14:textId="7134F0E8" w:rsidR="003476C6" w:rsidRPr="003476C6" w:rsidRDefault="003476C6" w:rsidP="003476C6">
      <w:pPr>
        <w:spacing w:line="480" w:lineRule="auto"/>
        <w:rPr>
          <w:rFonts w:ascii="Arial" w:hAnsi="Arial" w:cs="Arial"/>
        </w:rPr>
      </w:pPr>
      <w:r w:rsidRPr="003476C6">
        <w:rPr>
          <w:rFonts w:ascii="Arial" w:hAnsi="Arial" w:cs="Arial"/>
        </w:rPr>
        <w:t xml:space="preserve">Robert, C. H., Jennifer, L. K., &amp; Todd, M. (2023). </w:t>
      </w:r>
      <w:r w:rsidRPr="003476C6">
        <w:rPr>
          <w:rFonts w:ascii="Arial" w:hAnsi="Arial" w:cs="Arial"/>
          <w:i/>
          <w:iCs/>
        </w:rPr>
        <w:t>Analysis for financial management</w:t>
      </w:r>
      <w:r w:rsidRPr="003476C6">
        <w:rPr>
          <w:rFonts w:ascii="Arial" w:hAnsi="Arial" w:cs="Arial"/>
        </w:rPr>
        <w:t>. McGraw-Hill Education.</w:t>
      </w:r>
    </w:p>
    <w:p w14:paraId="0FB2D060" w14:textId="74CDA4F2" w:rsidR="003476C6" w:rsidRPr="003476C6" w:rsidRDefault="003476C6" w:rsidP="003476C6">
      <w:pPr>
        <w:spacing w:line="480" w:lineRule="auto"/>
        <w:rPr>
          <w:rFonts w:ascii="Arial" w:hAnsi="Arial" w:cs="Arial"/>
        </w:rPr>
      </w:pPr>
      <w:r w:rsidRPr="003476C6">
        <w:rPr>
          <w:rFonts w:ascii="Arial" w:hAnsi="Arial" w:cs="Arial"/>
        </w:rPr>
        <w:t xml:space="preserve">Sharma, P. (2023). </w:t>
      </w:r>
      <w:r w:rsidRPr="003476C6">
        <w:rPr>
          <w:rFonts w:ascii="Arial" w:hAnsi="Arial" w:cs="Arial"/>
        </w:rPr>
        <w:t>Analysing</w:t>
      </w:r>
      <w:r w:rsidRPr="003476C6">
        <w:rPr>
          <w:rFonts w:ascii="Arial" w:hAnsi="Arial" w:cs="Arial"/>
        </w:rPr>
        <w:t xml:space="preserve"> how rigorous financial analysis informs strategic decisions and contributes to corporate growth</w:t>
      </w:r>
      <w:r w:rsidRPr="003476C6">
        <w:rPr>
          <w:rFonts w:ascii="Arial" w:hAnsi="Arial" w:cs="Arial"/>
          <w:i/>
          <w:iCs/>
        </w:rPr>
        <w:t>. Nanotechnology Perceptions, 20,</w:t>
      </w:r>
      <w:r w:rsidRPr="003476C6">
        <w:rPr>
          <w:rFonts w:ascii="Arial" w:hAnsi="Arial" w:cs="Arial"/>
        </w:rPr>
        <w:t xml:space="preserve"> 219–229.</w:t>
      </w:r>
    </w:p>
    <w:p w14:paraId="01FF274B" w14:textId="77777777" w:rsidR="003476C6" w:rsidRPr="003476C6" w:rsidRDefault="003476C6" w:rsidP="003476C6">
      <w:pPr>
        <w:spacing w:line="480" w:lineRule="auto"/>
        <w:rPr>
          <w:rFonts w:ascii="Arial" w:hAnsi="Arial" w:cs="Arial"/>
        </w:rPr>
      </w:pPr>
      <w:r w:rsidRPr="003476C6">
        <w:rPr>
          <w:rFonts w:ascii="Arial" w:hAnsi="Arial" w:cs="Arial"/>
        </w:rPr>
        <w:t xml:space="preserve">Wood, F. (2015). </w:t>
      </w:r>
      <w:r w:rsidRPr="003476C6">
        <w:rPr>
          <w:rFonts w:ascii="Arial" w:hAnsi="Arial" w:cs="Arial"/>
          <w:i/>
          <w:iCs/>
        </w:rPr>
        <w:t>Frank Wood’s Business Accounting 1</w:t>
      </w:r>
      <w:r w:rsidRPr="003476C6">
        <w:rPr>
          <w:rFonts w:ascii="Arial" w:hAnsi="Arial" w:cs="Arial"/>
        </w:rPr>
        <w:t xml:space="preserve"> (13th ed.). London: FT Pitman Publications.</w:t>
      </w:r>
    </w:p>
    <w:p w14:paraId="349307B8" w14:textId="77777777" w:rsidR="003476C6" w:rsidRPr="003476C6" w:rsidRDefault="003476C6" w:rsidP="003476C6">
      <w:pPr>
        <w:spacing w:line="480" w:lineRule="auto"/>
        <w:rPr>
          <w:rFonts w:ascii="Arial" w:hAnsi="Arial" w:cs="Arial"/>
        </w:rPr>
      </w:pPr>
    </w:p>
    <w:p w14:paraId="5B0DF619" w14:textId="77777777" w:rsidR="003476C6" w:rsidRDefault="003476C6" w:rsidP="00C6108E">
      <w:pPr>
        <w:spacing w:line="480" w:lineRule="auto"/>
        <w:rPr>
          <w:rFonts w:ascii="Arial" w:hAnsi="Arial" w:cs="Arial"/>
        </w:rPr>
      </w:pPr>
    </w:p>
    <w:p w14:paraId="3FF9446A" w14:textId="77777777" w:rsidR="008E21F1" w:rsidRPr="00C6108E" w:rsidRDefault="008E21F1" w:rsidP="00C6108E">
      <w:pPr>
        <w:spacing w:line="480" w:lineRule="auto"/>
        <w:rPr>
          <w:rFonts w:ascii="Arial" w:hAnsi="Arial" w:cs="Arial"/>
        </w:rPr>
      </w:pPr>
    </w:p>
    <w:sectPr w:rsidR="008E21F1" w:rsidRPr="00C6108E" w:rsidSect="00B715C4">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FFAE4" w14:textId="77777777" w:rsidR="00341A58" w:rsidRDefault="00341A58" w:rsidP="003476C6">
      <w:pPr>
        <w:spacing w:after="0" w:line="240" w:lineRule="auto"/>
      </w:pPr>
      <w:r>
        <w:separator/>
      </w:r>
    </w:p>
  </w:endnote>
  <w:endnote w:type="continuationSeparator" w:id="0">
    <w:p w14:paraId="7D270F8C" w14:textId="77777777" w:rsidR="00341A58" w:rsidRDefault="00341A58" w:rsidP="003476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1E7789" w14:textId="77777777" w:rsidR="00341A58" w:rsidRDefault="00341A58" w:rsidP="003476C6">
      <w:pPr>
        <w:spacing w:after="0" w:line="240" w:lineRule="auto"/>
      </w:pPr>
      <w:r>
        <w:separator/>
      </w:r>
    </w:p>
  </w:footnote>
  <w:footnote w:type="continuationSeparator" w:id="0">
    <w:p w14:paraId="0739E9C9" w14:textId="77777777" w:rsidR="00341A58" w:rsidRDefault="00341A58" w:rsidP="003476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7554598"/>
      <w:docPartObj>
        <w:docPartGallery w:val="Page Numbers (Top of Page)"/>
        <w:docPartUnique/>
      </w:docPartObj>
    </w:sdtPr>
    <w:sdtEndPr>
      <w:rPr>
        <w:noProof/>
      </w:rPr>
    </w:sdtEndPr>
    <w:sdtContent>
      <w:p w14:paraId="75F437AC" w14:textId="655E1E53" w:rsidR="003476C6" w:rsidRDefault="003476C6">
        <w:pPr>
          <w:pStyle w:val="Header"/>
        </w:pPr>
        <w:r>
          <w:fldChar w:fldCharType="begin"/>
        </w:r>
        <w:r>
          <w:instrText xml:space="preserve"> PAGE   \* MERGEFORMAT </w:instrText>
        </w:r>
        <w:r>
          <w:fldChar w:fldCharType="separate"/>
        </w:r>
        <w:r>
          <w:rPr>
            <w:noProof/>
          </w:rPr>
          <w:t>2</w:t>
        </w:r>
        <w:r>
          <w:rPr>
            <w:noProof/>
          </w:rPr>
          <w:fldChar w:fldCharType="end"/>
        </w:r>
      </w:p>
    </w:sdtContent>
  </w:sdt>
  <w:p w14:paraId="6491473D" w14:textId="77777777" w:rsidR="003476C6" w:rsidRDefault="003476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B34AC"/>
    <w:multiLevelType w:val="hybridMultilevel"/>
    <w:tmpl w:val="AEFC7E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C49007D"/>
    <w:multiLevelType w:val="hybridMultilevel"/>
    <w:tmpl w:val="B226D4BA"/>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0E127841"/>
    <w:multiLevelType w:val="hybridMultilevel"/>
    <w:tmpl w:val="7526C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E37BFE"/>
    <w:multiLevelType w:val="hybridMultilevel"/>
    <w:tmpl w:val="0FF224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7282885"/>
    <w:multiLevelType w:val="hybridMultilevel"/>
    <w:tmpl w:val="5CC453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99A60D2"/>
    <w:multiLevelType w:val="hybridMultilevel"/>
    <w:tmpl w:val="6A163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E96FAB"/>
    <w:multiLevelType w:val="hybridMultilevel"/>
    <w:tmpl w:val="02BE72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3341608">
    <w:abstractNumId w:val="1"/>
  </w:num>
  <w:num w:numId="2" w16cid:durableId="1506821733">
    <w:abstractNumId w:val="5"/>
  </w:num>
  <w:num w:numId="3" w16cid:durableId="1448965034">
    <w:abstractNumId w:val="2"/>
  </w:num>
  <w:num w:numId="4" w16cid:durableId="2033023968">
    <w:abstractNumId w:val="6"/>
  </w:num>
  <w:num w:numId="5" w16cid:durableId="681321200">
    <w:abstractNumId w:val="0"/>
  </w:num>
  <w:num w:numId="6" w16cid:durableId="1754426426">
    <w:abstractNumId w:val="4"/>
  </w:num>
  <w:num w:numId="7" w16cid:durableId="5362371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08E"/>
    <w:rsid w:val="00341A58"/>
    <w:rsid w:val="003476C6"/>
    <w:rsid w:val="0049708A"/>
    <w:rsid w:val="00633E0A"/>
    <w:rsid w:val="006853F6"/>
    <w:rsid w:val="00734EC2"/>
    <w:rsid w:val="0079599F"/>
    <w:rsid w:val="00797B5C"/>
    <w:rsid w:val="008E21F1"/>
    <w:rsid w:val="00B715C4"/>
    <w:rsid w:val="00C6108E"/>
    <w:rsid w:val="00F106A8"/>
    <w:rsid w:val="00F57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1AD84"/>
  <w15:chartTrackingRefBased/>
  <w15:docId w15:val="{C5A5D352-D85D-4874-A74A-C979C5D4E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10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10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10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10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10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10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10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10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10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0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10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10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10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10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10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10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10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108E"/>
    <w:rPr>
      <w:rFonts w:eastAsiaTheme="majorEastAsia" w:cstheme="majorBidi"/>
      <w:color w:val="272727" w:themeColor="text1" w:themeTint="D8"/>
    </w:rPr>
  </w:style>
  <w:style w:type="paragraph" w:styleId="Title">
    <w:name w:val="Title"/>
    <w:basedOn w:val="Normal"/>
    <w:next w:val="Normal"/>
    <w:link w:val="TitleChar"/>
    <w:uiPriority w:val="10"/>
    <w:qFormat/>
    <w:rsid w:val="00C610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10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10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10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108E"/>
    <w:pPr>
      <w:spacing w:before="160"/>
      <w:jc w:val="center"/>
    </w:pPr>
    <w:rPr>
      <w:i/>
      <w:iCs/>
      <w:color w:val="404040" w:themeColor="text1" w:themeTint="BF"/>
    </w:rPr>
  </w:style>
  <w:style w:type="character" w:customStyle="1" w:styleId="QuoteChar">
    <w:name w:val="Quote Char"/>
    <w:basedOn w:val="DefaultParagraphFont"/>
    <w:link w:val="Quote"/>
    <w:uiPriority w:val="29"/>
    <w:rsid w:val="00C6108E"/>
    <w:rPr>
      <w:i/>
      <w:iCs/>
      <w:color w:val="404040" w:themeColor="text1" w:themeTint="BF"/>
    </w:rPr>
  </w:style>
  <w:style w:type="paragraph" w:styleId="ListParagraph">
    <w:name w:val="List Paragraph"/>
    <w:basedOn w:val="Normal"/>
    <w:uiPriority w:val="34"/>
    <w:qFormat/>
    <w:rsid w:val="00C6108E"/>
    <w:pPr>
      <w:ind w:left="720"/>
      <w:contextualSpacing/>
    </w:pPr>
  </w:style>
  <w:style w:type="character" w:styleId="IntenseEmphasis">
    <w:name w:val="Intense Emphasis"/>
    <w:basedOn w:val="DefaultParagraphFont"/>
    <w:uiPriority w:val="21"/>
    <w:qFormat/>
    <w:rsid w:val="00C6108E"/>
    <w:rPr>
      <w:i/>
      <w:iCs/>
      <w:color w:val="0F4761" w:themeColor="accent1" w:themeShade="BF"/>
    </w:rPr>
  </w:style>
  <w:style w:type="paragraph" w:styleId="IntenseQuote">
    <w:name w:val="Intense Quote"/>
    <w:basedOn w:val="Normal"/>
    <w:next w:val="Normal"/>
    <w:link w:val="IntenseQuoteChar"/>
    <w:uiPriority w:val="30"/>
    <w:qFormat/>
    <w:rsid w:val="00C610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108E"/>
    <w:rPr>
      <w:i/>
      <w:iCs/>
      <w:color w:val="0F4761" w:themeColor="accent1" w:themeShade="BF"/>
    </w:rPr>
  </w:style>
  <w:style w:type="character" w:styleId="IntenseReference">
    <w:name w:val="Intense Reference"/>
    <w:basedOn w:val="DefaultParagraphFont"/>
    <w:uiPriority w:val="32"/>
    <w:qFormat/>
    <w:rsid w:val="00C6108E"/>
    <w:rPr>
      <w:b/>
      <w:bCs/>
      <w:smallCaps/>
      <w:color w:val="0F4761" w:themeColor="accent1" w:themeShade="BF"/>
      <w:spacing w:val="5"/>
    </w:rPr>
  </w:style>
  <w:style w:type="character" w:styleId="Hyperlink">
    <w:name w:val="Hyperlink"/>
    <w:basedOn w:val="DefaultParagraphFont"/>
    <w:uiPriority w:val="99"/>
    <w:unhideWhenUsed/>
    <w:rsid w:val="003476C6"/>
    <w:rPr>
      <w:color w:val="467886" w:themeColor="hyperlink"/>
      <w:u w:val="single"/>
    </w:rPr>
  </w:style>
  <w:style w:type="character" w:styleId="UnresolvedMention">
    <w:name w:val="Unresolved Mention"/>
    <w:basedOn w:val="DefaultParagraphFont"/>
    <w:uiPriority w:val="99"/>
    <w:semiHidden/>
    <w:unhideWhenUsed/>
    <w:rsid w:val="003476C6"/>
    <w:rPr>
      <w:color w:val="605E5C"/>
      <w:shd w:val="clear" w:color="auto" w:fill="E1DFDD"/>
    </w:rPr>
  </w:style>
  <w:style w:type="paragraph" w:styleId="Header">
    <w:name w:val="header"/>
    <w:basedOn w:val="Normal"/>
    <w:link w:val="HeaderChar"/>
    <w:uiPriority w:val="99"/>
    <w:unhideWhenUsed/>
    <w:rsid w:val="003476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6C6"/>
  </w:style>
  <w:style w:type="paragraph" w:styleId="Footer">
    <w:name w:val="footer"/>
    <w:basedOn w:val="Normal"/>
    <w:link w:val="FooterChar"/>
    <w:uiPriority w:val="99"/>
    <w:unhideWhenUsed/>
    <w:rsid w:val="003476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6C6"/>
  </w:style>
  <w:style w:type="paragraph" w:styleId="NoSpacing">
    <w:name w:val="No Spacing"/>
    <w:link w:val="NoSpacingChar"/>
    <w:uiPriority w:val="1"/>
    <w:qFormat/>
    <w:rsid w:val="00B715C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715C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2.q4cdn.com/299287126/files/doc_financials/2024/ar/Amazon-com-Inc-2023-Annual-Report.pdf" TargetMode="External"/><Relationship Id="rId3" Type="http://schemas.openxmlformats.org/officeDocument/2006/relationships/settings" Target="settings.xml"/><Relationship Id="rId7" Type="http://schemas.openxmlformats.org/officeDocument/2006/relationships/hyperlink" Target="https://s2.q4cdn.com/299287126/files/doc_financials/2023/ar/Amazon-2022-Annual-Report.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46254/AP03,202202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2059</Words>
  <Characters>11738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dc:title>
  <dc:subject>Assignment 1</dc:subject>
  <dc:creator>Mirabela Voican (1907947)</dc:creator>
  <cp:keywords/>
  <dc:description/>
  <cp:lastModifiedBy>Mirabela Voican (1907947)</cp:lastModifiedBy>
  <cp:revision>2</cp:revision>
  <dcterms:created xsi:type="dcterms:W3CDTF">2025-04-11T09:52:00Z</dcterms:created>
  <dcterms:modified xsi:type="dcterms:W3CDTF">2025-04-11T09:52:00Z</dcterms:modified>
</cp:coreProperties>
</file>