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0ACB43" w14:textId="77777777" w:rsidR="00D34C85" w:rsidRDefault="00D34C85">
      <w:pPr>
        <w:jc w:val="center"/>
        <w:rPr>
          <w:b/>
          <w:bCs/>
          <w:sz w:val="28"/>
          <w:szCs w:val="28"/>
        </w:rPr>
      </w:pPr>
    </w:p>
    <w:p w14:paraId="40F40413" w14:textId="246D2F4D" w:rsidR="000C2EC4" w:rsidRPr="001D04DB" w:rsidRDefault="000C2EC4">
      <w:pPr>
        <w:jc w:val="center"/>
        <w:rPr>
          <w:b/>
          <w:bCs/>
          <w:sz w:val="28"/>
          <w:szCs w:val="28"/>
        </w:rPr>
      </w:pPr>
      <w:r>
        <w:rPr>
          <w:noProof/>
        </w:rPr>
        <w:drawing>
          <wp:inline distT="0" distB="0" distL="0" distR="0" wp14:anchorId="605ECAF0" wp14:editId="50B0A9C1">
            <wp:extent cx="4752975" cy="1895475"/>
            <wp:effectExtent l="0" t="0" r="9525" b="0"/>
            <wp:docPr id="2088239091" name="Picture 23" descr="University of Wales Trinity Saint David - Universit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University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52975" cy="1895475"/>
                    </a:xfrm>
                    <a:prstGeom prst="rect">
                      <a:avLst/>
                    </a:prstGeom>
                    <a:noFill/>
                    <a:ln>
                      <a:noFill/>
                    </a:ln>
                  </pic:spPr>
                </pic:pic>
              </a:graphicData>
            </a:graphic>
          </wp:inline>
        </w:drawing>
      </w:r>
    </w:p>
    <w:p w14:paraId="4A24AA5F" w14:textId="77777777" w:rsidR="00D34C85" w:rsidRPr="001D04DB" w:rsidRDefault="00D34C85">
      <w:pPr>
        <w:jc w:val="center"/>
        <w:rPr>
          <w:b/>
          <w:bCs/>
          <w:sz w:val="28"/>
          <w:szCs w:val="28"/>
        </w:rPr>
      </w:pPr>
    </w:p>
    <w:p w14:paraId="7BA8E0F7" w14:textId="15746FCE" w:rsidR="00D34C85" w:rsidRPr="001D04DB" w:rsidRDefault="00416AF2">
      <w:pPr>
        <w:jc w:val="center"/>
        <w:rPr>
          <w:b/>
          <w:bCs/>
          <w:sz w:val="40"/>
          <w:szCs w:val="40"/>
        </w:rPr>
      </w:pPr>
      <w:r>
        <w:rPr>
          <w:b/>
          <w:bCs/>
          <w:sz w:val="40"/>
          <w:szCs w:val="40"/>
        </w:rPr>
        <w:t xml:space="preserve">Assignment Title: </w:t>
      </w:r>
      <w:r w:rsidRPr="001D04DB">
        <w:rPr>
          <w:b/>
          <w:bCs/>
          <w:sz w:val="40"/>
          <w:szCs w:val="40"/>
        </w:rPr>
        <w:t>Improving Patient Safety Through Strengthened Governance: A Root Cause Analysis of Systemic Failures at Mid Staffordshire NHS Foundation Trust</w:t>
      </w:r>
    </w:p>
    <w:p w14:paraId="18CB577F" w14:textId="77777777" w:rsidR="00D34C85" w:rsidRPr="001D04DB" w:rsidRDefault="00D34C85">
      <w:pPr>
        <w:jc w:val="center"/>
        <w:rPr>
          <w:b/>
          <w:bCs/>
          <w:sz w:val="28"/>
          <w:szCs w:val="28"/>
        </w:rPr>
      </w:pPr>
    </w:p>
    <w:p w14:paraId="4BE86F0A" w14:textId="77777777" w:rsidR="00D34C85" w:rsidRPr="001D04DB" w:rsidRDefault="00D34C85">
      <w:pPr>
        <w:rPr>
          <w:b/>
          <w:bCs/>
          <w:sz w:val="28"/>
          <w:szCs w:val="28"/>
        </w:rPr>
      </w:pPr>
    </w:p>
    <w:p w14:paraId="2EF8AC8C" w14:textId="77777777" w:rsidR="00D34C85" w:rsidRPr="001D04DB" w:rsidRDefault="00D34C85">
      <w:pPr>
        <w:jc w:val="center"/>
        <w:rPr>
          <w:b/>
          <w:bCs/>
          <w:sz w:val="28"/>
          <w:szCs w:val="28"/>
        </w:rPr>
      </w:pPr>
    </w:p>
    <w:p w14:paraId="15004F81" w14:textId="77777777" w:rsidR="00D34C85" w:rsidRPr="001D04DB" w:rsidRDefault="00000000">
      <w:pPr>
        <w:jc w:val="center"/>
        <w:rPr>
          <w:b/>
          <w:bCs/>
          <w:sz w:val="28"/>
          <w:szCs w:val="28"/>
        </w:rPr>
      </w:pPr>
      <w:r w:rsidRPr="001D04DB">
        <w:rPr>
          <w:b/>
          <w:bCs/>
          <w:sz w:val="28"/>
          <w:szCs w:val="28"/>
        </w:rPr>
        <w:t>Programme: MSc Public Health and Social Care in Practice</w:t>
      </w:r>
    </w:p>
    <w:p w14:paraId="47F6B6C5" w14:textId="12852CF9" w:rsidR="00D34C85" w:rsidRPr="001D04DB" w:rsidRDefault="00000000">
      <w:pPr>
        <w:jc w:val="center"/>
        <w:rPr>
          <w:b/>
          <w:bCs/>
          <w:sz w:val="28"/>
          <w:szCs w:val="28"/>
        </w:rPr>
      </w:pPr>
      <w:r w:rsidRPr="001D04DB">
        <w:rPr>
          <w:b/>
          <w:bCs/>
          <w:sz w:val="28"/>
          <w:szCs w:val="28"/>
        </w:rPr>
        <w:t>Module: Quality Assurance and Service Improvements</w:t>
      </w:r>
      <w:r w:rsidR="008F5D5A">
        <w:rPr>
          <w:b/>
          <w:bCs/>
          <w:sz w:val="28"/>
          <w:szCs w:val="28"/>
        </w:rPr>
        <w:t xml:space="preserve"> LCHS7006</w:t>
      </w:r>
    </w:p>
    <w:p w14:paraId="5ECE722A" w14:textId="77777777" w:rsidR="00D34C85" w:rsidRDefault="00000000">
      <w:pPr>
        <w:jc w:val="center"/>
        <w:rPr>
          <w:b/>
          <w:bCs/>
          <w:sz w:val="28"/>
          <w:szCs w:val="28"/>
        </w:rPr>
      </w:pPr>
      <w:r w:rsidRPr="001D04DB">
        <w:rPr>
          <w:b/>
          <w:bCs/>
          <w:sz w:val="28"/>
          <w:szCs w:val="28"/>
        </w:rPr>
        <w:t>Assignment Title: Component 2 Service Improvement Report</w:t>
      </w:r>
    </w:p>
    <w:p w14:paraId="1556C94D" w14:textId="5F2560DD" w:rsidR="00416AF2" w:rsidRDefault="00416AF2">
      <w:pPr>
        <w:jc w:val="center"/>
        <w:rPr>
          <w:b/>
          <w:bCs/>
          <w:sz w:val="28"/>
          <w:szCs w:val="28"/>
        </w:rPr>
      </w:pPr>
      <w:r>
        <w:rPr>
          <w:b/>
          <w:bCs/>
          <w:sz w:val="28"/>
          <w:szCs w:val="28"/>
        </w:rPr>
        <w:t xml:space="preserve">Student Name: </w:t>
      </w:r>
      <w:proofErr w:type="spellStart"/>
      <w:r w:rsidRPr="00416AF2">
        <w:rPr>
          <w:b/>
          <w:bCs/>
          <w:sz w:val="28"/>
          <w:szCs w:val="28"/>
        </w:rPr>
        <w:t>Vaishalikumari</w:t>
      </w:r>
      <w:proofErr w:type="spellEnd"/>
      <w:r w:rsidRPr="00416AF2">
        <w:rPr>
          <w:b/>
          <w:bCs/>
          <w:sz w:val="28"/>
          <w:szCs w:val="28"/>
        </w:rPr>
        <w:t xml:space="preserve"> Vihar Patel</w:t>
      </w:r>
    </w:p>
    <w:p w14:paraId="0742C150" w14:textId="3627D5BF" w:rsidR="00416AF2" w:rsidRDefault="00416AF2">
      <w:pPr>
        <w:jc w:val="center"/>
        <w:rPr>
          <w:b/>
          <w:bCs/>
          <w:sz w:val="28"/>
          <w:szCs w:val="28"/>
        </w:rPr>
      </w:pPr>
      <w:r>
        <w:rPr>
          <w:b/>
          <w:bCs/>
          <w:sz w:val="28"/>
          <w:szCs w:val="28"/>
        </w:rPr>
        <w:t xml:space="preserve">Student Number: </w:t>
      </w:r>
      <w:r w:rsidRPr="00416AF2">
        <w:rPr>
          <w:b/>
          <w:bCs/>
          <w:sz w:val="28"/>
          <w:szCs w:val="28"/>
        </w:rPr>
        <w:t>2436885</w:t>
      </w:r>
    </w:p>
    <w:p w14:paraId="109B03E0" w14:textId="34C509D8" w:rsidR="00416AF2" w:rsidRPr="001D04DB" w:rsidRDefault="00416AF2">
      <w:pPr>
        <w:jc w:val="center"/>
        <w:rPr>
          <w:b/>
          <w:bCs/>
          <w:sz w:val="28"/>
          <w:szCs w:val="28"/>
        </w:rPr>
      </w:pPr>
      <w:r>
        <w:rPr>
          <w:b/>
          <w:bCs/>
          <w:sz w:val="28"/>
          <w:szCs w:val="28"/>
        </w:rPr>
        <w:t>Lecturer’s Name:</w:t>
      </w:r>
      <w:r w:rsidR="008F5D5A">
        <w:rPr>
          <w:b/>
          <w:bCs/>
          <w:sz w:val="28"/>
          <w:szCs w:val="28"/>
        </w:rPr>
        <w:t xml:space="preserve"> Arif Ahmed</w:t>
      </w:r>
    </w:p>
    <w:p w14:paraId="30FEA3DA" w14:textId="77777777" w:rsidR="00D34C85" w:rsidRPr="001D04DB" w:rsidRDefault="00D34C85">
      <w:pPr>
        <w:jc w:val="center"/>
        <w:rPr>
          <w:b/>
          <w:bCs/>
          <w:sz w:val="28"/>
          <w:szCs w:val="28"/>
        </w:rPr>
      </w:pPr>
    </w:p>
    <w:p w14:paraId="33E0BFEF" w14:textId="77777777" w:rsidR="00D34C85" w:rsidRPr="001D04DB" w:rsidRDefault="00000000">
      <w:pPr>
        <w:spacing w:after="160" w:line="259" w:lineRule="auto"/>
        <w:jc w:val="left"/>
        <w:rPr>
          <w:b/>
          <w:bCs/>
          <w:sz w:val="28"/>
          <w:szCs w:val="28"/>
        </w:rPr>
      </w:pPr>
      <w:r w:rsidRPr="001D04DB">
        <w:br w:type="page"/>
      </w:r>
    </w:p>
    <w:p w14:paraId="502FF037" w14:textId="77777777" w:rsidR="00D34C85" w:rsidRPr="001D04DB" w:rsidRDefault="00000000">
      <w:pPr>
        <w:keepNext/>
        <w:keepLines/>
        <w:pBdr>
          <w:top w:val="nil"/>
          <w:left w:val="nil"/>
          <w:bottom w:val="nil"/>
          <w:right w:val="nil"/>
          <w:between w:val="nil"/>
        </w:pBdr>
        <w:spacing w:before="240" w:line="259" w:lineRule="auto"/>
        <w:jc w:val="center"/>
        <w:rPr>
          <w:rFonts w:ascii="Times New Roman" w:eastAsia="Times New Roman" w:hAnsi="Times New Roman" w:cs="Times New Roman"/>
          <w:b/>
          <w:bCs/>
          <w:sz w:val="32"/>
          <w:szCs w:val="32"/>
        </w:rPr>
      </w:pPr>
      <w:r w:rsidRPr="001D04DB">
        <w:rPr>
          <w:rFonts w:ascii="Times New Roman" w:eastAsia="Times New Roman" w:hAnsi="Times New Roman" w:cs="Times New Roman"/>
          <w:b/>
          <w:bCs/>
          <w:sz w:val="32"/>
          <w:szCs w:val="32"/>
        </w:rPr>
        <w:lastRenderedPageBreak/>
        <w:t>Table of Contents</w:t>
      </w:r>
    </w:p>
    <w:sdt>
      <w:sdtPr>
        <w:rPr>
          <w:rFonts w:cs="Arial"/>
          <w:szCs w:val="22"/>
        </w:rPr>
        <w:id w:val="-1222455869"/>
        <w:docPartObj>
          <w:docPartGallery w:val="Table of Contents"/>
          <w:docPartUnique/>
        </w:docPartObj>
      </w:sdtPr>
      <w:sdtContent>
        <w:p w14:paraId="402796BA" w14:textId="7C2728FF" w:rsidR="00332A50" w:rsidRDefault="00000000">
          <w:pPr>
            <w:pStyle w:val="TOC1"/>
            <w:tabs>
              <w:tab w:val="right" w:leader="dot" w:pos="9016"/>
            </w:tabs>
            <w:rPr>
              <w:rFonts w:asciiTheme="minorHAnsi" w:eastAsiaTheme="minorEastAsia" w:hAnsiTheme="minorHAnsi" w:cstheme="minorBidi"/>
              <w:noProof/>
              <w:kern w:val="2"/>
              <w:sz w:val="24"/>
              <w:szCs w:val="24"/>
              <w:lang w:eastAsia="en-IN" w:bidi="ar-SA"/>
              <w14:ligatures w14:val="standardContextual"/>
            </w:rPr>
          </w:pPr>
          <w:r w:rsidRPr="001D04DB">
            <w:fldChar w:fldCharType="begin"/>
          </w:r>
          <w:r w:rsidRPr="001D04DB">
            <w:instrText xml:space="preserve"> TOC \h \u \z \t "Heading 1,1,Heading 2,2,Heading 3,3,"</w:instrText>
          </w:r>
          <w:r w:rsidRPr="001D04DB">
            <w:fldChar w:fldCharType="separate"/>
          </w:r>
          <w:hyperlink w:anchor="_Toc227271680" w:history="1">
            <w:r w:rsidR="00332A50" w:rsidRPr="00E74CAF">
              <w:rPr>
                <w:rStyle w:val="Hyperlink"/>
                <w:noProof/>
              </w:rPr>
              <w:t>Introduction</w:t>
            </w:r>
            <w:r w:rsidR="00332A50">
              <w:rPr>
                <w:noProof/>
                <w:webHidden/>
              </w:rPr>
              <w:tab/>
            </w:r>
            <w:r w:rsidR="00332A50">
              <w:rPr>
                <w:noProof/>
                <w:webHidden/>
              </w:rPr>
              <w:fldChar w:fldCharType="begin"/>
            </w:r>
            <w:r w:rsidR="00332A50">
              <w:rPr>
                <w:noProof/>
                <w:webHidden/>
              </w:rPr>
              <w:instrText xml:space="preserve"> PAGEREF _Toc227271680 \h </w:instrText>
            </w:r>
            <w:r w:rsidR="00332A50">
              <w:rPr>
                <w:noProof/>
                <w:webHidden/>
              </w:rPr>
            </w:r>
            <w:r w:rsidR="00332A50">
              <w:rPr>
                <w:noProof/>
                <w:webHidden/>
              </w:rPr>
              <w:fldChar w:fldCharType="separate"/>
            </w:r>
            <w:r w:rsidR="00332A50">
              <w:rPr>
                <w:noProof/>
                <w:webHidden/>
              </w:rPr>
              <w:t>2</w:t>
            </w:r>
            <w:r w:rsidR="00332A50">
              <w:rPr>
                <w:noProof/>
                <w:webHidden/>
              </w:rPr>
              <w:fldChar w:fldCharType="end"/>
            </w:r>
          </w:hyperlink>
        </w:p>
        <w:p w14:paraId="49CE341D" w14:textId="51687768" w:rsidR="00332A50" w:rsidRDefault="00332A50">
          <w:pPr>
            <w:pStyle w:val="TOC1"/>
            <w:tabs>
              <w:tab w:val="right" w:leader="dot" w:pos="9016"/>
            </w:tabs>
            <w:rPr>
              <w:rFonts w:asciiTheme="minorHAnsi" w:eastAsiaTheme="minorEastAsia" w:hAnsiTheme="minorHAnsi" w:cstheme="minorBidi"/>
              <w:noProof/>
              <w:kern w:val="2"/>
              <w:sz w:val="24"/>
              <w:szCs w:val="24"/>
              <w:lang w:eastAsia="en-IN" w:bidi="ar-SA"/>
              <w14:ligatures w14:val="standardContextual"/>
            </w:rPr>
          </w:pPr>
          <w:hyperlink w:anchor="_Toc227271681" w:history="1">
            <w:r w:rsidRPr="00E74CAF">
              <w:rPr>
                <w:rStyle w:val="Hyperlink"/>
                <w:noProof/>
              </w:rPr>
              <w:t>Main Body</w:t>
            </w:r>
            <w:r>
              <w:rPr>
                <w:noProof/>
                <w:webHidden/>
              </w:rPr>
              <w:tab/>
            </w:r>
            <w:r>
              <w:rPr>
                <w:noProof/>
                <w:webHidden/>
              </w:rPr>
              <w:fldChar w:fldCharType="begin"/>
            </w:r>
            <w:r>
              <w:rPr>
                <w:noProof/>
                <w:webHidden/>
              </w:rPr>
              <w:instrText xml:space="preserve"> PAGEREF _Toc227271681 \h </w:instrText>
            </w:r>
            <w:r>
              <w:rPr>
                <w:noProof/>
                <w:webHidden/>
              </w:rPr>
            </w:r>
            <w:r>
              <w:rPr>
                <w:noProof/>
                <w:webHidden/>
              </w:rPr>
              <w:fldChar w:fldCharType="separate"/>
            </w:r>
            <w:r>
              <w:rPr>
                <w:noProof/>
                <w:webHidden/>
              </w:rPr>
              <w:t>3</w:t>
            </w:r>
            <w:r>
              <w:rPr>
                <w:noProof/>
                <w:webHidden/>
              </w:rPr>
              <w:fldChar w:fldCharType="end"/>
            </w:r>
          </w:hyperlink>
        </w:p>
        <w:p w14:paraId="06B20E83" w14:textId="02B371D7" w:rsidR="00332A50" w:rsidRDefault="00332A50">
          <w:pPr>
            <w:pStyle w:val="TOC2"/>
            <w:tabs>
              <w:tab w:val="right" w:leader="dot" w:pos="9016"/>
            </w:tabs>
            <w:rPr>
              <w:rFonts w:asciiTheme="minorHAnsi" w:eastAsiaTheme="minorEastAsia" w:hAnsiTheme="minorHAnsi" w:cstheme="minorBidi"/>
              <w:noProof/>
              <w:kern w:val="2"/>
              <w:sz w:val="24"/>
              <w:szCs w:val="24"/>
              <w:lang w:eastAsia="en-IN" w:bidi="ar-SA"/>
              <w14:ligatures w14:val="standardContextual"/>
            </w:rPr>
          </w:pPr>
          <w:hyperlink w:anchor="_Toc227271682" w:history="1">
            <w:r w:rsidRPr="00E74CAF">
              <w:rPr>
                <w:rStyle w:val="Hyperlink"/>
                <w:noProof/>
              </w:rPr>
              <w:t>1. Root Cause Analysis of Quality Failures</w:t>
            </w:r>
            <w:r>
              <w:rPr>
                <w:noProof/>
                <w:webHidden/>
              </w:rPr>
              <w:tab/>
            </w:r>
            <w:r>
              <w:rPr>
                <w:noProof/>
                <w:webHidden/>
              </w:rPr>
              <w:fldChar w:fldCharType="begin"/>
            </w:r>
            <w:r>
              <w:rPr>
                <w:noProof/>
                <w:webHidden/>
              </w:rPr>
              <w:instrText xml:space="preserve"> PAGEREF _Toc227271682 \h </w:instrText>
            </w:r>
            <w:r>
              <w:rPr>
                <w:noProof/>
                <w:webHidden/>
              </w:rPr>
            </w:r>
            <w:r>
              <w:rPr>
                <w:noProof/>
                <w:webHidden/>
              </w:rPr>
              <w:fldChar w:fldCharType="separate"/>
            </w:r>
            <w:r>
              <w:rPr>
                <w:noProof/>
                <w:webHidden/>
              </w:rPr>
              <w:t>3</w:t>
            </w:r>
            <w:r>
              <w:rPr>
                <w:noProof/>
                <w:webHidden/>
              </w:rPr>
              <w:fldChar w:fldCharType="end"/>
            </w:r>
          </w:hyperlink>
        </w:p>
        <w:p w14:paraId="77E3601F" w14:textId="0DEF1A93" w:rsidR="00332A50" w:rsidRDefault="00332A50">
          <w:pPr>
            <w:pStyle w:val="TOC2"/>
            <w:tabs>
              <w:tab w:val="right" w:leader="dot" w:pos="9016"/>
            </w:tabs>
            <w:rPr>
              <w:rFonts w:asciiTheme="minorHAnsi" w:eastAsiaTheme="minorEastAsia" w:hAnsiTheme="minorHAnsi" w:cstheme="minorBidi"/>
              <w:noProof/>
              <w:kern w:val="2"/>
              <w:sz w:val="24"/>
              <w:szCs w:val="24"/>
              <w:lang w:eastAsia="en-IN" w:bidi="ar-SA"/>
              <w14:ligatures w14:val="standardContextual"/>
            </w:rPr>
          </w:pPr>
          <w:hyperlink w:anchor="_Toc227271683" w:history="1">
            <w:r w:rsidRPr="00E74CAF">
              <w:rPr>
                <w:rStyle w:val="Hyperlink"/>
                <w:noProof/>
              </w:rPr>
              <w:t>2. Application of the Fishbone Diagram (Ishikawa Model)</w:t>
            </w:r>
            <w:r>
              <w:rPr>
                <w:noProof/>
                <w:webHidden/>
              </w:rPr>
              <w:tab/>
            </w:r>
            <w:r>
              <w:rPr>
                <w:noProof/>
                <w:webHidden/>
              </w:rPr>
              <w:fldChar w:fldCharType="begin"/>
            </w:r>
            <w:r>
              <w:rPr>
                <w:noProof/>
                <w:webHidden/>
              </w:rPr>
              <w:instrText xml:space="preserve"> PAGEREF _Toc227271683 \h </w:instrText>
            </w:r>
            <w:r>
              <w:rPr>
                <w:noProof/>
                <w:webHidden/>
              </w:rPr>
            </w:r>
            <w:r>
              <w:rPr>
                <w:noProof/>
                <w:webHidden/>
              </w:rPr>
              <w:fldChar w:fldCharType="separate"/>
            </w:r>
            <w:r>
              <w:rPr>
                <w:noProof/>
                <w:webHidden/>
              </w:rPr>
              <w:t>4</w:t>
            </w:r>
            <w:r>
              <w:rPr>
                <w:noProof/>
                <w:webHidden/>
              </w:rPr>
              <w:fldChar w:fldCharType="end"/>
            </w:r>
          </w:hyperlink>
        </w:p>
        <w:p w14:paraId="68EB8FBA" w14:textId="7AC5CBE0" w:rsidR="00332A50" w:rsidRDefault="00332A50">
          <w:pPr>
            <w:pStyle w:val="TOC2"/>
            <w:tabs>
              <w:tab w:val="right" w:leader="dot" w:pos="9016"/>
            </w:tabs>
            <w:rPr>
              <w:rFonts w:asciiTheme="minorHAnsi" w:eastAsiaTheme="minorEastAsia" w:hAnsiTheme="minorHAnsi" w:cstheme="minorBidi"/>
              <w:noProof/>
              <w:kern w:val="2"/>
              <w:sz w:val="24"/>
              <w:szCs w:val="24"/>
              <w:lang w:eastAsia="en-IN" w:bidi="ar-SA"/>
              <w14:ligatures w14:val="standardContextual"/>
            </w:rPr>
          </w:pPr>
          <w:hyperlink w:anchor="_Toc227271684" w:history="1">
            <w:r w:rsidRPr="00E74CAF">
              <w:rPr>
                <w:rStyle w:val="Hyperlink"/>
                <w:noProof/>
              </w:rPr>
              <w:t>3. Donabedian Model: Structure, Process, Outcome</w:t>
            </w:r>
            <w:r>
              <w:rPr>
                <w:noProof/>
                <w:webHidden/>
              </w:rPr>
              <w:tab/>
            </w:r>
            <w:r>
              <w:rPr>
                <w:noProof/>
                <w:webHidden/>
              </w:rPr>
              <w:fldChar w:fldCharType="begin"/>
            </w:r>
            <w:r>
              <w:rPr>
                <w:noProof/>
                <w:webHidden/>
              </w:rPr>
              <w:instrText xml:space="preserve"> PAGEREF _Toc227271684 \h </w:instrText>
            </w:r>
            <w:r>
              <w:rPr>
                <w:noProof/>
                <w:webHidden/>
              </w:rPr>
            </w:r>
            <w:r>
              <w:rPr>
                <w:noProof/>
                <w:webHidden/>
              </w:rPr>
              <w:fldChar w:fldCharType="separate"/>
            </w:r>
            <w:r>
              <w:rPr>
                <w:noProof/>
                <w:webHidden/>
              </w:rPr>
              <w:t>5</w:t>
            </w:r>
            <w:r>
              <w:rPr>
                <w:noProof/>
                <w:webHidden/>
              </w:rPr>
              <w:fldChar w:fldCharType="end"/>
            </w:r>
          </w:hyperlink>
        </w:p>
        <w:p w14:paraId="2FF5C630" w14:textId="421039EE" w:rsidR="00332A50" w:rsidRDefault="00332A50">
          <w:pPr>
            <w:pStyle w:val="TOC2"/>
            <w:tabs>
              <w:tab w:val="right" w:leader="dot" w:pos="9016"/>
            </w:tabs>
            <w:rPr>
              <w:rFonts w:asciiTheme="minorHAnsi" w:eastAsiaTheme="minorEastAsia" w:hAnsiTheme="minorHAnsi" w:cstheme="minorBidi"/>
              <w:noProof/>
              <w:kern w:val="2"/>
              <w:sz w:val="24"/>
              <w:szCs w:val="24"/>
              <w:lang w:eastAsia="en-IN" w:bidi="ar-SA"/>
              <w14:ligatures w14:val="standardContextual"/>
            </w:rPr>
          </w:pPr>
          <w:hyperlink w:anchor="_Toc227271685" w:history="1">
            <w:r w:rsidRPr="00E74CAF">
              <w:rPr>
                <w:rStyle w:val="Hyperlink"/>
                <w:noProof/>
              </w:rPr>
              <w:t>4. SWOT Analysis for Strategic Evaluation</w:t>
            </w:r>
            <w:r>
              <w:rPr>
                <w:noProof/>
                <w:webHidden/>
              </w:rPr>
              <w:tab/>
            </w:r>
            <w:r>
              <w:rPr>
                <w:noProof/>
                <w:webHidden/>
              </w:rPr>
              <w:fldChar w:fldCharType="begin"/>
            </w:r>
            <w:r>
              <w:rPr>
                <w:noProof/>
                <w:webHidden/>
              </w:rPr>
              <w:instrText xml:space="preserve"> PAGEREF _Toc227271685 \h </w:instrText>
            </w:r>
            <w:r>
              <w:rPr>
                <w:noProof/>
                <w:webHidden/>
              </w:rPr>
            </w:r>
            <w:r>
              <w:rPr>
                <w:noProof/>
                <w:webHidden/>
              </w:rPr>
              <w:fldChar w:fldCharType="separate"/>
            </w:r>
            <w:r>
              <w:rPr>
                <w:noProof/>
                <w:webHidden/>
              </w:rPr>
              <w:t>6</w:t>
            </w:r>
            <w:r>
              <w:rPr>
                <w:noProof/>
                <w:webHidden/>
              </w:rPr>
              <w:fldChar w:fldCharType="end"/>
            </w:r>
          </w:hyperlink>
        </w:p>
        <w:p w14:paraId="02C0DD55" w14:textId="117515E1" w:rsidR="00332A50" w:rsidRDefault="00332A50">
          <w:pPr>
            <w:pStyle w:val="TOC2"/>
            <w:tabs>
              <w:tab w:val="right" w:leader="dot" w:pos="9016"/>
            </w:tabs>
            <w:rPr>
              <w:rFonts w:asciiTheme="minorHAnsi" w:eastAsiaTheme="minorEastAsia" w:hAnsiTheme="minorHAnsi" w:cstheme="minorBidi"/>
              <w:noProof/>
              <w:kern w:val="2"/>
              <w:sz w:val="24"/>
              <w:szCs w:val="24"/>
              <w:lang w:eastAsia="en-IN" w:bidi="ar-SA"/>
              <w14:ligatures w14:val="standardContextual"/>
            </w:rPr>
          </w:pPr>
          <w:hyperlink w:anchor="_Toc227271686" w:history="1">
            <w:r w:rsidRPr="00E74CAF">
              <w:rPr>
                <w:rStyle w:val="Hyperlink"/>
                <w:noProof/>
              </w:rPr>
              <w:t>5. Integration of Theoretical Frameworks</w:t>
            </w:r>
            <w:r>
              <w:rPr>
                <w:noProof/>
                <w:webHidden/>
              </w:rPr>
              <w:tab/>
            </w:r>
            <w:r>
              <w:rPr>
                <w:noProof/>
                <w:webHidden/>
              </w:rPr>
              <w:fldChar w:fldCharType="begin"/>
            </w:r>
            <w:r>
              <w:rPr>
                <w:noProof/>
                <w:webHidden/>
              </w:rPr>
              <w:instrText xml:space="preserve"> PAGEREF _Toc227271686 \h </w:instrText>
            </w:r>
            <w:r>
              <w:rPr>
                <w:noProof/>
                <w:webHidden/>
              </w:rPr>
            </w:r>
            <w:r>
              <w:rPr>
                <w:noProof/>
                <w:webHidden/>
              </w:rPr>
              <w:fldChar w:fldCharType="separate"/>
            </w:r>
            <w:r>
              <w:rPr>
                <w:noProof/>
                <w:webHidden/>
              </w:rPr>
              <w:t>6</w:t>
            </w:r>
            <w:r>
              <w:rPr>
                <w:noProof/>
                <w:webHidden/>
              </w:rPr>
              <w:fldChar w:fldCharType="end"/>
            </w:r>
          </w:hyperlink>
        </w:p>
        <w:p w14:paraId="3BF7BAB4" w14:textId="2DD55C14" w:rsidR="00332A50" w:rsidRDefault="00332A50">
          <w:pPr>
            <w:pStyle w:val="TOC1"/>
            <w:tabs>
              <w:tab w:val="right" w:leader="dot" w:pos="9016"/>
            </w:tabs>
            <w:rPr>
              <w:rFonts w:asciiTheme="minorHAnsi" w:eastAsiaTheme="minorEastAsia" w:hAnsiTheme="minorHAnsi" w:cstheme="minorBidi"/>
              <w:noProof/>
              <w:kern w:val="2"/>
              <w:sz w:val="24"/>
              <w:szCs w:val="24"/>
              <w:lang w:eastAsia="en-IN" w:bidi="ar-SA"/>
              <w14:ligatures w14:val="standardContextual"/>
            </w:rPr>
          </w:pPr>
          <w:hyperlink w:anchor="_Toc227271687" w:history="1">
            <w:r w:rsidRPr="00E74CAF">
              <w:rPr>
                <w:rStyle w:val="Hyperlink"/>
                <w:noProof/>
              </w:rPr>
              <w:t>Recommendations</w:t>
            </w:r>
            <w:r>
              <w:rPr>
                <w:noProof/>
                <w:webHidden/>
              </w:rPr>
              <w:tab/>
            </w:r>
            <w:r>
              <w:rPr>
                <w:noProof/>
                <w:webHidden/>
              </w:rPr>
              <w:fldChar w:fldCharType="begin"/>
            </w:r>
            <w:r>
              <w:rPr>
                <w:noProof/>
                <w:webHidden/>
              </w:rPr>
              <w:instrText xml:space="preserve"> PAGEREF _Toc227271687 \h </w:instrText>
            </w:r>
            <w:r>
              <w:rPr>
                <w:noProof/>
                <w:webHidden/>
              </w:rPr>
            </w:r>
            <w:r>
              <w:rPr>
                <w:noProof/>
                <w:webHidden/>
              </w:rPr>
              <w:fldChar w:fldCharType="separate"/>
            </w:r>
            <w:r>
              <w:rPr>
                <w:noProof/>
                <w:webHidden/>
              </w:rPr>
              <w:t>7</w:t>
            </w:r>
            <w:r>
              <w:rPr>
                <w:noProof/>
                <w:webHidden/>
              </w:rPr>
              <w:fldChar w:fldCharType="end"/>
            </w:r>
          </w:hyperlink>
        </w:p>
        <w:p w14:paraId="29C26768" w14:textId="6D5AA6EC" w:rsidR="00332A50" w:rsidRDefault="00332A50">
          <w:pPr>
            <w:pStyle w:val="TOC1"/>
            <w:tabs>
              <w:tab w:val="right" w:leader="dot" w:pos="9016"/>
            </w:tabs>
            <w:rPr>
              <w:rFonts w:asciiTheme="minorHAnsi" w:eastAsiaTheme="minorEastAsia" w:hAnsiTheme="minorHAnsi" w:cstheme="minorBidi"/>
              <w:noProof/>
              <w:kern w:val="2"/>
              <w:sz w:val="24"/>
              <w:szCs w:val="24"/>
              <w:lang w:eastAsia="en-IN" w:bidi="ar-SA"/>
              <w14:ligatures w14:val="standardContextual"/>
            </w:rPr>
          </w:pPr>
          <w:hyperlink w:anchor="_Toc227271688" w:history="1">
            <w:r w:rsidRPr="00E74CAF">
              <w:rPr>
                <w:rStyle w:val="Hyperlink"/>
                <w:noProof/>
              </w:rPr>
              <w:t>Conclusion</w:t>
            </w:r>
            <w:r>
              <w:rPr>
                <w:noProof/>
                <w:webHidden/>
              </w:rPr>
              <w:tab/>
            </w:r>
            <w:r>
              <w:rPr>
                <w:noProof/>
                <w:webHidden/>
              </w:rPr>
              <w:fldChar w:fldCharType="begin"/>
            </w:r>
            <w:r>
              <w:rPr>
                <w:noProof/>
                <w:webHidden/>
              </w:rPr>
              <w:instrText xml:space="preserve"> PAGEREF _Toc227271688 \h </w:instrText>
            </w:r>
            <w:r>
              <w:rPr>
                <w:noProof/>
                <w:webHidden/>
              </w:rPr>
            </w:r>
            <w:r>
              <w:rPr>
                <w:noProof/>
                <w:webHidden/>
              </w:rPr>
              <w:fldChar w:fldCharType="separate"/>
            </w:r>
            <w:r>
              <w:rPr>
                <w:noProof/>
                <w:webHidden/>
              </w:rPr>
              <w:t>9</w:t>
            </w:r>
            <w:r>
              <w:rPr>
                <w:noProof/>
                <w:webHidden/>
              </w:rPr>
              <w:fldChar w:fldCharType="end"/>
            </w:r>
          </w:hyperlink>
        </w:p>
        <w:p w14:paraId="2205CD5C" w14:textId="483A56C0" w:rsidR="00332A50" w:rsidRDefault="00332A50">
          <w:pPr>
            <w:pStyle w:val="TOC1"/>
            <w:tabs>
              <w:tab w:val="right" w:leader="dot" w:pos="9016"/>
            </w:tabs>
            <w:rPr>
              <w:rFonts w:asciiTheme="minorHAnsi" w:eastAsiaTheme="minorEastAsia" w:hAnsiTheme="minorHAnsi" w:cstheme="minorBidi"/>
              <w:noProof/>
              <w:kern w:val="2"/>
              <w:sz w:val="24"/>
              <w:szCs w:val="24"/>
              <w:lang w:eastAsia="en-IN" w:bidi="ar-SA"/>
              <w14:ligatures w14:val="standardContextual"/>
            </w:rPr>
          </w:pPr>
          <w:hyperlink w:anchor="_Toc227271689" w:history="1">
            <w:r w:rsidRPr="00E74CAF">
              <w:rPr>
                <w:rStyle w:val="Hyperlink"/>
                <w:noProof/>
              </w:rPr>
              <w:t>References</w:t>
            </w:r>
            <w:r>
              <w:rPr>
                <w:noProof/>
                <w:webHidden/>
              </w:rPr>
              <w:tab/>
            </w:r>
            <w:r>
              <w:rPr>
                <w:noProof/>
                <w:webHidden/>
              </w:rPr>
              <w:fldChar w:fldCharType="begin"/>
            </w:r>
            <w:r>
              <w:rPr>
                <w:noProof/>
                <w:webHidden/>
              </w:rPr>
              <w:instrText xml:space="preserve"> PAGEREF _Toc227271689 \h </w:instrText>
            </w:r>
            <w:r>
              <w:rPr>
                <w:noProof/>
                <w:webHidden/>
              </w:rPr>
            </w:r>
            <w:r>
              <w:rPr>
                <w:noProof/>
                <w:webHidden/>
              </w:rPr>
              <w:fldChar w:fldCharType="separate"/>
            </w:r>
            <w:r>
              <w:rPr>
                <w:noProof/>
                <w:webHidden/>
              </w:rPr>
              <w:t>11</w:t>
            </w:r>
            <w:r>
              <w:rPr>
                <w:noProof/>
                <w:webHidden/>
              </w:rPr>
              <w:fldChar w:fldCharType="end"/>
            </w:r>
          </w:hyperlink>
        </w:p>
        <w:p w14:paraId="4D82604E" w14:textId="53A40E53" w:rsidR="00D34C85" w:rsidRPr="001D04DB" w:rsidRDefault="00000000">
          <w:r w:rsidRPr="001D04DB">
            <w:fldChar w:fldCharType="end"/>
          </w:r>
        </w:p>
      </w:sdtContent>
    </w:sdt>
    <w:p w14:paraId="1DB56229" w14:textId="77777777" w:rsidR="00D34C85" w:rsidRPr="001D04DB" w:rsidRDefault="00D34C85">
      <w:pPr>
        <w:pStyle w:val="Heading1"/>
      </w:pPr>
    </w:p>
    <w:p w14:paraId="52837FDB" w14:textId="77777777" w:rsidR="00D34C85" w:rsidRPr="001D04DB" w:rsidRDefault="00000000">
      <w:pPr>
        <w:spacing w:after="160" w:line="259" w:lineRule="auto"/>
        <w:jc w:val="left"/>
        <w:rPr>
          <w:b/>
          <w:bCs/>
          <w:sz w:val="28"/>
          <w:szCs w:val="28"/>
        </w:rPr>
      </w:pPr>
      <w:r w:rsidRPr="001D04DB">
        <w:br w:type="page"/>
      </w:r>
    </w:p>
    <w:p w14:paraId="19CCE0E8" w14:textId="2AF402A0" w:rsidR="00D34C85" w:rsidRPr="001D04DB" w:rsidRDefault="00000000">
      <w:pPr>
        <w:pStyle w:val="Heading1"/>
      </w:pPr>
      <w:bookmarkStart w:id="0" w:name="_Toc227271680"/>
      <w:r w:rsidRPr="001D04DB">
        <w:lastRenderedPageBreak/>
        <w:t>Introduction</w:t>
      </w:r>
      <w:bookmarkEnd w:id="0"/>
    </w:p>
    <w:p w14:paraId="63DCF0C8" w14:textId="77777777" w:rsidR="00D34C85" w:rsidRPr="001D04DB" w:rsidRDefault="00000000">
      <w:r w:rsidRPr="001D04DB">
        <w:t>Failures in healthcare quality and governance may cause serious patient harm, and patient safety is an essential issue of public health concern. The case of Mid Staffordshire NHS Foundation Trust shows one of the most severe failures in care quality in the National Health Service (NHS) in England. In 2005-2009, the Trust was involved in a public inquiry by Robert Francis and found that the trust involved widespread failure in leadership, accountability, and quality assurance (Lawless et al., 2019). The Francis Report found that poor governance mechanisms and targets that were financially oriented and not patient-focused led to unacceptable standards such as neglect, inadequate staffing and inability to address patient needs (Francis, 2013).</w:t>
      </w:r>
    </w:p>
    <w:p w14:paraId="2E0E13F4" w14:textId="77777777" w:rsidR="00D34C85" w:rsidRPr="001D04DB" w:rsidRDefault="00000000">
      <w:r w:rsidRPr="001D04DB">
        <w:t>There was evidence to show that the mortality rates at the Trust were by far higher than expected, and the standardised mortality ratios were between 127 and 145, as compared to the national standard of 100 (Healthcare Commission, 2009). Moreover, 1,200 excess deaths were estimated based on substandard care (Full Fact, 2013). Such failures underscore organisational culture, clinical governance and monitoring processes' weaknesses, causing avoidable harm. This report is going to critically examine the underlying causes of these quality failures and the cost-effectiveness of the strategies to improve the services using the well-established theoretical frameworks and quality management methods.</w:t>
      </w:r>
    </w:p>
    <w:p w14:paraId="6D2055AC" w14:textId="3C6AD7EC" w:rsidR="00D34C85" w:rsidRPr="001D04DB" w:rsidRDefault="00000000">
      <w:r w:rsidRPr="001D04DB">
        <w:t>The continuity of the quality failures in Mid Staffordshire is also indicative of systemic issues in healthcare governance and performance management (Smith and Chambers, 2019). The NHS at this time was under a severe policy pressure nationally to balance its finances and demonstrate key performance indicators like waiting times. This indicates that hospitals focus on target compliance as opposed to clinical outcomes that may see the quality of care diminish, especially when hospitals are under resource pressure (Hughes, 2023). For instance, Mid Staffordshire, the Foundation Trust status resulted in providing financial viability and frequent access to the patient-centred care. This demonstrates that such failures are not organisational problems in isolation, however, there are considerable risks to the population on a population level. Further, substandard care leads to avoidable morbidity and mortality, elevated hospital readmissions, and loss of confidence by people in healthcare systems in the long-term (Kumah, 2025). This represents that unsafe care contributes about 10% of the number of patient harm incidence across the world, with a significant number being preventable (WHO, 2021). It supports the significance of effective quality assurance systems and unceasing service enhancement in protecting patient outcomes. Moreover, the case of Mid Staffordshire shows that the organisational culture is an important aspect that determines care delivery (</w:t>
      </w:r>
      <w:proofErr w:type="spellStart"/>
      <w:r w:rsidRPr="001D04DB">
        <w:t>Newdick</w:t>
      </w:r>
      <w:proofErr w:type="spellEnd"/>
      <w:r w:rsidRPr="001D04DB">
        <w:t xml:space="preserve"> and Danbury, 2015</w:t>
      </w:r>
      <w:r w:rsidR="0085692B" w:rsidRPr="001D04DB">
        <w:t>)</w:t>
      </w:r>
      <w:r w:rsidRPr="001D04DB">
        <w:t xml:space="preserve">. With a limitation in opportunities, lack of </w:t>
      </w:r>
      <w:r w:rsidRPr="001D04DB">
        <w:lastRenderedPageBreak/>
        <w:t>openness, ineffective incident reporting systems, and inability to act on patient feedback leads to accountability.</w:t>
      </w:r>
    </w:p>
    <w:p w14:paraId="0C83A61E" w14:textId="77777777" w:rsidR="00D34C85" w:rsidRPr="001D04DB" w:rsidRDefault="00000000">
      <w:r w:rsidRPr="001D04DB">
        <w:t>It is necessary to study this case in terms of the developed quality management to learn both about the past failures and inform sustainable healthcare systems improvement. The report analyses by incorporating theoretical models and strategic tools to analyse the evidence-based service improvement.</w:t>
      </w:r>
    </w:p>
    <w:p w14:paraId="31887F7A" w14:textId="3BEB55A1" w:rsidR="00D34C85" w:rsidRPr="001D04DB" w:rsidRDefault="00000000">
      <w:pPr>
        <w:pStyle w:val="Heading1"/>
      </w:pPr>
      <w:bookmarkStart w:id="1" w:name="_heading=h.pvgoyblre78e" w:colFirst="0" w:colLast="0"/>
      <w:bookmarkStart w:id="2" w:name="_Toc227271681"/>
      <w:bookmarkEnd w:id="1"/>
      <w:r w:rsidRPr="001D04DB">
        <w:t>Main Body</w:t>
      </w:r>
      <w:bookmarkEnd w:id="2"/>
    </w:p>
    <w:p w14:paraId="5C8F3619" w14:textId="77777777" w:rsidR="00D34C85" w:rsidRPr="001D04DB" w:rsidRDefault="00000000">
      <w:pPr>
        <w:pStyle w:val="Heading2"/>
      </w:pPr>
      <w:bookmarkStart w:id="3" w:name="_Toc227271682"/>
      <w:r w:rsidRPr="001D04DB">
        <w:t>1. Root Cause Analysis of Quality Failures</w:t>
      </w:r>
      <w:bookmarkEnd w:id="3"/>
    </w:p>
    <w:p w14:paraId="7D1B418F" w14:textId="77777777" w:rsidR="00D34C85" w:rsidRPr="001D04DB" w:rsidRDefault="00000000">
      <w:r w:rsidRPr="001D04DB">
        <w:t>The Mid Staffordshire NHS Foundation Trust failures were not isolated but reflected the outcome of the systemic weaknesses, which were underlined by the organisational structures, processes and culture. Root cause analysis (RCA) has become a well-organised system for the identification of the underlying causes of unfavourable events, taking corrective measures, and observing the results. RCA helps enhance a culture of safety and improve the quality of care delivered by healthcare professionals by aiding in the analysis of errors, near misses, and sentinel events (Singh et al., 2024). In this instance, data from the Francis Report show that the absence of proper leadership, staffing, and functioning governance systems provided conditions under which unsafe practices were continuing (Francis, 2013).</w:t>
      </w:r>
    </w:p>
    <w:p w14:paraId="19AEFB0B" w14:textId="77777777" w:rsidR="00D34C85" w:rsidRPr="001D04DB" w:rsidRDefault="00000000">
      <w:r w:rsidRPr="001D04DB">
        <w:t>One of the most important reasons why RCA-based tools should be applied is that they have the potential to reveal latent failures (organisational weaknesses) as well as active failures (frontline errors) (Kiruthika, 2015). This method can be especially applied in more complicated healthcare environments in which various interacting variables cause patient harm.</w:t>
      </w:r>
    </w:p>
    <w:p w14:paraId="68E1A4A5" w14:textId="77777777" w:rsidR="00D34C85" w:rsidRPr="001D04DB" w:rsidRDefault="00000000">
      <w:r w:rsidRPr="001D04DB">
        <w:t>The utilisation of the Root Cause Analysis (RCA) can be expanded by the application of the 5 Whys method that reveals causal pathways of systemic failures (</w:t>
      </w:r>
      <w:proofErr w:type="spellStart"/>
      <w:r w:rsidRPr="001D04DB">
        <w:t>Gangidi</w:t>
      </w:r>
      <w:proofErr w:type="spellEnd"/>
      <w:r w:rsidRPr="001D04DB">
        <w:t>, 2019). For example, by asking why patients were harmed leads to a lack of observation; why there were no observations taken leads to understaffing; why there were understaffing decisions leads to decisions about cost-cutting; why there was a focus on cost-cutting decisions leads to organisational attention on financial results; and finally, why the focus on financial results persisted results in regulatory laxity and governance failure (</w:t>
      </w:r>
      <w:proofErr w:type="spellStart"/>
      <w:r w:rsidRPr="001D04DB">
        <w:t>Gangidi</w:t>
      </w:r>
      <w:proofErr w:type="spellEnd"/>
      <w:r w:rsidRPr="001D04DB">
        <w:t>, 2019). Therefore, questioning in layers indicates how the failures on the front lines were indicators of systemic and policy level problems. Similarly, NHS investigations like the Morecambe Bay investigation found a similar pattern, with systemic failure in leadership to analyse the situation and ineffective clinical decision-making also being based on systemic leadership failures as opposed to individual human error (Kirkup, 2015). This supports the significance of RCA as a means of differentiating between proximate and root causes.</w:t>
      </w:r>
    </w:p>
    <w:p w14:paraId="33762B01" w14:textId="77777777" w:rsidR="00D34C85" w:rsidRPr="001D04DB" w:rsidRDefault="00000000">
      <w:pPr>
        <w:pStyle w:val="Heading2"/>
      </w:pPr>
      <w:bookmarkStart w:id="4" w:name="_Toc227271683"/>
      <w:r w:rsidRPr="001D04DB">
        <w:lastRenderedPageBreak/>
        <w:t>2. Application of the Fishbone Diagram (Ishikawa Model)</w:t>
      </w:r>
      <w:bookmarkEnd w:id="4"/>
    </w:p>
    <w:p w14:paraId="575C8FC4" w14:textId="77777777" w:rsidR="00D34C85" w:rsidRPr="001D04DB" w:rsidRDefault="00000000">
      <w:r w:rsidRPr="001D04DB">
        <w:t>The Fishbone Diagram (Ishikawa) offers a systematic means of classifying the emergence of quality failure causes into major areas, including people, processes, environment, equipment, and management (Kumah et al., 2024). Well, in the Mid Staffordshire case, several big problems arose in these areas.</w:t>
      </w:r>
    </w:p>
    <w:p w14:paraId="15043A35" w14:textId="77777777" w:rsidR="00D34C85" w:rsidRPr="001D04DB" w:rsidRDefault="00000000">
      <w:pPr>
        <w:numPr>
          <w:ilvl w:val="0"/>
          <w:numId w:val="5"/>
        </w:numPr>
        <w:pBdr>
          <w:top w:val="nil"/>
          <w:left w:val="nil"/>
          <w:bottom w:val="nil"/>
          <w:right w:val="nil"/>
          <w:between w:val="nil"/>
        </w:pBdr>
      </w:pPr>
      <w:r w:rsidRPr="001D04DB">
        <w:rPr>
          <w:b/>
          <w:bCs/>
        </w:rPr>
        <w:t>People (Staffing and Skills)</w:t>
      </w:r>
      <w:r w:rsidRPr="001D04DB">
        <w:t xml:space="preserve">: Chronic understaffing and lack of training caused missed observations and poor monitoring of the patient (Healthcare Commission, 2009). Poor morale of staff also lowered the quality of care. </w:t>
      </w:r>
    </w:p>
    <w:p w14:paraId="5E39BB39" w14:textId="77777777" w:rsidR="00D34C85" w:rsidRPr="001D04DB" w:rsidRDefault="00000000">
      <w:pPr>
        <w:numPr>
          <w:ilvl w:val="0"/>
          <w:numId w:val="5"/>
        </w:numPr>
        <w:pBdr>
          <w:top w:val="nil"/>
          <w:left w:val="nil"/>
          <w:bottom w:val="nil"/>
          <w:right w:val="nil"/>
          <w:between w:val="nil"/>
        </w:pBdr>
      </w:pPr>
      <w:r w:rsidRPr="001D04DB">
        <w:rPr>
          <w:b/>
          <w:bCs/>
        </w:rPr>
        <w:t>Processes</w:t>
      </w:r>
      <w:r w:rsidRPr="001D04DB">
        <w:t xml:space="preserve">: Learning was not effective as incidents failed to generate knowledge because of ineffective clinical governance and ineffective complaint-handling systems (Francis, 2013). </w:t>
      </w:r>
    </w:p>
    <w:p w14:paraId="67D06DD8" w14:textId="77777777" w:rsidR="00D34C85" w:rsidRPr="001D04DB" w:rsidRDefault="00000000">
      <w:pPr>
        <w:numPr>
          <w:ilvl w:val="0"/>
          <w:numId w:val="5"/>
        </w:numPr>
        <w:pBdr>
          <w:top w:val="nil"/>
          <w:left w:val="nil"/>
          <w:bottom w:val="nil"/>
          <w:right w:val="nil"/>
          <w:between w:val="nil"/>
        </w:pBdr>
      </w:pPr>
      <w:r w:rsidRPr="001D04DB">
        <w:rPr>
          <w:b/>
          <w:bCs/>
        </w:rPr>
        <w:t>Management</w:t>
      </w:r>
      <w:r w:rsidRPr="001D04DB">
        <w:t xml:space="preserve">: The management was prioritising financial achievements and foundation trust status above patient safety, and this indicates that organisational priorities were misaligned (Francis, 2013). </w:t>
      </w:r>
    </w:p>
    <w:p w14:paraId="4212E623" w14:textId="77777777" w:rsidR="00D34C85" w:rsidRPr="001D04DB" w:rsidRDefault="00000000">
      <w:pPr>
        <w:numPr>
          <w:ilvl w:val="0"/>
          <w:numId w:val="5"/>
        </w:numPr>
        <w:pBdr>
          <w:top w:val="nil"/>
          <w:left w:val="nil"/>
          <w:bottom w:val="nil"/>
          <w:right w:val="nil"/>
          <w:between w:val="nil"/>
        </w:pBdr>
      </w:pPr>
      <w:r w:rsidRPr="001D04DB">
        <w:rPr>
          <w:b/>
          <w:bCs/>
        </w:rPr>
        <w:t>Environment/Culture</w:t>
      </w:r>
      <w:r w:rsidRPr="001D04DB">
        <w:t xml:space="preserve">: There was a culture of fear and defence of whistleblowing and transparency (Lynas, 2015). </w:t>
      </w:r>
    </w:p>
    <w:p w14:paraId="6A13B16B" w14:textId="77777777" w:rsidR="00D34C85" w:rsidRPr="001D04DB" w:rsidRDefault="00000000">
      <w:pPr>
        <w:pBdr>
          <w:top w:val="nil"/>
          <w:left w:val="nil"/>
          <w:bottom w:val="nil"/>
          <w:right w:val="nil"/>
          <w:between w:val="nil"/>
        </w:pBdr>
        <w:ind w:left="720"/>
      </w:pPr>
      <w:r w:rsidRPr="001D04DB">
        <w:rPr>
          <w:noProof/>
        </w:rPr>
        <mc:AlternateContent>
          <mc:Choice Requires="wps">
            <w:drawing>
              <wp:anchor distT="0" distB="0" distL="114300" distR="114300" simplePos="0" relativeHeight="251658240" behindDoc="0" locked="0" layoutInCell="1" hidden="0" allowOverlap="1" wp14:anchorId="468660EF" wp14:editId="2C418FFC">
                <wp:simplePos x="0" y="0"/>
                <wp:positionH relativeFrom="column">
                  <wp:posOffset>2003425</wp:posOffset>
                </wp:positionH>
                <wp:positionV relativeFrom="paragraph">
                  <wp:posOffset>92710</wp:posOffset>
                </wp:positionV>
                <wp:extent cx="1831975" cy="708025"/>
                <wp:effectExtent l="0" t="0" r="0" b="0"/>
                <wp:wrapNone/>
                <wp:docPr id="11" name="Rectangle 11"/>
                <wp:cNvGraphicFramePr/>
                <a:graphic xmlns:a="http://schemas.openxmlformats.org/drawingml/2006/main">
                  <a:graphicData uri="http://schemas.microsoft.com/office/word/2010/wordprocessingShape">
                    <wps:wsp>
                      <wps:cNvSpPr/>
                      <wps:spPr>
                        <a:xfrm>
                          <a:off x="4436363" y="3432338"/>
                          <a:ext cx="1819275" cy="695325"/>
                        </a:xfrm>
                        <a:prstGeom prst="rect">
                          <a:avLst/>
                        </a:prstGeom>
                        <a:solidFill>
                          <a:srgbClr val="A66500"/>
                        </a:solidFill>
                        <a:ln w="12700" cap="flat" cmpd="sng">
                          <a:solidFill>
                            <a:srgbClr val="1C3052"/>
                          </a:solidFill>
                          <a:prstDash val="solid"/>
                          <a:miter lim="800000"/>
                          <a:headEnd type="none" w="sm" len="sm"/>
                          <a:tailEnd type="none" w="sm" len="sm"/>
                        </a:ln>
                      </wps:spPr>
                      <wps:txbx>
                        <w:txbxContent>
                          <w:p w14:paraId="5ECDE914" w14:textId="77777777" w:rsidR="00D34C85" w:rsidRDefault="00000000">
                            <w:pPr>
                              <w:ind w:left="720" w:firstLine="360"/>
                              <w:jc w:val="center"/>
                              <w:textDirection w:val="btLr"/>
                            </w:pPr>
                            <w:r>
                              <w:rPr>
                                <w:b/>
                                <w:color w:val="000000"/>
                                <w:sz w:val="14"/>
                              </w:rPr>
                              <w:t>Focus on targets over safety</w:t>
                            </w:r>
                          </w:p>
                          <w:p w14:paraId="1C73897F" w14:textId="77777777" w:rsidR="00D34C85" w:rsidRDefault="00000000">
                            <w:pPr>
                              <w:ind w:left="720" w:firstLine="360"/>
                              <w:jc w:val="center"/>
                              <w:textDirection w:val="btLr"/>
                            </w:pPr>
                            <w:r>
                              <w:rPr>
                                <w:b/>
                                <w:color w:val="000000"/>
                                <w:sz w:val="14"/>
                              </w:rPr>
                              <w:t>• Weak leadership</w:t>
                            </w:r>
                          </w:p>
                          <w:p w14:paraId="176E8FD3" w14:textId="77777777" w:rsidR="00D34C85" w:rsidRDefault="00000000">
                            <w:pPr>
                              <w:ind w:left="720" w:firstLine="360"/>
                              <w:jc w:val="center"/>
                              <w:textDirection w:val="btLr"/>
                            </w:pPr>
                            <w:r>
                              <w:rPr>
                                <w:b/>
                                <w:color w:val="000000"/>
                                <w:sz w:val="14"/>
                              </w:rPr>
                              <w:t xml:space="preserve">• Poor governance </w:t>
                            </w:r>
                          </w:p>
                          <w:p w14:paraId="07905E75" w14:textId="77777777" w:rsidR="00D34C85" w:rsidRDefault="00000000">
                            <w:pPr>
                              <w:ind w:left="720" w:firstLine="360"/>
                              <w:jc w:val="center"/>
                              <w:textDirection w:val="btLr"/>
                            </w:pPr>
                            <w:r>
                              <w:rPr>
                                <w:b/>
                                <w:color w:val="000000"/>
                                <w:sz w:val="14"/>
                              </w:rPr>
                              <w:t>• Lack of oversight</w:t>
                            </w:r>
                          </w:p>
                        </w:txbxContent>
                      </wps:txbx>
                      <wps:bodyPr spcFirstLastPara="1" wrap="square" lIns="91425" tIns="45700" rIns="91425" bIns="45700" anchor="ctr" anchorCtr="0">
                        <a:noAutofit/>
                      </wps:bodyPr>
                    </wps:wsp>
                  </a:graphicData>
                </a:graphic>
              </wp:anchor>
            </w:drawing>
          </mc:Choice>
          <mc:Fallback>
            <w:pict>
              <v:rect w14:anchorId="468660EF" id="Rectangle 11" o:spid="_x0000_s1026" style="position:absolute;left:0;text-align:left;margin-left:157.75pt;margin-top:7.3pt;width:144.25pt;height:55.75pt;z-index:2516582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" fillcolor="#a66500" strokecolor="#1c3052" strokeweight="1pt">
                <v:stroke startarrowwidth="narrow" startarrowlength="short" endarrowwidth="narrow" endarrowlength="short"/>
                <v:textbox inset="2.53958mm,1.2694mm,2.53958mm,1.2694mm">
                  <w:txbxContent>
                    <w:p w14:paraId="5ECDE914" w14:textId="77777777" w:rsidR="00D34C85" w:rsidRDefault="00000000">
                      <w:pPr>
                        <w:ind w:left="720" w:firstLine="360"/>
                        <w:jc w:val="center"/>
                        <w:textDirection w:val="btLr"/>
                      </w:pPr>
                      <w:r>
                        <w:rPr>
                          <w:b/>
                          <w:color w:val="000000"/>
                          <w:sz w:val="14"/>
                        </w:rPr>
                        <w:t>Focus on targets over safety</w:t>
                      </w:r>
                    </w:p>
                    <w:p w14:paraId="1C73897F" w14:textId="77777777" w:rsidR="00D34C85" w:rsidRDefault="00000000">
                      <w:pPr>
                        <w:ind w:left="720" w:firstLine="360"/>
                        <w:jc w:val="center"/>
                        <w:textDirection w:val="btLr"/>
                      </w:pPr>
                      <w:r>
                        <w:rPr>
                          <w:b/>
                          <w:color w:val="000000"/>
                          <w:sz w:val="14"/>
                        </w:rPr>
                        <w:t>• Weak leadership</w:t>
                      </w:r>
                    </w:p>
                    <w:p w14:paraId="176E8FD3" w14:textId="77777777" w:rsidR="00D34C85" w:rsidRDefault="00000000">
                      <w:pPr>
                        <w:ind w:left="720" w:firstLine="360"/>
                        <w:jc w:val="center"/>
                        <w:textDirection w:val="btLr"/>
                      </w:pPr>
                      <w:r>
                        <w:rPr>
                          <w:b/>
                          <w:color w:val="000000"/>
                          <w:sz w:val="14"/>
                        </w:rPr>
                        <w:t xml:space="preserve">• Poor governance </w:t>
                      </w:r>
                    </w:p>
                    <w:p w14:paraId="07905E75" w14:textId="77777777" w:rsidR="00D34C85" w:rsidRDefault="00000000">
                      <w:pPr>
                        <w:ind w:left="720" w:firstLine="360"/>
                        <w:jc w:val="center"/>
                        <w:textDirection w:val="btLr"/>
                      </w:pPr>
                      <w:r>
                        <w:rPr>
                          <w:b/>
                          <w:color w:val="000000"/>
                          <w:sz w:val="14"/>
                        </w:rPr>
                        <w:t>• Lack of oversight</w:t>
                      </w:r>
                    </w:p>
                  </w:txbxContent>
                </v:textbox>
              </v:rect>
            </w:pict>
          </mc:Fallback>
        </mc:AlternateContent>
      </w:r>
      <w:r w:rsidRPr="001D04DB">
        <w:rPr>
          <w:noProof/>
        </w:rPr>
        <mc:AlternateContent>
          <mc:Choice Requires="wps">
            <w:drawing>
              <wp:anchor distT="0" distB="0" distL="114300" distR="114300" simplePos="0" relativeHeight="251659264" behindDoc="0" locked="0" layoutInCell="1" hidden="0" allowOverlap="1" wp14:anchorId="6A3D843F" wp14:editId="55074C96">
                <wp:simplePos x="0" y="0"/>
                <wp:positionH relativeFrom="column">
                  <wp:posOffset>250825</wp:posOffset>
                </wp:positionH>
                <wp:positionV relativeFrom="paragraph">
                  <wp:posOffset>235585</wp:posOffset>
                </wp:positionV>
                <wp:extent cx="1289050" cy="622300"/>
                <wp:effectExtent l="0" t="0" r="0" b="0"/>
                <wp:wrapNone/>
                <wp:docPr id="18" name="Rectangle 18"/>
                <wp:cNvGraphicFramePr/>
                <a:graphic xmlns:a="http://schemas.openxmlformats.org/drawingml/2006/main">
                  <a:graphicData uri="http://schemas.microsoft.com/office/word/2010/wordprocessingShape">
                    <wps:wsp>
                      <wps:cNvSpPr/>
                      <wps:spPr>
                        <a:xfrm>
                          <a:off x="4707825" y="3475200"/>
                          <a:ext cx="1276350" cy="609600"/>
                        </a:xfrm>
                        <a:prstGeom prst="rect">
                          <a:avLst/>
                        </a:prstGeom>
                        <a:solidFill>
                          <a:srgbClr val="A66500"/>
                        </a:solidFill>
                        <a:ln w="12700" cap="flat" cmpd="sng">
                          <a:solidFill>
                            <a:srgbClr val="1C3052"/>
                          </a:solidFill>
                          <a:prstDash val="solid"/>
                          <a:miter lim="800000"/>
                          <a:headEnd type="none" w="sm" len="sm"/>
                          <a:tailEnd type="none" w="sm" len="sm"/>
                        </a:ln>
                      </wps:spPr>
                      <wps:txbx>
                        <w:txbxContent>
                          <w:p w14:paraId="1ABAFFD5" w14:textId="77777777" w:rsidR="00D34C85" w:rsidRDefault="00000000">
                            <w:pPr>
                              <w:jc w:val="center"/>
                              <w:textDirection w:val="btLr"/>
                            </w:pPr>
                            <w:r>
                              <w:rPr>
                                <w:b/>
                                <w:color w:val="000000"/>
                                <w:sz w:val="14"/>
                              </w:rPr>
                              <w:t>• Lack of resources</w:t>
                            </w:r>
                          </w:p>
                          <w:p w14:paraId="12F541C8" w14:textId="77777777" w:rsidR="00D34C85" w:rsidRDefault="00000000">
                            <w:pPr>
                              <w:jc w:val="center"/>
                              <w:textDirection w:val="btLr"/>
                            </w:pPr>
                            <w:r>
                              <w:rPr>
                                <w:b/>
                                <w:color w:val="000000"/>
                                <w:sz w:val="14"/>
                              </w:rPr>
                              <w:t>• Inadequate facilities</w:t>
                            </w:r>
                          </w:p>
                        </w:txbxContent>
                      </wps:txbx>
                      <wps:bodyPr spcFirstLastPara="1" wrap="square" lIns="91425" tIns="45700" rIns="91425" bIns="45700" anchor="ctr" anchorCtr="0">
                        <a:noAutofit/>
                      </wps:bodyPr>
                    </wps:wsp>
                  </a:graphicData>
                </a:graphic>
              </wp:anchor>
            </w:drawing>
          </mc:Choice>
          <mc:Fallback>
            <w:pict>
              <v:rect w14:anchorId="6A3D843F" id="Rectangle 18" o:spid="_x0000_s1027" style="position:absolute;left:0;text-align:left;margin-left:19.75pt;margin-top:18.55pt;width:101.5pt;height:49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" fillcolor="#a66500" strokecolor="#1c3052" strokeweight="1pt">
                <v:stroke startarrowwidth="narrow" startarrowlength="short" endarrowwidth="narrow" endarrowlength="short"/>
                <v:textbox inset="2.53958mm,1.2694mm,2.53958mm,1.2694mm">
                  <w:txbxContent>
                    <w:p w14:paraId="1ABAFFD5" w14:textId="77777777" w:rsidR="00D34C85" w:rsidRDefault="00000000">
                      <w:pPr>
                        <w:jc w:val="center"/>
                        <w:textDirection w:val="btLr"/>
                      </w:pPr>
                      <w:r>
                        <w:rPr>
                          <w:b/>
                          <w:color w:val="000000"/>
                          <w:sz w:val="14"/>
                        </w:rPr>
                        <w:t>• Lack of resources</w:t>
                      </w:r>
                    </w:p>
                    <w:p w14:paraId="12F541C8" w14:textId="77777777" w:rsidR="00D34C85" w:rsidRDefault="00000000">
                      <w:pPr>
                        <w:jc w:val="center"/>
                        <w:textDirection w:val="btLr"/>
                      </w:pPr>
                      <w:r>
                        <w:rPr>
                          <w:b/>
                          <w:color w:val="000000"/>
                          <w:sz w:val="14"/>
                        </w:rPr>
                        <w:t>• Inadequate facilities</w:t>
                      </w:r>
                    </w:p>
                  </w:txbxContent>
                </v:textbox>
              </v:rect>
            </w:pict>
          </mc:Fallback>
        </mc:AlternateContent>
      </w:r>
    </w:p>
    <w:p w14:paraId="108A3482" w14:textId="77777777" w:rsidR="00D34C85" w:rsidRPr="001D04DB" w:rsidRDefault="00000000">
      <w:r w:rsidRPr="001D04DB">
        <w:rPr>
          <w:noProof/>
        </w:rPr>
        <mc:AlternateContent>
          <mc:Choice Requires="wps">
            <w:drawing>
              <wp:anchor distT="0" distB="0" distL="114300" distR="114300" simplePos="0" relativeHeight="251660288" behindDoc="0" locked="0" layoutInCell="1" hidden="0" allowOverlap="1" wp14:anchorId="1411FF52" wp14:editId="117CA4B0">
                <wp:simplePos x="0" y="0"/>
                <wp:positionH relativeFrom="column">
                  <wp:posOffset>4222750</wp:posOffset>
                </wp:positionH>
                <wp:positionV relativeFrom="paragraph">
                  <wp:posOffset>156210</wp:posOffset>
                </wp:positionV>
                <wp:extent cx="1603375" cy="679450"/>
                <wp:effectExtent l="0" t="0" r="0" b="0"/>
                <wp:wrapNone/>
                <wp:docPr id="19" name="Rectangle 19"/>
                <wp:cNvGraphicFramePr/>
                <a:graphic xmlns:a="http://schemas.openxmlformats.org/drawingml/2006/main">
                  <a:graphicData uri="http://schemas.microsoft.com/office/word/2010/wordprocessingShape">
                    <wps:wsp>
                      <wps:cNvSpPr/>
                      <wps:spPr>
                        <a:xfrm>
                          <a:off x="4550663" y="3446625"/>
                          <a:ext cx="1590675" cy="666750"/>
                        </a:xfrm>
                        <a:prstGeom prst="rect">
                          <a:avLst/>
                        </a:prstGeom>
                        <a:solidFill>
                          <a:srgbClr val="A66500"/>
                        </a:solidFill>
                        <a:ln w="12700" cap="flat" cmpd="sng">
                          <a:solidFill>
                            <a:srgbClr val="1C3052"/>
                          </a:solidFill>
                          <a:prstDash val="solid"/>
                          <a:miter lim="800000"/>
                          <a:headEnd type="none" w="sm" len="sm"/>
                          <a:tailEnd type="none" w="sm" len="sm"/>
                        </a:ln>
                      </wps:spPr>
                      <wps:txbx>
                        <w:txbxContent>
                          <w:p w14:paraId="452286EF" w14:textId="77777777" w:rsidR="00D34C85" w:rsidRDefault="00000000">
                            <w:pPr>
                              <w:jc w:val="center"/>
                              <w:textDirection w:val="btLr"/>
                            </w:pPr>
                            <w:r>
                              <w:rPr>
                                <w:b/>
                                <w:color w:val="000000"/>
                                <w:sz w:val="14"/>
                              </w:rPr>
                              <w:t>• Staff Shortages</w:t>
                            </w:r>
                          </w:p>
                          <w:p w14:paraId="589F4CAC" w14:textId="77777777" w:rsidR="00D34C85" w:rsidRDefault="00000000">
                            <w:pPr>
                              <w:jc w:val="center"/>
                              <w:textDirection w:val="btLr"/>
                            </w:pPr>
                            <w:r>
                              <w:rPr>
                                <w:b/>
                                <w:color w:val="000000"/>
                                <w:sz w:val="14"/>
                              </w:rPr>
                              <w:t xml:space="preserve">• Lack of Training </w:t>
                            </w:r>
                          </w:p>
                          <w:p w14:paraId="724D581E" w14:textId="77777777" w:rsidR="00D34C85" w:rsidRDefault="00000000">
                            <w:pPr>
                              <w:jc w:val="center"/>
                              <w:textDirection w:val="btLr"/>
                            </w:pPr>
                            <w:r>
                              <w:rPr>
                                <w:b/>
                                <w:color w:val="000000"/>
                                <w:sz w:val="14"/>
                              </w:rPr>
                              <w:t xml:space="preserve">• Low Morale </w:t>
                            </w:r>
                          </w:p>
                          <w:p w14:paraId="1C3A7DD9" w14:textId="77777777" w:rsidR="00D34C85" w:rsidRDefault="00000000">
                            <w:pPr>
                              <w:jc w:val="center"/>
                              <w:textDirection w:val="btLr"/>
                            </w:pPr>
                            <w:r>
                              <w:rPr>
                                <w:b/>
                                <w:color w:val="000000"/>
                                <w:sz w:val="14"/>
                              </w:rPr>
                              <w:t xml:space="preserve">• Poor Supervision </w:t>
                            </w:r>
                          </w:p>
                        </w:txbxContent>
                      </wps:txbx>
                      <wps:bodyPr spcFirstLastPara="1" wrap="square" lIns="91425" tIns="45700" rIns="91425" bIns="45700" anchor="ctr" anchorCtr="0">
                        <a:noAutofit/>
                      </wps:bodyPr>
                    </wps:wsp>
                  </a:graphicData>
                </a:graphic>
              </wp:anchor>
            </w:drawing>
          </mc:Choice>
          <mc:Fallback>
            <w:pict>
              <v:rect w14:anchorId="1411FF52" id="Rectangle 19" o:spid="_x0000_s1028" style="position:absolute;left:0;text-align:left;margin-left:332.5pt;margin-top:12.3pt;width:126.25pt;height:53.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" fillcolor="#a66500" strokecolor="#1c3052" strokeweight="1pt">
                <v:stroke startarrowwidth="narrow" startarrowlength="short" endarrowwidth="narrow" endarrowlength="short"/>
                <v:textbox inset="2.53958mm,1.2694mm,2.53958mm,1.2694mm">
                  <w:txbxContent>
                    <w:p w14:paraId="452286EF" w14:textId="77777777" w:rsidR="00D34C85" w:rsidRDefault="00000000">
                      <w:pPr>
                        <w:jc w:val="center"/>
                        <w:textDirection w:val="btLr"/>
                      </w:pPr>
                      <w:r>
                        <w:rPr>
                          <w:b/>
                          <w:color w:val="000000"/>
                          <w:sz w:val="14"/>
                        </w:rPr>
                        <w:t>• Staff Shortages</w:t>
                      </w:r>
                    </w:p>
                    <w:p w14:paraId="589F4CAC" w14:textId="77777777" w:rsidR="00D34C85" w:rsidRDefault="00000000">
                      <w:pPr>
                        <w:jc w:val="center"/>
                        <w:textDirection w:val="btLr"/>
                      </w:pPr>
                      <w:r>
                        <w:rPr>
                          <w:b/>
                          <w:color w:val="000000"/>
                          <w:sz w:val="14"/>
                        </w:rPr>
                        <w:t xml:space="preserve">• Lack of Training </w:t>
                      </w:r>
                    </w:p>
                    <w:p w14:paraId="724D581E" w14:textId="77777777" w:rsidR="00D34C85" w:rsidRDefault="00000000">
                      <w:pPr>
                        <w:jc w:val="center"/>
                        <w:textDirection w:val="btLr"/>
                      </w:pPr>
                      <w:r>
                        <w:rPr>
                          <w:b/>
                          <w:color w:val="000000"/>
                          <w:sz w:val="14"/>
                        </w:rPr>
                        <w:t xml:space="preserve">• Low Morale </w:t>
                      </w:r>
                    </w:p>
                    <w:p w14:paraId="1C3A7DD9" w14:textId="77777777" w:rsidR="00D34C85" w:rsidRDefault="00000000">
                      <w:pPr>
                        <w:jc w:val="center"/>
                        <w:textDirection w:val="btLr"/>
                      </w:pPr>
                      <w:r>
                        <w:rPr>
                          <w:b/>
                          <w:color w:val="000000"/>
                          <w:sz w:val="14"/>
                        </w:rPr>
                        <w:t xml:space="preserve">• Poor Supervision </w:t>
                      </w:r>
                    </w:p>
                  </w:txbxContent>
                </v:textbox>
              </v:rect>
            </w:pict>
          </mc:Fallback>
        </mc:AlternateContent>
      </w:r>
    </w:p>
    <w:p w14:paraId="210D2284" w14:textId="77777777" w:rsidR="00D34C85" w:rsidRPr="001D04DB" w:rsidRDefault="00000000">
      <w:r w:rsidRPr="001D04DB">
        <w:rPr>
          <w:noProof/>
        </w:rPr>
        <mc:AlternateContent>
          <mc:Choice Requires="wps">
            <w:drawing>
              <wp:anchor distT="0" distB="0" distL="114300" distR="114300" simplePos="0" relativeHeight="251661312" behindDoc="0" locked="0" layoutInCell="1" hidden="0" allowOverlap="1" wp14:anchorId="75C6BABE" wp14:editId="63F6FDD0">
                <wp:simplePos x="0" y="0"/>
                <wp:positionH relativeFrom="column">
                  <wp:posOffset>3652838</wp:posOffset>
                </wp:positionH>
                <wp:positionV relativeFrom="paragraph">
                  <wp:posOffset>186373</wp:posOffset>
                </wp:positionV>
                <wp:extent cx="581025" cy="457200"/>
                <wp:effectExtent l="0" t="0" r="0" b="0"/>
                <wp:wrapNone/>
                <wp:docPr id="16" name="Straight Arrow Connector 16"/>
                <wp:cNvGraphicFramePr/>
                <a:graphic xmlns:a="http://schemas.openxmlformats.org/drawingml/2006/main">
                  <a:graphicData uri="http://schemas.microsoft.com/office/word/2010/wordprocessingShape">
                    <wps:wsp>
                      <wps:cNvCnPr/>
                      <wps:spPr>
                        <a:xfrm rot="10800000" flipH="1">
                          <a:off x="5060250" y="3556163"/>
                          <a:ext cx="571500" cy="447675"/>
                        </a:xfrm>
                        <a:prstGeom prst="straightConnector1">
                          <a:avLst/>
                        </a:prstGeom>
                        <a:noFill/>
                        <a:ln w="9525" cap="flat" cmpd="sng">
                          <a:solidFill>
                            <a:schemeClr val="accent1"/>
                          </a:solidFill>
                          <a:prstDash val="solid"/>
                          <a:miter lim="800000"/>
                          <a:headEnd type="none" w="sm" len="sm"/>
                          <a:tailEnd type="triangle" w="med" len="med"/>
                        </a:ln>
                      </wps:spPr>
                      <wps:bodyPr/>
                    </wps:wsp>
                  </a:graphicData>
                </a:graphic>
              </wp:anchor>
            </w:drawing>
          </mc:Choice>
          <mc:Fallback>
            <w:pict>
              <v:shapetype w14:anchorId="21CA2525" id="_x0000_t32" coordsize="21600,21600" o:spt="32" o:oned="t" path="m,l21600,21600e" filled="f">
                <v:path arrowok="t" fillok="f" o:connecttype="none"/>
                <o:lock v:ext="edit" shapetype="t"/>
              </v:shapetype>
              <v:shape id="Straight Arrow Connector 16" o:spid="_x0000_s1026" type="#_x0000_t32" style="position:absolute;margin-left:287.65pt;margin-top:14.7pt;width:45.75pt;height:36pt;rotation:180;flip:x;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" strokecolor="#4f81bd [3204]">
                <v:stroke startarrowwidth="narrow" startarrowlength="short" endarrow="block" joinstyle="miter"/>
              </v:shape>
            </w:pict>
          </mc:Fallback>
        </mc:AlternateContent>
      </w:r>
    </w:p>
    <w:p w14:paraId="0FF1D9C7" w14:textId="77777777" w:rsidR="00D34C85" w:rsidRPr="001D04DB" w:rsidRDefault="00000000">
      <w:r w:rsidRPr="001D04DB">
        <w:rPr>
          <w:noProof/>
        </w:rPr>
        <mc:AlternateContent>
          <mc:Choice Requires="wps">
            <w:drawing>
              <wp:anchor distT="0" distB="0" distL="114300" distR="114300" simplePos="0" relativeHeight="251662336" behindDoc="0" locked="0" layoutInCell="1" hidden="0" allowOverlap="1" wp14:anchorId="1573F8E5" wp14:editId="1D2024FD">
                <wp:simplePos x="0" y="0"/>
                <wp:positionH relativeFrom="column">
                  <wp:posOffset>2214563</wp:posOffset>
                </wp:positionH>
                <wp:positionV relativeFrom="paragraph">
                  <wp:posOffset>60007</wp:posOffset>
                </wp:positionV>
                <wp:extent cx="295275" cy="400050"/>
                <wp:effectExtent l="0" t="0" r="0" b="0"/>
                <wp:wrapNone/>
                <wp:docPr id="22" name="Straight Arrow Connector 22"/>
                <wp:cNvGraphicFramePr/>
                <a:graphic xmlns:a="http://schemas.openxmlformats.org/drawingml/2006/main">
                  <a:graphicData uri="http://schemas.microsoft.com/office/word/2010/wordprocessingShape">
                    <wps:wsp>
                      <wps:cNvCnPr/>
                      <wps:spPr>
                        <a:xfrm rot="10800000" flipH="1">
                          <a:off x="5203125" y="3584738"/>
                          <a:ext cx="285750" cy="390525"/>
                        </a:xfrm>
                        <a:prstGeom prst="straightConnector1">
                          <a:avLst/>
                        </a:prstGeom>
                        <a:noFill/>
                        <a:ln w="9525" cap="flat" cmpd="sng">
                          <a:solidFill>
                            <a:schemeClr val="accent1"/>
                          </a:solidFill>
                          <a:prstDash val="solid"/>
                          <a:miter lim="800000"/>
                          <a:headEnd type="none" w="sm" len="sm"/>
                          <a:tailEnd type="triangle" w="med" len="med"/>
                        </a:ln>
                      </wps:spPr>
                      <wps:bodyPr/>
                    </wps:wsp>
                  </a:graphicData>
                </a:graphic>
              </wp:anchor>
            </w:drawing>
          </mc:Choice>
          <mc:Fallback>
            <w:pict>
              <v:shape w14:anchorId="08D45D30" id="Straight Arrow Connector 22" o:spid="_x0000_s1026" type="#_x0000_t32" style="position:absolute;margin-left:174.4pt;margin-top:4.7pt;width:23.25pt;height:31.5pt;rotation:180;flip:x;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" strokecolor="#4f81bd [3204]">
                <v:stroke startarrowwidth="narrow" startarrowlength="short" endarrow="block" joinstyle="miter"/>
              </v:shape>
            </w:pict>
          </mc:Fallback>
        </mc:AlternateContent>
      </w:r>
      <w:r w:rsidRPr="001D04DB">
        <w:rPr>
          <w:noProof/>
        </w:rPr>
        <mc:AlternateContent>
          <mc:Choice Requires="wps">
            <w:drawing>
              <wp:anchor distT="0" distB="0" distL="114300" distR="114300" simplePos="0" relativeHeight="251663360" behindDoc="0" locked="0" layoutInCell="1" hidden="0" allowOverlap="1" wp14:anchorId="7537AF6F" wp14:editId="745237FF">
                <wp:simplePos x="0" y="0"/>
                <wp:positionH relativeFrom="column">
                  <wp:posOffset>519113</wp:posOffset>
                </wp:positionH>
                <wp:positionV relativeFrom="paragraph">
                  <wp:posOffset>123508</wp:posOffset>
                </wp:positionV>
                <wp:extent cx="466725" cy="419100"/>
                <wp:effectExtent l="0" t="0" r="0" b="0"/>
                <wp:wrapNone/>
                <wp:docPr id="6" name="Straight Arrow Connector 6"/>
                <wp:cNvGraphicFramePr/>
                <a:graphic xmlns:a="http://schemas.openxmlformats.org/drawingml/2006/main">
                  <a:graphicData uri="http://schemas.microsoft.com/office/word/2010/wordprocessingShape">
                    <wps:wsp>
                      <wps:cNvCnPr/>
                      <wps:spPr>
                        <a:xfrm rot="10800000" flipH="1">
                          <a:off x="5117400" y="3575213"/>
                          <a:ext cx="457200" cy="409575"/>
                        </a:xfrm>
                        <a:prstGeom prst="straightConnector1">
                          <a:avLst/>
                        </a:prstGeom>
                        <a:noFill/>
                        <a:ln w="9525" cap="flat" cmpd="sng">
                          <a:solidFill>
                            <a:schemeClr val="accent1"/>
                          </a:solidFill>
                          <a:prstDash val="solid"/>
                          <a:miter lim="800000"/>
                          <a:headEnd type="none" w="sm" len="sm"/>
                          <a:tailEnd type="triangle" w="med" len="med"/>
                        </a:ln>
                      </wps:spPr>
                      <wps:bodyPr/>
                    </wps:wsp>
                  </a:graphicData>
                </a:graphic>
              </wp:anchor>
            </w:drawing>
          </mc:Choice>
          <mc:Fallback>
            <w:pict>
              <v:shape w14:anchorId="64B9E3B2" id="Straight Arrow Connector 6" o:spid="_x0000_s1026" type="#_x0000_t32" style="position:absolute;margin-left:40.9pt;margin-top:9.75pt;width:36.75pt;height:33pt;rotation:180;flip:x;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" strokecolor="#4f81bd [3204]">
                <v:stroke startarrowwidth="narrow" startarrowlength="short" endarrow="block" joinstyle="miter"/>
              </v:shape>
            </w:pict>
          </mc:Fallback>
        </mc:AlternateContent>
      </w:r>
    </w:p>
    <w:p w14:paraId="4C3C6722" w14:textId="77777777" w:rsidR="00D34C85" w:rsidRPr="001D04DB" w:rsidRDefault="00000000">
      <w:r w:rsidRPr="001D04DB">
        <w:rPr>
          <w:noProof/>
        </w:rPr>
        <mc:AlternateContent>
          <mc:Choice Requires="wps">
            <w:drawing>
              <wp:anchor distT="0" distB="0" distL="114300" distR="114300" simplePos="0" relativeHeight="251664384" behindDoc="0" locked="0" layoutInCell="1" hidden="0" allowOverlap="1" wp14:anchorId="113B2973" wp14:editId="25B1E557">
                <wp:simplePos x="0" y="0"/>
                <wp:positionH relativeFrom="column">
                  <wp:posOffset>3203575</wp:posOffset>
                </wp:positionH>
                <wp:positionV relativeFrom="paragraph">
                  <wp:posOffset>150495</wp:posOffset>
                </wp:positionV>
                <wp:extent cx="974725" cy="469900"/>
                <wp:effectExtent l="0" t="0" r="0" b="0"/>
                <wp:wrapNone/>
                <wp:docPr id="15" name="Rectangle 15"/>
                <wp:cNvGraphicFramePr/>
                <a:graphic xmlns:a="http://schemas.openxmlformats.org/drawingml/2006/main">
                  <a:graphicData uri="http://schemas.microsoft.com/office/word/2010/wordprocessingShape">
                    <wps:wsp>
                      <wps:cNvSpPr/>
                      <wps:spPr>
                        <a:xfrm>
                          <a:off x="4864988" y="3551400"/>
                          <a:ext cx="962025" cy="457200"/>
                        </a:xfrm>
                        <a:prstGeom prst="rect">
                          <a:avLst/>
                        </a:prstGeom>
                        <a:solidFill>
                          <a:srgbClr val="548135"/>
                        </a:solidFill>
                        <a:ln w="12700" cap="flat" cmpd="sng">
                          <a:solidFill>
                            <a:srgbClr val="1C3052"/>
                          </a:solidFill>
                          <a:prstDash val="solid"/>
                          <a:miter lim="800000"/>
                          <a:headEnd type="none" w="sm" len="sm"/>
                          <a:tailEnd type="none" w="sm" len="sm"/>
                        </a:ln>
                      </wps:spPr>
                      <wps:txbx>
                        <w:txbxContent>
                          <w:p w14:paraId="4CD45C51" w14:textId="77777777" w:rsidR="00D34C85" w:rsidRDefault="00000000">
                            <w:pPr>
                              <w:jc w:val="center"/>
                              <w:textDirection w:val="btLr"/>
                            </w:pPr>
                            <w:r>
                              <w:rPr>
                                <w:b/>
                                <w:color w:val="000000"/>
                              </w:rPr>
                              <w:t>People</w:t>
                            </w:r>
                          </w:p>
                        </w:txbxContent>
                      </wps:txbx>
                      <wps:bodyPr spcFirstLastPara="1" wrap="square" lIns="91425" tIns="45700" rIns="91425" bIns="45700" anchor="ctr" anchorCtr="0">
                        <a:noAutofit/>
                      </wps:bodyPr>
                    </wps:wsp>
                  </a:graphicData>
                </a:graphic>
              </wp:anchor>
            </w:drawing>
          </mc:Choice>
          <mc:Fallback>
            <w:pict>
              <v:rect w14:anchorId="113B2973" id="Rectangle 15" o:spid="_x0000_s1029" style="position:absolute;left:0;text-align:left;margin-left:252.25pt;margin-top:11.85pt;width:76.75pt;height:37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" fillcolor="#548135" strokecolor="#1c3052" strokeweight="1pt">
                <v:stroke startarrowwidth="narrow" startarrowlength="short" endarrowwidth="narrow" endarrowlength="short"/>
                <v:textbox inset="2.53958mm,1.2694mm,2.53958mm,1.2694mm">
                  <w:txbxContent>
                    <w:p w14:paraId="4CD45C51" w14:textId="77777777" w:rsidR="00D34C85" w:rsidRDefault="00000000">
                      <w:pPr>
                        <w:jc w:val="center"/>
                        <w:textDirection w:val="btLr"/>
                      </w:pPr>
                      <w:r>
                        <w:rPr>
                          <w:b/>
                          <w:color w:val="000000"/>
                        </w:rPr>
                        <w:t>People</w:t>
                      </w:r>
                    </w:p>
                  </w:txbxContent>
                </v:textbox>
              </v:rect>
            </w:pict>
          </mc:Fallback>
        </mc:AlternateContent>
      </w:r>
      <w:r w:rsidRPr="001D04DB">
        <w:rPr>
          <w:noProof/>
        </w:rPr>
        <mc:AlternateContent>
          <mc:Choice Requires="wps">
            <w:drawing>
              <wp:anchor distT="0" distB="0" distL="114300" distR="114300" simplePos="0" relativeHeight="251665408" behindDoc="0" locked="0" layoutInCell="1" hidden="0" allowOverlap="1" wp14:anchorId="34B7F5CD" wp14:editId="105D7FFC">
                <wp:simplePos x="0" y="0"/>
                <wp:positionH relativeFrom="column">
                  <wp:posOffset>1670050</wp:posOffset>
                </wp:positionH>
                <wp:positionV relativeFrom="paragraph">
                  <wp:posOffset>207645</wp:posOffset>
                </wp:positionV>
                <wp:extent cx="1098550" cy="469900"/>
                <wp:effectExtent l="0" t="0" r="0" b="0"/>
                <wp:wrapNone/>
                <wp:docPr id="1" name="Rectangle 1"/>
                <wp:cNvGraphicFramePr/>
                <a:graphic xmlns:a="http://schemas.openxmlformats.org/drawingml/2006/main">
                  <a:graphicData uri="http://schemas.microsoft.com/office/word/2010/wordprocessingShape">
                    <wps:wsp>
                      <wps:cNvSpPr/>
                      <wps:spPr>
                        <a:xfrm>
                          <a:off x="4803075" y="3551400"/>
                          <a:ext cx="1085850" cy="457200"/>
                        </a:xfrm>
                        <a:prstGeom prst="rect">
                          <a:avLst/>
                        </a:prstGeom>
                        <a:solidFill>
                          <a:srgbClr val="548135"/>
                        </a:solidFill>
                        <a:ln w="12700" cap="flat" cmpd="sng">
                          <a:solidFill>
                            <a:srgbClr val="1C3052"/>
                          </a:solidFill>
                          <a:prstDash val="solid"/>
                          <a:miter lim="800000"/>
                          <a:headEnd type="none" w="sm" len="sm"/>
                          <a:tailEnd type="none" w="sm" len="sm"/>
                        </a:ln>
                      </wps:spPr>
                      <wps:txbx>
                        <w:txbxContent>
                          <w:p w14:paraId="6A130856" w14:textId="77777777" w:rsidR="00D34C85" w:rsidRDefault="00000000">
                            <w:pPr>
                              <w:jc w:val="center"/>
                              <w:textDirection w:val="btLr"/>
                            </w:pPr>
                            <w:r>
                              <w:rPr>
                                <w:b/>
                                <w:color w:val="000000"/>
                              </w:rPr>
                              <w:t>Management</w:t>
                            </w:r>
                          </w:p>
                        </w:txbxContent>
                      </wps:txbx>
                      <wps:bodyPr spcFirstLastPara="1" wrap="square" lIns="91425" tIns="45700" rIns="91425" bIns="45700" anchor="ctr" anchorCtr="0">
                        <a:noAutofit/>
                      </wps:bodyPr>
                    </wps:wsp>
                  </a:graphicData>
                </a:graphic>
              </wp:anchor>
            </w:drawing>
          </mc:Choice>
          <mc:Fallback>
            <w:pict>
              <v:rect w14:anchorId="34B7F5CD" id="Rectangle 1" o:spid="_x0000_s1030" style="position:absolute;left:0;text-align:left;margin-left:131.5pt;margin-top:16.35pt;width:86.5pt;height:37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" fillcolor="#548135" strokecolor="#1c3052" strokeweight="1pt">
                <v:stroke startarrowwidth="narrow" startarrowlength="short" endarrowwidth="narrow" endarrowlength="short"/>
                <v:textbox inset="2.53958mm,1.2694mm,2.53958mm,1.2694mm">
                  <w:txbxContent>
                    <w:p w14:paraId="6A130856" w14:textId="77777777" w:rsidR="00D34C85" w:rsidRDefault="00000000">
                      <w:pPr>
                        <w:jc w:val="center"/>
                        <w:textDirection w:val="btLr"/>
                      </w:pPr>
                      <w:r>
                        <w:rPr>
                          <w:b/>
                          <w:color w:val="000000"/>
                        </w:rPr>
                        <w:t>Management</w:t>
                      </w:r>
                    </w:p>
                  </w:txbxContent>
                </v:textbox>
              </v:rect>
            </w:pict>
          </mc:Fallback>
        </mc:AlternateContent>
      </w:r>
    </w:p>
    <w:p w14:paraId="444D53E6" w14:textId="77777777" w:rsidR="00D34C85" w:rsidRPr="001D04DB" w:rsidRDefault="00000000">
      <w:r w:rsidRPr="001D04DB">
        <w:rPr>
          <w:noProof/>
        </w:rPr>
        <mc:AlternateContent>
          <mc:Choice Requires="wps">
            <w:drawing>
              <wp:anchor distT="0" distB="0" distL="114300" distR="114300" simplePos="0" relativeHeight="251666432" behindDoc="0" locked="0" layoutInCell="1" hidden="0" allowOverlap="1" wp14:anchorId="6E039719" wp14:editId="1AC88EE6">
                <wp:simplePos x="0" y="0"/>
                <wp:positionH relativeFrom="column">
                  <wp:posOffset>136525</wp:posOffset>
                </wp:positionH>
                <wp:positionV relativeFrom="paragraph">
                  <wp:posOffset>52705</wp:posOffset>
                </wp:positionV>
                <wp:extent cx="974725" cy="469900"/>
                <wp:effectExtent l="0" t="0" r="0" b="0"/>
                <wp:wrapNone/>
                <wp:docPr id="2" name="Rectangle 2"/>
                <wp:cNvGraphicFramePr/>
                <a:graphic xmlns:a="http://schemas.openxmlformats.org/drawingml/2006/main">
                  <a:graphicData uri="http://schemas.microsoft.com/office/word/2010/wordprocessingShape">
                    <wps:wsp>
                      <wps:cNvSpPr/>
                      <wps:spPr>
                        <a:xfrm>
                          <a:off x="4864988" y="3551400"/>
                          <a:ext cx="962025" cy="457200"/>
                        </a:xfrm>
                        <a:prstGeom prst="rect">
                          <a:avLst/>
                        </a:prstGeom>
                        <a:solidFill>
                          <a:srgbClr val="548135"/>
                        </a:solidFill>
                        <a:ln w="12700" cap="flat" cmpd="sng">
                          <a:solidFill>
                            <a:srgbClr val="1C3052"/>
                          </a:solidFill>
                          <a:prstDash val="solid"/>
                          <a:miter lim="800000"/>
                          <a:headEnd type="none" w="sm" len="sm"/>
                          <a:tailEnd type="none" w="sm" len="sm"/>
                        </a:ln>
                      </wps:spPr>
                      <wps:txbx>
                        <w:txbxContent>
                          <w:p w14:paraId="14819A98" w14:textId="77777777" w:rsidR="00D34C85" w:rsidRDefault="00000000">
                            <w:pPr>
                              <w:jc w:val="center"/>
                              <w:textDirection w:val="btLr"/>
                            </w:pPr>
                            <w:r>
                              <w:rPr>
                                <w:b/>
                                <w:color w:val="000000"/>
                              </w:rPr>
                              <w:t>Equipment</w:t>
                            </w:r>
                          </w:p>
                        </w:txbxContent>
                      </wps:txbx>
                      <wps:bodyPr spcFirstLastPara="1" wrap="square" lIns="91425" tIns="45700" rIns="91425" bIns="45700" anchor="ctr" anchorCtr="0">
                        <a:noAutofit/>
                      </wps:bodyPr>
                    </wps:wsp>
                  </a:graphicData>
                </a:graphic>
              </wp:anchor>
            </w:drawing>
          </mc:Choice>
          <mc:Fallback>
            <w:pict>
              <v:rect w14:anchorId="6E039719" id="Rectangle 2" o:spid="_x0000_s1031" style="position:absolute;left:0;text-align:left;margin-left:10.75pt;margin-top:4.15pt;width:76.75pt;height:37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" fillcolor="#548135" strokecolor="#1c3052" strokeweight="1pt">
                <v:stroke startarrowwidth="narrow" startarrowlength="short" endarrowwidth="narrow" endarrowlength="short"/>
                <v:textbox inset="2.53958mm,1.2694mm,2.53958mm,1.2694mm">
                  <w:txbxContent>
                    <w:p w14:paraId="14819A98" w14:textId="77777777" w:rsidR="00D34C85" w:rsidRDefault="00000000">
                      <w:pPr>
                        <w:jc w:val="center"/>
                        <w:textDirection w:val="btLr"/>
                      </w:pPr>
                      <w:r>
                        <w:rPr>
                          <w:b/>
                          <w:color w:val="000000"/>
                        </w:rPr>
                        <w:t>Equipment</w:t>
                      </w:r>
                    </w:p>
                  </w:txbxContent>
                </v:textbox>
              </v:rect>
            </w:pict>
          </mc:Fallback>
        </mc:AlternateContent>
      </w:r>
    </w:p>
    <w:p w14:paraId="65988282" w14:textId="77777777" w:rsidR="00D34C85" w:rsidRPr="001D04DB" w:rsidRDefault="00000000">
      <w:r w:rsidRPr="001D04DB">
        <w:rPr>
          <w:noProof/>
        </w:rPr>
        <mc:AlternateContent>
          <mc:Choice Requires="wps">
            <w:drawing>
              <wp:anchor distT="0" distB="0" distL="114300" distR="114300" simplePos="0" relativeHeight="251667456" behindDoc="0" locked="0" layoutInCell="1" hidden="0" allowOverlap="1" wp14:anchorId="1B1EC7ED" wp14:editId="06E895AF">
                <wp:simplePos x="0" y="0"/>
                <wp:positionH relativeFrom="column">
                  <wp:posOffset>4803775</wp:posOffset>
                </wp:positionH>
                <wp:positionV relativeFrom="paragraph">
                  <wp:posOffset>201929</wp:posOffset>
                </wp:positionV>
                <wp:extent cx="1365250" cy="1127125"/>
                <wp:effectExtent l="0" t="0" r="0" b="0"/>
                <wp:wrapNone/>
                <wp:docPr id="17" name="Flowchart: Delay 17"/>
                <wp:cNvGraphicFramePr/>
                <a:graphic xmlns:a="http://schemas.openxmlformats.org/drawingml/2006/main">
                  <a:graphicData uri="http://schemas.microsoft.com/office/word/2010/wordprocessingShape">
                    <wps:wsp>
                      <wps:cNvSpPr/>
                      <wps:spPr>
                        <a:xfrm>
                          <a:off x="4669725" y="3222788"/>
                          <a:ext cx="1352550" cy="1114425"/>
                        </a:xfrm>
                        <a:prstGeom prst="flowChartDelay">
                          <a:avLst/>
                        </a:prstGeom>
                        <a:solidFill>
                          <a:schemeClr val="accent1"/>
                        </a:solidFill>
                        <a:ln w="12700" cap="flat" cmpd="sng">
                          <a:solidFill>
                            <a:srgbClr val="1C3052"/>
                          </a:solidFill>
                          <a:prstDash val="solid"/>
                          <a:miter lim="800000"/>
                          <a:headEnd type="none" w="sm" len="sm"/>
                          <a:tailEnd type="none" w="sm" len="sm"/>
                        </a:ln>
                      </wps:spPr>
                      <wps:txbx>
                        <w:txbxContent>
                          <w:p w14:paraId="6D101280" w14:textId="77777777" w:rsidR="00D34C85" w:rsidRDefault="00000000">
                            <w:pPr>
                              <w:jc w:val="center"/>
                              <w:textDirection w:val="btLr"/>
                            </w:pPr>
                            <w:r>
                              <w:rPr>
                                <w:b/>
                                <w:color w:val="000000"/>
                              </w:rPr>
                              <w:t>Patient Harm at Mid Staffordshire</w:t>
                            </w:r>
                          </w:p>
                        </w:txbxContent>
                      </wps:txbx>
                      <wps:bodyPr spcFirstLastPara="1" wrap="square" lIns="91425" tIns="45700" rIns="91425" bIns="45700" anchor="ctr" anchorCtr="0">
                        <a:noAutofit/>
                      </wps:bodyPr>
                    </wps:wsp>
                  </a:graphicData>
                </a:graphic>
              </wp:anchor>
            </w:drawing>
          </mc:Choice>
          <mc:Fallback>
            <w:pict>
              <v:shapetype w14:anchorId="1B1EC7ED" id="_x0000_t135" coordsize="21600,21600" o:spt="135" path="m10800,qx21600,10800,10800,21600l,21600,,xe">
                <v:stroke joinstyle="miter"/>
                <v:path gradientshapeok="t" o:connecttype="rect" textboxrect="0,3163,18437,18437"/>
              </v:shapetype>
              <v:shape id="Flowchart: Delay 17" o:spid="_x0000_s1032" type="#_x0000_t135" style="position:absolute;left:0;text-align:left;margin-left:378.25pt;margin-top:15.9pt;width:107.5pt;height:88.7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" fillcolor="#4f81bd [3204]" strokecolor="#1c3052" strokeweight="1pt">
                <v:stroke startarrowwidth="narrow" startarrowlength="short" endarrowwidth="narrow" endarrowlength="short"/>
                <v:textbox inset="2.53958mm,1.2694mm,2.53958mm,1.2694mm">
                  <w:txbxContent>
                    <w:p w14:paraId="6D101280" w14:textId="77777777" w:rsidR="00D34C85" w:rsidRDefault="00000000">
                      <w:pPr>
                        <w:jc w:val="center"/>
                        <w:textDirection w:val="btLr"/>
                      </w:pPr>
                      <w:r>
                        <w:rPr>
                          <w:b/>
                          <w:color w:val="000000"/>
                        </w:rPr>
                        <w:t>Patient Harm at Mid Staffordshire</w:t>
                      </w:r>
                    </w:p>
                  </w:txbxContent>
                </v:textbox>
              </v:shape>
            </w:pict>
          </mc:Fallback>
        </mc:AlternateContent>
      </w:r>
      <w:r w:rsidRPr="001D04DB">
        <w:rPr>
          <w:noProof/>
        </w:rPr>
        <mc:AlternateContent>
          <mc:Choice Requires="wps">
            <w:drawing>
              <wp:anchor distT="0" distB="0" distL="114300" distR="114300" simplePos="0" relativeHeight="251668480" behindDoc="0" locked="0" layoutInCell="1" hidden="0" allowOverlap="1" wp14:anchorId="23C31219" wp14:editId="0D9A136A">
                <wp:simplePos x="0" y="0"/>
                <wp:positionH relativeFrom="column">
                  <wp:posOffset>3652837</wp:posOffset>
                </wp:positionH>
                <wp:positionV relativeFrom="paragraph">
                  <wp:posOffset>127317</wp:posOffset>
                </wp:positionV>
                <wp:extent cx="419100" cy="600075"/>
                <wp:effectExtent l="0" t="0" r="0" b="0"/>
                <wp:wrapNone/>
                <wp:docPr id="20" name="Straight Arrow Connector 20"/>
                <wp:cNvGraphicFramePr/>
                <a:graphic xmlns:a="http://schemas.openxmlformats.org/drawingml/2006/main">
                  <a:graphicData uri="http://schemas.microsoft.com/office/word/2010/wordprocessingShape">
                    <wps:wsp>
                      <wps:cNvCnPr/>
                      <wps:spPr>
                        <a:xfrm rot="10800000">
                          <a:off x="5141213" y="3484725"/>
                          <a:ext cx="409575" cy="590550"/>
                        </a:xfrm>
                        <a:prstGeom prst="straightConnector1">
                          <a:avLst/>
                        </a:prstGeom>
                        <a:noFill/>
                        <a:ln w="9525" cap="flat" cmpd="sng">
                          <a:solidFill>
                            <a:schemeClr val="accent1"/>
                          </a:solidFill>
                          <a:prstDash val="solid"/>
                          <a:miter lim="800000"/>
                          <a:headEnd type="none" w="sm" len="sm"/>
                          <a:tailEnd type="triangle" w="med" len="med"/>
                        </a:ln>
                      </wps:spPr>
                      <wps:bodyPr/>
                    </wps:wsp>
                  </a:graphicData>
                </a:graphic>
              </wp:anchor>
            </w:drawing>
          </mc:Choice>
          <mc:Fallback>
            <w:pict>
              <v:shape w14:anchorId="71553138" id="Straight Arrow Connector 20" o:spid="_x0000_s1026" type="#_x0000_t32" style="position:absolute;margin-left:287.6pt;margin-top:10pt;width:33pt;height:47.25pt;rotation:180;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" strokecolor="#4f81bd [3204]">
                <v:stroke startarrowwidth="narrow" startarrowlength="short" endarrow="block" joinstyle="miter"/>
              </v:shape>
            </w:pict>
          </mc:Fallback>
        </mc:AlternateContent>
      </w:r>
      <w:r w:rsidRPr="001D04DB">
        <w:rPr>
          <w:noProof/>
        </w:rPr>
        <mc:AlternateContent>
          <mc:Choice Requires="wps">
            <w:drawing>
              <wp:anchor distT="0" distB="0" distL="114300" distR="114300" simplePos="0" relativeHeight="251669504" behindDoc="0" locked="0" layoutInCell="1" hidden="0" allowOverlap="1" wp14:anchorId="6AE7842D" wp14:editId="4EC694CE">
                <wp:simplePos x="0" y="0"/>
                <wp:positionH relativeFrom="column">
                  <wp:posOffset>2500313</wp:posOffset>
                </wp:positionH>
                <wp:positionV relativeFrom="paragraph">
                  <wp:posOffset>203516</wp:posOffset>
                </wp:positionV>
                <wp:extent cx="352425" cy="523875"/>
                <wp:effectExtent l="0" t="0" r="0" b="0"/>
                <wp:wrapNone/>
                <wp:docPr id="12" name="Straight Arrow Connector 12"/>
                <wp:cNvGraphicFramePr/>
                <a:graphic xmlns:a="http://schemas.openxmlformats.org/drawingml/2006/main">
                  <a:graphicData uri="http://schemas.microsoft.com/office/word/2010/wordprocessingShape">
                    <wps:wsp>
                      <wps:cNvCnPr/>
                      <wps:spPr>
                        <a:xfrm rot="10800000">
                          <a:off x="5174550" y="3522825"/>
                          <a:ext cx="342900" cy="514350"/>
                        </a:xfrm>
                        <a:prstGeom prst="straightConnector1">
                          <a:avLst/>
                        </a:prstGeom>
                        <a:noFill/>
                        <a:ln w="9525" cap="flat" cmpd="sng">
                          <a:solidFill>
                            <a:schemeClr val="accent1"/>
                          </a:solidFill>
                          <a:prstDash val="solid"/>
                          <a:miter lim="800000"/>
                          <a:headEnd type="none" w="sm" len="sm"/>
                          <a:tailEnd type="triangle" w="med" len="med"/>
                        </a:ln>
                      </wps:spPr>
                      <wps:bodyPr/>
                    </wps:wsp>
                  </a:graphicData>
                </a:graphic>
              </wp:anchor>
            </w:drawing>
          </mc:Choice>
          <mc:Fallback>
            <w:pict>
              <v:shape w14:anchorId="0024004B" id="Straight Arrow Connector 12" o:spid="_x0000_s1026" type="#_x0000_t32" style="position:absolute;margin-left:196.9pt;margin-top:16pt;width:27.75pt;height:41.25pt;rotation:180;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" strokecolor="#4f81bd [3204]">
                <v:stroke startarrowwidth="narrow" startarrowlength="short" endarrow="block" joinstyle="miter"/>
              </v:shape>
            </w:pict>
          </mc:Fallback>
        </mc:AlternateContent>
      </w:r>
    </w:p>
    <w:p w14:paraId="26D39AE8" w14:textId="77777777" w:rsidR="00D34C85" w:rsidRPr="001D04DB" w:rsidRDefault="00000000">
      <w:r w:rsidRPr="001D04DB">
        <w:rPr>
          <w:noProof/>
        </w:rPr>
        <mc:AlternateContent>
          <mc:Choice Requires="wps">
            <w:drawing>
              <wp:anchor distT="0" distB="0" distL="114300" distR="114300" simplePos="0" relativeHeight="251670528" behindDoc="0" locked="0" layoutInCell="1" hidden="0" allowOverlap="1" wp14:anchorId="33477063" wp14:editId="56AF5FBA">
                <wp:simplePos x="0" y="0"/>
                <wp:positionH relativeFrom="column">
                  <wp:posOffset>795338</wp:posOffset>
                </wp:positionH>
                <wp:positionV relativeFrom="paragraph">
                  <wp:posOffset>10478</wp:posOffset>
                </wp:positionV>
                <wp:extent cx="314325" cy="504825"/>
                <wp:effectExtent l="0" t="0" r="0" b="0"/>
                <wp:wrapNone/>
                <wp:docPr id="8" name="Straight Arrow Connector 8"/>
                <wp:cNvGraphicFramePr/>
                <a:graphic xmlns:a="http://schemas.openxmlformats.org/drawingml/2006/main">
                  <a:graphicData uri="http://schemas.microsoft.com/office/word/2010/wordprocessingShape">
                    <wps:wsp>
                      <wps:cNvCnPr/>
                      <wps:spPr>
                        <a:xfrm rot="10800000">
                          <a:off x="5193600" y="3532350"/>
                          <a:ext cx="304800" cy="495300"/>
                        </a:xfrm>
                        <a:prstGeom prst="straightConnector1">
                          <a:avLst/>
                        </a:prstGeom>
                        <a:noFill/>
                        <a:ln w="9525" cap="flat" cmpd="sng">
                          <a:solidFill>
                            <a:schemeClr val="accent1"/>
                          </a:solidFill>
                          <a:prstDash val="solid"/>
                          <a:miter lim="800000"/>
                          <a:headEnd type="none" w="sm" len="sm"/>
                          <a:tailEnd type="triangle" w="med" len="med"/>
                        </a:ln>
                      </wps:spPr>
                      <wps:bodyPr/>
                    </wps:wsp>
                  </a:graphicData>
                </a:graphic>
              </wp:anchor>
            </w:drawing>
          </mc:Choice>
          <mc:Fallback>
            <w:pict>
              <v:shape w14:anchorId="2470781F" id="Straight Arrow Connector 8" o:spid="_x0000_s1026" type="#_x0000_t32" style="position:absolute;margin-left:62.65pt;margin-top:.85pt;width:24.75pt;height:39.75pt;rotation:180;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" strokecolor="#4f81bd [3204]">
                <v:stroke startarrowwidth="narrow" startarrowlength="short" endarrow="block" joinstyle="miter"/>
              </v:shape>
            </w:pict>
          </mc:Fallback>
        </mc:AlternateContent>
      </w:r>
    </w:p>
    <w:p w14:paraId="1EEA7C6B" w14:textId="77777777" w:rsidR="00D34C85" w:rsidRPr="001D04DB" w:rsidRDefault="00000000">
      <w:r w:rsidRPr="001D04DB">
        <w:rPr>
          <w:noProof/>
        </w:rPr>
        <mc:AlternateContent>
          <mc:Choice Requires="wps">
            <w:drawing>
              <wp:anchor distT="0" distB="0" distL="114300" distR="114300" simplePos="0" relativeHeight="251671552" behindDoc="0" locked="0" layoutInCell="1" hidden="0" allowOverlap="1" wp14:anchorId="20F853A4" wp14:editId="71AD71B9">
                <wp:simplePos x="0" y="0"/>
                <wp:positionH relativeFrom="column">
                  <wp:posOffset>23813</wp:posOffset>
                </wp:positionH>
                <wp:positionV relativeFrom="paragraph">
                  <wp:posOffset>235903</wp:posOffset>
                </wp:positionV>
                <wp:extent cx="5505450" cy="66675"/>
                <wp:effectExtent l="0" t="0" r="0" b="0"/>
                <wp:wrapNone/>
                <wp:docPr id="13" name="Straight Arrow Connector 13"/>
                <wp:cNvGraphicFramePr/>
                <a:graphic xmlns:a="http://schemas.openxmlformats.org/drawingml/2006/main">
                  <a:graphicData uri="http://schemas.microsoft.com/office/word/2010/wordprocessingShape">
                    <wps:wsp>
                      <wps:cNvCnPr/>
                      <wps:spPr>
                        <a:xfrm rot="10800000" flipH="1">
                          <a:off x="2598038" y="3751425"/>
                          <a:ext cx="5495925" cy="57150"/>
                        </a:xfrm>
                        <a:prstGeom prst="straightConnector1">
                          <a:avLst/>
                        </a:prstGeom>
                        <a:noFill/>
                        <a:ln w="9525" cap="flat" cmpd="sng">
                          <a:solidFill>
                            <a:schemeClr val="accent1"/>
                          </a:solidFill>
                          <a:prstDash val="solid"/>
                          <a:miter lim="800000"/>
                          <a:headEnd type="none" w="sm" len="sm"/>
                          <a:tailEnd type="triangle" w="med" len="med"/>
                        </a:ln>
                      </wps:spPr>
                      <wps:bodyPr/>
                    </wps:wsp>
                  </a:graphicData>
                </a:graphic>
              </wp:anchor>
            </w:drawing>
          </mc:Choice>
          <mc:Fallback>
            <w:pict>
              <v:shape w14:anchorId="7E7A4FC8" id="Straight Arrow Connector 13" o:spid="_x0000_s1026" type="#_x0000_t32" style="position:absolute;margin-left:1.9pt;margin-top:18.6pt;width:433.5pt;height:5.25pt;rotation:180;flip:x;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" strokecolor="#4f81bd [3204]">
                <v:stroke startarrowwidth="narrow" startarrowlength="short" endarrow="block" joinstyle="miter"/>
              </v:shape>
            </w:pict>
          </mc:Fallback>
        </mc:AlternateContent>
      </w:r>
      <w:r w:rsidRPr="001D04DB">
        <w:rPr>
          <w:noProof/>
        </w:rPr>
        <mc:AlternateContent>
          <mc:Choice Requires="wps">
            <w:drawing>
              <wp:anchor distT="0" distB="0" distL="114300" distR="114300" simplePos="0" relativeHeight="251672576" behindDoc="0" locked="0" layoutInCell="1" hidden="0" allowOverlap="1" wp14:anchorId="25F0BA6C" wp14:editId="1F2C9096">
                <wp:simplePos x="0" y="0"/>
                <wp:positionH relativeFrom="column">
                  <wp:posOffset>3490913</wp:posOffset>
                </wp:positionH>
                <wp:positionV relativeFrom="paragraph">
                  <wp:posOffset>233363</wp:posOffset>
                </wp:positionV>
                <wp:extent cx="257175" cy="609600"/>
                <wp:effectExtent l="0" t="0" r="0" b="0"/>
                <wp:wrapNone/>
                <wp:docPr id="7" name="Straight Arrow Connector 7"/>
                <wp:cNvGraphicFramePr/>
                <a:graphic xmlns:a="http://schemas.openxmlformats.org/drawingml/2006/main">
                  <a:graphicData uri="http://schemas.microsoft.com/office/word/2010/wordprocessingShape">
                    <wps:wsp>
                      <wps:cNvCnPr/>
                      <wps:spPr>
                        <a:xfrm flipH="1">
                          <a:off x="5222175" y="3479963"/>
                          <a:ext cx="247650" cy="600075"/>
                        </a:xfrm>
                        <a:prstGeom prst="straightConnector1">
                          <a:avLst/>
                        </a:prstGeom>
                        <a:noFill/>
                        <a:ln w="9525" cap="flat" cmpd="sng">
                          <a:solidFill>
                            <a:schemeClr val="accent1"/>
                          </a:solidFill>
                          <a:prstDash val="solid"/>
                          <a:miter lim="800000"/>
                          <a:headEnd type="none" w="sm" len="sm"/>
                          <a:tailEnd type="triangle" w="med" len="med"/>
                        </a:ln>
                      </wps:spPr>
                      <wps:bodyPr/>
                    </wps:wsp>
                  </a:graphicData>
                </a:graphic>
              </wp:anchor>
            </w:drawing>
          </mc:Choice>
          <mc:Fallback>
            <w:pict>
              <v:shape w14:anchorId="4FDAE17A" id="Straight Arrow Connector 7" o:spid="_x0000_s1026" type="#_x0000_t32" style="position:absolute;margin-left:274.9pt;margin-top:18.4pt;width:20.25pt;height:48pt;flip:x;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" strokecolor="#4f81bd [3204]">
                <v:stroke startarrowwidth="narrow" startarrowlength="short" endarrow="block" joinstyle="miter"/>
              </v:shape>
            </w:pict>
          </mc:Fallback>
        </mc:AlternateContent>
      </w:r>
    </w:p>
    <w:p w14:paraId="24B3C8F3" w14:textId="77777777" w:rsidR="00D34C85" w:rsidRPr="001D04DB" w:rsidRDefault="00000000">
      <w:r w:rsidRPr="001D04DB">
        <w:rPr>
          <w:noProof/>
        </w:rPr>
        <mc:AlternateContent>
          <mc:Choice Requires="wps">
            <w:drawing>
              <wp:anchor distT="0" distB="0" distL="114300" distR="114300" simplePos="0" relativeHeight="251673600" behindDoc="0" locked="0" layoutInCell="1" hidden="0" allowOverlap="1" wp14:anchorId="0BB38BAF" wp14:editId="02026D1A">
                <wp:simplePos x="0" y="0"/>
                <wp:positionH relativeFrom="column">
                  <wp:posOffset>1671637</wp:posOffset>
                </wp:positionH>
                <wp:positionV relativeFrom="paragraph">
                  <wp:posOffset>49848</wp:posOffset>
                </wp:positionV>
                <wp:extent cx="276225" cy="552450"/>
                <wp:effectExtent l="0" t="0" r="0" b="0"/>
                <wp:wrapNone/>
                <wp:docPr id="10" name="Straight Arrow Connector 10"/>
                <wp:cNvGraphicFramePr/>
                <a:graphic xmlns:a="http://schemas.openxmlformats.org/drawingml/2006/main">
                  <a:graphicData uri="http://schemas.microsoft.com/office/word/2010/wordprocessingShape">
                    <wps:wsp>
                      <wps:cNvCnPr/>
                      <wps:spPr>
                        <a:xfrm flipH="1">
                          <a:off x="5212650" y="3508538"/>
                          <a:ext cx="266700" cy="542925"/>
                        </a:xfrm>
                        <a:prstGeom prst="straightConnector1">
                          <a:avLst/>
                        </a:prstGeom>
                        <a:noFill/>
                        <a:ln w="9525" cap="flat" cmpd="sng">
                          <a:solidFill>
                            <a:schemeClr val="accent1"/>
                          </a:solidFill>
                          <a:prstDash val="solid"/>
                          <a:miter lim="800000"/>
                          <a:headEnd type="none" w="sm" len="sm"/>
                          <a:tailEnd type="triangle" w="med" len="med"/>
                        </a:ln>
                      </wps:spPr>
                      <wps:bodyPr/>
                    </wps:wsp>
                  </a:graphicData>
                </a:graphic>
              </wp:anchor>
            </w:drawing>
          </mc:Choice>
          <mc:Fallback>
            <w:pict>
              <v:shape w14:anchorId="38124A08" id="Straight Arrow Connector 10" o:spid="_x0000_s1026" type="#_x0000_t32" style="position:absolute;margin-left:131.6pt;margin-top:3.95pt;width:21.75pt;height:43.5pt;flip:x;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" strokecolor="#4f81bd [3204]">
                <v:stroke startarrowwidth="narrow" startarrowlength="short" endarrow="block" joinstyle="miter"/>
              </v:shape>
            </w:pict>
          </mc:Fallback>
        </mc:AlternateContent>
      </w:r>
    </w:p>
    <w:p w14:paraId="2030CEF9" w14:textId="77777777" w:rsidR="00D34C85" w:rsidRPr="001D04DB" w:rsidRDefault="00D34C85"/>
    <w:p w14:paraId="0B80DEE2" w14:textId="77777777" w:rsidR="00D34C85" w:rsidRPr="001D04DB" w:rsidRDefault="00000000">
      <w:r w:rsidRPr="001D04DB">
        <w:rPr>
          <w:noProof/>
        </w:rPr>
        <mc:AlternateContent>
          <mc:Choice Requires="wps">
            <w:drawing>
              <wp:anchor distT="0" distB="0" distL="114300" distR="114300" simplePos="0" relativeHeight="251674624" behindDoc="0" locked="0" layoutInCell="1" hidden="0" allowOverlap="1" wp14:anchorId="32203E96" wp14:editId="1A0DC68E">
                <wp:simplePos x="0" y="0"/>
                <wp:positionH relativeFrom="column">
                  <wp:posOffset>1097915</wp:posOffset>
                </wp:positionH>
                <wp:positionV relativeFrom="paragraph">
                  <wp:posOffset>109220</wp:posOffset>
                </wp:positionV>
                <wp:extent cx="1089025" cy="469900"/>
                <wp:effectExtent l="0" t="0" r="0" b="0"/>
                <wp:wrapNone/>
                <wp:docPr id="21" name="Rectangle 21"/>
                <wp:cNvGraphicFramePr/>
                <a:graphic xmlns:a="http://schemas.openxmlformats.org/drawingml/2006/main">
                  <a:graphicData uri="http://schemas.microsoft.com/office/word/2010/wordprocessingShape">
                    <wps:wsp>
                      <wps:cNvSpPr/>
                      <wps:spPr>
                        <a:xfrm>
                          <a:off x="4807838" y="3551400"/>
                          <a:ext cx="1076325" cy="457200"/>
                        </a:xfrm>
                        <a:prstGeom prst="rect">
                          <a:avLst/>
                        </a:prstGeom>
                        <a:solidFill>
                          <a:srgbClr val="548135"/>
                        </a:solidFill>
                        <a:ln w="12700" cap="flat" cmpd="sng">
                          <a:solidFill>
                            <a:srgbClr val="1C3052"/>
                          </a:solidFill>
                          <a:prstDash val="solid"/>
                          <a:miter lim="800000"/>
                          <a:headEnd type="none" w="sm" len="sm"/>
                          <a:tailEnd type="none" w="sm" len="sm"/>
                        </a:ln>
                      </wps:spPr>
                      <wps:txbx>
                        <w:txbxContent>
                          <w:p w14:paraId="2904E99B" w14:textId="77777777" w:rsidR="00D34C85" w:rsidRDefault="00000000">
                            <w:pPr>
                              <w:jc w:val="center"/>
                              <w:textDirection w:val="btLr"/>
                            </w:pPr>
                            <w:r>
                              <w:rPr>
                                <w:b/>
                                <w:color w:val="000000"/>
                              </w:rPr>
                              <w:t>Environment</w:t>
                            </w:r>
                          </w:p>
                        </w:txbxContent>
                      </wps:txbx>
                      <wps:bodyPr spcFirstLastPara="1" wrap="square" lIns="91425" tIns="45700" rIns="91425" bIns="45700" anchor="ctr" anchorCtr="0">
                        <a:noAutofit/>
                      </wps:bodyPr>
                    </wps:wsp>
                  </a:graphicData>
                </a:graphic>
              </wp:anchor>
            </w:drawing>
          </mc:Choice>
          <mc:Fallback>
            <w:pict>
              <v:rect w14:anchorId="32203E96" id="Rectangle 21" o:spid="_x0000_s1033" style="position:absolute;left:0;text-align:left;margin-left:86.45pt;margin-top:8.6pt;width:85.75pt;height:37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" fillcolor="#548135" strokecolor="#1c3052" strokeweight="1pt">
                <v:stroke startarrowwidth="narrow" startarrowlength="short" endarrowwidth="narrow" endarrowlength="short"/>
                <v:textbox inset="2.53958mm,1.2694mm,2.53958mm,1.2694mm">
                  <w:txbxContent>
                    <w:p w14:paraId="2904E99B" w14:textId="77777777" w:rsidR="00D34C85" w:rsidRDefault="00000000">
                      <w:pPr>
                        <w:jc w:val="center"/>
                        <w:textDirection w:val="btLr"/>
                      </w:pPr>
                      <w:r>
                        <w:rPr>
                          <w:b/>
                          <w:color w:val="000000"/>
                        </w:rPr>
                        <w:t>Environment</w:t>
                      </w:r>
                    </w:p>
                  </w:txbxContent>
                </v:textbox>
              </v:rect>
            </w:pict>
          </mc:Fallback>
        </mc:AlternateContent>
      </w:r>
      <w:r w:rsidRPr="001D04DB">
        <w:rPr>
          <w:noProof/>
        </w:rPr>
        <mc:AlternateContent>
          <mc:Choice Requires="wps">
            <w:drawing>
              <wp:anchor distT="0" distB="0" distL="114300" distR="114300" simplePos="0" relativeHeight="251675648" behindDoc="0" locked="0" layoutInCell="1" hidden="0" allowOverlap="1" wp14:anchorId="1D86F9B3" wp14:editId="5E25FFC6">
                <wp:simplePos x="0" y="0"/>
                <wp:positionH relativeFrom="column">
                  <wp:posOffset>3022600</wp:posOffset>
                </wp:positionH>
                <wp:positionV relativeFrom="paragraph">
                  <wp:posOffset>121285</wp:posOffset>
                </wp:positionV>
                <wp:extent cx="974725" cy="469900"/>
                <wp:effectExtent l="0" t="0" r="0" b="0"/>
                <wp:wrapNone/>
                <wp:docPr id="14" name="Rectangle 14"/>
                <wp:cNvGraphicFramePr/>
                <a:graphic xmlns:a="http://schemas.openxmlformats.org/drawingml/2006/main">
                  <a:graphicData uri="http://schemas.microsoft.com/office/word/2010/wordprocessingShape">
                    <wps:wsp>
                      <wps:cNvSpPr/>
                      <wps:spPr>
                        <a:xfrm>
                          <a:off x="4864988" y="3551400"/>
                          <a:ext cx="962025" cy="457200"/>
                        </a:xfrm>
                        <a:prstGeom prst="rect">
                          <a:avLst/>
                        </a:prstGeom>
                        <a:solidFill>
                          <a:srgbClr val="548135"/>
                        </a:solidFill>
                        <a:ln w="12700" cap="flat" cmpd="sng">
                          <a:solidFill>
                            <a:srgbClr val="1C3052"/>
                          </a:solidFill>
                          <a:prstDash val="solid"/>
                          <a:miter lim="800000"/>
                          <a:headEnd type="none" w="sm" len="sm"/>
                          <a:tailEnd type="none" w="sm" len="sm"/>
                        </a:ln>
                      </wps:spPr>
                      <wps:txbx>
                        <w:txbxContent>
                          <w:p w14:paraId="7B6236DD" w14:textId="77777777" w:rsidR="00D34C85" w:rsidRDefault="00000000">
                            <w:pPr>
                              <w:jc w:val="center"/>
                              <w:textDirection w:val="btLr"/>
                            </w:pPr>
                            <w:r>
                              <w:rPr>
                                <w:b/>
                                <w:color w:val="000000"/>
                              </w:rPr>
                              <w:t>Process</w:t>
                            </w:r>
                          </w:p>
                        </w:txbxContent>
                      </wps:txbx>
                      <wps:bodyPr spcFirstLastPara="1" wrap="square" lIns="91425" tIns="45700" rIns="91425" bIns="45700" anchor="ctr" anchorCtr="0">
                        <a:noAutofit/>
                      </wps:bodyPr>
                    </wps:wsp>
                  </a:graphicData>
                </a:graphic>
              </wp:anchor>
            </w:drawing>
          </mc:Choice>
          <mc:Fallback>
            <w:pict>
              <v:rect w14:anchorId="1D86F9B3" id="Rectangle 14" o:spid="_x0000_s1034" style="position:absolute;left:0;text-align:left;margin-left:238pt;margin-top:9.55pt;width:76.75pt;height:37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" fillcolor="#548135" strokecolor="#1c3052" strokeweight="1pt">
                <v:stroke startarrowwidth="narrow" startarrowlength="short" endarrowwidth="narrow" endarrowlength="short"/>
                <v:textbox inset="2.53958mm,1.2694mm,2.53958mm,1.2694mm">
                  <w:txbxContent>
                    <w:p w14:paraId="7B6236DD" w14:textId="77777777" w:rsidR="00D34C85" w:rsidRDefault="00000000">
                      <w:pPr>
                        <w:jc w:val="center"/>
                        <w:textDirection w:val="btLr"/>
                      </w:pPr>
                      <w:r>
                        <w:rPr>
                          <w:b/>
                          <w:color w:val="000000"/>
                        </w:rPr>
                        <w:t>Process</w:t>
                      </w:r>
                    </w:p>
                  </w:txbxContent>
                </v:textbox>
              </v:rect>
            </w:pict>
          </mc:Fallback>
        </mc:AlternateContent>
      </w:r>
    </w:p>
    <w:p w14:paraId="69F32EF5" w14:textId="77777777" w:rsidR="00D34C85" w:rsidRPr="001D04DB" w:rsidRDefault="00D34C85"/>
    <w:p w14:paraId="315D6950" w14:textId="77777777" w:rsidR="00D34C85" w:rsidRPr="001D04DB" w:rsidRDefault="00000000">
      <w:r w:rsidRPr="001D04DB">
        <w:rPr>
          <w:noProof/>
        </w:rPr>
        <mc:AlternateContent>
          <mc:Choice Requires="wps">
            <w:drawing>
              <wp:anchor distT="0" distB="0" distL="114300" distR="114300" simplePos="0" relativeHeight="251676672" behindDoc="0" locked="0" layoutInCell="1" hidden="0" allowOverlap="1" wp14:anchorId="72D22E29" wp14:editId="0441D5EE">
                <wp:simplePos x="0" y="0"/>
                <wp:positionH relativeFrom="column">
                  <wp:posOffset>3490913</wp:posOffset>
                </wp:positionH>
                <wp:positionV relativeFrom="paragraph">
                  <wp:posOffset>95569</wp:posOffset>
                </wp:positionV>
                <wp:extent cx="428625" cy="371475"/>
                <wp:effectExtent l="0" t="0" r="0" b="0"/>
                <wp:wrapNone/>
                <wp:docPr id="9" name="Straight Arrow Connector 9"/>
                <wp:cNvGraphicFramePr/>
                <a:graphic xmlns:a="http://schemas.openxmlformats.org/drawingml/2006/main">
                  <a:graphicData uri="http://schemas.microsoft.com/office/word/2010/wordprocessingShape">
                    <wps:wsp>
                      <wps:cNvCnPr/>
                      <wps:spPr>
                        <a:xfrm>
                          <a:off x="5136450" y="3599025"/>
                          <a:ext cx="419100" cy="361950"/>
                        </a:xfrm>
                        <a:prstGeom prst="straightConnector1">
                          <a:avLst/>
                        </a:prstGeom>
                        <a:noFill/>
                        <a:ln w="9525" cap="flat" cmpd="sng">
                          <a:solidFill>
                            <a:schemeClr val="accent1"/>
                          </a:solidFill>
                          <a:prstDash val="solid"/>
                          <a:miter lim="800000"/>
                          <a:headEnd type="none" w="sm" len="sm"/>
                          <a:tailEnd type="triangle" w="med" len="med"/>
                        </a:ln>
                      </wps:spPr>
                      <wps:bodyPr/>
                    </wps:wsp>
                  </a:graphicData>
                </a:graphic>
              </wp:anchor>
            </w:drawing>
          </mc:Choice>
          <mc:Fallback>
            <w:pict>
              <v:shape w14:anchorId="655CC499" id="Straight Arrow Connector 9" o:spid="_x0000_s1026" type="#_x0000_t32" style="position:absolute;margin-left:274.9pt;margin-top:7.55pt;width:33.75pt;height:29.25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" strokecolor="#4f81bd [3204]">
                <v:stroke startarrowwidth="narrow" startarrowlength="short" endarrow="block" joinstyle="miter"/>
              </v:shape>
            </w:pict>
          </mc:Fallback>
        </mc:AlternateContent>
      </w:r>
      <w:r w:rsidRPr="001D04DB">
        <w:rPr>
          <w:noProof/>
        </w:rPr>
        <mc:AlternateContent>
          <mc:Choice Requires="wps">
            <w:drawing>
              <wp:anchor distT="0" distB="0" distL="114300" distR="114300" simplePos="0" relativeHeight="251677696" behindDoc="0" locked="0" layoutInCell="1" hidden="0" allowOverlap="1" wp14:anchorId="6CB8C8D3" wp14:editId="07FD3DCB">
                <wp:simplePos x="0" y="0"/>
                <wp:positionH relativeFrom="column">
                  <wp:posOffset>1633538</wp:posOffset>
                </wp:positionH>
                <wp:positionV relativeFrom="paragraph">
                  <wp:posOffset>95568</wp:posOffset>
                </wp:positionV>
                <wp:extent cx="381000" cy="371475"/>
                <wp:effectExtent l="0" t="0" r="0" b="0"/>
                <wp:wrapNone/>
                <wp:docPr id="3" name="Straight Arrow Connector 3"/>
                <wp:cNvGraphicFramePr/>
                <a:graphic xmlns:a="http://schemas.openxmlformats.org/drawingml/2006/main">
                  <a:graphicData uri="http://schemas.microsoft.com/office/word/2010/wordprocessingShape">
                    <wps:wsp>
                      <wps:cNvCnPr/>
                      <wps:spPr>
                        <a:xfrm>
                          <a:off x="5160263" y="3599025"/>
                          <a:ext cx="371475" cy="361950"/>
                        </a:xfrm>
                        <a:prstGeom prst="straightConnector1">
                          <a:avLst/>
                        </a:prstGeom>
                        <a:noFill/>
                        <a:ln w="9525" cap="flat" cmpd="sng">
                          <a:solidFill>
                            <a:schemeClr val="accent1"/>
                          </a:solidFill>
                          <a:prstDash val="solid"/>
                          <a:miter lim="800000"/>
                          <a:headEnd type="none" w="sm" len="sm"/>
                          <a:tailEnd type="triangle" w="med" len="med"/>
                        </a:ln>
                      </wps:spPr>
                      <wps:bodyPr/>
                    </wps:wsp>
                  </a:graphicData>
                </a:graphic>
              </wp:anchor>
            </w:drawing>
          </mc:Choice>
          <mc:Fallback>
            <w:pict>
              <v:shape w14:anchorId="5213CE61" id="Straight Arrow Connector 3" o:spid="_x0000_s1026" type="#_x0000_t32" style="position:absolute;margin-left:128.65pt;margin-top:7.55pt;width:30pt;height:29.25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" strokecolor="#4f81bd [3204]">
                <v:stroke startarrowwidth="narrow" startarrowlength="short" endarrow="block" joinstyle="miter"/>
              </v:shape>
            </w:pict>
          </mc:Fallback>
        </mc:AlternateContent>
      </w:r>
    </w:p>
    <w:p w14:paraId="679DE2A6" w14:textId="77777777" w:rsidR="00D34C85" w:rsidRPr="001D04DB" w:rsidRDefault="00000000">
      <w:r w:rsidRPr="001D04DB">
        <w:rPr>
          <w:noProof/>
        </w:rPr>
        <mc:AlternateContent>
          <mc:Choice Requires="wps">
            <w:drawing>
              <wp:anchor distT="0" distB="0" distL="114300" distR="114300" simplePos="0" relativeHeight="251678720" behindDoc="0" locked="0" layoutInCell="1" hidden="0" allowOverlap="1" wp14:anchorId="19384108" wp14:editId="1E2390CC">
                <wp:simplePos x="0" y="0"/>
                <wp:positionH relativeFrom="column">
                  <wp:posOffset>3536950</wp:posOffset>
                </wp:positionH>
                <wp:positionV relativeFrom="paragraph">
                  <wp:posOffset>214629</wp:posOffset>
                </wp:positionV>
                <wp:extent cx="1584325" cy="584200"/>
                <wp:effectExtent l="0" t="0" r="0" b="0"/>
                <wp:wrapNone/>
                <wp:docPr id="4" name="Rectangle 4"/>
                <wp:cNvGraphicFramePr/>
                <a:graphic xmlns:a="http://schemas.openxmlformats.org/drawingml/2006/main">
                  <a:graphicData uri="http://schemas.microsoft.com/office/word/2010/wordprocessingShape">
                    <wps:wsp>
                      <wps:cNvSpPr/>
                      <wps:spPr>
                        <a:xfrm>
                          <a:off x="4560188" y="3494250"/>
                          <a:ext cx="1571625" cy="571500"/>
                        </a:xfrm>
                        <a:prstGeom prst="rect">
                          <a:avLst/>
                        </a:prstGeom>
                        <a:solidFill>
                          <a:srgbClr val="A66500"/>
                        </a:solidFill>
                        <a:ln w="12700" cap="flat" cmpd="sng">
                          <a:solidFill>
                            <a:srgbClr val="1C3052"/>
                          </a:solidFill>
                          <a:prstDash val="solid"/>
                          <a:miter lim="800000"/>
                          <a:headEnd type="none" w="sm" len="sm"/>
                          <a:tailEnd type="none" w="sm" len="sm"/>
                        </a:ln>
                      </wps:spPr>
                      <wps:txbx>
                        <w:txbxContent>
                          <w:p w14:paraId="00A4E9D9" w14:textId="77777777" w:rsidR="00D34C85" w:rsidRDefault="00000000">
                            <w:pPr>
                              <w:jc w:val="center"/>
                              <w:textDirection w:val="btLr"/>
                            </w:pPr>
                            <w:r>
                              <w:rPr>
                                <w:b/>
                                <w:color w:val="000000"/>
                                <w:sz w:val="14"/>
                              </w:rPr>
                              <w:t>• Poor monitoring</w:t>
                            </w:r>
                          </w:p>
                          <w:p w14:paraId="51ABCCC0" w14:textId="77777777" w:rsidR="00D34C85" w:rsidRDefault="00000000">
                            <w:pPr>
                              <w:jc w:val="center"/>
                              <w:textDirection w:val="btLr"/>
                            </w:pPr>
                            <w:r>
                              <w:rPr>
                                <w:b/>
                                <w:color w:val="000000"/>
                                <w:sz w:val="14"/>
                              </w:rPr>
                              <w:t>• Missed observations</w:t>
                            </w:r>
                          </w:p>
                          <w:p w14:paraId="46DAC4F3" w14:textId="77777777" w:rsidR="00D34C85" w:rsidRDefault="00000000">
                            <w:pPr>
                              <w:jc w:val="center"/>
                              <w:textDirection w:val="btLr"/>
                            </w:pPr>
                            <w:r>
                              <w:rPr>
                                <w:b/>
                                <w:color w:val="000000"/>
                                <w:sz w:val="14"/>
                              </w:rPr>
                              <w:t xml:space="preserve">• Weak complaints handling </w:t>
                            </w:r>
                          </w:p>
                        </w:txbxContent>
                      </wps:txbx>
                      <wps:bodyPr spcFirstLastPara="1" wrap="square" lIns="91425" tIns="45700" rIns="91425" bIns="45700" anchor="ctr" anchorCtr="0">
                        <a:noAutofit/>
                      </wps:bodyPr>
                    </wps:wsp>
                  </a:graphicData>
                </a:graphic>
              </wp:anchor>
            </w:drawing>
          </mc:Choice>
          <mc:Fallback>
            <w:pict>
              <v:rect w14:anchorId="19384108" id="Rectangle 4" o:spid="_x0000_s1035" style="position:absolute;left:0;text-align:left;margin-left:278.5pt;margin-top:16.9pt;width:124.75pt;height:46pt;z-index:2516787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" fillcolor="#a66500" strokecolor="#1c3052" strokeweight="1pt">
                <v:stroke startarrowwidth="narrow" startarrowlength="short" endarrowwidth="narrow" endarrowlength="short"/>
                <v:textbox inset="2.53958mm,1.2694mm,2.53958mm,1.2694mm">
                  <w:txbxContent>
                    <w:p w14:paraId="00A4E9D9" w14:textId="77777777" w:rsidR="00D34C85" w:rsidRDefault="00000000">
                      <w:pPr>
                        <w:jc w:val="center"/>
                        <w:textDirection w:val="btLr"/>
                      </w:pPr>
                      <w:r>
                        <w:rPr>
                          <w:b/>
                          <w:color w:val="000000"/>
                          <w:sz w:val="14"/>
                        </w:rPr>
                        <w:t>• Poor monitoring</w:t>
                      </w:r>
                    </w:p>
                    <w:p w14:paraId="51ABCCC0" w14:textId="77777777" w:rsidR="00D34C85" w:rsidRDefault="00000000">
                      <w:pPr>
                        <w:jc w:val="center"/>
                        <w:textDirection w:val="btLr"/>
                      </w:pPr>
                      <w:r>
                        <w:rPr>
                          <w:b/>
                          <w:color w:val="000000"/>
                          <w:sz w:val="14"/>
                        </w:rPr>
                        <w:t>• Missed observations</w:t>
                      </w:r>
                    </w:p>
                    <w:p w14:paraId="46DAC4F3" w14:textId="77777777" w:rsidR="00D34C85" w:rsidRDefault="00000000">
                      <w:pPr>
                        <w:jc w:val="center"/>
                        <w:textDirection w:val="btLr"/>
                      </w:pPr>
                      <w:r>
                        <w:rPr>
                          <w:b/>
                          <w:color w:val="000000"/>
                          <w:sz w:val="14"/>
                        </w:rPr>
                        <w:t xml:space="preserve">• Weak complaints handling </w:t>
                      </w:r>
                    </w:p>
                  </w:txbxContent>
                </v:textbox>
              </v:rect>
            </w:pict>
          </mc:Fallback>
        </mc:AlternateContent>
      </w:r>
      <w:r w:rsidRPr="001D04DB">
        <w:rPr>
          <w:noProof/>
        </w:rPr>
        <mc:AlternateContent>
          <mc:Choice Requires="wps">
            <w:drawing>
              <wp:anchor distT="0" distB="0" distL="114300" distR="114300" simplePos="0" relativeHeight="251679744" behindDoc="0" locked="0" layoutInCell="1" hidden="0" allowOverlap="1" wp14:anchorId="5576A120" wp14:editId="4310193F">
                <wp:simplePos x="0" y="0"/>
                <wp:positionH relativeFrom="column">
                  <wp:posOffset>1479550</wp:posOffset>
                </wp:positionH>
                <wp:positionV relativeFrom="paragraph">
                  <wp:posOffset>214629</wp:posOffset>
                </wp:positionV>
                <wp:extent cx="1479550" cy="708025"/>
                <wp:effectExtent l="0" t="0" r="0" b="0"/>
                <wp:wrapNone/>
                <wp:docPr id="5" name="Rectangle 5"/>
                <wp:cNvGraphicFramePr/>
                <a:graphic xmlns:a="http://schemas.openxmlformats.org/drawingml/2006/main">
                  <a:graphicData uri="http://schemas.microsoft.com/office/word/2010/wordprocessingShape">
                    <wps:wsp>
                      <wps:cNvSpPr/>
                      <wps:spPr>
                        <a:xfrm>
                          <a:off x="4612575" y="3432338"/>
                          <a:ext cx="1466850" cy="695325"/>
                        </a:xfrm>
                        <a:prstGeom prst="rect">
                          <a:avLst/>
                        </a:prstGeom>
                        <a:solidFill>
                          <a:srgbClr val="A66500"/>
                        </a:solidFill>
                        <a:ln w="12700" cap="flat" cmpd="sng">
                          <a:solidFill>
                            <a:srgbClr val="1C3052"/>
                          </a:solidFill>
                          <a:prstDash val="solid"/>
                          <a:miter lim="800000"/>
                          <a:headEnd type="none" w="sm" len="sm"/>
                          <a:tailEnd type="none" w="sm" len="sm"/>
                        </a:ln>
                      </wps:spPr>
                      <wps:txbx>
                        <w:txbxContent>
                          <w:p w14:paraId="2C7E48F6" w14:textId="77777777" w:rsidR="00D34C85" w:rsidRDefault="00000000">
                            <w:pPr>
                              <w:jc w:val="center"/>
                              <w:textDirection w:val="btLr"/>
                            </w:pPr>
                            <w:r>
                              <w:rPr>
                                <w:b/>
                                <w:color w:val="000000"/>
                                <w:sz w:val="14"/>
                              </w:rPr>
                              <w:t xml:space="preserve">• Poor culture </w:t>
                            </w:r>
                          </w:p>
                          <w:p w14:paraId="03C1C4C3" w14:textId="77777777" w:rsidR="00D34C85" w:rsidRDefault="00000000">
                            <w:pPr>
                              <w:jc w:val="center"/>
                              <w:textDirection w:val="btLr"/>
                            </w:pPr>
                            <w:r>
                              <w:rPr>
                                <w:b/>
                                <w:color w:val="000000"/>
                                <w:sz w:val="14"/>
                              </w:rPr>
                              <w:t xml:space="preserve">• No openness </w:t>
                            </w:r>
                          </w:p>
                          <w:p w14:paraId="3BA61394" w14:textId="77777777" w:rsidR="00D34C85" w:rsidRDefault="00000000">
                            <w:pPr>
                              <w:jc w:val="center"/>
                              <w:textDirection w:val="btLr"/>
                            </w:pPr>
                            <w:r>
                              <w:rPr>
                                <w:b/>
                                <w:color w:val="000000"/>
                                <w:sz w:val="14"/>
                              </w:rPr>
                              <w:t xml:space="preserve">• Patient neglect </w:t>
                            </w:r>
                          </w:p>
                        </w:txbxContent>
                      </wps:txbx>
                      <wps:bodyPr spcFirstLastPara="1" wrap="square" lIns="91425" tIns="45700" rIns="91425" bIns="45700" anchor="ctr" anchorCtr="0">
                        <a:noAutofit/>
                      </wps:bodyPr>
                    </wps:wsp>
                  </a:graphicData>
                </a:graphic>
              </wp:anchor>
            </w:drawing>
          </mc:Choice>
          <mc:Fallback>
            <w:pict>
              <v:rect w14:anchorId="5576A120" id="Rectangle 5" o:spid="_x0000_s1036" style="position:absolute;left:0;text-align:left;margin-left:116.5pt;margin-top:16.9pt;width:116.5pt;height:55.75pt;z-index:2516797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" fillcolor="#a66500" strokecolor="#1c3052" strokeweight="1pt">
                <v:stroke startarrowwidth="narrow" startarrowlength="short" endarrowwidth="narrow" endarrowlength="short"/>
                <v:textbox inset="2.53958mm,1.2694mm,2.53958mm,1.2694mm">
                  <w:txbxContent>
                    <w:p w14:paraId="2C7E48F6" w14:textId="77777777" w:rsidR="00D34C85" w:rsidRDefault="00000000">
                      <w:pPr>
                        <w:jc w:val="center"/>
                        <w:textDirection w:val="btLr"/>
                      </w:pPr>
                      <w:r>
                        <w:rPr>
                          <w:b/>
                          <w:color w:val="000000"/>
                          <w:sz w:val="14"/>
                        </w:rPr>
                        <w:t xml:space="preserve">• Poor culture </w:t>
                      </w:r>
                    </w:p>
                    <w:p w14:paraId="03C1C4C3" w14:textId="77777777" w:rsidR="00D34C85" w:rsidRDefault="00000000">
                      <w:pPr>
                        <w:jc w:val="center"/>
                        <w:textDirection w:val="btLr"/>
                      </w:pPr>
                      <w:r>
                        <w:rPr>
                          <w:b/>
                          <w:color w:val="000000"/>
                          <w:sz w:val="14"/>
                        </w:rPr>
                        <w:t xml:space="preserve">• No openness </w:t>
                      </w:r>
                    </w:p>
                    <w:p w14:paraId="3BA61394" w14:textId="77777777" w:rsidR="00D34C85" w:rsidRDefault="00000000">
                      <w:pPr>
                        <w:jc w:val="center"/>
                        <w:textDirection w:val="btLr"/>
                      </w:pPr>
                      <w:r>
                        <w:rPr>
                          <w:b/>
                          <w:color w:val="000000"/>
                          <w:sz w:val="14"/>
                        </w:rPr>
                        <w:t xml:space="preserve">• Patient neglect </w:t>
                      </w:r>
                    </w:p>
                  </w:txbxContent>
                </v:textbox>
              </v:rect>
            </w:pict>
          </mc:Fallback>
        </mc:AlternateContent>
      </w:r>
    </w:p>
    <w:p w14:paraId="2F0CEA2D" w14:textId="77777777" w:rsidR="00D34C85" w:rsidRPr="001D04DB" w:rsidRDefault="00D34C85"/>
    <w:p w14:paraId="1D807B18" w14:textId="77777777" w:rsidR="00D34C85" w:rsidRPr="001D04DB" w:rsidRDefault="00D34C85"/>
    <w:p w14:paraId="64FF0AC7" w14:textId="77777777" w:rsidR="00D34C85" w:rsidRPr="001D04DB" w:rsidRDefault="00D34C85"/>
    <w:p w14:paraId="274D63F0" w14:textId="77777777" w:rsidR="00D34C85" w:rsidRPr="001D04DB" w:rsidRDefault="00000000">
      <w:pPr>
        <w:jc w:val="center"/>
        <w:rPr>
          <w:b/>
          <w:bCs/>
        </w:rPr>
      </w:pPr>
      <w:r w:rsidRPr="001D04DB">
        <w:rPr>
          <w:b/>
          <w:bCs/>
        </w:rPr>
        <w:t>Figure 1: Fishbone Diagram</w:t>
      </w:r>
    </w:p>
    <w:p w14:paraId="5EFFBA63" w14:textId="77777777" w:rsidR="00D34C85" w:rsidRPr="001D04DB" w:rsidRDefault="00000000">
      <w:pPr>
        <w:jc w:val="center"/>
      </w:pPr>
      <w:r w:rsidRPr="001D04DB">
        <w:t>(Source: Self-Created)</w:t>
      </w:r>
    </w:p>
    <w:p w14:paraId="139E5DC1" w14:textId="77777777" w:rsidR="00D34C85" w:rsidRPr="001D04DB" w:rsidRDefault="00000000">
      <w:r w:rsidRPr="001D04DB">
        <w:lastRenderedPageBreak/>
        <w:t>The fishbone model is useful in the sense that it visualises intricate causation. However, it could generate both irrelevant and relevant potential root causes of the problem (Kumah et al., 2024). This limitation notwithstanding, it gives a good starting base to expand on.</w:t>
      </w:r>
    </w:p>
    <w:p w14:paraId="3D7F7D45" w14:textId="141127EF" w:rsidR="00D34C85" w:rsidRPr="001D04DB" w:rsidRDefault="00000000">
      <w:r w:rsidRPr="001D04DB">
        <w:t xml:space="preserve">Further, in </w:t>
      </w:r>
      <w:r w:rsidR="00D10F47">
        <w:t xml:space="preserve">a </w:t>
      </w:r>
      <w:r w:rsidRPr="001D04DB">
        <w:t xml:space="preserve">Fishbone Diagram, the critical analysis of interdependencies between categories as opposed to looking at them separately. For example, people and process failures were interconnected, with staffing failure (people) directly resulting in monitoring system failures (process) (Bader et al. 2024). This is evident as it indicates that a 10% improvement in the level of nurse staffing can lead to a 7% decrease in patient mortality (Aiken et al., 2014). This underlines the measurable effect that workforce variables have on patient outcomes. In addition, management failures were </w:t>
      </w:r>
      <w:r w:rsidR="00D10F47">
        <w:t>influenced</w:t>
      </w:r>
      <w:r w:rsidRPr="001D04DB">
        <w:t xml:space="preserve"> by environmental and cultural forces, including the fear of whistleblowing, which could have identified risks before. Although the Fishbone model is useful in categorisation, it cannot prioritise causes by their impact, and therefore cannot be of use in complex healthcare systems (Kumah et al. 2024). </w:t>
      </w:r>
    </w:p>
    <w:p w14:paraId="5EF596D5" w14:textId="77777777" w:rsidR="00D34C85" w:rsidRPr="001D04DB" w:rsidRDefault="00000000">
      <w:pPr>
        <w:pStyle w:val="Heading2"/>
      </w:pPr>
      <w:bookmarkStart w:id="5" w:name="_Toc227271684"/>
      <w:r w:rsidRPr="001D04DB">
        <w:t>3. Donabedian Model: Structure, Process, Outcome</w:t>
      </w:r>
      <w:bookmarkEnd w:id="5"/>
    </w:p>
    <w:p w14:paraId="0EA85042" w14:textId="77777777" w:rsidR="00D34C85" w:rsidRPr="001D04DB" w:rsidRDefault="00000000">
      <w:r w:rsidRPr="001D04DB">
        <w:t>The Avedis Donabedian model is still a pillar of healthcare quality measurement that divides quality into structure, process, and outcomes (Berwick and Fox, 2019).</w:t>
      </w:r>
    </w:p>
    <w:p w14:paraId="6A1BB683" w14:textId="77777777" w:rsidR="00D34C85" w:rsidRPr="001D04DB" w:rsidRDefault="00000000">
      <w:pPr>
        <w:numPr>
          <w:ilvl w:val="0"/>
          <w:numId w:val="2"/>
        </w:numPr>
        <w:pBdr>
          <w:top w:val="nil"/>
          <w:left w:val="nil"/>
          <w:bottom w:val="nil"/>
          <w:right w:val="nil"/>
          <w:between w:val="nil"/>
        </w:pBdr>
      </w:pPr>
      <w:r w:rsidRPr="001D04DB">
        <w:rPr>
          <w:b/>
          <w:bCs/>
        </w:rPr>
        <w:t xml:space="preserve">Organisation: </w:t>
      </w:r>
      <w:r w:rsidRPr="001D04DB">
        <w:t xml:space="preserve">Structural weaknesses at Mid Staffordshire comprised low levels of staffing, ineffective resource distribution and ineffective governance systems. </w:t>
      </w:r>
    </w:p>
    <w:p w14:paraId="4435A4D1" w14:textId="77777777" w:rsidR="00D34C85" w:rsidRPr="001D04DB" w:rsidRDefault="00000000">
      <w:pPr>
        <w:numPr>
          <w:ilvl w:val="0"/>
          <w:numId w:val="2"/>
        </w:numPr>
        <w:pBdr>
          <w:top w:val="nil"/>
          <w:left w:val="nil"/>
          <w:bottom w:val="nil"/>
          <w:right w:val="nil"/>
          <w:between w:val="nil"/>
        </w:pBdr>
      </w:pPr>
      <w:r w:rsidRPr="001D04DB">
        <w:rPr>
          <w:b/>
          <w:bCs/>
        </w:rPr>
        <w:t>Process:</w:t>
      </w:r>
      <w:r w:rsidRPr="001D04DB">
        <w:t xml:space="preserve"> Hygiene, nutrition, and observation of the worsening patients were also examples of basic nursing care, which failed miserably, and this caused a bad compromise of care delivery processes (Francis, 2013). </w:t>
      </w:r>
    </w:p>
    <w:p w14:paraId="5900CEF9" w14:textId="77777777" w:rsidR="00D34C85" w:rsidRPr="001D04DB" w:rsidRDefault="00000000">
      <w:pPr>
        <w:numPr>
          <w:ilvl w:val="0"/>
          <w:numId w:val="2"/>
        </w:numPr>
        <w:pBdr>
          <w:top w:val="nil"/>
          <w:left w:val="nil"/>
          <w:bottom w:val="nil"/>
          <w:right w:val="nil"/>
          <w:between w:val="nil"/>
        </w:pBdr>
      </w:pPr>
      <w:r w:rsidRPr="001D04DB">
        <w:rPr>
          <w:b/>
          <w:bCs/>
        </w:rPr>
        <w:t>Outcomes:</w:t>
      </w:r>
      <w:r w:rsidRPr="001D04DB">
        <w:t xml:space="preserve"> The consequences of these failures were high mortality rates as standardised mortality ratios were too high, and several 1,200 unaccounted deaths were estimated (Healthcare Commission, 2009; Full Fact, 2013). </w:t>
      </w:r>
    </w:p>
    <w:p w14:paraId="0F1119A0" w14:textId="3BE8A2E9" w:rsidR="00D34C85" w:rsidRPr="001D04DB" w:rsidRDefault="00000000">
      <w:r w:rsidRPr="001D04DB">
        <w:t>The Donabedian model works well, especially as it connects organisational inputs to patient outcomes so as to make a systematic assessment of quality. Critics, however, claim it does not take into consideration factors on the health profession itself, complex and dynamic in nature (</w:t>
      </w:r>
      <w:proofErr w:type="spellStart"/>
      <w:r w:rsidRPr="001D04DB">
        <w:t>Opele</w:t>
      </w:r>
      <w:proofErr w:type="spellEnd"/>
      <w:r w:rsidRPr="001D04DB">
        <w:t xml:space="preserve"> and Adepoju, 2024). However, it offers a very strong result to discover where improvements have been most required. The Donabedian Model can be further criticised through the dynamic relationship of structure, process and outcomes (Yang et al. 2025). The lack of structures, including poor nurse-to-patient ratios (as low as 1:10 in certain wards during the crisis), had a direct negative impact on the workflow, including the ability to understand the patient in a manner and maintain hygiene standards. The failures of these processes resulted in negative effects such as high mortality rates and high cases of hospital infections (Pogorzelska et al. 2023). NHS Trusts achieve high performance points </w:t>
      </w:r>
      <w:r w:rsidR="00D10F47">
        <w:t>through</w:t>
      </w:r>
      <w:r w:rsidRPr="001D04DB">
        <w:t xml:space="preserve"> staffing and governance structure investment as a key way to enhance Care Quality Commission (CQC) </w:t>
      </w:r>
      <w:r w:rsidRPr="001D04DB">
        <w:lastRenderedPageBreak/>
        <w:t xml:space="preserve">ratings and minimise adverse events (CQC, 2022). However, the Donabedian architecture is linear and can be simplified in the complexity of health care delivery where adaptive behaviours are prevalent. </w:t>
      </w:r>
    </w:p>
    <w:p w14:paraId="1E10C992" w14:textId="77777777" w:rsidR="00D34C85" w:rsidRPr="001D04DB" w:rsidRDefault="00000000">
      <w:pPr>
        <w:pStyle w:val="Heading2"/>
      </w:pPr>
      <w:bookmarkStart w:id="6" w:name="_Toc227271685"/>
      <w:r w:rsidRPr="001D04DB">
        <w:t>4. SWOT Analysis for Strategic Evaluation</w:t>
      </w:r>
      <w:bookmarkEnd w:id="6"/>
    </w:p>
    <w:p w14:paraId="0511B398" w14:textId="77777777" w:rsidR="00D34C85" w:rsidRPr="001D04DB" w:rsidRDefault="00000000">
      <w:r w:rsidRPr="001D04DB">
        <w:t>A SWOT analysis (Strengths, Weaknesses, Opportunities, Threats) provides a strategic approach towards organisational performance and its improvement planning.</w:t>
      </w:r>
    </w:p>
    <w:p w14:paraId="1323819F" w14:textId="77777777" w:rsidR="00D34C85" w:rsidRPr="001D04DB" w:rsidRDefault="00000000">
      <w:pPr>
        <w:numPr>
          <w:ilvl w:val="0"/>
          <w:numId w:val="3"/>
        </w:numPr>
        <w:pBdr>
          <w:top w:val="nil"/>
          <w:left w:val="nil"/>
          <w:bottom w:val="nil"/>
          <w:right w:val="nil"/>
          <w:between w:val="nil"/>
        </w:pBdr>
      </w:pPr>
      <w:r w:rsidRPr="001D04DB">
        <w:rPr>
          <w:b/>
          <w:bCs/>
        </w:rPr>
        <w:t>Strengths:</w:t>
      </w:r>
      <w:r w:rsidRPr="001D04DB">
        <w:t xml:space="preserve"> The NHS framework offers set policies on patient safety and quality improvement, which include post-inquiry reforms, such as greater regulatory control (Mayor, 2001). </w:t>
      </w:r>
    </w:p>
    <w:p w14:paraId="54307B77" w14:textId="77777777" w:rsidR="00D34C85" w:rsidRPr="001D04DB" w:rsidRDefault="00000000">
      <w:pPr>
        <w:numPr>
          <w:ilvl w:val="0"/>
          <w:numId w:val="3"/>
        </w:numPr>
        <w:pBdr>
          <w:top w:val="nil"/>
          <w:left w:val="nil"/>
          <w:bottom w:val="nil"/>
          <w:right w:val="nil"/>
          <w:between w:val="nil"/>
        </w:pBdr>
      </w:pPr>
      <w:r w:rsidRPr="001D04DB">
        <w:rPr>
          <w:b/>
          <w:bCs/>
        </w:rPr>
        <w:t>Weaknesses:</w:t>
      </w:r>
      <w:r w:rsidRPr="001D04DB">
        <w:t xml:space="preserve"> At Mid Staffordshire, the weaknesses were poor governance, accountability and lack of effective communication systems (Francis, 2013). </w:t>
      </w:r>
    </w:p>
    <w:p w14:paraId="62FD61BD" w14:textId="77777777" w:rsidR="00D34C85" w:rsidRPr="001D04DB" w:rsidRDefault="00000000">
      <w:pPr>
        <w:numPr>
          <w:ilvl w:val="0"/>
          <w:numId w:val="3"/>
        </w:numPr>
        <w:pBdr>
          <w:top w:val="nil"/>
          <w:left w:val="nil"/>
          <w:bottom w:val="nil"/>
          <w:right w:val="nil"/>
          <w:between w:val="nil"/>
        </w:pBdr>
      </w:pPr>
      <w:r w:rsidRPr="001D04DB">
        <w:rPr>
          <w:b/>
          <w:bCs/>
        </w:rPr>
        <w:t>Opportunities:</w:t>
      </w:r>
      <w:r w:rsidRPr="001D04DB">
        <w:t xml:space="preserve"> The introduction of patient safety models, including learning systems and incident reporting, offers an opportunity to improve the organisation (NHS England, 2022). </w:t>
      </w:r>
    </w:p>
    <w:p w14:paraId="2D9B83E0" w14:textId="77777777" w:rsidR="00D34C85" w:rsidRPr="001D04DB" w:rsidRDefault="00000000">
      <w:pPr>
        <w:numPr>
          <w:ilvl w:val="0"/>
          <w:numId w:val="3"/>
        </w:numPr>
        <w:pBdr>
          <w:top w:val="nil"/>
          <w:left w:val="nil"/>
          <w:bottom w:val="nil"/>
          <w:right w:val="nil"/>
          <w:between w:val="nil"/>
        </w:pBdr>
      </w:pPr>
      <w:r w:rsidRPr="001D04DB">
        <w:rPr>
          <w:b/>
          <w:bCs/>
        </w:rPr>
        <w:t>Threats:</w:t>
      </w:r>
      <w:r w:rsidRPr="001D04DB">
        <w:t xml:space="preserve"> There are external pressures that may affect the quality of care negatively, such as financial limitations and performance goals, unless properly balanced (Francis, 2013). </w:t>
      </w:r>
    </w:p>
    <w:p w14:paraId="421EF7A6" w14:textId="77777777" w:rsidR="00D34C85" w:rsidRPr="001D04DB" w:rsidRDefault="00000000">
      <w:r w:rsidRPr="001D04DB">
        <w:t>SWOT analysis can be used for connecting internal forces of the organisation with the external forces, and this aids in making strategic decisions. The SWOT analysis model has, however, been criticised due to its simplicity, lack of dynamism and excessive focus on internal factors, which can result in ill-informed strategic decisions (Munyao, 2026). Nonetheless, it supplements RCA and Donabedian analysis by guiding any future strategy of improvements. External policy and regulatory dynamics can also be incorporated to the SWOT analysis. For example, the response that organisations can move away is termed to be the blame-based approach of investigations to the learning-based approach (</w:t>
      </w:r>
      <w:proofErr w:type="spellStart"/>
      <w:r w:rsidRPr="001D04DB">
        <w:t>Maraffi</w:t>
      </w:r>
      <w:proofErr w:type="spellEnd"/>
      <w:r w:rsidRPr="001D04DB">
        <w:t xml:space="preserve"> and </w:t>
      </w:r>
      <w:proofErr w:type="spellStart"/>
      <w:r w:rsidRPr="001D04DB">
        <w:t>Pupulidy</w:t>
      </w:r>
      <w:proofErr w:type="spellEnd"/>
      <w:r w:rsidRPr="001D04DB">
        <w:t>, 2025). This can be analysed in response to national reforms, including the introduction of the Patient Safety Incident Response Framework (PSIRF) (Louch et al. 2023). However, there are still threats associated with continuing financial pressures within the NHS, as it has been reported that the funding shortfall is over 7 billion in recent years (The King’s Fund, 2023). Therefore, these restrictions can continue to limit resources like in the case of Mid Staffordshire. Further, it can also be stated that the digital infrastructure and data usage can be weak and it can disrupt real-time observation of patient safety indicators and prevent proactive intervention.</w:t>
      </w:r>
    </w:p>
    <w:p w14:paraId="390F7BE3" w14:textId="77777777" w:rsidR="00D34C85" w:rsidRPr="001D04DB" w:rsidRDefault="00000000">
      <w:pPr>
        <w:pStyle w:val="Heading2"/>
      </w:pPr>
      <w:bookmarkStart w:id="7" w:name="_Toc227271686"/>
      <w:r w:rsidRPr="001D04DB">
        <w:t>5. Integration of Theoretical Frameworks</w:t>
      </w:r>
      <w:bookmarkEnd w:id="7"/>
    </w:p>
    <w:p w14:paraId="2210927A" w14:textId="77777777" w:rsidR="00D34C85" w:rsidRPr="001D04DB" w:rsidRDefault="00000000">
      <w:r w:rsidRPr="001D04DB">
        <w:t xml:space="preserve">A combination of the Fishbone Diagram, Donabedian Model, and SWOT analysis offers a clear insight into the failures at Mid Staffordshire. Although the Fishbone Diagram outlines </w:t>
      </w:r>
      <w:r w:rsidRPr="001D04DB">
        <w:lastRenderedPageBreak/>
        <w:t>several factors at play, the Donabedian Model elaborates on how the failures turn into poor patient outcomes, and SWOT analysis aids in strategic planning to improve. These frameworks combined demonstrate that it was not individual incompetence that was the main problem, but the failure of governance structures, and it is important to implement the interventions to improve the quality of organisations as a whole, based on evidence-based practice.</w:t>
      </w:r>
    </w:p>
    <w:p w14:paraId="70D01215" w14:textId="31DCA04C" w:rsidR="00D34C85" w:rsidRPr="001D04DB" w:rsidRDefault="00000000">
      <w:pPr>
        <w:pStyle w:val="Heading1"/>
      </w:pPr>
      <w:bookmarkStart w:id="8" w:name="_Toc227271687"/>
      <w:r w:rsidRPr="001D04DB">
        <w:t>Recommendations</w:t>
      </w:r>
      <w:bookmarkEnd w:id="8"/>
    </w:p>
    <w:p w14:paraId="79529F92" w14:textId="77777777" w:rsidR="00D34C85" w:rsidRPr="001D04DB" w:rsidRDefault="00000000">
      <w:pPr>
        <w:numPr>
          <w:ilvl w:val="0"/>
          <w:numId w:val="4"/>
        </w:numPr>
        <w:pBdr>
          <w:top w:val="nil"/>
          <w:left w:val="nil"/>
          <w:bottom w:val="nil"/>
          <w:right w:val="nil"/>
          <w:between w:val="nil"/>
        </w:pBdr>
      </w:pPr>
      <w:r w:rsidRPr="001D04DB">
        <w:rPr>
          <w:b/>
          <w:bCs/>
        </w:rPr>
        <w:t>Implementing the PDSA (Plan-Do-Study-Act) cycle to pilot and perfect the change in staffing, monitoring patients, and governance systems in Mid Staffordshire NHS Foundation Trust:</w:t>
      </w:r>
      <w:r w:rsidRPr="001D04DB">
        <w:t xml:space="preserve"> One of the main causes that have been found is chronic understaffing and breakdown in patient watching procedures. Thus, it is suggested to </w:t>
      </w:r>
      <w:r w:rsidRPr="001D04DB">
        <w:rPr>
          <w:i/>
          <w:iCs/>
        </w:rPr>
        <w:t>use the PDSA (Plan-Do-Study-Act) cycle</w:t>
      </w:r>
      <w:r w:rsidRPr="001D04DB">
        <w:t xml:space="preserve"> to optimise safe staffing and monitoring. The Do phase implies testing these ratios with high-risk like emergency and elderly care units. This method has been effectively used in NHS trusts such as Salford Royal, where an organised quality improvement cycle helped to reduce mortality rates and enhanced Care Quality Commission (CQC) ratings (CQC, 2022). With an improved staffing, it has been associated with 7% lowering of mortality with each 10% of nurse staffing (Aiken et al., 2014). This recommendation is aimed at processes that were reported and contributes to an evidence-based improvement.</w:t>
      </w:r>
    </w:p>
    <w:p w14:paraId="71C08C43" w14:textId="1B30313B" w:rsidR="00D34C85" w:rsidRPr="001D04DB" w:rsidRDefault="00000000">
      <w:pPr>
        <w:numPr>
          <w:ilvl w:val="0"/>
          <w:numId w:val="4"/>
        </w:numPr>
        <w:pBdr>
          <w:top w:val="nil"/>
          <w:left w:val="nil"/>
          <w:bottom w:val="nil"/>
          <w:right w:val="nil"/>
          <w:between w:val="nil"/>
        </w:pBdr>
      </w:pPr>
      <w:r w:rsidRPr="001D04DB">
        <w:rPr>
          <w:b/>
          <w:bCs/>
        </w:rPr>
        <w:t>Using Lean concepts to remove inefficiencies, enhance the flow of patients, and optimise the use of resources</w:t>
      </w:r>
      <w:r w:rsidRPr="001D04DB">
        <w:t xml:space="preserve">: It is suggested to implement lean methodology to reduce the inefficiencies in the care processes, particularly in long wait time before patient evaluation, inefficient use of resources, and workflow disruptions. Lean can help to simplify care delivery by understanding patient journeys and finding non-value-adding activities such as delays in duplicating documentation. For instance, the Virginia Mason Medical </w:t>
      </w:r>
      <w:r w:rsidR="00D10F47">
        <w:t>Centre</w:t>
      </w:r>
      <w:r w:rsidRPr="001D04DB">
        <w:t xml:space="preserve"> in the USA used Lean concepts and cut down patient waiting lists by more than half and enhanced patient outcomes (Kim et al. 2006). Lean interventions have </w:t>
      </w:r>
      <w:r w:rsidR="00D10F47">
        <w:t xml:space="preserve">been </w:t>
      </w:r>
      <w:r w:rsidRPr="001D04DB">
        <w:t xml:space="preserve">demonstrated </w:t>
      </w:r>
      <w:r w:rsidR="00D10F47">
        <w:t xml:space="preserve">in </w:t>
      </w:r>
      <w:r w:rsidRPr="001D04DB">
        <w:t>the NHS context with A&amp;E cutting of waiting times and patient improvement. The implementation of Lean at Mid Staffordshire would consist of value stream mapping and staff engagement workshops, along with an ongoing monitoring of important performance indicators. This represents the response time to patient deterioration</w:t>
      </w:r>
      <w:r w:rsidR="00D10F47">
        <w:t>,</w:t>
      </w:r>
      <w:r w:rsidRPr="001D04DB">
        <w:t xml:space="preserve"> and this suggestion is important because the process inefficiencies have been identified in the Fishbone and Donabedian analysis, and limited resources are utilised in an effective way. It resulted in an improvement of patient safety and experience. </w:t>
      </w:r>
    </w:p>
    <w:p w14:paraId="02D1D9A9" w14:textId="66DC9764" w:rsidR="00D34C85" w:rsidRPr="001D04DB" w:rsidRDefault="006958F5" w:rsidP="000A4DAC">
      <w:pPr>
        <w:numPr>
          <w:ilvl w:val="0"/>
          <w:numId w:val="4"/>
        </w:numPr>
        <w:pBdr>
          <w:top w:val="nil"/>
          <w:left w:val="nil"/>
          <w:bottom w:val="nil"/>
          <w:right w:val="nil"/>
          <w:between w:val="nil"/>
        </w:pBdr>
      </w:pPr>
      <w:r w:rsidRPr="00A50B2D">
        <w:rPr>
          <w:b/>
          <w:bCs/>
        </w:rPr>
        <w:lastRenderedPageBreak/>
        <w:t>Control clinical mistakes and variation in care processes using Six Sigma methods with the DMAIC (Define, Measure, Analyse, Improve, Control) model</w:t>
      </w:r>
      <w:r w:rsidRPr="001D04DB">
        <w:t xml:space="preserve">. This strategy allows healthcare institutions like the Mid Staffordshire NHS Foundation Trust to trace the root causes of the errors, control the standardisation of procedures, track performance indicators, and maintain improvement using the constant data-based assessment. </w:t>
      </w:r>
      <w:r w:rsidR="00D10F47" w:rsidRPr="00D10F47">
        <w:t>Revere and Black</w:t>
      </w:r>
      <w:r w:rsidR="00D10F47">
        <w:t xml:space="preserve"> (</w:t>
      </w:r>
      <w:r w:rsidR="00D10F47" w:rsidRPr="00D10F47">
        <w:t>2003)</w:t>
      </w:r>
      <w:r w:rsidR="00D10F47">
        <w:t xml:space="preserve"> stated that </w:t>
      </w:r>
      <w:r w:rsidR="00D10F47" w:rsidRPr="00D10F47">
        <w:t>Six Sigma was implemented to minimi</w:t>
      </w:r>
      <w:r w:rsidR="00D10F47">
        <w:t>s</w:t>
      </w:r>
      <w:r w:rsidR="00D10F47" w:rsidRPr="00D10F47">
        <w:t>e medication errors and enhance patient safety. Through examining the patterns of errors and standardising the processes of administering medication</w:t>
      </w:r>
      <w:r w:rsidR="00D10F47">
        <w:t>, organisations can significantly</w:t>
      </w:r>
      <w:r w:rsidR="00D10F47" w:rsidRPr="00D10F47">
        <w:t xml:space="preserve"> minimis</w:t>
      </w:r>
      <w:r w:rsidR="00D10F47">
        <w:t>e</w:t>
      </w:r>
      <w:r w:rsidR="00D10F47" w:rsidRPr="00D10F47">
        <w:t xml:space="preserve"> the incidence of adverse drug events and </w:t>
      </w:r>
      <w:r w:rsidR="00D10F47">
        <w:t>enhance</w:t>
      </w:r>
      <w:r w:rsidR="00D10F47" w:rsidRPr="00D10F47">
        <w:t xml:space="preserve"> adherence to safety measures </w:t>
      </w:r>
      <w:r w:rsidR="000A4DAC" w:rsidRPr="000A4DAC">
        <w:t>(Ciapponi et al., 2021)</w:t>
      </w:r>
      <w:r w:rsidR="00D10F47" w:rsidRPr="00D10F47">
        <w:t>. This shows how data-driven practices can pinpoint underlying causes, reduce variation, and maintain quantifiable healthcare quality upgrades.</w:t>
      </w:r>
    </w:p>
    <w:p w14:paraId="4797CA7D" w14:textId="280F07D3" w:rsidR="00D34C85" w:rsidRPr="001D04DB" w:rsidRDefault="006958F5">
      <w:pPr>
        <w:numPr>
          <w:ilvl w:val="0"/>
          <w:numId w:val="4"/>
        </w:numPr>
        <w:pBdr>
          <w:top w:val="nil"/>
          <w:left w:val="nil"/>
          <w:bottom w:val="nil"/>
          <w:right w:val="nil"/>
          <w:between w:val="nil"/>
        </w:pBdr>
      </w:pPr>
      <w:r w:rsidRPr="00A50B2D">
        <w:rPr>
          <w:b/>
          <w:bCs/>
        </w:rPr>
        <w:t>Improving the clinical governance systems that provide clear accountability frameworks</w:t>
      </w:r>
      <w:r w:rsidRPr="001D04DB">
        <w:t>, a transparent reporting system, and ongoing quality monitoring procedures as were introduced by the Francis Report (Francis, 2013). This entails enhancing board control, incorporating routine audits, and incorporating PDSA cycles into the efforts that promote constant assessment, education, and consistent enhancement in patient safety results.</w:t>
      </w:r>
      <w:r w:rsidR="000F6752">
        <w:t xml:space="preserve"> For </w:t>
      </w:r>
      <w:r w:rsidR="000F6752" w:rsidRPr="000F6752">
        <w:t xml:space="preserve">example, Salford Royal NHS Foundation was the first organisation after the governance reforms </w:t>
      </w:r>
      <w:r w:rsidR="000F6752">
        <w:t>to introduce</w:t>
      </w:r>
      <w:r w:rsidR="000F6752" w:rsidRPr="000F6752">
        <w:t xml:space="preserve"> strong board oversight, real-time performance boards, and regular clinical audits, in addition to ongoing quality improvement processes. This strategy resulted in good patient safety rates and the regular high-ranking of the Care Quality Commission (CQC), indicating the efficiency of effective governance systems (CQC, 202</w:t>
      </w:r>
      <w:r w:rsidR="000F6752">
        <w:t>4</w:t>
      </w:r>
      <w:r w:rsidR="000F6752" w:rsidRPr="000F6752">
        <w:t>; Ham, 2014).</w:t>
      </w:r>
    </w:p>
    <w:p w14:paraId="253FE9B1" w14:textId="63F49E3B" w:rsidR="00D34C85" w:rsidRPr="001D04DB" w:rsidRDefault="006958F5" w:rsidP="000F6752">
      <w:pPr>
        <w:numPr>
          <w:ilvl w:val="0"/>
          <w:numId w:val="4"/>
        </w:numPr>
        <w:pBdr>
          <w:top w:val="nil"/>
          <w:left w:val="nil"/>
          <w:bottom w:val="nil"/>
          <w:right w:val="nil"/>
          <w:between w:val="nil"/>
        </w:pBdr>
      </w:pPr>
      <w:r w:rsidRPr="00A50B2D">
        <w:rPr>
          <w:b/>
          <w:bCs/>
        </w:rPr>
        <w:t>Facilitating a supportive safety culture through establishing open communication and whistleblowing</w:t>
      </w:r>
      <w:r w:rsidR="00A50B2D">
        <w:rPr>
          <w:b/>
          <w:bCs/>
        </w:rPr>
        <w:t>,</w:t>
      </w:r>
      <w:r w:rsidRPr="001D04DB">
        <w:t xml:space="preserve"> as well as learning </w:t>
      </w:r>
      <w:r w:rsidR="00A50B2D">
        <w:t>from incidents</w:t>
      </w:r>
      <w:r w:rsidRPr="001D04DB">
        <w:t xml:space="preserve"> without any fear of being blamed. This includes the use of supportive reporting systems, the commitment of leaders, and the ongoing feedback system that will allow organisations like Mid Staffordshire NHS Foundation Trust to </w:t>
      </w:r>
      <w:r w:rsidR="00A50B2D">
        <w:t>identify risks</w:t>
      </w:r>
      <w:r w:rsidRPr="001D04DB">
        <w:t xml:space="preserve"> where they can manage them in advance and maintain quality improvement. </w:t>
      </w:r>
      <w:r w:rsidR="00D35DC7">
        <w:t>For example,</w:t>
      </w:r>
      <w:r w:rsidR="00D35DC7" w:rsidRPr="00D35DC7">
        <w:t xml:space="preserve"> Virginia Mason Medical </w:t>
      </w:r>
      <w:r w:rsidR="00D35DC7">
        <w:t>Centre</w:t>
      </w:r>
      <w:r w:rsidR="00D35DC7" w:rsidRPr="00D35DC7">
        <w:t xml:space="preserve"> implemented a blame-free strategy in its patient safety programme. Employees were not afraid of reprimand and were encouraged to report mistakes and near-misses, which was backed by leadership dedication and open feedback channels. The method resulted in dramatic decreases in the number of adverse events and better patient safety outcomes (Kaplan, 2013). It brings out the importance of building trust and learning through </w:t>
      </w:r>
      <w:r w:rsidR="00D35DC7">
        <w:t>incidents</w:t>
      </w:r>
      <w:r w:rsidR="00D35DC7" w:rsidRPr="00D35DC7">
        <w:t xml:space="preserve"> to proactively </w:t>
      </w:r>
      <w:r w:rsidR="00D35DC7">
        <w:t>recognise</w:t>
      </w:r>
      <w:r w:rsidR="00D35DC7" w:rsidRPr="00D35DC7">
        <w:t xml:space="preserve"> risks and ensure continuous quality enhancement.</w:t>
      </w:r>
    </w:p>
    <w:p w14:paraId="71B51592" w14:textId="18C8AA47" w:rsidR="00E73197" w:rsidRDefault="006958F5" w:rsidP="009A4100">
      <w:pPr>
        <w:numPr>
          <w:ilvl w:val="0"/>
          <w:numId w:val="4"/>
        </w:numPr>
        <w:pBdr>
          <w:top w:val="nil"/>
          <w:left w:val="nil"/>
          <w:bottom w:val="nil"/>
          <w:right w:val="nil"/>
          <w:between w:val="nil"/>
        </w:pBdr>
      </w:pPr>
      <w:r w:rsidRPr="00E73197">
        <w:rPr>
          <w:b/>
          <w:bCs/>
        </w:rPr>
        <w:lastRenderedPageBreak/>
        <w:t>Periodic clinical audits and performance reviews to detect deviations and gaps</w:t>
      </w:r>
      <w:r w:rsidRPr="001D04DB">
        <w:t xml:space="preserve"> in service delivery that will allow detection of unsafe practices early. This would entail the application of PDCA cycles of continual evaluation, execution and </w:t>
      </w:r>
      <w:r w:rsidR="00A50B2D">
        <w:t>optimisation</w:t>
      </w:r>
      <w:r w:rsidRPr="001D04DB">
        <w:t xml:space="preserve"> of adjustments, which will guarantee responsibility and long-term quality improvement in organisations like the Mid Staffordshire NHS Foundation Trust. </w:t>
      </w:r>
      <w:r w:rsidR="00E73197">
        <w:t>For instance,</w:t>
      </w:r>
      <w:r w:rsidR="00E73197" w:rsidRPr="00E73197">
        <w:t xml:space="preserve"> National Audit of Inpatient Falls programs of the National Health Service, where frequent data collection and benchmarking are applied to assess the gaps in patient safety practices (NAIF, 2025). </w:t>
      </w:r>
      <w:proofErr w:type="spellStart"/>
      <w:r w:rsidR="00E73197" w:rsidRPr="00E73197">
        <w:t>Endalamaw</w:t>
      </w:r>
      <w:proofErr w:type="spellEnd"/>
      <w:r w:rsidR="00E73197" w:rsidRPr="00E73197">
        <w:t xml:space="preserve"> et al. (2024) also note</w:t>
      </w:r>
      <w:r w:rsidR="009D5599">
        <w:t>d</w:t>
      </w:r>
      <w:r w:rsidR="00E73197" w:rsidRPr="00E73197">
        <w:t xml:space="preserve"> that hospitals that adopt audit feedback and PDCA cycles have shown a decreased number of falls and better adherence to safety measures and emphasize that continuous assessment aids in timely identification of risks and ongoing quality improvement.</w:t>
      </w:r>
    </w:p>
    <w:p w14:paraId="545D92E7" w14:textId="42271DF5" w:rsidR="00E73197" w:rsidRDefault="009A4100" w:rsidP="009A4100">
      <w:pPr>
        <w:numPr>
          <w:ilvl w:val="0"/>
          <w:numId w:val="4"/>
        </w:numPr>
        <w:pBdr>
          <w:top w:val="nil"/>
          <w:left w:val="nil"/>
          <w:bottom w:val="nil"/>
          <w:right w:val="nil"/>
          <w:between w:val="nil"/>
        </w:pBdr>
      </w:pPr>
      <w:r w:rsidRPr="00E73197">
        <w:rPr>
          <w:b/>
          <w:bCs/>
        </w:rPr>
        <w:t>Conducting continuous training and professional development programmes</w:t>
      </w:r>
      <w:r w:rsidRPr="001D04DB">
        <w:t xml:space="preserve"> to improve staff competencies, clinical competence, and morale</w:t>
      </w:r>
      <w:r w:rsidR="00A50B2D">
        <w:t>,</w:t>
      </w:r>
      <w:r w:rsidRPr="001D04DB">
        <w:t xml:space="preserve"> with the main root causes being insufficient training and staff motivation. This must incorporate the ongoing learning, mentorship and the use of simulations, where PDSA cycles are adopted to assess effectiveness and sustain the improvement in organisations like Mid Staffordshire NHS Foundation Trust. </w:t>
      </w:r>
      <w:r w:rsidR="00E73197">
        <w:t>For</w:t>
      </w:r>
      <w:r w:rsidR="00E73197" w:rsidRPr="00E73197">
        <w:t xml:space="preserve"> example, Johns Hopkins Hospital had already established a system of staff education and training by simulation to enhance clinical skills, especially in infection control (CDC, 2024). The hospital has greatly decreased central line-associated bloodstream infections (CLABSIs) through continuous training, mentoring, and assessment through PDSA cycles, showing an improved patient safety and performance of staff (Pronovost et al., 2006). This brings to the fore the direct relationship between sustained workforce development and quality improvement and clinical error reduction.</w:t>
      </w:r>
    </w:p>
    <w:p w14:paraId="633BD378" w14:textId="7362614F" w:rsidR="00D34C85" w:rsidRPr="001D04DB" w:rsidRDefault="00000000">
      <w:pPr>
        <w:pStyle w:val="Heading1"/>
      </w:pPr>
      <w:bookmarkStart w:id="9" w:name="_Toc227271688"/>
      <w:r w:rsidRPr="001D04DB">
        <w:t>Conclusion</w:t>
      </w:r>
      <w:bookmarkEnd w:id="9"/>
    </w:p>
    <w:p w14:paraId="4D939836" w14:textId="351E0302" w:rsidR="00EC1036" w:rsidRPr="001D04DB" w:rsidRDefault="00EC1036" w:rsidP="00EC1036">
      <w:r w:rsidRPr="001D04DB">
        <w:t>Therefore, the case of failures within the Mid Staffordshire NHS Foundation Trust shows that when poorly established systems are used</w:t>
      </w:r>
      <w:r w:rsidR="00EF63B0" w:rsidRPr="001D04DB">
        <w:t>,</w:t>
      </w:r>
      <w:r w:rsidRPr="001D04DB">
        <w:t xml:space="preserve"> and poor governance is </w:t>
      </w:r>
      <w:r w:rsidR="00EF63B0" w:rsidRPr="001D04DB">
        <w:t>practised</w:t>
      </w:r>
      <w:r w:rsidRPr="001D04DB">
        <w:t xml:space="preserve">, then circumstances exist where it is possible to cause disastrous </w:t>
      </w:r>
      <w:r w:rsidR="00EF63B0" w:rsidRPr="001D04DB">
        <w:t>damage</w:t>
      </w:r>
      <w:r w:rsidRPr="001D04DB">
        <w:t xml:space="preserve"> on a mass scale. As evidenced in this report, the failures were not caused by single clinical errors, but rather they were entrenched in the systemic problems of ineffective leadership, inadequate staffing, weakening accountability systems, and the culture which failed to promote transparency and learning. The use of some of the major frameworks, particularly the Root Cause Analysis, the Fishbone Diagram, the Donabedian Model, and the SWOT analysis</w:t>
      </w:r>
      <w:r w:rsidR="00EF63B0" w:rsidRPr="001D04DB">
        <w:t>,</w:t>
      </w:r>
      <w:r w:rsidRPr="001D04DB">
        <w:t xml:space="preserve"> has made it possible to have a holistic view of how the structural and process failures converted into adverse patient outcomes.</w:t>
      </w:r>
    </w:p>
    <w:p w14:paraId="32433226" w14:textId="0CDAD36C" w:rsidR="00EC1036" w:rsidRPr="001D04DB" w:rsidRDefault="00EC1036" w:rsidP="00EC1036">
      <w:r w:rsidRPr="001D04DB">
        <w:lastRenderedPageBreak/>
        <w:t>Moreover, the results highlight the need to incorporate quality improvement strategies like PDSA, Lean, and Six Sigma in order to effectively deal with these root causes. The strategies offer evidence-based structures in order to monitor, evaluate and improve healthcare services continuously. Notably, it is crucial to promote a patient-centred culture of safety, tighten the governance framework, and invest in the development of the workforce as key contributors to sustainable change.</w:t>
      </w:r>
    </w:p>
    <w:p w14:paraId="092C8DD2" w14:textId="114B15EF" w:rsidR="00D34C85" w:rsidRPr="001D04DB" w:rsidRDefault="00EC1036" w:rsidP="00EC1036">
      <w:r w:rsidRPr="001D04DB">
        <w:t>Overall, the case underscores core lessons related to health and social care systems worldwide, affirming the need to ensure high-quality levels of care rely on effective governance, organisational learning, and maintaining a persistent commitment to patient safety and service improvement.</w:t>
      </w:r>
    </w:p>
    <w:p w14:paraId="0D4961FF" w14:textId="77777777" w:rsidR="00D34C85" w:rsidRPr="001D04DB" w:rsidRDefault="00000000">
      <w:pPr>
        <w:spacing w:after="160" w:line="259" w:lineRule="auto"/>
        <w:jc w:val="left"/>
      </w:pPr>
      <w:r w:rsidRPr="001D04DB">
        <w:br w:type="page"/>
      </w:r>
    </w:p>
    <w:p w14:paraId="534129A9" w14:textId="77777777" w:rsidR="00D34C85" w:rsidRPr="001D04DB" w:rsidRDefault="00000000">
      <w:pPr>
        <w:pStyle w:val="Heading1"/>
      </w:pPr>
      <w:bookmarkStart w:id="10" w:name="_Toc227271689"/>
      <w:r w:rsidRPr="001D04DB">
        <w:lastRenderedPageBreak/>
        <w:t>References</w:t>
      </w:r>
      <w:bookmarkEnd w:id="10"/>
    </w:p>
    <w:p w14:paraId="3DE78E0A" w14:textId="4F586D6D" w:rsidR="00D76A7E" w:rsidRPr="00432EFB" w:rsidRDefault="00D76A7E" w:rsidP="00D76A7E">
      <w:pPr>
        <w:spacing w:before="240" w:after="240"/>
      </w:pPr>
      <w:r w:rsidRPr="00D76A7E">
        <w:rPr>
          <w:highlight w:val="white"/>
        </w:rPr>
        <w:t xml:space="preserve">Bader, M., Antony, J., Jayaraman, R., </w:t>
      </w:r>
      <w:proofErr w:type="spellStart"/>
      <w:r w:rsidRPr="00D76A7E">
        <w:rPr>
          <w:highlight w:val="white"/>
        </w:rPr>
        <w:t>Swarnakar</w:t>
      </w:r>
      <w:proofErr w:type="spellEnd"/>
      <w:r w:rsidRPr="00D76A7E">
        <w:rPr>
          <w:highlight w:val="white"/>
        </w:rPr>
        <w:t xml:space="preserve">, V., Goonetilleke, R.S., Maalouf, M., Garza-Reyes, J.A. and Linderman, K. (2024). Why do process improvement projects fail in organizations? A review and future research agenda. </w:t>
      </w:r>
      <w:r w:rsidRPr="00D76A7E">
        <w:rPr>
          <w:i/>
          <w:iCs/>
          <w:highlight w:val="white"/>
        </w:rPr>
        <w:t>International Journal of Lean Six Sigma</w:t>
      </w:r>
      <w:r w:rsidRPr="00D76A7E">
        <w:rPr>
          <w:highlight w:val="white"/>
        </w:rPr>
        <w:t xml:space="preserve">, </w:t>
      </w:r>
      <w:r w:rsidRPr="00D76A7E">
        <w:rPr>
          <w:i/>
          <w:iCs/>
          <w:highlight w:val="white"/>
        </w:rPr>
        <w:t>15</w:t>
      </w:r>
      <w:r w:rsidRPr="00D76A7E">
        <w:rPr>
          <w:highlight w:val="white"/>
        </w:rPr>
        <w:t xml:space="preserve">(3), pp.664-690. </w:t>
      </w:r>
      <w:hyperlink r:id="rId10">
        <w:r w:rsidRPr="00D76A7E">
          <w:rPr>
            <w:shd w:val="clear" w:color="auto" w:fill="F7F7F7"/>
          </w:rPr>
          <w:t>https://doi.org</w:t>
        </w:r>
        <w:r w:rsidRPr="00D76A7E">
          <w:rPr>
            <w:shd w:val="clear" w:color="auto" w:fill="F7F7F7"/>
          </w:rPr>
          <w:t>/</w:t>
        </w:r>
        <w:r w:rsidRPr="00D76A7E">
          <w:rPr>
            <w:shd w:val="clear" w:color="auto" w:fill="F7F7F7"/>
          </w:rPr>
          <w:t>10.1108/IJLSS-07-2023-0126</w:t>
        </w:r>
      </w:hyperlink>
      <w:r w:rsidRPr="00432EFB">
        <w:t xml:space="preserve">. </w:t>
      </w:r>
    </w:p>
    <w:p w14:paraId="7740DFBC" w14:textId="06D4FD5A" w:rsidR="00D76A7E" w:rsidRPr="00D76A7E" w:rsidRDefault="00D76A7E" w:rsidP="00D76A7E">
      <w:pPr>
        <w:spacing w:before="240" w:after="240"/>
        <w:rPr>
          <w:highlight w:val="white"/>
        </w:rPr>
      </w:pPr>
      <w:r w:rsidRPr="00D76A7E">
        <w:rPr>
          <w:highlight w:val="white"/>
        </w:rPr>
        <w:t xml:space="preserve">Berwick, D. and Fox, D.M. (2019). Evaluating the quality of medical care: Donabedian’s classic article 50 years later. </w:t>
      </w:r>
      <w:r w:rsidRPr="00D76A7E">
        <w:rPr>
          <w:i/>
          <w:iCs/>
          <w:highlight w:val="white"/>
        </w:rPr>
        <w:t>The Milbank Quarterly</w:t>
      </w:r>
      <w:r w:rsidRPr="00D76A7E">
        <w:rPr>
          <w:highlight w:val="white"/>
        </w:rPr>
        <w:t xml:space="preserve">, [online] 94(2), pp.237–241. Available at: </w:t>
      </w:r>
      <w:hyperlink r:id="rId11" w:history="1">
        <w:r w:rsidRPr="008F5D5A">
          <w:rPr>
            <w:rStyle w:val="Hyperlink"/>
            <w:highlight w:val="white"/>
          </w:rPr>
          <w:t>https://www.milbank.org/quarterly/articles/evaluating-the-quality-of-medical-care-donabedians-classic-article-50-years-later/</w:t>
        </w:r>
      </w:hyperlink>
      <w:r w:rsidRPr="00D76A7E">
        <w:rPr>
          <w:highlight w:val="white"/>
        </w:rPr>
        <w:t>.</w:t>
      </w:r>
    </w:p>
    <w:p w14:paraId="0ED421CA" w14:textId="24A44A0A" w:rsidR="00D76A7E" w:rsidRPr="00D76A7E" w:rsidRDefault="00D76A7E" w:rsidP="00D76A7E">
      <w:pPr>
        <w:spacing w:before="240" w:after="240"/>
        <w:rPr>
          <w:highlight w:val="white"/>
        </w:rPr>
      </w:pPr>
      <w:r w:rsidRPr="00D76A7E">
        <w:rPr>
          <w:highlight w:val="white"/>
        </w:rPr>
        <w:t xml:space="preserve">CDC (2024). </w:t>
      </w:r>
      <w:r w:rsidRPr="00D76A7E">
        <w:rPr>
          <w:i/>
          <w:iCs/>
          <w:highlight w:val="white"/>
        </w:rPr>
        <w:t xml:space="preserve">Johns Hopkins University Prevention </w:t>
      </w:r>
      <w:proofErr w:type="spellStart"/>
      <w:r w:rsidRPr="00D76A7E">
        <w:rPr>
          <w:i/>
          <w:iCs/>
          <w:highlight w:val="white"/>
        </w:rPr>
        <w:t>Epicenter</w:t>
      </w:r>
      <w:proofErr w:type="spellEnd"/>
      <w:r w:rsidRPr="00D76A7E">
        <w:rPr>
          <w:highlight w:val="white"/>
        </w:rPr>
        <w:t xml:space="preserve">. [online] Healthcare-Associated Infections (HAIs). Available at: </w:t>
      </w:r>
      <w:hyperlink r:id="rId12" w:history="1">
        <w:r w:rsidRPr="008F5D5A">
          <w:rPr>
            <w:rStyle w:val="Hyperlink"/>
            <w:highlight w:val="white"/>
          </w:rPr>
          <w:t>https://www.cdc.gov/healthcare-associated-infections/php/prevention-epicenters/johns-hopkins.html</w:t>
        </w:r>
      </w:hyperlink>
      <w:r w:rsidRPr="00D76A7E">
        <w:rPr>
          <w:highlight w:val="white"/>
        </w:rPr>
        <w:t>.</w:t>
      </w:r>
    </w:p>
    <w:p w14:paraId="7B210AD6" w14:textId="65322616" w:rsidR="00D76A7E" w:rsidRPr="00D76A7E" w:rsidRDefault="00D76A7E" w:rsidP="00D76A7E">
      <w:pPr>
        <w:spacing w:before="240" w:after="240"/>
        <w:rPr>
          <w:highlight w:val="white"/>
        </w:rPr>
      </w:pPr>
      <w:r w:rsidRPr="00D76A7E">
        <w:rPr>
          <w:highlight w:val="white"/>
        </w:rPr>
        <w:t xml:space="preserve">Ciapponi, A., Nievas, S.E.F., Seijo, M., Rodríguez, M.B., Vietto, V., Perdomo, H.A.G., Virgilio, S., </w:t>
      </w:r>
      <w:proofErr w:type="spellStart"/>
      <w:r w:rsidRPr="00D76A7E">
        <w:rPr>
          <w:highlight w:val="white"/>
        </w:rPr>
        <w:t>Fajreldines</w:t>
      </w:r>
      <w:proofErr w:type="spellEnd"/>
      <w:r w:rsidRPr="00D76A7E">
        <w:rPr>
          <w:highlight w:val="white"/>
        </w:rPr>
        <w:t xml:space="preserve">, A.V., Tost, J., Rose, C.J. and </w:t>
      </w:r>
      <w:proofErr w:type="spellStart"/>
      <w:r w:rsidRPr="00D76A7E">
        <w:rPr>
          <w:highlight w:val="white"/>
        </w:rPr>
        <w:t>Elorrio</w:t>
      </w:r>
      <w:proofErr w:type="spellEnd"/>
      <w:r w:rsidRPr="00D76A7E">
        <w:rPr>
          <w:highlight w:val="white"/>
        </w:rPr>
        <w:t xml:space="preserve">, E.G. (2021). Reducing medication errors for adults in hospital settings. </w:t>
      </w:r>
      <w:r w:rsidRPr="00D76A7E">
        <w:rPr>
          <w:i/>
          <w:iCs/>
          <w:highlight w:val="white"/>
        </w:rPr>
        <w:t>Cochrane Database of Systematic Reviews</w:t>
      </w:r>
      <w:r w:rsidRPr="00D76A7E">
        <w:rPr>
          <w:highlight w:val="white"/>
        </w:rPr>
        <w:t xml:space="preserve">, [online] 2021(11). Available at: </w:t>
      </w:r>
      <w:hyperlink r:id="rId13" w:history="1">
        <w:r w:rsidRPr="008F5D5A">
          <w:rPr>
            <w:rStyle w:val="Hyperlink"/>
            <w:highlight w:val="white"/>
          </w:rPr>
          <w:t>https://www.ncbi.nlm.nih.gov/pmc/articles/PMC8614640/</w:t>
        </w:r>
      </w:hyperlink>
      <w:r w:rsidRPr="00D76A7E">
        <w:rPr>
          <w:highlight w:val="white"/>
        </w:rPr>
        <w:t>.</w:t>
      </w:r>
    </w:p>
    <w:p w14:paraId="3DA9A662" w14:textId="032B8599" w:rsidR="00D76A7E" w:rsidRPr="00D76A7E" w:rsidRDefault="00D76A7E" w:rsidP="00D76A7E">
      <w:pPr>
        <w:spacing w:before="240" w:after="240"/>
        <w:rPr>
          <w:highlight w:val="white"/>
        </w:rPr>
      </w:pPr>
      <w:r w:rsidRPr="00D76A7E">
        <w:rPr>
          <w:highlight w:val="white"/>
        </w:rPr>
        <w:t xml:space="preserve">CQC (2024). </w:t>
      </w:r>
      <w:r w:rsidRPr="00D76A7E">
        <w:rPr>
          <w:i/>
          <w:iCs/>
          <w:highlight w:val="white"/>
        </w:rPr>
        <w:t>All inspections: Salford Royal Hospital NHS Foundation Trust - Care Quality Commission</w:t>
      </w:r>
      <w:r w:rsidRPr="00D76A7E">
        <w:rPr>
          <w:highlight w:val="white"/>
        </w:rPr>
        <w:t xml:space="preserve">. [online] Cqc.org.uk. Available at: </w:t>
      </w:r>
      <w:hyperlink r:id="rId14" w:history="1">
        <w:r w:rsidRPr="008F5D5A">
          <w:rPr>
            <w:rStyle w:val="Hyperlink"/>
            <w:highlight w:val="white"/>
          </w:rPr>
          <w:t>https://www.cqc.org.uk/location/5F535/reports [Accessed 16 Apr. 2026]</w:t>
        </w:r>
      </w:hyperlink>
      <w:r w:rsidRPr="00D76A7E">
        <w:rPr>
          <w:highlight w:val="white"/>
        </w:rPr>
        <w:t>.</w:t>
      </w:r>
    </w:p>
    <w:p w14:paraId="3060D425" w14:textId="286121BA" w:rsidR="00D76A7E" w:rsidRPr="00D76A7E" w:rsidRDefault="00D76A7E" w:rsidP="00D76A7E">
      <w:pPr>
        <w:spacing w:before="240" w:after="240"/>
        <w:rPr>
          <w:highlight w:val="white"/>
        </w:rPr>
      </w:pPr>
      <w:proofErr w:type="spellStart"/>
      <w:r w:rsidRPr="00D76A7E">
        <w:rPr>
          <w:highlight w:val="white"/>
        </w:rPr>
        <w:t>Endalamaw</w:t>
      </w:r>
      <w:proofErr w:type="spellEnd"/>
      <w:r w:rsidRPr="00D76A7E">
        <w:rPr>
          <w:highlight w:val="white"/>
        </w:rPr>
        <w:t xml:space="preserve">, A., Khatri, R.B., Mengistu, T.S., </w:t>
      </w:r>
      <w:proofErr w:type="spellStart"/>
      <w:r w:rsidRPr="00D76A7E">
        <w:rPr>
          <w:highlight w:val="white"/>
        </w:rPr>
        <w:t>Erku</w:t>
      </w:r>
      <w:proofErr w:type="spellEnd"/>
      <w:r w:rsidRPr="00D76A7E">
        <w:rPr>
          <w:highlight w:val="white"/>
        </w:rPr>
        <w:t xml:space="preserve">, D., </w:t>
      </w:r>
      <w:proofErr w:type="spellStart"/>
      <w:r w:rsidRPr="00D76A7E">
        <w:rPr>
          <w:highlight w:val="white"/>
        </w:rPr>
        <w:t>Wolka</w:t>
      </w:r>
      <w:proofErr w:type="spellEnd"/>
      <w:r w:rsidRPr="00D76A7E">
        <w:rPr>
          <w:highlight w:val="white"/>
        </w:rPr>
        <w:t xml:space="preserve">, E., Zewdie, A. and Assefa, Y. (2024). A scoping review of continuous quality improvement in healthcare system: Conceptualization, models and tools, barriers and facilitators, and impact. </w:t>
      </w:r>
      <w:r w:rsidRPr="00D76A7E">
        <w:rPr>
          <w:i/>
          <w:iCs/>
          <w:highlight w:val="white"/>
        </w:rPr>
        <w:t>BioMed Central health services research</w:t>
      </w:r>
      <w:r w:rsidRPr="00D76A7E">
        <w:rPr>
          <w:highlight w:val="white"/>
        </w:rPr>
        <w:t xml:space="preserve">, [online] 24(1), p.487. </w:t>
      </w:r>
      <w:proofErr w:type="spellStart"/>
      <w:r w:rsidRPr="00D76A7E">
        <w:rPr>
          <w:highlight w:val="white"/>
        </w:rPr>
        <w:t>doi:</w:t>
      </w:r>
      <w:hyperlink r:id="rId15" w:history="1">
        <w:r w:rsidRPr="008F5D5A">
          <w:rPr>
            <w:rStyle w:val="Hyperlink"/>
            <w:highlight w:val="white"/>
          </w:rPr>
          <w:t>https</w:t>
        </w:r>
        <w:proofErr w:type="spellEnd"/>
        <w:r w:rsidRPr="008F5D5A">
          <w:rPr>
            <w:rStyle w:val="Hyperlink"/>
            <w:highlight w:val="white"/>
          </w:rPr>
          <w:t>://doi.org/10.1186/s12913-024-10828-0</w:t>
        </w:r>
      </w:hyperlink>
      <w:r w:rsidRPr="00D76A7E">
        <w:rPr>
          <w:highlight w:val="white"/>
        </w:rPr>
        <w:t>.</w:t>
      </w:r>
    </w:p>
    <w:p w14:paraId="0DB7616B" w14:textId="4F3A5AE4" w:rsidR="00D76A7E" w:rsidRPr="00D76A7E" w:rsidRDefault="00D76A7E" w:rsidP="00D76A7E">
      <w:pPr>
        <w:spacing w:before="240" w:after="240"/>
        <w:rPr>
          <w:highlight w:val="white"/>
        </w:rPr>
      </w:pPr>
      <w:r w:rsidRPr="00D76A7E">
        <w:rPr>
          <w:highlight w:val="white"/>
        </w:rPr>
        <w:t xml:space="preserve">Francis, R. (2013). </w:t>
      </w:r>
      <w:r w:rsidRPr="00D76A7E">
        <w:rPr>
          <w:i/>
          <w:iCs/>
          <w:highlight w:val="white"/>
        </w:rPr>
        <w:t>The Mid Staffordshire NHS Foundation Trust Public Inquiry Report of the Mid Staffordshire NHS Foundation Trust Public Inquiry Executive summary</w:t>
      </w:r>
      <w:r w:rsidRPr="00D76A7E">
        <w:rPr>
          <w:highlight w:val="white"/>
        </w:rPr>
        <w:t xml:space="preserve">. [online] Available at: </w:t>
      </w:r>
      <w:hyperlink r:id="rId16" w:history="1">
        <w:r w:rsidRPr="00577A47">
          <w:rPr>
            <w:rStyle w:val="Hyperlink"/>
            <w:highlight w:val="white"/>
          </w:rPr>
          <w:t>https://assets.publishing.service.gov.uk/media/5a7ba0faed915d13110607c8/0947.pdf</w:t>
        </w:r>
      </w:hyperlink>
      <w:r w:rsidRPr="00D76A7E">
        <w:rPr>
          <w:highlight w:val="white"/>
        </w:rPr>
        <w:t>.</w:t>
      </w:r>
    </w:p>
    <w:p w14:paraId="4F20EE68" w14:textId="7458CB09" w:rsidR="00D76A7E" w:rsidRPr="00D76A7E" w:rsidRDefault="00D76A7E" w:rsidP="00D76A7E">
      <w:pPr>
        <w:spacing w:before="240" w:after="240"/>
        <w:rPr>
          <w:highlight w:val="white"/>
        </w:rPr>
      </w:pPr>
      <w:r w:rsidRPr="00D76A7E">
        <w:rPr>
          <w:highlight w:val="white"/>
        </w:rPr>
        <w:t xml:space="preserve">Full Fact (2013). </w:t>
      </w:r>
      <w:r w:rsidRPr="00D76A7E">
        <w:rPr>
          <w:i/>
          <w:iCs/>
          <w:highlight w:val="white"/>
        </w:rPr>
        <w:t>How many people died ‘unnecessarily’ at Mid Staffs?</w:t>
      </w:r>
      <w:r w:rsidRPr="00D76A7E">
        <w:rPr>
          <w:highlight w:val="white"/>
        </w:rPr>
        <w:t xml:space="preserve"> [online] Full Fact. Available at: </w:t>
      </w:r>
      <w:hyperlink r:id="rId17" w:history="1">
        <w:r w:rsidRPr="00577A47">
          <w:rPr>
            <w:rStyle w:val="Hyperlink"/>
            <w:highlight w:val="white"/>
          </w:rPr>
          <w:t>https://fullfact.org/health/how-many-people-died-unnecessarily-mid-staffs/</w:t>
        </w:r>
      </w:hyperlink>
      <w:r w:rsidRPr="00D76A7E">
        <w:rPr>
          <w:highlight w:val="white"/>
        </w:rPr>
        <w:t>.</w:t>
      </w:r>
    </w:p>
    <w:p w14:paraId="3D66EFE3" w14:textId="3179E848" w:rsidR="00D76A7E" w:rsidRPr="00432EFB" w:rsidRDefault="00D76A7E" w:rsidP="00D76A7E">
      <w:pPr>
        <w:spacing w:before="240" w:after="240"/>
      </w:pPr>
      <w:proofErr w:type="spellStart"/>
      <w:r w:rsidRPr="00D76A7E">
        <w:rPr>
          <w:highlight w:val="white"/>
        </w:rPr>
        <w:lastRenderedPageBreak/>
        <w:t>Gangidi</w:t>
      </w:r>
      <w:proofErr w:type="spellEnd"/>
      <w:r w:rsidRPr="00D76A7E">
        <w:rPr>
          <w:highlight w:val="white"/>
        </w:rPr>
        <w:t xml:space="preserve">, P. (2019). A systematic approach to root cause analysis using 3× 5 why’s technique. </w:t>
      </w:r>
      <w:r w:rsidRPr="00D76A7E">
        <w:rPr>
          <w:i/>
          <w:iCs/>
          <w:highlight w:val="white"/>
        </w:rPr>
        <w:t>International Journal of Lean Six Sigma</w:t>
      </w:r>
      <w:r w:rsidRPr="00D76A7E">
        <w:rPr>
          <w:highlight w:val="white"/>
        </w:rPr>
        <w:t xml:space="preserve">, </w:t>
      </w:r>
      <w:r w:rsidRPr="00D76A7E">
        <w:rPr>
          <w:i/>
          <w:iCs/>
          <w:highlight w:val="white"/>
        </w:rPr>
        <w:t>10</w:t>
      </w:r>
      <w:r w:rsidRPr="00D76A7E">
        <w:rPr>
          <w:highlight w:val="white"/>
        </w:rPr>
        <w:t xml:space="preserve">(1), pp.295-310. </w:t>
      </w:r>
      <w:hyperlink r:id="rId18" w:history="1">
        <w:r w:rsidRPr="00577A47">
          <w:rPr>
            <w:rStyle w:val="Hyperlink"/>
            <w:shd w:val="clear" w:color="auto" w:fill="F7F7F7"/>
          </w:rPr>
          <w:t>https://doi.org/10.1108/IJLSS-10-2017-0114</w:t>
        </w:r>
        <w:r w:rsidRPr="00577A47">
          <w:rPr>
            <w:rStyle w:val="Hyperlink"/>
            <w:highlight w:val="white"/>
          </w:rPr>
          <w:t>.</w:t>
        </w:r>
      </w:hyperlink>
      <w:r w:rsidRPr="00D76A7E">
        <w:rPr>
          <w:highlight w:val="white"/>
        </w:rPr>
        <w:t xml:space="preserve"> </w:t>
      </w:r>
    </w:p>
    <w:p w14:paraId="310DA4B8" w14:textId="5EF78F0D" w:rsidR="00D76A7E" w:rsidRPr="00D76A7E" w:rsidRDefault="00D76A7E" w:rsidP="00D76A7E">
      <w:pPr>
        <w:spacing w:before="240" w:after="240"/>
        <w:rPr>
          <w:highlight w:val="white"/>
        </w:rPr>
      </w:pPr>
      <w:r w:rsidRPr="00D76A7E">
        <w:rPr>
          <w:highlight w:val="white"/>
        </w:rPr>
        <w:t xml:space="preserve">Ham, C. (2014). </w:t>
      </w:r>
      <w:r w:rsidRPr="00D76A7E">
        <w:rPr>
          <w:i/>
          <w:iCs/>
          <w:highlight w:val="white"/>
        </w:rPr>
        <w:t>Reforming the NHS from within</w:t>
      </w:r>
      <w:r w:rsidRPr="00D76A7E">
        <w:rPr>
          <w:highlight w:val="white"/>
        </w:rPr>
        <w:t xml:space="preserve">. [online] Available at: </w:t>
      </w:r>
      <w:hyperlink r:id="rId19" w:history="1">
        <w:r w:rsidRPr="00577A47">
          <w:rPr>
            <w:rStyle w:val="Hyperlink"/>
            <w:highlight w:val="white"/>
          </w:rPr>
          <w:t>https://assets.kingsfund.org.uk/f/256914/x/9fdc9bb006/reforming_nhs_from_within_2014.pdf</w:t>
        </w:r>
      </w:hyperlink>
      <w:r w:rsidRPr="00D76A7E">
        <w:rPr>
          <w:highlight w:val="white"/>
        </w:rPr>
        <w:t>.</w:t>
      </w:r>
    </w:p>
    <w:p w14:paraId="7374E4BB" w14:textId="19AD2D2D" w:rsidR="00D76A7E" w:rsidRPr="00432EFB" w:rsidRDefault="00D76A7E" w:rsidP="00D76A7E">
      <w:pPr>
        <w:spacing w:before="240" w:after="240"/>
      </w:pPr>
      <w:r w:rsidRPr="00432EFB">
        <w:t xml:space="preserve">Healthcare Commission (2009). </w:t>
      </w:r>
      <w:r w:rsidRPr="00D76A7E">
        <w:rPr>
          <w:i/>
          <w:iCs/>
        </w:rPr>
        <w:t>Investigation into Mid Staffordshire NHS Foundation Trust Summary report</w:t>
      </w:r>
      <w:r w:rsidRPr="00432EFB">
        <w:t xml:space="preserve">. [online] Available at: </w:t>
      </w:r>
      <w:hyperlink r:id="rId20">
        <w:r w:rsidRPr="00D76A7E">
          <w:rPr>
            <w:u w:val="single"/>
          </w:rPr>
          <w:t>https://image.guardian.co.uk/sys-files/Guardian/documents/2009/03/17/Investigation_into_Mid_Staffordshire_NHS_Foundation_Trust_Summary.pdf</w:t>
        </w:r>
      </w:hyperlink>
      <w:r w:rsidRPr="00432EFB">
        <w:t>.</w:t>
      </w:r>
    </w:p>
    <w:p w14:paraId="6677DB7C" w14:textId="554F24FC" w:rsidR="00D76A7E" w:rsidRPr="00D76A7E" w:rsidRDefault="00D76A7E" w:rsidP="00D76A7E">
      <w:pPr>
        <w:spacing w:before="240" w:after="240"/>
        <w:rPr>
          <w:highlight w:val="white"/>
        </w:rPr>
      </w:pPr>
      <w:r w:rsidRPr="00D76A7E">
        <w:rPr>
          <w:highlight w:val="white"/>
        </w:rPr>
        <w:t xml:space="preserve">Kaplan , G.S. (2013). </w:t>
      </w:r>
      <w:r w:rsidRPr="00D76A7E">
        <w:rPr>
          <w:i/>
          <w:iCs/>
          <w:highlight w:val="white"/>
        </w:rPr>
        <w:t xml:space="preserve">Transforming Health Care Virginia Mason Medical </w:t>
      </w:r>
      <w:proofErr w:type="spellStart"/>
      <w:r w:rsidRPr="00D76A7E">
        <w:rPr>
          <w:i/>
          <w:iCs/>
          <w:highlight w:val="white"/>
        </w:rPr>
        <w:t>Center’s</w:t>
      </w:r>
      <w:proofErr w:type="spellEnd"/>
      <w:r w:rsidRPr="00D76A7E">
        <w:rPr>
          <w:i/>
          <w:iCs/>
          <w:highlight w:val="white"/>
        </w:rPr>
        <w:t xml:space="preserve"> Pursuit of the Perfect Patient Experience</w:t>
      </w:r>
      <w:r w:rsidRPr="00D76A7E">
        <w:rPr>
          <w:highlight w:val="white"/>
        </w:rPr>
        <w:t xml:space="preserve">. [online] Available at: </w:t>
      </w:r>
      <w:hyperlink r:id="rId21" w:history="1">
        <w:r w:rsidRPr="00577A47">
          <w:rPr>
            <w:rStyle w:val="Hyperlink"/>
            <w:highlight w:val="white"/>
          </w:rPr>
          <w:t>https://projectyoulisboa.wordpress.com/wp-content/uploads/2018/06/charles_kenney_transforming_health_care_virginibooksee-org-1.pdf</w:t>
        </w:r>
      </w:hyperlink>
      <w:r w:rsidRPr="00D76A7E">
        <w:rPr>
          <w:highlight w:val="white"/>
        </w:rPr>
        <w:t>.</w:t>
      </w:r>
    </w:p>
    <w:p w14:paraId="1F2C0023" w14:textId="77777777" w:rsidR="00D76A7E" w:rsidRPr="00432EFB" w:rsidRDefault="00D76A7E" w:rsidP="00D76A7E">
      <w:pPr>
        <w:spacing w:before="240" w:after="240"/>
      </w:pPr>
      <w:r w:rsidRPr="00432EFB">
        <w:t xml:space="preserve">Kiruthika, T.K. (2015). </w:t>
      </w:r>
      <w:r w:rsidRPr="00D76A7E">
        <w:rPr>
          <w:i/>
          <w:iCs/>
        </w:rPr>
        <w:t>Root Cause Analysis in Health Care</w:t>
      </w:r>
      <w:r w:rsidRPr="00432EFB">
        <w:t xml:space="preserve">. [online] Ijneronline.com. Available at: </w:t>
      </w:r>
      <w:hyperlink r:id="rId22">
        <w:r w:rsidRPr="00D76A7E">
          <w:rPr>
            <w:u w:val="single"/>
          </w:rPr>
          <w:t>https://ijneronline.com/HTML_Papers/International%20Journal%20of%20Nursing%20Education%20and%20Research__PID__2015-3-4-19.html</w:t>
        </w:r>
      </w:hyperlink>
      <w:r w:rsidRPr="00432EFB">
        <w:t>.</w:t>
      </w:r>
    </w:p>
    <w:p w14:paraId="760DFB41" w14:textId="77777777" w:rsidR="00D76A7E" w:rsidRPr="00D76A7E" w:rsidRDefault="00D76A7E" w:rsidP="00D76A7E">
      <w:pPr>
        <w:spacing w:before="240" w:after="240"/>
        <w:rPr>
          <w:highlight w:val="white"/>
        </w:rPr>
      </w:pPr>
      <w:r w:rsidRPr="00D76A7E">
        <w:rPr>
          <w:highlight w:val="white"/>
        </w:rPr>
        <w:t xml:space="preserve">Kumah, A. (2025). Poor quality care in healthcare settings: an overlooked epidemic. </w:t>
      </w:r>
      <w:r w:rsidRPr="00D76A7E">
        <w:rPr>
          <w:i/>
          <w:iCs/>
          <w:highlight w:val="white"/>
        </w:rPr>
        <w:t>Frontiers in public health</w:t>
      </w:r>
      <w:r w:rsidRPr="00D76A7E">
        <w:rPr>
          <w:highlight w:val="white"/>
        </w:rPr>
        <w:t xml:space="preserve">, </w:t>
      </w:r>
      <w:r w:rsidRPr="00D76A7E">
        <w:rPr>
          <w:i/>
          <w:iCs/>
          <w:highlight w:val="white"/>
        </w:rPr>
        <w:t>13</w:t>
      </w:r>
      <w:r w:rsidRPr="00D76A7E">
        <w:rPr>
          <w:highlight w:val="white"/>
        </w:rPr>
        <w:t xml:space="preserve">, p.1504172. DOI 10.3389/fpubh.2025.1504172 </w:t>
      </w:r>
    </w:p>
    <w:p w14:paraId="116CE3D4" w14:textId="3EDB791C" w:rsidR="00D76A7E" w:rsidRPr="00432EFB" w:rsidRDefault="00D76A7E" w:rsidP="00D76A7E">
      <w:pPr>
        <w:spacing w:before="240" w:after="240"/>
      </w:pPr>
      <w:r w:rsidRPr="00432EFB">
        <w:t xml:space="preserve">Kumah, A., Nwogu, C.N., Issah, A.-R., Obot, E., </w:t>
      </w:r>
      <w:proofErr w:type="spellStart"/>
      <w:r w:rsidRPr="00432EFB">
        <w:t>Kanamitie</w:t>
      </w:r>
      <w:proofErr w:type="spellEnd"/>
      <w:r w:rsidRPr="00432EFB">
        <w:t xml:space="preserve">, D.T., Sifa, J.S. and Aidoo, L.A. (2024). Cause-and-Effect (Fishbone) Diagram: a Tool for Generating and Organizing Quality Improvement Ideas. </w:t>
      </w:r>
      <w:r w:rsidRPr="00D76A7E">
        <w:rPr>
          <w:i/>
          <w:iCs/>
        </w:rPr>
        <w:t>Innovations Journals</w:t>
      </w:r>
      <w:r w:rsidRPr="00432EFB">
        <w:t xml:space="preserve">, [online] 7(2), pp.85–87. Available at: </w:t>
      </w:r>
      <w:hyperlink r:id="rId23">
        <w:r w:rsidRPr="00D76A7E">
          <w:rPr>
            <w:u w:val="single"/>
          </w:rPr>
          <w:t>https://pmc.ncbi.nlm.nih.gov/articles/PMC11077513/</w:t>
        </w:r>
      </w:hyperlink>
      <w:r w:rsidRPr="00432EFB">
        <w:t>.</w:t>
      </w:r>
    </w:p>
    <w:p w14:paraId="196CEF32" w14:textId="731B47AC" w:rsidR="00D76A7E" w:rsidRPr="00D76A7E" w:rsidRDefault="00D76A7E" w:rsidP="00D76A7E">
      <w:pPr>
        <w:spacing w:before="240" w:after="240"/>
        <w:rPr>
          <w:highlight w:val="white"/>
        </w:rPr>
      </w:pPr>
      <w:r w:rsidRPr="00D76A7E">
        <w:rPr>
          <w:highlight w:val="white"/>
        </w:rPr>
        <w:t xml:space="preserve">Lawless, J., Couch, R., Griffiths, P., Burton, C. and Ball, J. (2019). Towards safe nurse staffing in England’s National Health Service: Progress and pitfalls of policy evolution. </w:t>
      </w:r>
      <w:r w:rsidRPr="00D76A7E">
        <w:rPr>
          <w:i/>
          <w:iCs/>
          <w:highlight w:val="white"/>
        </w:rPr>
        <w:t>Health Policy</w:t>
      </w:r>
      <w:r w:rsidRPr="00D76A7E">
        <w:rPr>
          <w:highlight w:val="white"/>
        </w:rPr>
        <w:t xml:space="preserve">, [online] 123(6). Available at: </w:t>
      </w:r>
      <w:hyperlink r:id="rId24" w:history="1">
        <w:r w:rsidRPr="00577A47">
          <w:rPr>
            <w:rStyle w:val="Hyperlink"/>
            <w:highlight w:val="white"/>
          </w:rPr>
          <w:t>https://www.sciencedirect.com/science/article/pii/S0168851019300806</w:t>
        </w:r>
      </w:hyperlink>
      <w:r w:rsidRPr="00D76A7E">
        <w:rPr>
          <w:highlight w:val="white"/>
        </w:rPr>
        <w:t>.</w:t>
      </w:r>
    </w:p>
    <w:p w14:paraId="032106F7" w14:textId="77777777" w:rsidR="00D76A7E" w:rsidRPr="00D76A7E" w:rsidRDefault="00D76A7E" w:rsidP="00D76A7E">
      <w:pPr>
        <w:spacing w:before="240" w:after="240"/>
        <w:rPr>
          <w:highlight w:val="white"/>
        </w:rPr>
      </w:pPr>
      <w:r w:rsidRPr="00D76A7E">
        <w:rPr>
          <w:highlight w:val="white"/>
        </w:rPr>
        <w:t xml:space="preserve">Louch, G., Macrae, C., Talbot, R., McHugh, S. and O’Hara, J.K. (2023). How Were Patient Safety Incidents Responded to, Investigated, and Learned From Within the English National Health Service Before the Implementation of the Patient Safety Incident Response Framework? A Rapid Review. </w:t>
      </w:r>
      <w:r w:rsidRPr="00D76A7E">
        <w:rPr>
          <w:i/>
          <w:iCs/>
          <w:highlight w:val="white"/>
        </w:rPr>
        <w:t>Journal of Patient Safety</w:t>
      </w:r>
      <w:r w:rsidRPr="00D76A7E">
        <w:rPr>
          <w:highlight w:val="white"/>
        </w:rPr>
        <w:t xml:space="preserve">, pp.10-1097. </w:t>
      </w:r>
    </w:p>
    <w:p w14:paraId="2514F53E" w14:textId="5D3F1504" w:rsidR="00D76A7E" w:rsidRPr="00432EFB" w:rsidRDefault="00D76A7E" w:rsidP="00D76A7E">
      <w:pPr>
        <w:spacing w:before="240" w:after="240"/>
      </w:pPr>
      <w:r w:rsidRPr="00432EFB">
        <w:lastRenderedPageBreak/>
        <w:t xml:space="preserve">Lynas, K. (2015). The leadership response to the Francis report. </w:t>
      </w:r>
      <w:r w:rsidRPr="00D76A7E">
        <w:rPr>
          <w:i/>
          <w:iCs/>
        </w:rPr>
        <w:t>Future Hospital Journal</w:t>
      </w:r>
      <w:r w:rsidRPr="00432EFB">
        <w:t xml:space="preserve">, [online] 2(3), pp.203–208. </w:t>
      </w:r>
      <w:hyperlink r:id="rId25">
        <w:r w:rsidRPr="00D76A7E">
          <w:rPr>
            <w:u w:val="single"/>
          </w:rPr>
          <w:t>https://www.sciencedirect.com/science/article/pii/S2514664524011718</w:t>
        </w:r>
      </w:hyperlink>
    </w:p>
    <w:p w14:paraId="30111841" w14:textId="77777777" w:rsidR="00D76A7E" w:rsidRPr="00D76A7E" w:rsidRDefault="00D76A7E" w:rsidP="00D76A7E">
      <w:pPr>
        <w:spacing w:before="240" w:after="240"/>
        <w:rPr>
          <w:highlight w:val="white"/>
        </w:rPr>
      </w:pPr>
      <w:r w:rsidRPr="00D76A7E">
        <w:rPr>
          <w:highlight w:val="white"/>
        </w:rPr>
        <w:t xml:space="preserve">Maraffi, R. and </w:t>
      </w:r>
      <w:proofErr w:type="spellStart"/>
      <w:r w:rsidRPr="00D76A7E">
        <w:rPr>
          <w:highlight w:val="white"/>
        </w:rPr>
        <w:t>Pupulidy</w:t>
      </w:r>
      <w:proofErr w:type="spellEnd"/>
      <w:r w:rsidRPr="00D76A7E">
        <w:rPr>
          <w:highlight w:val="white"/>
        </w:rPr>
        <w:t xml:space="preserve">, I. (2025). From Errors to Excellence: A New Paradigm for Safety in Construction. </w:t>
      </w:r>
      <w:hyperlink r:id="rId26">
        <w:r w:rsidRPr="00D76A7E">
          <w:rPr>
            <w:highlight w:val="white"/>
            <w:u w:val="single"/>
          </w:rPr>
          <w:t>https://digitalcommons.library.uab.edu/cgi/viewcontent.cgi?filename=0&amp;article=1003&amp;context=asem&amp;type=additional</w:t>
        </w:r>
      </w:hyperlink>
      <w:r w:rsidRPr="00D76A7E">
        <w:rPr>
          <w:highlight w:val="white"/>
        </w:rPr>
        <w:t xml:space="preserve">. </w:t>
      </w:r>
    </w:p>
    <w:p w14:paraId="1ADC4018" w14:textId="77777777" w:rsidR="00D76A7E" w:rsidRPr="00432EFB" w:rsidRDefault="00D76A7E" w:rsidP="00D76A7E">
      <w:pPr>
        <w:spacing w:before="240" w:after="240"/>
      </w:pPr>
      <w:r w:rsidRPr="00432EFB">
        <w:t xml:space="preserve">Mayor, S. (2001). NHS introduces new patient safety agency. </w:t>
      </w:r>
      <w:r w:rsidRPr="00D76A7E">
        <w:rPr>
          <w:i/>
          <w:iCs/>
        </w:rPr>
        <w:t>BMJ</w:t>
      </w:r>
      <w:r w:rsidRPr="00432EFB">
        <w:t xml:space="preserve">, [online] 322(7293), pp.1013–1013. Available at: </w:t>
      </w:r>
      <w:hyperlink r:id="rId27" w:anchor=":~:text=The%20report%20concluded%20that%20capturing,if%20this%20happens%20in%20practice.%E2%80%9D">
        <w:r w:rsidRPr="00D76A7E">
          <w:rPr>
            <w:u w:val="single"/>
          </w:rPr>
          <w:t>https://pmc.ncbi.nlm.nih.gov/articles/PMC1120175/#:~:text=The%20report%20concluded%20that%20capturing,if%20this%20happens%20in%20practice.%E2%80%9D</w:t>
        </w:r>
      </w:hyperlink>
    </w:p>
    <w:p w14:paraId="0E93A154" w14:textId="77777777" w:rsidR="00D76A7E" w:rsidRPr="00432EFB" w:rsidRDefault="00D76A7E" w:rsidP="00D76A7E">
      <w:pPr>
        <w:spacing w:before="240" w:after="240"/>
      </w:pPr>
      <w:r w:rsidRPr="00432EFB">
        <w:t xml:space="preserve">Munyao, J.M. (2026). Criticisms of the SWOT analysis model: A Strategic Planning Approach. </w:t>
      </w:r>
      <w:r w:rsidRPr="00D76A7E">
        <w:rPr>
          <w:i/>
          <w:iCs/>
        </w:rPr>
        <w:t>International Journal of Research in Social Science and Humanities (IJRSS) ISSN:2582-6220, DOI: 10.47505/IJRSS</w:t>
      </w:r>
      <w:r w:rsidRPr="00432EFB">
        <w:t xml:space="preserve">, [online] 7(3), pp.40–47. Available at: </w:t>
      </w:r>
      <w:hyperlink r:id="rId28">
        <w:r w:rsidRPr="00D76A7E">
          <w:rPr>
            <w:u w:val="single"/>
          </w:rPr>
          <w:t>https://ijrss.org/index.php/ijrss/article/view/899</w:t>
        </w:r>
      </w:hyperlink>
      <w:r w:rsidRPr="00432EFB">
        <w:t>.</w:t>
      </w:r>
    </w:p>
    <w:p w14:paraId="50A0C75E" w14:textId="44900353" w:rsidR="00D76A7E" w:rsidRPr="00D76A7E" w:rsidRDefault="00D76A7E" w:rsidP="00D76A7E">
      <w:pPr>
        <w:spacing w:before="240" w:after="240"/>
        <w:rPr>
          <w:highlight w:val="white"/>
        </w:rPr>
      </w:pPr>
      <w:r w:rsidRPr="00D76A7E">
        <w:rPr>
          <w:highlight w:val="white"/>
        </w:rPr>
        <w:t xml:space="preserve">NAIF (2025). </w:t>
      </w:r>
      <w:r w:rsidRPr="00D76A7E">
        <w:rPr>
          <w:i/>
          <w:iCs/>
          <w:highlight w:val="white"/>
        </w:rPr>
        <w:t>National Audit of Inpatient Falls (NAIF)</w:t>
      </w:r>
      <w:r w:rsidRPr="00D76A7E">
        <w:rPr>
          <w:highlight w:val="white"/>
        </w:rPr>
        <w:t xml:space="preserve">. [online] www.rcp.ac.uk. Available at: </w:t>
      </w:r>
      <w:hyperlink r:id="rId29" w:history="1">
        <w:r w:rsidRPr="00577A47">
          <w:rPr>
            <w:rStyle w:val="Hyperlink"/>
            <w:highlight w:val="white"/>
          </w:rPr>
          <w:t>https://www.rcp.ac.uk/improving-care/national-clinical-audits/falls-and-fragility-fracture-audit-programme-fffap/national-audit-of-inpatient-falls-naif/</w:t>
        </w:r>
      </w:hyperlink>
      <w:r w:rsidRPr="00D76A7E">
        <w:rPr>
          <w:highlight w:val="white"/>
        </w:rPr>
        <w:t>.</w:t>
      </w:r>
    </w:p>
    <w:p w14:paraId="430D2F4C" w14:textId="77777777" w:rsidR="00D76A7E" w:rsidRPr="00D76A7E" w:rsidRDefault="00D76A7E" w:rsidP="00D76A7E">
      <w:pPr>
        <w:spacing w:before="240" w:after="240"/>
        <w:rPr>
          <w:highlight w:val="white"/>
        </w:rPr>
      </w:pPr>
      <w:proofErr w:type="spellStart"/>
      <w:r w:rsidRPr="00D76A7E">
        <w:rPr>
          <w:highlight w:val="white"/>
        </w:rPr>
        <w:t>Newdick</w:t>
      </w:r>
      <w:proofErr w:type="spellEnd"/>
      <w:r w:rsidRPr="00D76A7E">
        <w:rPr>
          <w:highlight w:val="white"/>
        </w:rPr>
        <w:t xml:space="preserve">, C. and Danbury, C. (2015). Culture, compassion and clinical neglect: probity in the NHS after Mid Staffordshire. </w:t>
      </w:r>
      <w:r w:rsidRPr="00D76A7E">
        <w:rPr>
          <w:i/>
          <w:iCs/>
          <w:highlight w:val="white"/>
        </w:rPr>
        <w:t>Journal of Medical Ethics</w:t>
      </w:r>
      <w:r w:rsidRPr="00D76A7E">
        <w:rPr>
          <w:highlight w:val="white"/>
        </w:rPr>
        <w:t xml:space="preserve">, </w:t>
      </w:r>
      <w:r w:rsidRPr="00D76A7E">
        <w:rPr>
          <w:i/>
          <w:iCs/>
          <w:highlight w:val="white"/>
        </w:rPr>
        <w:t>41</w:t>
      </w:r>
      <w:r w:rsidRPr="00D76A7E">
        <w:rPr>
          <w:highlight w:val="white"/>
        </w:rPr>
        <w:t xml:space="preserve">(12), pp.956-962. </w:t>
      </w:r>
    </w:p>
    <w:p w14:paraId="6BDC61C1" w14:textId="77777777" w:rsidR="00D76A7E" w:rsidRPr="00432EFB" w:rsidRDefault="00D76A7E" w:rsidP="00D76A7E">
      <w:pPr>
        <w:spacing w:before="240" w:after="240"/>
      </w:pPr>
      <w:proofErr w:type="spellStart"/>
      <w:r w:rsidRPr="00432EFB">
        <w:t>Opele</w:t>
      </w:r>
      <w:proofErr w:type="spellEnd"/>
      <w:r w:rsidRPr="00432EFB">
        <w:t xml:space="preserve">, J.K. and Adepoju, K.O. (2024). Validation of the Donabedian Model of Health Service Quality in Selected States in Nigeria. </w:t>
      </w:r>
      <w:r w:rsidRPr="00D76A7E">
        <w:rPr>
          <w:i/>
          <w:iCs/>
        </w:rPr>
        <w:t>Nigerian Journal of Clinical Practice</w:t>
      </w:r>
      <w:r w:rsidRPr="00432EFB">
        <w:t xml:space="preserve">, [online] 27(2), p.167. Available at: </w:t>
      </w:r>
      <w:hyperlink r:id="rId30">
        <w:r w:rsidRPr="00D76A7E">
          <w:rPr>
            <w:u w:val="single"/>
          </w:rPr>
          <w:t>https://journals.lww.com/njcp/fulltext/2024/02000/validation_of_the_donabedian_model_of_health.2.aspx</w:t>
        </w:r>
      </w:hyperlink>
      <w:r w:rsidRPr="00432EFB">
        <w:t>.</w:t>
      </w:r>
    </w:p>
    <w:p w14:paraId="009F1F94" w14:textId="47CBE26F" w:rsidR="00D76A7E" w:rsidRPr="00D76A7E" w:rsidRDefault="00D76A7E" w:rsidP="00D76A7E">
      <w:pPr>
        <w:spacing w:before="240" w:after="240"/>
        <w:rPr>
          <w:highlight w:val="white"/>
        </w:rPr>
      </w:pPr>
      <w:r w:rsidRPr="00D76A7E">
        <w:rPr>
          <w:highlight w:val="white"/>
        </w:rPr>
        <w:t xml:space="preserve">Pogorzelska-Maziarz, M., de Cordova, P.B., Manning, M.L., Johansen, M.L., Grafova, I. and Gerolamo, A. (2023). Voices from frontline nurses on care quality and patient safety during COVID-19: an application of the Donabedian model. </w:t>
      </w:r>
      <w:r w:rsidRPr="00D76A7E">
        <w:rPr>
          <w:i/>
          <w:iCs/>
          <w:highlight w:val="white"/>
        </w:rPr>
        <w:t>American journal of infection control</w:t>
      </w:r>
      <w:r w:rsidRPr="00D76A7E">
        <w:rPr>
          <w:highlight w:val="white"/>
        </w:rPr>
        <w:t xml:space="preserve">, </w:t>
      </w:r>
      <w:r w:rsidRPr="00D76A7E">
        <w:rPr>
          <w:i/>
          <w:iCs/>
          <w:highlight w:val="white"/>
        </w:rPr>
        <w:t>51</w:t>
      </w:r>
      <w:r w:rsidRPr="00D76A7E">
        <w:rPr>
          <w:highlight w:val="white"/>
        </w:rPr>
        <w:t xml:space="preserve">(12), pp.1295-1301. </w:t>
      </w:r>
      <w:hyperlink r:id="rId31">
        <w:r w:rsidRPr="00D76A7E">
          <w:rPr>
            <w:highlight w:val="white"/>
          </w:rPr>
          <w:t>https://doi.org/10.1016/j.ajic.2023.08.014</w:t>
        </w:r>
      </w:hyperlink>
      <w:r w:rsidRPr="00D76A7E">
        <w:rPr>
          <w:highlight w:val="white"/>
        </w:rPr>
        <w:t xml:space="preserve">. </w:t>
      </w:r>
    </w:p>
    <w:p w14:paraId="738B2AFB" w14:textId="7351C865" w:rsidR="00D76A7E" w:rsidRPr="00D76A7E" w:rsidRDefault="00D76A7E" w:rsidP="00D76A7E">
      <w:pPr>
        <w:spacing w:before="240" w:after="240"/>
        <w:rPr>
          <w:highlight w:val="white"/>
        </w:rPr>
      </w:pPr>
      <w:r w:rsidRPr="00D76A7E">
        <w:rPr>
          <w:highlight w:val="white"/>
        </w:rPr>
        <w:t xml:space="preserve">Pronovost, P., Needham, D., </w:t>
      </w:r>
      <w:proofErr w:type="spellStart"/>
      <w:r w:rsidRPr="00D76A7E">
        <w:rPr>
          <w:highlight w:val="white"/>
        </w:rPr>
        <w:t>Berenholtz</w:t>
      </w:r>
      <w:proofErr w:type="spellEnd"/>
      <w:r w:rsidRPr="00D76A7E">
        <w:rPr>
          <w:highlight w:val="white"/>
        </w:rPr>
        <w:t xml:space="preserve">, S., Sinopoli, D., Chu, H., Cosgrove, S., Sexton, B., Hyzy, R., Welsh, R., Roth, G., Bander, J., </w:t>
      </w:r>
      <w:proofErr w:type="spellStart"/>
      <w:r w:rsidRPr="00D76A7E">
        <w:rPr>
          <w:highlight w:val="white"/>
        </w:rPr>
        <w:t>Kepros</w:t>
      </w:r>
      <w:proofErr w:type="spellEnd"/>
      <w:r w:rsidRPr="00D76A7E">
        <w:rPr>
          <w:highlight w:val="white"/>
        </w:rPr>
        <w:t xml:space="preserve">, J. and Goeschel, C. (2006). An Intervention to Decrease Catheter-Related Bloodstream Infections in the ICU. </w:t>
      </w:r>
      <w:r w:rsidRPr="00D76A7E">
        <w:rPr>
          <w:i/>
          <w:iCs/>
          <w:highlight w:val="white"/>
        </w:rPr>
        <w:t xml:space="preserve">New England Journal of </w:t>
      </w:r>
      <w:r w:rsidRPr="00D76A7E">
        <w:rPr>
          <w:i/>
          <w:iCs/>
          <w:highlight w:val="white"/>
        </w:rPr>
        <w:lastRenderedPageBreak/>
        <w:t>Medicine</w:t>
      </w:r>
      <w:r w:rsidRPr="00D76A7E">
        <w:rPr>
          <w:highlight w:val="white"/>
        </w:rPr>
        <w:t xml:space="preserve">, [online] 355(26), pp.2725–2732. Available at: </w:t>
      </w:r>
      <w:hyperlink r:id="rId32" w:history="1">
        <w:r w:rsidRPr="00577A47">
          <w:rPr>
            <w:rStyle w:val="Hyperlink"/>
            <w:highlight w:val="white"/>
          </w:rPr>
          <w:t>https://www.nejm.org/doi/full/10.1056/nejmoa061115</w:t>
        </w:r>
      </w:hyperlink>
      <w:r w:rsidRPr="00D76A7E">
        <w:rPr>
          <w:highlight w:val="white"/>
        </w:rPr>
        <w:t>.</w:t>
      </w:r>
    </w:p>
    <w:p w14:paraId="3CFCE48F" w14:textId="1CC7A593" w:rsidR="00D76A7E" w:rsidRPr="00D76A7E" w:rsidRDefault="00D76A7E" w:rsidP="00D76A7E">
      <w:pPr>
        <w:spacing w:before="240" w:after="240"/>
        <w:rPr>
          <w:highlight w:val="white"/>
        </w:rPr>
      </w:pPr>
      <w:r w:rsidRPr="00D76A7E">
        <w:rPr>
          <w:highlight w:val="white"/>
        </w:rPr>
        <w:t xml:space="preserve">Revere, L. and Black, K. (2003). </w:t>
      </w:r>
      <w:r w:rsidRPr="00D76A7E">
        <w:rPr>
          <w:i/>
          <w:iCs/>
          <w:highlight w:val="white"/>
        </w:rPr>
        <w:t xml:space="preserve">Integrating Six Sigma with TQM: A Case Example for Measuring Medication Errors </w:t>
      </w:r>
      <w:r w:rsidRPr="00D76A7E">
        <w:rPr>
          <w:highlight w:val="white"/>
        </w:rPr>
        <w:t xml:space="preserve">. [online] Available at: </w:t>
      </w:r>
      <w:hyperlink r:id="rId33" w:history="1">
        <w:r w:rsidRPr="00577A47">
          <w:rPr>
            <w:rStyle w:val="Hyperlink"/>
            <w:highlight w:val="white"/>
          </w:rPr>
          <w:t>https://www.researchgate.net/publication/8962531_Integrating_Six_Sigma_with_Total_Quality_Management_A_Case_Example_for_Measuring_Medication_Errors</w:t>
        </w:r>
      </w:hyperlink>
      <w:r w:rsidRPr="00D76A7E">
        <w:rPr>
          <w:highlight w:val="white"/>
        </w:rPr>
        <w:t>.</w:t>
      </w:r>
    </w:p>
    <w:p w14:paraId="4CD90D40" w14:textId="2DD24B4A" w:rsidR="00D76A7E" w:rsidRPr="00432EFB" w:rsidRDefault="00D76A7E" w:rsidP="00D76A7E">
      <w:pPr>
        <w:spacing w:before="240" w:after="240"/>
      </w:pPr>
      <w:r w:rsidRPr="00432EFB">
        <w:t xml:space="preserve">Singh, G., Patel, R.H., Sarosh </w:t>
      </w:r>
      <w:proofErr w:type="spellStart"/>
      <w:r w:rsidRPr="00432EFB">
        <w:t>Vaqar</w:t>
      </w:r>
      <w:proofErr w:type="spellEnd"/>
      <w:r w:rsidRPr="00432EFB">
        <w:t xml:space="preserve"> and Boster, J. (2024). </w:t>
      </w:r>
      <w:r w:rsidRPr="00D76A7E">
        <w:rPr>
          <w:i/>
          <w:iCs/>
        </w:rPr>
        <w:t>Root Cause Analysis and Medical Error Prevention</w:t>
      </w:r>
      <w:r w:rsidRPr="00432EFB">
        <w:t xml:space="preserve">. [online] Nih.gov. Available at: </w:t>
      </w:r>
      <w:hyperlink r:id="rId34">
        <w:r w:rsidRPr="00D76A7E">
          <w:rPr>
            <w:u w:val="single"/>
          </w:rPr>
          <w:t>http://ncbi.nlm.nih.gov/books/NBK570638/</w:t>
        </w:r>
      </w:hyperlink>
      <w:r w:rsidR="008F5D5A">
        <w:t>.</w:t>
      </w:r>
    </w:p>
    <w:p w14:paraId="3DDE3F25" w14:textId="77777777" w:rsidR="00D76A7E" w:rsidRPr="00D76A7E" w:rsidRDefault="00D76A7E" w:rsidP="00D76A7E">
      <w:pPr>
        <w:spacing w:before="240" w:after="240"/>
        <w:rPr>
          <w:highlight w:val="white"/>
        </w:rPr>
      </w:pPr>
      <w:r w:rsidRPr="00D76A7E">
        <w:rPr>
          <w:highlight w:val="white"/>
        </w:rPr>
        <w:t xml:space="preserve">Smith, J. and Chambers, N. (2019). Mid Staffordshire: A case study of failed governance and leadership?. </w:t>
      </w:r>
      <w:r w:rsidRPr="00D76A7E">
        <w:rPr>
          <w:i/>
          <w:iCs/>
          <w:highlight w:val="white"/>
        </w:rPr>
        <w:t>The Political Quarterly</w:t>
      </w:r>
      <w:r w:rsidRPr="00D76A7E">
        <w:rPr>
          <w:highlight w:val="white"/>
        </w:rPr>
        <w:t xml:space="preserve">, </w:t>
      </w:r>
      <w:r w:rsidRPr="00D76A7E">
        <w:rPr>
          <w:i/>
          <w:iCs/>
          <w:highlight w:val="white"/>
        </w:rPr>
        <w:t>90</w:t>
      </w:r>
      <w:r w:rsidRPr="00D76A7E">
        <w:rPr>
          <w:highlight w:val="white"/>
        </w:rPr>
        <w:t xml:space="preserve">(2), pp.194-201. DOI: 10.1111/1467-923X.12698. </w:t>
      </w:r>
    </w:p>
    <w:p w14:paraId="122941B1" w14:textId="77777777" w:rsidR="00D76A7E" w:rsidRPr="00D76A7E" w:rsidRDefault="00D76A7E" w:rsidP="00D76A7E">
      <w:pPr>
        <w:spacing w:before="240" w:after="240"/>
        <w:rPr>
          <w:highlight w:val="white"/>
        </w:rPr>
      </w:pPr>
      <w:r w:rsidRPr="00D76A7E">
        <w:rPr>
          <w:highlight w:val="white"/>
        </w:rPr>
        <w:t>Yang, J., Liu, F., Yang, C., Wei, J., Ma, Y., Xu, L., Xie, J. and Wang, J. (2025). Application of Donabedian Three</w:t>
      </w:r>
      <w:r w:rsidRPr="00D76A7E">
        <w:rPr>
          <w:rFonts w:ascii="Cambria Math" w:hAnsi="Cambria Math" w:cs="Cambria Math"/>
          <w:highlight w:val="white"/>
        </w:rPr>
        <w:t>‐</w:t>
      </w:r>
      <w:r w:rsidRPr="00D76A7E">
        <w:rPr>
          <w:highlight w:val="white"/>
        </w:rPr>
        <w:t xml:space="preserve">Dimensional Model in Outpatient Care Quality: A Scoping Review. </w:t>
      </w:r>
      <w:r w:rsidRPr="00D76A7E">
        <w:rPr>
          <w:i/>
          <w:iCs/>
          <w:highlight w:val="white"/>
        </w:rPr>
        <w:t>Journal of nursing management</w:t>
      </w:r>
      <w:r w:rsidRPr="00D76A7E">
        <w:rPr>
          <w:highlight w:val="white"/>
        </w:rPr>
        <w:t xml:space="preserve">, </w:t>
      </w:r>
      <w:r w:rsidRPr="00D76A7E">
        <w:rPr>
          <w:i/>
          <w:iCs/>
          <w:highlight w:val="white"/>
        </w:rPr>
        <w:t>2025</w:t>
      </w:r>
      <w:r w:rsidRPr="00D76A7E">
        <w:rPr>
          <w:highlight w:val="white"/>
        </w:rPr>
        <w:t xml:space="preserve">(1), p.6893336. </w:t>
      </w:r>
      <w:hyperlink r:id="rId35">
        <w:r w:rsidRPr="00D76A7E">
          <w:rPr>
            <w:highlight w:val="white"/>
            <w:u w:val="single"/>
          </w:rPr>
          <w:t>https://doi.org/10.1155/jonm/6893336</w:t>
        </w:r>
      </w:hyperlink>
      <w:r w:rsidRPr="00D76A7E">
        <w:rPr>
          <w:highlight w:val="white"/>
        </w:rPr>
        <w:t xml:space="preserve">. </w:t>
      </w:r>
    </w:p>
    <w:p w14:paraId="59EDF182" w14:textId="77777777" w:rsidR="00D76A7E" w:rsidRPr="0075522B" w:rsidRDefault="00D76A7E" w:rsidP="0075522B">
      <w:pPr>
        <w:spacing w:before="240" w:after="240"/>
        <w:rPr>
          <w:highlight w:val="white"/>
        </w:rPr>
      </w:pPr>
    </w:p>
    <w:sectPr w:rsidR="00D76A7E" w:rsidRPr="0075522B" w:rsidSect="008467F2">
      <w:footerReference w:type="default" r:id="rId3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05DE29" w14:textId="77777777" w:rsidR="00145219" w:rsidRDefault="00145219">
      <w:pPr>
        <w:spacing w:line="240" w:lineRule="auto"/>
      </w:pPr>
      <w:r>
        <w:separator/>
      </w:r>
    </w:p>
  </w:endnote>
  <w:endnote w:type="continuationSeparator" w:id="0">
    <w:p w14:paraId="0F8C17B8" w14:textId="77777777" w:rsidR="00145219" w:rsidRDefault="0014521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F89B16C7-C211-4362-B119-A37C123FD261}"/>
  </w:font>
  <w:font w:name="Mangal">
    <w:panose1 w:val="00000400000000000000"/>
    <w:charset w:val="00"/>
    <w:family w:val="roman"/>
    <w:pitch w:val="variable"/>
    <w:sig w:usb0="00008003" w:usb1="00000000" w:usb2="00000000" w:usb3="00000000" w:csb0="00000001" w:csb1="00000000"/>
    <w:embedRegular r:id="rId2" w:fontKey="{A3EAF153-789B-4326-8DF5-7FE30E53DFC9}"/>
    <w:embedBold r:id="rId3" w:fontKey="{C8ABB1A2-064D-4C62-BDD8-914BA69D3ED3}"/>
  </w:font>
  <w:font w:name="Cambria">
    <w:panose1 w:val="02040503050406030204"/>
    <w:charset w:val="00"/>
    <w:family w:val="roman"/>
    <w:pitch w:val="variable"/>
    <w:sig w:usb0="E00006FF" w:usb1="420024FF" w:usb2="02000000" w:usb3="00000000" w:csb0="0000019F" w:csb1="00000000"/>
    <w:embedRegular r:id="rId4" w:fontKey="{BEC20F21-F1B5-4DE6-B747-DF0A8396C3F6}"/>
  </w:font>
  <w:font w:name="Cambria Math">
    <w:panose1 w:val="02040503050406030204"/>
    <w:charset w:val="00"/>
    <w:family w:val="roman"/>
    <w:pitch w:val="variable"/>
    <w:sig w:usb0="E00006FF" w:usb1="420024FF" w:usb2="02000000" w:usb3="00000000" w:csb0="0000019F" w:csb1="00000000"/>
    <w:embedRegular r:id="rId5" w:fontKey="{43F442DF-C3D4-4717-BB50-EBD09AAD864B}"/>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095F0B" w14:textId="77777777" w:rsidR="00D34C85" w:rsidRDefault="00000000">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85692B">
      <w:rPr>
        <w:noProof/>
        <w:color w:val="000000"/>
      </w:rPr>
      <w:t>0</w:t>
    </w:r>
    <w:r>
      <w:rPr>
        <w:color w:val="000000"/>
      </w:rPr>
      <w:fldChar w:fldCharType="end"/>
    </w:r>
  </w:p>
  <w:p w14:paraId="6E900E72" w14:textId="77777777" w:rsidR="00D34C85" w:rsidRDefault="00D34C85">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874F1D" w14:textId="77777777" w:rsidR="00145219" w:rsidRDefault="00145219">
      <w:pPr>
        <w:spacing w:line="240" w:lineRule="auto"/>
      </w:pPr>
      <w:r>
        <w:separator/>
      </w:r>
    </w:p>
  </w:footnote>
  <w:footnote w:type="continuationSeparator" w:id="0">
    <w:p w14:paraId="22E08ADA" w14:textId="77777777" w:rsidR="00145219" w:rsidRDefault="0014521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D25BCD"/>
    <w:multiLevelType w:val="multilevel"/>
    <w:tmpl w:val="354E7A2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088919ED"/>
    <w:multiLevelType w:val="multilevel"/>
    <w:tmpl w:val="B216717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13416A14"/>
    <w:multiLevelType w:val="hybridMultilevel"/>
    <w:tmpl w:val="A3D0F63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9A60A41"/>
    <w:multiLevelType w:val="multilevel"/>
    <w:tmpl w:val="3A00A1A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45A461D1"/>
    <w:multiLevelType w:val="hybridMultilevel"/>
    <w:tmpl w:val="A756207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46CF23B6"/>
    <w:multiLevelType w:val="hybridMultilevel"/>
    <w:tmpl w:val="5BD69B3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516973BC"/>
    <w:multiLevelType w:val="hybridMultilevel"/>
    <w:tmpl w:val="8AF683A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57C608E4"/>
    <w:multiLevelType w:val="multilevel"/>
    <w:tmpl w:val="219818D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8" w15:restartNumberingAfterBreak="0">
    <w:nsid w:val="734E3BA7"/>
    <w:multiLevelType w:val="multilevel"/>
    <w:tmpl w:val="6138386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853062018">
    <w:abstractNumId w:val="7"/>
  </w:num>
  <w:num w:numId="2" w16cid:durableId="899100910">
    <w:abstractNumId w:val="8"/>
  </w:num>
  <w:num w:numId="3" w16cid:durableId="1864049723">
    <w:abstractNumId w:val="3"/>
  </w:num>
  <w:num w:numId="4" w16cid:durableId="1907035154">
    <w:abstractNumId w:val="1"/>
  </w:num>
  <w:num w:numId="5" w16cid:durableId="2024016905">
    <w:abstractNumId w:val="0"/>
  </w:num>
  <w:num w:numId="6" w16cid:durableId="679429231">
    <w:abstractNumId w:val="2"/>
  </w:num>
  <w:num w:numId="7" w16cid:durableId="473566954">
    <w:abstractNumId w:val="6"/>
  </w:num>
  <w:num w:numId="8" w16cid:durableId="1076511462">
    <w:abstractNumId w:val="5"/>
  </w:num>
  <w:num w:numId="9" w16cid:durableId="55374027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4C85"/>
    <w:rsid w:val="000A4DAC"/>
    <w:rsid w:val="000C2EC4"/>
    <w:rsid w:val="000C5686"/>
    <w:rsid w:val="000F6752"/>
    <w:rsid w:val="00145219"/>
    <w:rsid w:val="00164D43"/>
    <w:rsid w:val="00177BAE"/>
    <w:rsid w:val="001A32E1"/>
    <w:rsid w:val="001D04DB"/>
    <w:rsid w:val="00263BC3"/>
    <w:rsid w:val="00332A50"/>
    <w:rsid w:val="0033321F"/>
    <w:rsid w:val="00416AF2"/>
    <w:rsid w:val="00432EFB"/>
    <w:rsid w:val="0051368D"/>
    <w:rsid w:val="00577A47"/>
    <w:rsid w:val="00600D01"/>
    <w:rsid w:val="006306EB"/>
    <w:rsid w:val="00682109"/>
    <w:rsid w:val="006958F5"/>
    <w:rsid w:val="0075522B"/>
    <w:rsid w:val="008467F2"/>
    <w:rsid w:val="0085692B"/>
    <w:rsid w:val="008F5D5A"/>
    <w:rsid w:val="009A4100"/>
    <w:rsid w:val="009D5599"/>
    <w:rsid w:val="00A27794"/>
    <w:rsid w:val="00A50B2D"/>
    <w:rsid w:val="00AB0662"/>
    <w:rsid w:val="00C320C2"/>
    <w:rsid w:val="00D10F47"/>
    <w:rsid w:val="00D34C85"/>
    <w:rsid w:val="00D35DC7"/>
    <w:rsid w:val="00D76A7E"/>
    <w:rsid w:val="00E73197"/>
    <w:rsid w:val="00EC1036"/>
    <w:rsid w:val="00EF63B0"/>
    <w:rsid w:val="00F12EEE"/>
    <w:rsid w:val="00F90DD5"/>
    <w:rsid w:val="00FB01EC"/>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C922F9"/>
  <w15:docId w15:val="{04530922-D2C5-4395-BCBC-88893D2E12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IN" w:eastAsia="en-US" w:bidi="hi-IN"/>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120" w:after="120"/>
      <w:outlineLvl w:val="0"/>
    </w:pPr>
    <w:rPr>
      <w:b/>
      <w:bCs/>
      <w:sz w:val="28"/>
      <w:szCs w:val="28"/>
    </w:rPr>
  </w:style>
  <w:style w:type="paragraph" w:styleId="Heading2">
    <w:name w:val="heading 2"/>
    <w:basedOn w:val="Normal"/>
    <w:next w:val="Normal"/>
    <w:uiPriority w:val="9"/>
    <w:unhideWhenUsed/>
    <w:qFormat/>
    <w:pPr>
      <w:keepNext/>
      <w:keepLines/>
      <w:spacing w:before="120" w:after="120"/>
      <w:outlineLvl w:val="1"/>
    </w:pPr>
    <w:rPr>
      <w:b/>
      <w:bCs/>
      <w:sz w:val="24"/>
      <w:szCs w:val="24"/>
    </w:rPr>
  </w:style>
  <w:style w:type="paragraph" w:styleId="Heading3">
    <w:name w:val="heading 3"/>
    <w:basedOn w:val="Normal"/>
    <w:next w:val="Normal"/>
    <w:uiPriority w:val="9"/>
    <w:semiHidden/>
    <w:unhideWhenUsed/>
    <w:qFormat/>
    <w:pPr>
      <w:keepNext/>
      <w:keepLines/>
      <w:spacing w:before="160" w:after="80"/>
      <w:outlineLvl w:val="2"/>
    </w:pPr>
    <w:rPr>
      <w:color w:val="2F5496"/>
      <w:sz w:val="28"/>
      <w:szCs w:val="28"/>
    </w:rPr>
  </w:style>
  <w:style w:type="paragraph" w:styleId="Heading4">
    <w:name w:val="heading 4"/>
    <w:basedOn w:val="Normal"/>
    <w:next w:val="Normal"/>
    <w:uiPriority w:val="9"/>
    <w:semiHidden/>
    <w:unhideWhenUsed/>
    <w:qFormat/>
    <w:pPr>
      <w:keepNext/>
      <w:keepLines/>
      <w:spacing w:before="80" w:after="40"/>
      <w:outlineLvl w:val="3"/>
    </w:pPr>
    <w:rPr>
      <w:i/>
      <w:iCs/>
      <w:color w:val="2F5496"/>
    </w:rPr>
  </w:style>
  <w:style w:type="paragraph" w:styleId="Heading5">
    <w:name w:val="heading 5"/>
    <w:basedOn w:val="Normal"/>
    <w:next w:val="Normal"/>
    <w:uiPriority w:val="9"/>
    <w:semiHidden/>
    <w:unhideWhenUsed/>
    <w:qFormat/>
    <w:pPr>
      <w:keepNext/>
      <w:keepLines/>
      <w:spacing w:before="80" w:after="40"/>
      <w:outlineLvl w:val="4"/>
    </w:pPr>
    <w:rPr>
      <w:color w:val="2F5496"/>
    </w:rPr>
  </w:style>
  <w:style w:type="paragraph" w:styleId="Heading6">
    <w:name w:val="heading 6"/>
    <w:basedOn w:val="Normal"/>
    <w:next w:val="Normal"/>
    <w:uiPriority w:val="9"/>
    <w:semiHidden/>
    <w:unhideWhenUsed/>
    <w:qFormat/>
    <w:pPr>
      <w:keepNext/>
      <w:keepLines/>
      <w:spacing w:before="40"/>
      <w:outlineLvl w:val="5"/>
    </w:pPr>
    <w:rPr>
      <w:i/>
      <w:iCs/>
      <w:color w:val="595959"/>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line="240" w:lineRule="auto"/>
    </w:pPr>
    <w:rPr>
      <w:rFonts w:ascii="Calibri" w:eastAsia="Calibri" w:hAnsi="Calibri" w:cs="Calibri"/>
      <w:sz w:val="56"/>
      <w:szCs w:val="56"/>
    </w:rPr>
  </w:style>
  <w:style w:type="paragraph" w:styleId="Subtitle">
    <w:name w:val="Subtitle"/>
    <w:basedOn w:val="Normal"/>
    <w:next w:val="Normal"/>
    <w:uiPriority w:val="11"/>
    <w:qFormat/>
    <w:rPr>
      <w:color w:val="595959"/>
      <w:sz w:val="28"/>
      <w:szCs w:val="28"/>
    </w:rPr>
  </w:style>
  <w:style w:type="paragraph" w:styleId="ListParagraph">
    <w:name w:val="List Paragraph"/>
    <w:basedOn w:val="Normal"/>
    <w:uiPriority w:val="34"/>
    <w:qFormat/>
    <w:rsid w:val="00682109"/>
    <w:pPr>
      <w:ind w:left="720"/>
      <w:contextualSpacing/>
    </w:pPr>
    <w:rPr>
      <w:rFonts w:cs="Mangal"/>
      <w:szCs w:val="20"/>
    </w:rPr>
  </w:style>
  <w:style w:type="paragraph" w:styleId="TOC1">
    <w:name w:val="toc 1"/>
    <w:basedOn w:val="Normal"/>
    <w:next w:val="Normal"/>
    <w:autoRedefine/>
    <w:uiPriority w:val="39"/>
    <w:unhideWhenUsed/>
    <w:rsid w:val="001D04DB"/>
    <w:pPr>
      <w:spacing w:after="100"/>
    </w:pPr>
    <w:rPr>
      <w:rFonts w:cs="Mangal"/>
      <w:szCs w:val="20"/>
    </w:rPr>
  </w:style>
  <w:style w:type="paragraph" w:styleId="TOC2">
    <w:name w:val="toc 2"/>
    <w:basedOn w:val="Normal"/>
    <w:next w:val="Normal"/>
    <w:autoRedefine/>
    <w:uiPriority w:val="39"/>
    <w:unhideWhenUsed/>
    <w:rsid w:val="001D04DB"/>
    <w:pPr>
      <w:spacing w:after="100"/>
      <w:ind w:left="220"/>
    </w:pPr>
    <w:rPr>
      <w:rFonts w:cs="Mangal"/>
      <w:szCs w:val="20"/>
    </w:rPr>
  </w:style>
  <w:style w:type="character" w:styleId="Hyperlink">
    <w:name w:val="Hyperlink"/>
    <w:basedOn w:val="DefaultParagraphFont"/>
    <w:uiPriority w:val="99"/>
    <w:unhideWhenUsed/>
    <w:rsid w:val="001D04DB"/>
    <w:rPr>
      <w:color w:val="0000FF" w:themeColor="hyperlink"/>
      <w:u w:val="single"/>
    </w:rPr>
  </w:style>
  <w:style w:type="character" w:styleId="CommentReference">
    <w:name w:val="annotation reference"/>
    <w:basedOn w:val="DefaultParagraphFont"/>
    <w:uiPriority w:val="99"/>
    <w:semiHidden/>
    <w:unhideWhenUsed/>
    <w:rsid w:val="00D10F47"/>
    <w:rPr>
      <w:sz w:val="16"/>
      <w:szCs w:val="16"/>
    </w:rPr>
  </w:style>
  <w:style w:type="paragraph" w:styleId="CommentText">
    <w:name w:val="annotation text"/>
    <w:basedOn w:val="Normal"/>
    <w:link w:val="CommentTextChar"/>
    <w:uiPriority w:val="99"/>
    <w:semiHidden/>
    <w:unhideWhenUsed/>
    <w:rsid w:val="00D10F47"/>
    <w:pPr>
      <w:spacing w:line="240" w:lineRule="auto"/>
    </w:pPr>
    <w:rPr>
      <w:rFonts w:cs="Mangal"/>
      <w:sz w:val="20"/>
      <w:szCs w:val="18"/>
    </w:rPr>
  </w:style>
  <w:style w:type="character" w:customStyle="1" w:styleId="CommentTextChar">
    <w:name w:val="Comment Text Char"/>
    <w:basedOn w:val="DefaultParagraphFont"/>
    <w:link w:val="CommentText"/>
    <w:uiPriority w:val="99"/>
    <w:semiHidden/>
    <w:rsid w:val="00D10F47"/>
    <w:rPr>
      <w:rFonts w:cs="Mangal"/>
      <w:sz w:val="20"/>
      <w:szCs w:val="18"/>
    </w:rPr>
  </w:style>
  <w:style w:type="paragraph" w:styleId="CommentSubject">
    <w:name w:val="annotation subject"/>
    <w:basedOn w:val="CommentText"/>
    <w:next w:val="CommentText"/>
    <w:link w:val="CommentSubjectChar"/>
    <w:uiPriority w:val="99"/>
    <w:semiHidden/>
    <w:unhideWhenUsed/>
    <w:rsid w:val="00D10F47"/>
    <w:rPr>
      <w:b/>
      <w:bCs/>
    </w:rPr>
  </w:style>
  <w:style w:type="character" w:customStyle="1" w:styleId="CommentSubjectChar">
    <w:name w:val="Comment Subject Char"/>
    <w:basedOn w:val="CommentTextChar"/>
    <w:link w:val="CommentSubject"/>
    <w:uiPriority w:val="99"/>
    <w:semiHidden/>
    <w:rsid w:val="00D10F47"/>
    <w:rPr>
      <w:rFonts w:cs="Mangal"/>
      <w:b/>
      <w:bCs/>
      <w:sz w:val="20"/>
      <w:szCs w:val="18"/>
    </w:rPr>
  </w:style>
  <w:style w:type="character" w:styleId="UnresolvedMention">
    <w:name w:val="Unresolved Mention"/>
    <w:basedOn w:val="DefaultParagraphFont"/>
    <w:uiPriority w:val="99"/>
    <w:semiHidden/>
    <w:unhideWhenUsed/>
    <w:rsid w:val="008F5D5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www.ncbi.nlm.nih.gov/pmc/articles/PMC8614640/" TargetMode="External"/><Relationship Id="rId18" Type="http://schemas.openxmlformats.org/officeDocument/2006/relationships/hyperlink" Target="https://doi.org/10.1108/IJLSS-10-2017-0114" TargetMode="External"/><Relationship Id="rId26" Type="http://schemas.openxmlformats.org/officeDocument/2006/relationships/hyperlink" Target="https://digitalcommons.library.uab.edu/cgi/viewcontent.cgi?filename=0&amp;article=1003&amp;context=asem&amp;type=additional" TargetMode="External"/><Relationship Id="rId21" Type="http://schemas.openxmlformats.org/officeDocument/2006/relationships/hyperlink" Target="https://projectyoulisboa.wordpress.com/wp-content/uploads/2018/06/charles_kenney_transforming_health_care_virginibooksee-org-1.pdf" TargetMode="External"/><Relationship Id="rId34" Type="http://schemas.openxmlformats.org/officeDocument/2006/relationships/hyperlink" Target="http://ncbi.nlm.nih.gov/books/NBK570638/" TargetMode="External"/><Relationship Id="rId7" Type="http://schemas.openxmlformats.org/officeDocument/2006/relationships/footnotes" Target="footnotes.xml"/><Relationship Id="rId12" Type="http://schemas.openxmlformats.org/officeDocument/2006/relationships/hyperlink" Target="https://www.cdc.gov/healthcare-associated-infections/php/prevention-epicenters/johns-hopkins.html" TargetMode="External"/><Relationship Id="rId17" Type="http://schemas.openxmlformats.org/officeDocument/2006/relationships/hyperlink" Target="https://fullfact.org/health/how-many-people-died-unnecessarily-mid-staffs/" TargetMode="External"/><Relationship Id="rId25" Type="http://schemas.openxmlformats.org/officeDocument/2006/relationships/hyperlink" Target="https://www.sciencedirect.com/science/article/pii/S2514664524011718" TargetMode="External"/><Relationship Id="rId33" Type="http://schemas.openxmlformats.org/officeDocument/2006/relationships/hyperlink" Target="https://www.researchgate.net/publication/8962531_Integrating_Six_Sigma_with_Total_Quality_Management_A_Case_Example_for_Measuring_Medication_Errors"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assets.publishing.service.gov.uk/media/5a7ba0faed915d13110607c8/0947.pdf" TargetMode="External"/><Relationship Id="rId20" Type="http://schemas.openxmlformats.org/officeDocument/2006/relationships/hyperlink" Target="https://image.guardian.co.uk/sys-files/Guardian/documents/2009/03/17/Investigation_into_Mid_Staffordshire_NHS_Foundation_Trust_Summary.pdf" TargetMode="External"/><Relationship Id="rId29" Type="http://schemas.openxmlformats.org/officeDocument/2006/relationships/hyperlink" Target="https://www.rcp.ac.uk/improving-care/national-clinical-audits/falls-and-fragility-fracture-audit-programme-fffap/national-audit-of-inpatient-falls-nai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milbank.org/quarterly/articles/evaluating-the-quality-of-medical-care-donabedians-classic-article-50-years-later/" TargetMode="External"/><Relationship Id="rId24" Type="http://schemas.openxmlformats.org/officeDocument/2006/relationships/hyperlink" Target="https://www.sciencedirect.com/science/article/pii/S0168851019300806" TargetMode="External"/><Relationship Id="rId32" Type="http://schemas.openxmlformats.org/officeDocument/2006/relationships/hyperlink" Target="https://www.nejm.org/doi/full/10.1056/nejmoa061115" TargetMode="External"/><Relationship Id="rId37"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doi.org/10.1186/s12913-024-10828-0" TargetMode="External"/><Relationship Id="rId23" Type="http://schemas.openxmlformats.org/officeDocument/2006/relationships/hyperlink" Target="https://pmc.ncbi.nlm.nih.gov/articles/PMC11077513/" TargetMode="External"/><Relationship Id="rId28" Type="http://schemas.openxmlformats.org/officeDocument/2006/relationships/hyperlink" Target="https://ijrss.org/index.php/ijrss/article/view/899" TargetMode="External"/><Relationship Id="rId36" Type="http://schemas.openxmlformats.org/officeDocument/2006/relationships/footer" Target="footer1.xml"/><Relationship Id="rId10" Type="http://schemas.openxmlformats.org/officeDocument/2006/relationships/hyperlink" Target="https://doi.org/10.1108/IJLSS-07-2023-0126" TargetMode="External"/><Relationship Id="rId19" Type="http://schemas.openxmlformats.org/officeDocument/2006/relationships/hyperlink" Target="https://assets.kingsfund.org.uk/f/256914/x/9fdc9bb006/reforming_nhs_from_within_2014.pdf" TargetMode="External"/><Relationship Id="rId31" Type="http://schemas.openxmlformats.org/officeDocument/2006/relationships/hyperlink" Target="https://doi.org/10.1016/j.ajic.2023.08.014"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cqc.org.uk/location/5F535/reports%20%5bAccessed%2016%20Apr.%202026%5d" TargetMode="External"/><Relationship Id="rId22" Type="http://schemas.openxmlformats.org/officeDocument/2006/relationships/hyperlink" Target="https://ijneronline.com/HTML_Papers/International%20Journal%20of%20Nursing%20Education%20and%20Research__PID__2015-3-4-19.html" TargetMode="External"/><Relationship Id="rId27" Type="http://schemas.openxmlformats.org/officeDocument/2006/relationships/hyperlink" Target="https://pmc.ncbi.nlm.nih.gov/articles/PMC1120175/" TargetMode="External"/><Relationship Id="rId30" Type="http://schemas.openxmlformats.org/officeDocument/2006/relationships/hyperlink" Target="https://journals.lww.com/njcp/fulltext/2024/02000/validation_of_the_donabedian_model_of_health.2.aspx" TargetMode="External"/><Relationship Id="rId35" Type="http://schemas.openxmlformats.org/officeDocument/2006/relationships/hyperlink" Target="https://doi.org/10.1155/jonm/6893336" TargetMode="External"/><Relationship Id="rId8" Type="http://schemas.openxmlformats.org/officeDocument/2006/relationships/endnotes" Target="endnotes.xml"/><Relationship Id="rId3" Type="http://schemas.openxmlformats.org/officeDocument/2006/relationships/numbering" Target="numbering.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1fyGVob93EkakfAbh/gxBIPGsaQ==">CgMxLjAyDmgubWNsdmJnYmZtcmVpMg5oLnB2Z295YmxyZTc4ZTIOaC5jMmE1MnNjcHd6cTIyDmguY2xrdWFnazEzbnZvMg5oLmUzZ3M3ejg2cnF3MTIOaC55MDk4Y2toZW5uYjEyDmgudm5rODNrNDJmN2dqMg5oLmNoaDlqeW81OWZpbDIOaC5ld2VxNDMyNnFpM3oyDmguODc4d20xanNwMWxpOAByITFMUXZTcGEwazdVc3hoNm9abUJxQVZUQ2dKT2dULUxucg==</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36D9E9BE-3096-45D8-B77F-94BD9AE210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TotalTime>
  <Pages>15</Pages>
  <Words>5031</Words>
  <Characters>28678</Characters>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2026-04-16T12:12:00Z</dcterms:created>
  <dcterms:modified xsi:type="dcterms:W3CDTF">2026-04-16T19:49:00Z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177aeb0f-6ab4-436c-80bb-e281e0b5829f</vt:lpwstr>
  </property>
</Properties>
</file>