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DEB2D" w14:textId="76E61086" w:rsidR="000B45B1" w:rsidRPr="00F96E63" w:rsidRDefault="000B45B1" w:rsidP="000B45B1">
      <w:pPr>
        <w:spacing w:line="259" w:lineRule="auto"/>
        <w:jc w:val="center"/>
        <w:rPr>
          <w:rFonts w:cs="Arial"/>
          <w:b/>
        </w:rPr>
      </w:pPr>
    </w:p>
    <w:p w14:paraId="5FD417EE" w14:textId="77777777" w:rsidR="000B45B1" w:rsidRPr="00F96E63" w:rsidRDefault="000B45B1" w:rsidP="000B45B1">
      <w:pPr>
        <w:spacing w:line="259" w:lineRule="auto"/>
        <w:jc w:val="center"/>
        <w:rPr>
          <w:rFonts w:cs="Arial"/>
          <w:b/>
        </w:rPr>
      </w:pPr>
    </w:p>
    <w:p w14:paraId="2BC2D3C8" w14:textId="1DB2CBD7" w:rsidR="00F94168" w:rsidRPr="00F94168" w:rsidRDefault="00A41456" w:rsidP="00A41456">
      <w:pPr>
        <w:rPr>
          <w:rFonts w:cs="Arial"/>
          <w:b/>
          <w:sz w:val="44"/>
          <w:szCs w:val="44"/>
        </w:rPr>
      </w:pPr>
      <w:r>
        <w:rPr>
          <w:b/>
          <w:sz w:val="44"/>
          <w:szCs w:val="44"/>
          <w:shd w:val="clear" w:color="auto" w:fill="FFFFFF"/>
        </w:rPr>
        <w:t xml:space="preserve">                                     </w:t>
      </w:r>
      <w:r w:rsidR="00F94168">
        <w:rPr>
          <w:b/>
          <w:sz w:val="44"/>
          <w:szCs w:val="44"/>
          <w:shd w:val="clear" w:color="auto" w:fill="FFFFFF"/>
        </w:rPr>
        <w:t>Essay</w:t>
      </w:r>
    </w:p>
    <w:p w14:paraId="6C437825" w14:textId="77777777" w:rsidR="000B45B1" w:rsidRPr="00D330B6" w:rsidRDefault="00F94168" w:rsidP="00F94168">
      <w:pPr>
        <w:jc w:val="center"/>
        <w:rPr>
          <w:rFonts w:cs="Arial"/>
          <w:sz w:val="36"/>
          <w:szCs w:val="44"/>
        </w:rPr>
      </w:pPr>
      <w:r w:rsidRPr="00F94168">
        <w:rPr>
          <w:rFonts w:cs="Arial"/>
          <w:b/>
          <w:sz w:val="36"/>
          <w:szCs w:val="44"/>
        </w:rPr>
        <w:t xml:space="preserve">Title: </w:t>
      </w:r>
      <w:r w:rsidR="000B45B1" w:rsidRPr="00D330B6">
        <w:rPr>
          <w:rFonts w:cs="Arial"/>
          <w:sz w:val="36"/>
          <w:szCs w:val="44"/>
        </w:rPr>
        <w:t>How to engage employees throughout the employee lifecycle</w:t>
      </w:r>
    </w:p>
    <w:p w14:paraId="73651122" w14:textId="77777777" w:rsidR="00DA7F62" w:rsidRPr="00F96E63" w:rsidRDefault="00DA7F62"/>
    <w:p w14:paraId="074F428F" w14:textId="77777777" w:rsidR="00F15B28" w:rsidRPr="00F96E63" w:rsidRDefault="00F15B28"/>
    <w:p w14:paraId="06B92F82" w14:textId="77777777" w:rsidR="000B45B1" w:rsidRPr="00F96E63" w:rsidRDefault="000B45B1"/>
    <w:p w14:paraId="0960539D" w14:textId="77777777" w:rsidR="000B45B1" w:rsidRPr="00F96E63" w:rsidRDefault="000B45B1"/>
    <w:p w14:paraId="4F746927" w14:textId="52A190F0" w:rsidR="000B45B1" w:rsidRPr="00700755" w:rsidRDefault="000B45B1">
      <w:pPr>
        <w:rPr>
          <w:sz w:val="40"/>
          <w:szCs w:val="40"/>
        </w:rPr>
      </w:pPr>
      <w:r w:rsidRPr="00700755">
        <w:rPr>
          <w:sz w:val="40"/>
          <w:szCs w:val="40"/>
        </w:rPr>
        <w:t>Name:</w:t>
      </w:r>
      <w:r w:rsidR="00A41456" w:rsidRPr="00700755">
        <w:rPr>
          <w:sz w:val="40"/>
          <w:szCs w:val="40"/>
        </w:rPr>
        <w:t xml:space="preserve"> Mr. Naeem Qureshi.</w:t>
      </w:r>
    </w:p>
    <w:p w14:paraId="3FF2E312" w14:textId="08CC0DB9" w:rsidR="000B45B1" w:rsidRPr="00700755" w:rsidRDefault="000B45B1">
      <w:pPr>
        <w:rPr>
          <w:sz w:val="40"/>
          <w:szCs w:val="40"/>
        </w:rPr>
      </w:pPr>
      <w:r w:rsidRPr="00700755">
        <w:rPr>
          <w:sz w:val="40"/>
          <w:szCs w:val="40"/>
        </w:rPr>
        <w:t xml:space="preserve">Module </w:t>
      </w:r>
      <w:r w:rsidR="00A41456" w:rsidRPr="00700755">
        <w:rPr>
          <w:sz w:val="40"/>
          <w:szCs w:val="40"/>
        </w:rPr>
        <w:t>Code: BMIH5005</w:t>
      </w:r>
    </w:p>
    <w:p w14:paraId="69B511A4" w14:textId="7FFBAAD7" w:rsidR="00A41456" w:rsidRPr="00700755" w:rsidRDefault="000B45B1">
      <w:pPr>
        <w:rPr>
          <w:sz w:val="40"/>
          <w:szCs w:val="40"/>
        </w:rPr>
      </w:pPr>
      <w:r w:rsidRPr="00700755">
        <w:rPr>
          <w:sz w:val="40"/>
          <w:szCs w:val="40"/>
        </w:rPr>
        <w:t>Module Name:</w:t>
      </w:r>
      <w:r w:rsidR="00A41456" w:rsidRPr="00700755">
        <w:rPr>
          <w:sz w:val="40"/>
          <w:szCs w:val="40"/>
        </w:rPr>
        <w:t xml:space="preserve"> personnel Resourcing &amp; Development</w:t>
      </w:r>
    </w:p>
    <w:p w14:paraId="23026FD8" w14:textId="2FFA7D7D" w:rsidR="000B45B1" w:rsidRPr="00700755" w:rsidRDefault="000B45B1">
      <w:pPr>
        <w:rPr>
          <w:sz w:val="40"/>
          <w:szCs w:val="40"/>
        </w:rPr>
      </w:pPr>
      <w:r w:rsidRPr="00700755">
        <w:rPr>
          <w:sz w:val="40"/>
          <w:szCs w:val="40"/>
        </w:rPr>
        <w:t>Lecturer Name:</w:t>
      </w:r>
      <w:r w:rsidR="00A41456" w:rsidRPr="00700755">
        <w:rPr>
          <w:sz w:val="40"/>
          <w:szCs w:val="40"/>
        </w:rPr>
        <w:t xml:space="preserve"> DR. Emma Roberts.</w:t>
      </w:r>
    </w:p>
    <w:p w14:paraId="2F896F49" w14:textId="77777777" w:rsidR="000B45B1" w:rsidRPr="00F96E63" w:rsidRDefault="000B45B1"/>
    <w:p w14:paraId="467F17BD" w14:textId="77777777" w:rsidR="000B45B1" w:rsidRPr="00F96E63" w:rsidRDefault="000B45B1"/>
    <w:p w14:paraId="14BE8DCC" w14:textId="77777777" w:rsidR="000B45B1" w:rsidRPr="00F96E63" w:rsidRDefault="000B45B1"/>
    <w:p w14:paraId="6D52804E" w14:textId="77777777" w:rsidR="00F96E63" w:rsidRDefault="00F96E63"/>
    <w:p w14:paraId="4B694FA8" w14:textId="77777777" w:rsidR="00FF4679" w:rsidRDefault="00F96E63" w:rsidP="00463B9C">
      <w:r>
        <w:br w:type="page"/>
      </w:r>
    </w:p>
    <w:p w14:paraId="05401687" w14:textId="77777777" w:rsidR="00FF4679" w:rsidRDefault="00FF4679" w:rsidP="00463B9C"/>
    <w:p w14:paraId="11112F31" w14:textId="2221C99B" w:rsidR="00463B9C" w:rsidRDefault="004E11E1" w:rsidP="00463B9C">
      <w:r w:rsidRPr="00A9564D">
        <w:t xml:space="preserve">Employee engagement is vital for success in any organisation. Engaged employees are more productive, motivated, and committed to their work, leading to improved performance and retention. However, engaging employees throughout the employee lifecycle can be challenging, as needs and concerns change throughout different stages of employment. This essay will explore strategies for engagement, including recruitment, onboarding, daily work, performance management, career development, and retention </w:t>
      </w:r>
      <w:r w:rsidR="00A12FC8" w:rsidRPr="00A9564D">
        <w:t>(Cattermole, 2019). Additionally, we will examine the role of the human resource department in creating a culture that values and supports employee engagement in the light of the perspective of a large hotel</w:t>
      </w:r>
      <w:r w:rsidR="00330DC8" w:rsidRPr="00A9564D">
        <w:t xml:space="preserve"> brand InterContinental Hotels Group (IHG)</w:t>
      </w:r>
      <w:r w:rsidR="00A12FC8" w:rsidRPr="00A9564D">
        <w:t>.</w:t>
      </w:r>
      <w:r w:rsidR="00330DC8" w:rsidRPr="00A9564D">
        <w:t xml:space="preserve"> IHG is one of the world's leading hotel companies, with a portfolio of over 5,600 hotels in nearly 100 countries. They operate several well-known hotel brands such as InterContinental, Crowne Plaza, Holiday Inn, and many more.</w:t>
      </w:r>
      <w:r w:rsidR="00A12FC8" w:rsidRPr="00A9564D">
        <w:t xml:space="preserve"> The ultimate objectiv</w:t>
      </w:r>
      <w:r w:rsidR="00330DC8" w:rsidRPr="00A9564D">
        <w:t xml:space="preserve">e of this essay is to provide IHG </w:t>
      </w:r>
      <w:r w:rsidR="00A12FC8" w:rsidRPr="00A9564D">
        <w:t>with the tools and strategies needed to engage employees effectively throughout the employee lifecycle, leading to improved organisational performance and greater employee satisfaction</w:t>
      </w:r>
      <w:r w:rsidR="00AF4AE6" w:rsidRPr="00A9564D">
        <w:t>.</w:t>
      </w:r>
    </w:p>
    <w:p w14:paraId="00554C6D" w14:textId="77777777" w:rsidR="006A65B9" w:rsidRPr="00A9564D" w:rsidRDefault="006A65B9" w:rsidP="00463B9C"/>
    <w:p w14:paraId="5B4C3235" w14:textId="77777777" w:rsidR="000C1AEF" w:rsidRDefault="000C1AEF" w:rsidP="000C1AEF">
      <w:r w:rsidRPr="00A9564D">
        <w:t xml:space="preserve">Developing a positive and productive work environment is essential to keep employees interested and involved during their time with the company. </w:t>
      </w:r>
      <w:r w:rsidR="00E41967" w:rsidRPr="00A9564D">
        <w:t>InterContinental Hotels Group (IHG) places a strong emphasis on employee engagement, with several practical programs and initiatives in place to support and develop employees at all stages of their careers with the company. In future, IHG</w:t>
      </w:r>
      <w:r w:rsidRPr="00A9564D">
        <w:t xml:space="preserve"> must c</w:t>
      </w:r>
      <w:r w:rsidR="00E41967" w:rsidRPr="00A9564D">
        <w:t>herish</w:t>
      </w:r>
      <w:r w:rsidRPr="00A9564D">
        <w:t xml:space="preserve"> a culture that values and encourages employee engagement, which is a crucial driver of employee happiness, productivity, and retention. Employee engagement is a critical driver of employee satisfaction and retention</w:t>
      </w:r>
      <w:r w:rsidR="003C22E9" w:rsidRPr="00A9564D">
        <w:t xml:space="preserve"> (Cattermole, 2019)</w:t>
      </w:r>
      <w:r w:rsidRPr="00A9564D">
        <w:t>.</w:t>
      </w:r>
    </w:p>
    <w:p w14:paraId="3D21221C" w14:textId="77777777" w:rsidR="00FF4679" w:rsidRPr="00A9564D" w:rsidRDefault="00FF4679" w:rsidP="000C1AEF"/>
    <w:p w14:paraId="152EF911" w14:textId="77777777" w:rsidR="000C1AEF" w:rsidRDefault="000C1AEF" w:rsidP="000C1AEF">
      <w:r w:rsidRPr="00A9564D">
        <w:t xml:space="preserve">Ensuring that the recruitment process is inclusive and fair is one of the most effective methods to engage </w:t>
      </w:r>
      <w:r w:rsidR="00D330B6" w:rsidRPr="00A9564D">
        <w:t xml:space="preserve">and </w:t>
      </w:r>
      <w:r w:rsidR="00D330B6" w:rsidRPr="00A9564D">
        <w:rPr>
          <w:b/>
        </w:rPr>
        <w:t>attract</w:t>
      </w:r>
      <w:r w:rsidR="00D330B6" w:rsidRPr="00A9564D">
        <w:t xml:space="preserve"> </w:t>
      </w:r>
      <w:r w:rsidRPr="00A9564D">
        <w:t xml:space="preserve">employees from the beginning of the hiring process. </w:t>
      </w:r>
      <w:r w:rsidR="00892E80" w:rsidRPr="00A9564D">
        <w:t>IHG has a strong employer brand, which highlights the company's values and culture, as well as the benefits and opportunities available to employees. They also use a fair and efficient hiring process to attract and select the right employees</w:t>
      </w:r>
      <w:r w:rsidR="00CC1B81" w:rsidRPr="00A9564D">
        <w:t xml:space="preserve"> (Voegeli, 2021)</w:t>
      </w:r>
      <w:r w:rsidR="00892E80" w:rsidRPr="00A9564D">
        <w:t>. IHG</w:t>
      </w:r>
      <w:r w:rsidRPr="00A9564D">
        <w:t xml:space="preserve"> can accomplish this by writing job descriptions that are </w:t>
      </w:r>
      <w:r w:rsidRPr="00A9564D">
        <w:lastRenderedPageBreak/>
        <w:t xml:space="preserve">open to everyone and easily accessible and by aggressively seeking applicants from a wide variety of candidate pools. </w:t>
      </w:r>
      <w:r w:rsidR="00892E80" w:rsidRPr="00A9564D">
        <w:t>It</w:t>
      </w:r>
      <w:r w:rsidRPr="00A9564D">
        <w:t xml:space="preserve"> can cultivate a more accepting and tolerant culture of differing viewpoints and ideas if they take steps to develop a varied and inclusive workforce. It can assist in fostering a feeling of community and engagement among employees</w:t>
      </w:r>
      <w:r w:rsidR="00167084" w:rsidRPr="00A9564D">
        <w:t xml:space="preserve"> (Kleinaltenkamp et al., 2019)</w:t>
      </w:r>
      <w:r w:rsidRPr="00A9564D">
        <w:t>.</w:t>
      </w:r>
    </w:p>
    <w:p w14:paraId="3572DF8A" w14:textId="77777777" w:rsidR="00FF4679" w:rsidRPr="00A9564D" w:rsidRDefault="00FF4679" w:rsidP="000C1AEF"/>
    <w:p w14:paraId="4615C489" w14:textId="4A1004E3" w:rsidR="000C1AEF" w:rsidRDefault="00A30233" w:rsidP="000C1AEF">
      <w:r w:rsidRPr="00A9564D">
        <w:t>IHG uses recruitment techniques to ensure compatibilit</w:t>
      </w:r>
      <w:r w:rsidR="00E0616B">
        <w:t>ies</w:t>
      </w:r>
      <w:r w:rsidRPr="00A9564D">
        <w:t xml:space="preserve"> with the brand's core values and culture, such as </w:t>
      </w:r>
      <w:r w:rsidR="000923D7" w:rsidRPr="00A9564D">
        <w:t>behavio</w:t>
      </w:r>
      <w:r w:rsidR="000923D7">
        <w:t>r</w:t>
      </w:r>
      <w:r w:rsidRPr="00A9564D">
        <w:t xml:space="preserve">-based interviews and realistic job previews, to help candidates understand the responsibilities and culture of the company. </w:t>
      </w:r>
      <w:r w:rsidR="000C1AEF" w:rsidRPr="00A9564D">
        <w:t xml:space="preserve"> </w:t>
      </w:r>
      <w:r w:rsidRPr="00A9564D">
        <w:t>It</w:t>
      </w:r>
      <w:r w:rsidR="000C1AEF" w:rsidRPr="00A9564D">
        <w:t xml:space="preserve"> can assist them in making an informed decision regarding whether or not to join the company</w:t>
      </w:r>
      <w:r w:rsidR="003C22E9" w:rsidRPr="00A9564D">
        <w:t xml:space="preserve"> (</w:t>
      </w:r>
      <w:r w:rsidR="00167084" w:rsidRPr="00A9564D">
        <w:t xml:space="preserve">Kwon, and Park, 2019; </w:t>
      </w:r>
      <w:r w:rsidR="003C22E9" w:rsidRPr="00A9564D">
        <w:t>Smith, and Cantrell, 2011)</w:t>
      </w:r>
      <w:r w:rsidR="000C1AEF" w:rsidRPr="00A9564D">
        <w:t>.</w:t>
      </w:r>
      <w:r w:rsidR="00D330B6" w:rsidRPr="00A9564D">
        <w:t xml:space="preserve"> </w:t>
      </w:r>
      <w:r w:rsidRPr="00A9564D">
        <w:t>The HR department should also draft inclusive job descriptions and actively seek diverse candidates to build a sense of community and engagement among workers. These techniques evaluate an applicant's compatibility with the company's culture and values</w:t>
      </w:r>
      <w:r w:rsidR="00D330B6" w:rsidRPr="00A9564D">
        <w:t xml:space="preserve"> (</w:t>
      </w:r>
      <w:proofErr w:type="spellStart"/>
      <w:r w:rsidR="00D330B6" w:rsidRPr="00A9564D">
        <w:t>Hinzmann</w:t>
      </w:r>
      <w:proofErr w:type="spellEnd"/>
      <w:r w:rsidR="00D330B6" w:rsidRPr="00A9564D">
        <w:t xml:space="preserve"> et al.</w:t>
      </w:r>
      <w:r w:rsidR="009A5E9C" w:rsidRPr="00A9564D">
        <w:t>, 2019)</w:t>
      </w:r>
      <w:r w:rsidR="000C1AEF" w:rsidRPr="00A9564D">
        <w:t>.</w:t>
      </w:r>
    </w:p>
    <w:p w14:paraId="486C178D" w14:textId="77777777" w:rsidR="00FF4679" w:rsidRPr="00A9564D" w:rsidRDefault="00FF4679" w:rsidP="000C1AEF"/>
    <w:p w14:paraId="6DD65A16" w14:textId="77777777" w:rsidR="00F87C66" w:rsidRDefault="000C1AEF" w:rsidP="000C1AEF">
      <w:r w:rsidRPr="00A9564D">
        <w:t xml:space="preserve">After a person has been hired for a position, offering them a complete </w:t>
      </w:r>
      <w:r w:rsidRPr="00A9564D">
        <w:rPr>
          <w:b/>
        </w:rPr>
        <w:t>onboarding</w:t>
      </w:r>
      <w:r w:rsidRPr="00A9564D">
        <w:t xml:space="preserve"> experience that makes them feel welcome and prepares them for their new responsibilities is critical. It may entail delivering a comprehensive orientation to the firm, its culture, and its expectations and providing employees with the training and resources they need to thrive in their new role. An efficient onboarding procedure can make it easier for newly hired workers to adjust to their new responsibilities, helping them feel more comfortable and confident in their new roles. It, in turn, can raise their level of engagement and motivation</w:t>
      </w:r>
      <w:r w:rsidR="00D330B6" w:rsidRPr="00A9564D">
        <w:t xml:space="preserve"> (Crane</w:t>
      </w:r>
      <w:r w:rsidR="0094697A" w:rsidRPr="00A9564D">
        <w:t xml:space="preserve"> and Hartwell, 2019)</w:t>
      </w:r>
      <w:r w:rsidRPr="00A9564D">
        <w:t>.</w:t>
      </w:r>
      <w:r w:rsidR="00892E80" w:rsidRPr="00A9564D">
        <w:t xml:space="preserve"> IHG provides a comprehensive onboarding program that helps new employees understand the company's culture, values, and expectations, as well as the specific policies and procedures of the hotel. This can include training on customer service, safety and security, and other key skills required for working in a hotel. For example, new employees go through a series of training sessions, which includes learning about the company culture, safety and security, and customer service. They also have a designated mentor or buddy to help them feel supported and connected to the company</w:t>
      </w:r>
      <w:r w:rsidR="00CC1B81" w:rsidRPr="00A9564D">
        <w:t xml:space="preserve"> (Voegeli, </w:t>
      </w:r>
    </w:p>
    <w:p w14:paraId="4C21A0EC" w14:textId="07E4C140" w:rsidR="000C1AEF" w:rsidRDefault="00CC1B81" w:rsidP="000C1AEF">
      <w:r w:rsidRPr="00A9564D">
        <w:t>2021)</w:t>
      </w:r>
      <w:r w:rsidR="00892E80" w:rsidRPr="00A9564D">
        <w:t>.</w:t>
      </w:r>
      <w:r w:rsidR="00D330B6" w:rsidRPr="00A9564D">
        <w:t xml:space="preserve"> </w:t>
      </w:r>
      <w:r w:rsidR="00892E80" w:rsidRPr="00A9564D">
        <w:t>IHG’s</w:t>
      </w:r>
      <w:r w:rsidR="000C1AEF" w:rsidRPr="00A9564D">
        <w:t xml:space="preserve"> HR division ought to devise a complete onboarding program that will assist new workers in experiencing a sense of belonging and becoming ready for their new responsibilities. It </w:t>
      </w:r>
      <w:r w:rsidR="000C1AEF" w:rsidRPr="00A9564D">
        <w:lastRenderedPageBreak/>
        <w:t>may entail delivering a comprehensive orientation to the firm, its culture, and its expectations and providing employees with the training and resources they need to thrive in their new role. In addition, the department should ensure that all new workers have access to a mentor or buddy familiar with the company's culture, regulations, and operating procedures. New employees may find it easier to feel connected to the firm and involved in their work when they better understand the organisation's culture, values, and goals.</w:t>
      </w:r>
    </w:p>
    <w:p w14:paraId="05547381" w14:textId="77777777" w:rsidR="00F5096F" w:rsidRPr="00A9564D" w:rsidRDefault="00F5096F" w:rsidP="000C1AEF"/>
    <w:p w14:paraId="41275FD1" w14:textId="77777777" w:rsidR="000C1AEF" w:rsidRDefault="000C1AEF" w:rsidP="000C1AEF">
      <w:r w:rsidRPr="00A9564D">
        <w:t xml:space="preserve">It is essential for human resources to give employees chances for growth and </w:t>
      </w:r>
      <w:r w:rsidRPr="00A9564D">
        <w:rPr>
          <w:b/>
        </w:rPr>
        <w:t>development</w:t>
      </w:r>
      <w:r w:rsidRPr="00A9564D">
        <w:t>, as well as to promote a feeling of community among workers to maintain employees' engagement in their day-to-day work</w:t>
      </w:r>
      <w:r w:rsidR="008662B3" w:rsidRPr="00A9564D">
        <w:t xml:space="preserve"> (Barrick et al., 2015)</w:t>
      </w:r>
      <w:r w:rsidRPr="00A9564D">
        <w:t>. It can be accomplished by providing chances for training and growth, providing consistent feedback and acknowledgement, and establishing a culture that values open communication and collaborative effort</w:t>
      </w:r>
      <w:r w:rsidR="008662B3" w:rsidRPr="00A9564D">
        <w:t>.</w:t>
      </w:r>
      <w:r w:rsidR="00CA1478" w:rsidRPr="00A9564D">
        <w:t xml:space="preserve"> IHG encourages open communication and feedback, fosters a sense of community</w:t>
      </w:r>
      <w:r w:rsidR="00CC1B81" w:rsidRPr="00A9564D">
        <w:t xml:space="preserve"> and collaboration, and recognis</w:t>
      </w:r>
      <w:r w:rsidR="00CA1478" w:rsidRPr="00A9564D">
        <w:t>es and rewards employees for their contributions to the company. For example, they have regular team-building activities, employee engagement surveys, and opportunities for employees to share their ideas and suggestions with management. They also have a program called "IHG Way of Life" which focuses on promoting a positive culture and employee engagement.</w:t>
      </w:r>
      <w:r w:rsidR="008662B3" w:rsidRPr="00A9564D">
        <w:t xml:space="preserve"> </w:t>
      </w:r>
      <w:r w:rsidRPr="00A9564D">
        <w:t xml:space="preserve">Giving employees opportunities for personal growth and advancement may make them feel more involved and motivated. </w:t>
      </w:r>
      <w:r w:rsidR="00CA1478" w:rsidRPr="00A9564D">
        <w:t>IHG</w:t>
      </w:r>
      <w:r w:rsidRPr="00A9564D">
        <w:t xml:space="preserve"> can</w:t>
      </w:r>
      <w:r w:rsidR="00CA1478" w:rsidRPr="00A9564D">
        <w:t xml:space="preserve"> also</w:t>
      </w:r>
      <w:r w:rsidRPr="00A9564D">
        <w:t xml:space="preserve"> provide </w:t>
      </w:r>
      <w:r w:rsidR="008662B3" w:rsidRPr="00A9564D">
        <w:t>employees</w:t>
      </w:r>
      <w:r w:rsidRPr="00A9564D">
        <w:t xml:space="preserve"> with opportunities for training and development that align with the authorities' expectations for their careers, which can assist them in acquiring new skills and information. In addition, they can allow workers to participate in cross-functional teams and projects, enabling them to pick up new skills from their coworkers and foster a feeling of belonging in the workplace.</w:t>
      </w:r>
    </w:p>
    <w:p w14:paraId="0D1F02E6" w14:textId="77777777" w:rsidR="00F5096F" w:rsidRPr="00A9564D" w:rsidRDefault="00F5096F" w:rsidP="000C1AEF"/>
    <w:p w14:paraId="1E93A5DA" w14:textId="77777777" w:rsidR="000C1AEF" w:rsidRDefault="00491105" w:rsidP="000C1AEF">
      <w:r w:rsidRPr="00A9564D">
        <w:t xml:space="preserve">For the </w:t>
      </w:r>
      <w:r w:rsidRPr="00A9564D">
        <w:rPr>
          <w:b/>
        </w:rPr>
        <w:t>retention</w:t>
      </w:r>
      <w:r w:rsidRPr="00A9564D">
        <w:t xml:space="preserve"> of employees, keeping the employees motivated and committed becomes crucial (</w:t>
      </w:r>
      <w:proofErr w:type="spellStart"/>
      <w:r w:rsidRPr="00A9564D">
        <w:t>Temminck</w:t>
      </w:r>
      <w:proofErr w:type="spellEnd"/>
      <w:r w:rsidRPr="00A9564D">
        <w:t xml:space="preserve"> et al, 2015). </w:t>
      </w:r>
      <w:r w:rsidR="000C1AEF" w:rsidRPr="00A9564D">
        <w:t xml:space="preserve">To keep employees motivated and interested in their work, the department of human resources ought to carry out periodic performance reviews and define objectives for the workforce. </w:t>
      </w:r>
      <w:r w:rsidR="00C224FB" w:rsidRPr="00A9564D">
        <w:t xml:space="preserve">IHG invests in employee retention programs that help employees feel valued and supported, such as benefits, work-life balance initiatives, and employee recognition programs. These can include things like flexible scheduling, employee recognition programs, and </w:t>
      </w:r>
      <w:r w:rsidR="00C224FB" w:rsidRPr="00A9564D">
        <w:lastRenderedPageBreak/>
        <w:t>opportunities for professional development</w:t>
      </w:r>
      <w:r w:rsidR="00CC1B81" w:rsidRPr="00A9564D">
        <w:t xml:space="preserve"> (Voegeli, 2021)</w:t>
      </w:r>
      <w:r w:rsidR="00C224FB" w:rsidRPr="00A9564D">
        <w:t xml:space="preserve">. </w:t>
      </w:r>
      <w:r w:rsidR="000C1AEF" w:rsidRPr="00A9564D">
        <w:t>It is also recommended that the department communicate clear expectations and consistent feedback to assist employees in comprehending how their work contributes to accomplishing the organisation's overarching objectives. Motivating and engaging people more effectively can be accomplished by recognising and thanking them for their effort and contributions. It could involve offering shout-outs during team meetings, awarding bonuses or other incentives, or providing staff with an opportunity to attend conferences or other professional development events. The organisation must ensure that employees have access to opportunities to further their careers, such as training and development opportunities, mentorship programs, and well-defined career routes.</w:t>
      </w:r>
    </w:p>
    <w:p w14:paraId="2E78D225" w14:textId="77777777" w:rsidR="00F5096F" w:rsidRPr="00A9564D" w:rsidRDefault="00F5096F" w:rsidP="000C1AEF"/>
    <w:p w14:paraId="214E5644" w14:textId="77777777" w:rsidR="00A30233" w:rsidRDefault="00A30233" w:rsidP="000C1AEF">
      <w:r w:rsidRPr="00A9564D">
        <w:t>A culture that fosters employee engage</w:t>
      </w:r>
      <w:r w:rsidR="00CC1B81" w:rsidRPr="00A9564D">
        <w:t>ment, recognis</w:t>
      </w:r>
      <w:r w:rsidRPr="00A9564D">
        <w:t xml:space="preserve">es and rewards contributions and values employee input should exist. </w:t>
      </w:r>
      <w:r w:rsidR="00CC1B81" w:rsidRPr="00A9564D">
        <w:t>This can be achieved by recognis</w:t>
      </w:r>
      <w:r w:rsidRPr="00A9564D">
        <w:t xml:space="preserve">ing and rewarding employees, building a sense of community, and increasing employee participation through surveys and feedback methods. Employee engagement can be increased by giving them a sense of ownership and control over their work, involving them in decision-making, and providing opportunities for leadership. IHG establishes clear performance expectations, provides regular feedback, and offers career development opportunities such as performance evaluations, skill-building workshops, mentoring programs, and a leadership development program (Kim et al., 2020). They also track progress and </w:t>
      </w:r>
      <w:r w:rsidR="00CC1B81" w:rsidRPr="00A9564D">
        <w:t>recognis</w:t>
      </w:r>
      <w:r w:rsidRPr="00A9564D">
        <w:t>e and reward employees through bonuses, promotions, and incentives. The hotel may consider ins</w:t>
      </w:r>
      <w:r w:rsidR="00CC1B81" w:rsidRPr="00A9564D">
        <w:t>tituting a program that recognis</w:t>
      </w:r>
      <w:r w:rsidRPr="00A9564D">
        <w:t>es and appreciates staff for their efforts and contributions, such as staff who receive positive customer feedback.</w:t>
      </w:r>
    </w:p>
    <w:p w14:paraId="071BCC51" w14:textId="77777777" w:rsidR="00F5096F" w:rsidRPr="00A9564D" w:rsidRDefault="00F5096F" w:rsidP="000C1AEF"/>
    <w:p w14:paraId="55503FC6" w14:textId="77777777" w:rsidR="000C1AEF" w:rsidRDefault="004E11E1" w:rsidP="000C1AEF">
      <w:r w:rsidRPr="00A9564D">
        <w:t xml:space="preserve">Increasing employee engagement is possible </w:t>
      </w:r>
      <w:r w:rsidR="00E0616B">
        <w:t>by</w:t>
      </w:r>
      <w:r w:rsidRPr="00A9564D">
        <w:t xml:space="preserve"> creating an environment where employees can freely share their ideas, concerns, and ideas without fear of repercussions. This can include an open-door policy, regular team meetings, and opportunities for one-on-one interactions with managers or other leaders. Providing educational and professional development opportunities for employees can also boost engagement. This includes training, mentorship and specific career development pathways. Building a sense of community among staff can also improve engagement, through team-building activities, social events, and recognition of employee accomplishments. Providing flexibility in work schedules and locations can also increase engagement. IHG could </w:t>
      </w:r>
      <w:r w:rsidRPr="00A9564D">
        <w:lastRenderedPageBreak/>
        <w:t>involve employees in decision-making by establishing employee focus groups or committees, and empower them by giving them more control over their work, for example, giving housekeeping staff control over cleaning schedules, and front-desk staff control ov</w:t>
      </w:r>
      <w:r w:rsidR="00CC1B81" w:rsidRPr="00A9564D">
        <w:t xml:space="preserve">er handling customer complaints </w:t>
      </w:r>
      <w:r w:rsidR="000C1AEF" w:rsidRPr="00A9564D">
        <w:t>(Peng, Lee, and Lu, 2020</w:t>
      </w:r>
      <w:r w:rsidR="00CC1B81" w:rsidRPr="00A9564D">
        <w:t>; Havlovic, 2019</w:t>
      </w:r>
      <w:r w:rsidR="000C1AEF" w:rsidRPr="00A9564D">
        <w:t>).</w:t>
      </w:r>
    </w:p>
    <w:p w14:paraId="74313984" w14:textId="77777777" w:rsidR="00F5096F" w:rsidRPr="00A9564D" w:rsidRDefault="00F5096F" w:rsidP="000C1AEF"/>
    <w:p w14:paraId="02AB7D4E" w14:textId="26C4B0B3" w:rsidR="00854858" w:rsidRDefault="000C1AEF" w:rsidP="00A12FC8">
      <w:r w:rsidRPr="00A9564D">
        <w:t>The HR department's responsibility is to offer wellness programs to employees to promote their mental, emotional, and physiological well-being. Support for mental health, access to an employee assistance program, and the promotion of good habits such as regular exercise, healthy diet, and stress management are all possible components of such programs.</w:t>
      </w:r>
      <w:r w:rsidR="00346947" w:rsidRPr="00A9564D">
        <w:t xml:space="preserve"> </w:t>
      </w:r>
      <w:r w:rsidRPr="00A9564D">
        <w:t>The most critical point to remember is that employee engagement tactics should be adapted to meet individual workers' unique requirements and inclinations and put into practice reliably and consistently</w:t>
      </w:r>
      <w:r w:rsidR="00491105" w:rsidRPr="00A9564D">
        <w:t xml:space="preserve"> (Meister</w:t>
      </w:r>
      <w:r w:rsidR="00A26034" w:rsidRPr="00A9564D">
        <w:t xml:space="preserve"> and Willyerd,2021)</w:t>
      </w:r>
      <w:r w:rsidR="00491105" w:rsidRPr="00A9564D">
        <w:t xml:space="preserve">. </w:t>
      </w:r>
      <w:r w:rsidR="00C224FB" w:rsidRPr="00A9564D">
        <w:t xml:space="preserve">IHG provides employees with a safe, respectful and positive working environment, which includes but </w:t>
      </w:r>
      <w:r w:rsidR="00E0616B">
        <w:t xml:space="preserve">is </w:t>
      </w:r>
      <w:r w:rsidR="00C224FB" w:rsidRPr="00A9564D">
        <w:t xml:space="preserve">not limited to fair treatment, addressing employee complaints, and promoting a positive culture. For example, they have regular employee relations training, open-door policies, and opportunities for employees to raise concerns or issues with management. </w:t>
      </w:r>
      <w:r w:rsidR="006E0E1B" w:rsidRPr="00A9564D">
        <w:t>Importantly</w:t>
      </w:r>
      <w:r w:rsidRPr="00A9564D">
        <w:t>, cultivating a culture that encourages open communication and collaboration among employees can assist in establishing a feeling of community among them, which can help raise engagement levels.</w:t>
      </w:r>
      <w:r w:rsidR="00491105" w:rsidRPr="00A9564D">
        <w:t xml:space="preserve"> This in turn can help to retain the best</w:t>
      </w:r>
      <w:r w:rsidR="003F7D55" w:rsidRPr="00A9564D">
        <w:t>-</w:t>
      </w:r>
      <w:r w:rsidR="00491105" w:rsidRPr="00A9564D">
        <w:t xml:space="preserve">performing employees. </w:t>
      </w:r>
      <w:r w:rsidRPr="00A9564D">
        <w:t>Open and transparent cultures can be created in organisations by encouraging staff members to communicate their thoughts, ideas, and feedback</w:t>
      </w:r>
      <w:r w:rsidR="00F15B28" w:rsidRPr="00A9564D">
        <w:t>.</w:t>
      </w:r>
      <w:r w:rsidR="00491105" w:rsidRPr="00A9564D">
        <w:t xml:space="preserve"> </w:t>
      </w:r>
    </w:p>
    <w:p w14:paraId="68A62478" w14:textId="77777777" w:rsidR="00F5096F" w:rsidRPr="00A9564D" w:rsidRDefault="00F5096F" w:rsidP="00A12FC8"/>
    <w:p w14:paraId="07F2BBCF" w14:textId="77777777" w:rsidR="00491105" w:rsidRDefault="006E0E1B" w:rsidP="00A12FC8">
      <w:r w:rsidRPr="00A9564D">
        <w:t>Finally, as employees approach retirement or plan to leave the company</w:t>
      </w:r>
      <w:r w:rsidR="0095416E" w:rsidRPr="00A9564D">
        <w:t xml:space="preserve"> (</w:t>
      </w:r>
      <w:r w:rsidR="0095416E" w:rsidRPr="00A9564D">
        <w:rPr>
          <w:b/>
        </w:rPr>
        <w:t>separation</w:t>
      </w:r>
      <w:r w:rsidR="0095416E" w:rsidRPr="00A9564D">
        <w:t>)</w:t>
      </w:r>
      <w:r w:rsidRPr="00A9564D">
        <w:t xml:space="preserve">, supporting them to make a smooth transition </w:t>
      </w:r>
      <w:r w:rsidR="0095416E" w:rsidRPr="00A9564D">
        <w:t>(</w:t>
      </w:r>
      <w:r w:rsidRPr="00A9564D">
        <w:t>out of the organisation</w:t>
      </w:r>
      <w:r w:rsidR="00424137" w:rsidRPr="00A9564D">
        <w:t>)</w:t>
      </w:r>
      <w:r w:rsidRPr="00A9564D">
        <w:t xml:space="preserve"> is essential</w:t>
      </w:r>
      <w:r w:rsidR="00424137" w:rsidRPr="00A9564D">
        <w:t xml:space="preserve"> (Kwon and Park, 2019)</w:t>
      </w:r>
      <w:r w:rsidRPr="00A9564D">
        <w:t xml:space="preserve">. It could be retirement, a new job, or personal reasons. It also includes terminated employees. It can include providing resources and support for job search or opportunities for employees to work on special projects or consulting. Regardless of the cause for departure, delivering a pleasant final experience is essential. In addition to other effects, an employee's departure impacts the remaining employees. </w:t>
      </w:r>
      <w:r w:rsidR="00C224FB" w:rsidRPr="00A9564D">
        <w:t>IHG provides a fair and respectful exit process and maintains a clear process of separation and exit interview to understand why e</w:t>
      </w:r>
      <w:r w:rsidR="00CC1B81" w:rsidRPr="00A9564D">
        <w:t>mployees are leaving the organis</w:t>
      </w:r>
      <w:r w:rsidR="00C224FB" w:rsidRPr="00A9564D">
        <w:t xml:space="preserve">ation and make improvements accordingly. For example, they conduct exit interviews, final performance </w:t>
      </w:r>
      <w:r w:rsidR="00C224FB" w:rsidRPr="00A9564D">
        <w:lastRenderedPageBreak/>
        <w:t>evaluations, and follow-up surveys to understand the reasons why employees are leaving the organisation</w:t>
      </w:r>
      <w:r w:rsidR="00CC1B81" w:rsidRPr="00A9564D">
        <w:t xml:space="preserve"> (Havlovic, 2019)</w:t>
      </w:r>
      <w:r w:rsidR="00C224FB" w:rsidRPr="00A9564D">
        <w:t xml:space="preserve">. </w:t>
      </w:r>
      <w:r w:rsidRPr="00A9564D">
        <w:t xml:space="preserve">The company should make every effort to minimise disruptions to other employees. </w:t>
      </w:r>
      <w:r w:rsidR="00F47169" w:rsidRPr="00A9564D">
        <w:t>HR should</w:t>
      </w:r>
      <w:r w:rsidRPr="00A9564D">
        <w:t xml:space="preserve"> speak with them if an employee resigns to determine why they are leaving. It will assist in identifying potential trouble areas inside the organisation. When terminating an employee, the company should follow the proper procedures. The senior personnel can request candid and frank feedback from departing employees. The optimal moment to do so is at the emp</w:t>
      </w:r>
      <w:r w:rsidR="00424137" w:rsidRPr="00A9564D">
        <w:t>loyee's leaving interview</w:t>
      </w:r>
      <w:r w:rsidRPr="00A9564D">
        <w:t>.</w:t>
      </w:r>
    </w:p>
    <w:p w14:paraId="3DFCB38C" w14:textId="77777777" w:rsidR="00F5096F" w:rsidRPr="00A9564D" w:rsidRDefault="00F5096F" w:rsidP="00A12FC8"/>
    <w:p w14:paraId="061B9699" w14:textId="43E64619" w:rsidR="00AF4AE6" w:rsidRPr="00F96E63" w:rsidRDefault="00A12FC8" w:rsidP="00A12FC8">
      <w:r w:rsidRPr="00A9564D">
        <w:t xml:space="preserve">In conclusion, </w:t>
      </w:r>
      <w:r w:rsidR="0002410B" w:rsidRPr="00A9564D">
        <w:t>engaging</w:t>
      </w:r>
      <w:r w:rsidR="004E11E1" w:rsidRPr="00A9564D">
        <w:t xml:space="preserve"> employees throughout the employee lifecycle is crucial for creating a positive, effective and productive work environment. Employee engagement is a crucial driver of employee satisfaction, producti</w:t>
      </w:r>
      <w:r w:rsidR="00CC1B81" w:rsidRPr="00A9564D">
        <w:t>vity, and retention, and organis</w:t>
      </w:r>
      <w:r w:rsidR="004E11E1" w:rsidRPr="00A9564D">
        <w:t xml:space="preserve">ations must create a culture that values and supports it. Strategies include recruitment, onboarding, daily work, performance management, career development, and retention. IHG places emphasis on engagement, with practical programs to support and develop employees at all stages of their careers with the company. To achieve this, IHG's HR department should conduct regular employee engagement surveys, provide employee wellness programs, implement employee recognition and rewards programs, and allow flexibility in scheduling and work location. Engaging employees requires a holistic and ongoing effort that addresses employees' needs and concerns at every stage of their employment. </w:t>
      </w:r>
      <w:r w:rsidR="00330DC8" w:rsidRPr="00A9564D">
        <w:t>Overall, IHG’s</w:t>
      </w:r>
      <w:r w:rsidRPr="00A9564D">
        <w:t xml:space="preserve"> HR department should be responsible for creating a culture that values and supports employee engagement and for implementing strategies that help engage employees throughout the lifecycl</w:t>
      </w:r>
      <w:r w:rsidR="00935809" w:rsidRPr="00A9564D">
        <w:t>e</w:t>
      </w:r>
      <w:r w:rsidR="00491105" w:rsidRPr="00A9564D">
        <w:t>.</w:t>
      </w:r>
    </w:p>
    <w:p w14:paraId="6B6D1DFF" w14:textId="77777777" w:rsidR="00F96E63" w:rsidRPr="00F96E63" w:rsidRDefault="00F96E63" w:rsidP="00A12FC8"/>
    <w:p w14:paraId="5424B9F2" w14:textId="77777777" w:rsidR="00F96E63" w:rsidRPr="00F96E63" w:rsidRDefault="00F96E63" w:rsidP="00A12FC8"/>
    <w:p w14:paraId="1FFE6B08" w14:textId="77777777" w:rsidR="00F96E63" w:rsidRPr="00F96E63" w:rsidRDefault="00F96E63" w:rsidP="00A12FC8"/>
    <w:p w14:paraId="7E5CDDE1" w14:textId="77777777" w:rsidR="00F96E63" w:rsidRPr="00F96E63" w:rsidRDefault="00F96E63" w:rsidP="00A12FC8"/>
    <w:p w14:paraId="4BB907FC" w14:textId="77777777" w:rsidR="00F96E63" w:rsidRPr="00F96E63" w:rsidRDefault="00F96E63" w:rsidP="00A12FC8"/>
    <w:p w14:paraId="14742325" w14:textId="77777777" w:rsidR="00F96E63" w:rsidRPr="00F96E63" w:rsidRDefault="00F96E63" w:rsidP="00A12FC8"/>
    <w:p w14:paraId="45A052BA" w14:textId="77777777" w:rsidR="000C1AEF" w:rsidRPr="00F96E63" w:rsidRDefault="00B507D1" w:rsidP="00B507D1">
      <w:pPr>
        <w:pStyle w:val="Heading2"/>
      </w:pPr>
      <w:bookmarkStart w:id="0" w:name="_Toc125101398"/>
      <w:r w:rsidRPr="00F96E63">
        <w:lastRenderedPageBreak/>
        <w:t>References</w:t>
      </w:r>
      <w:bookmarkEnd w:id="0"/>
    </w:p>
    <w:p w14:paraId="32928F8D" w14:textId="77777777" w:rsidR="000C1AEF" w:rsidRPr="00F96E63" w:rsidRDefault="005C0C7F" w:rsidP="002B2FF3">
      <w:pPr>
        <w:rPr>
          <w:rFonts w:cs="Arial"/>
          <w:sz w:val="22"/>
          <w:shd w:val="clear" w:color="auto" w:fill="FFFFFF"/>
        </w:rPr>
      </w:pPr>
      <w:r w:rsidRPr="00F96E63">
        <w:rPr>
          <w:rFonts w:cs="Arial"/>
          <w:sz w:val="22"/>
          <w:shd w:val="clear" w:color="auto" w:fill="FFFFFF"/>
        </w:rPr>
        <w:t xml:space="preserve">Barley, S.R., </w:t>
      </w:r>
      <w:proofErr w:type="spellStart"/>
      <w:r w:rsidRPr="00F96E63">
        <w:rPr>
          <w:rFonts w:cs="Arial"/>
          <w:sz w:val="22"/>
          <w:shd w:val="clear" w:color="auto" w:fill="FFFFFF"/>
        </w:rPr>
        <w:t>Bechky</w:t>
      </w:r>
      <w:proofErr w:type="spellEnd"/>
      <w:r w:rsidRPr="00F96E63">
        <w:rPr>
          <w:rFonts w:cs="Arial"/>
          <w:sz w:val="22"/>
          <w:shd w:val="clear" w:color="auto" w:fill="FFFFFF"/>
        </w:rPr>
        <w:t>, B.A. and Milliken, F.J., 2017. The changing nature of work: Careers, identities, and work lives in the 21st century. </w:t>
      </w:r>
      <w:r w:rsidRPr="00F96E63">
        <w:rPr>
          <w:rFonts w:cs="Arial"/>
          <w:i/>
          <w:iCs/>
          <w:sz w:val="22"/>
          <w:shd w:val="clear" w:color="auto" w:fill="FFFFFF"/>
        </w:rPr>
        <w:t>Academy of Management Discoveries</w:t>
      </w:r>
      <w:r w:rsidRPr="00F96E63">
        <w:rPr>
          <w:rFonts w:cs="Arial"/>
          <w:sz w:val="22"/>
          <w:shd w:val="clear" w:color="auto" w:fill="FFFFFF"/>
        </w:rPr>
        <w:t>, </w:t>
      </w:r>
      <w:r w:rsidRPr="00F96E63">
        <w:rPr>
          <w:rFonts w:cs="Arial"/>
          <w:i/>
          <w:iCs/>
          <w:sz w:val="22"/>
          <w:shd w:val="clear" w:color="auto" w:fill="FFFFFF"/>
        </w:rPr>
        <w:t>3</w:t>
      </w:r>
      <w:r w:rsidRPr="00F96E63">
        <w:rPr>
          <w:rFonts w:cs="Arial"/>
          <w:sz w:val="22"/>
          <w:shd w:val="clear" w:color="auto" w:fill="FFFFFF"/>
        </w:rPr>
        <w:t>(2), pp.111-115.</w:t>
      </w:r>
    </w:p>
    <w:p w14:paraId="3B99CFDE" w14:textId="77777777" w:rsidR="00B507D1" w:rsidRPr="00F96E63" w:rsidRDefault="00B507D1" w:rsidP="002B2FF3">
      <w:pPr>
        <w:rPr>
          <w:rFonts w:cs="Arial"/>
          <w:sz w:val="22"/>
          <w:shd w:val="clear" w:color="auto" w:fill="FFFFFF"/>
        </w:rPr>
      </w:pPr>
      <w:r w:rsidRPr="00F96E63">
        <w:rPr>
          <w:rFonts w:cs="Arial"/>
          <w:sz w:val="22"/>
          <w:shd w:val="clear" w:color="auto" w:fill="FFFFFF"/>
        </w:rPr>
        <w:t>Barrick, M.R., Thurgood, G.R., Smith, T.A. and Courtright, S.H., 2015. Collective organizational engagement: Linking motivational antecedents, strategic implementation, and firm performance. </w:t>
      </w:r>
      <w:r w:rsidRPr="00F96E63">
        <w:rPr>
          <w:rFonts w:cs="Arial"/>
          <w:i/>
          <w:iCs/>
          <w:sz w:val="22"/>
          <w:shd w:val="clear" w:color="auto" w:fill="FFFFFF"/>
        </w:rPr>
        <w:t>Academy of Management journal</w:t>
      </w:r>
      <w:r w:rsidRPr="00F96E63">
        <w:rPr>
          <w:rFonts w:cs="Arial"/>
          <w:sz w:val="22"/>
          <w:shd w:val="clear" w:color="auto" w:fill="FFFFFF"/>
        </w:rPr>
        <w:t>, </w:t>
      </w:r>
      <w:r w:rsidRPr="00F96E63">
        <w:rPr>
          <w:rFonts w:cs="Arial"/>
          <w:i/>
          <w:iCs/>
          <w:sz w:val="22"/>
          <w:shd w:val="clear" w:color="auto" w:fill="FFFFFF"/>
        </w:rPr>
        <w:t>58</w:t>
      </w:r>
      <w:r w:rsidRPr="00F96E63">
        <w:rPr>
          <w:rFonts w:cs="Arial"/>
          <w:sz w:val="22"/>
          <w:shd w:val="clear" w:color="auto" w:fill="FFFFFF"/>
        </w:rPr>
        <w:t>(1), pp.111-135.</w:t>
      </w:r>
    </w:p>
    <w:p w14:paraId="16C8419B" w14:textId="77777777" w:rsidR="005C0C7F" w:rsidRPr="00F96E63" w:rsidRDefault="003C22E9" w:rsidP="002B2FF3">
      <w:pPr>
        <w:rPr>
          <w:rFonts w:cs="Arial"/>
          <w:sz w:val="22"/>
          <w:shd w:val="clear" w:color="auto" w:fill="FFFFFF"/>
        </w:rPr>
      </w:pPr>
      <w:r w:rsidRPr="00F96E63">
        <w:rPr>
          <w:rFonts w:cs="Arial"/>
          <w:sz w:val="22"/>
          <w:shd w:val="clear" w:color="auto" w:fill="FFFFFF"/>
        </w:rPr>
        <w:t>Cattermole, G., 2019. Developing the employee lifecycle to keep top talent. </w:t>
      </w:r>
      <w:r w:rsidRPr="00F96E63">
        <w:rPr>
          <w:rFonts w:cs="Arial"/>
          <w:i/>
          <w:iCs/>
          <w:sz w:val="22"/>
          <w:shd w:val="clear" w:color="auto" w:fill="FFFFFF"/>
        </w:rPr>
        <w:t>Strategic HR review</w:t>
      </w:r>
      <w:r w:rsidRPr="00F96E63">
        <w:rPr>
          <w:rFonts w:cs="Arial"/>
          <w:sz w:val="22"/>
          <w:shd w:val="clear" w:color="auto" w:fill="FFFFFF"/>
        </w:rPr>
        <w:t>.</w:t>
      </w:r>
    </w:p>
    <w:p w14:paraId="1B899580" w14:textId="77777777" w:rsidR="005C0C7F" w:rsidRPr="00F96E63" w:rsidRDefault="005C0C7F" w:rsidP="002B2FF3">
      <w:pPr>
        <w:rPr>
          <w:rFonts w:cs="Arial"/>
          <w:sz w:val="22"/>
          <w:shd w:val="clear" w:color="auto" w:fill="FFFFFF"/>
        </w:rPr>
      </w:pPr>
      <w:r w:rsidRPr="00F96E63">
        <w:rPr>
          <w:rFonts w:cs="Arial"/>
          <w:sz w:val="22"/>
          <w:shd w:val="clear" w:color="auto" w:fill="FFFFFF"/>
        </w:rPr>
        <w:t>Crane, B. and Hartwell, C.J., 2019. Global talent management: A life cycle view of the interaction between human and social capital. </w:t>
      </w:r>
      <w:r w:rsidRPr="00F96E63">
        <w:rPr>
          <w:rFonts w:cs="Arial"/>
          <w:i/>
          <w:iCs/>
          <w:sz w:val="22"/>
          <w:shd w:val="clear" w:color="auto" w:fill="FFFFFF"/>
        </w:rPr>
        <w:t>Journal of World Business</w:t>
      </w:r>
      <w:r w:rsidRPr="00F96E63">
        <w:rPr>
          <w:rFonts w:cs="Arial"/>
          <w:sz w:val="22"/>
          <w:shd w:val="clear" w:color="auto" w:fill="FFFFFF"/>
        </w:rPr>
        <w:t>, </w:t>
      </w:r>
      <w:r w:rsidRPr="00F96E63">
        <w:rPr>
          <w:rFonts w:cs="Arial"/>
          <w:i/>
          <w:iCs/>
          <w:sz w:val="22"/>
          <w:shd w:val="clear" w:color="auto" w:fill="FFFFFF"/>
        </w:rPr>
        <w:t>54</w:t>
      </w:r>
      <w:r w:rsidRPr="00F96E63">
        <w:rPr>
          <w:rFonts w:cs="Arial"/>
          <w:sz w:val="22"/>
          <w:shd w:val="clear" w:color="auto" w:fill="FFFFFF"/>
        </w:rPr>
        <w:t>(2), pp.82-92.</w:t>
      </w:r>
    </w:p>
    <w:p w14:paraId="08392034" w14:textId="77777777" w:rsidR="00CC1B81" w:rsidRPr="00E0616B" w:rsidRDefault="00CC1B81" w:rsidP="002B2FF3">
      <w:pPr>
        <w:rPr>
          <w:rFonts w:cs="Times New Roman"/>
          <w:shd w:val="clear" w:color="auto" w:fill="FFFFFF"/>
        </w:rPr>
      </w:pPr>
      <w:r w:rsidRPr="00E0616B">
        <w:rPr>
          <w:rFonts w:cs="Times New Roman"/>
          <w:color w:val="222222"/>
          <w:sz w:val="22"/>
          <w:szCs w:val="20"/>
          <w:shd w:val="clear" w:color="auto" w:fill="FFFFFF"/>
        </w:rPr>
        <w:t>Havlovic, S.J., 2019. European Works Councils in the Hotel Industry. In </w:t>
      </w:r>
      <w:r w:rsidRPr="00E0616B">
        <w:rPr>
          <w:rFonts w:cs="Times New Roman"/>
          <w:i/>
          <w:iCs/>
          <w:color w:val="222222"/>
          <w:sz w:val="22"/>
          <w:szCs w:val="20"/>
          <w:shd w:val="clear" w:color="auto" w:fill="FFFFFF"/>
        </w:rPr>
        <w:t>Strategic Innovative Marketing and Tourism: 7th ICSIMAT, Athenian Riviera, Greece, 2018</w:t>
      </w:r>
      <w:r w:rsidRPr="00E0616B">
        <w:rPr>
          <w:rFonts w:cs="Times New Roman"/>
          <w:color w:val="222222"/>
          <w:sz w:val="22"/>
          <w:szCs w:val="20"/>
          <w:shd w:val="clear" w:color="auto" w:fill="FFFFFF"/>
        </w:rPr>
        <w:t> (pp. 569-574). Springer International Publishing.</w:t>
      </w:r>
    </w:p>
    <w:p w14:paraId="1295100F" w14:textId="77777777" w:rsidR="00CC1B81" w:rsidRPr="00CC1B81" w:rsidRDefault="00CC1B81" w:rsidP="002B2FF3">
      <w:pPr>
        <w:rPr>
          <w:rFonts w:cs="Times New Roman"/>
        </w:rPr>
      </w:pPr>
      <w:r w:rsidRPr="00E0616B">
        <w:rPr>
          <w:rFonts w:cs="Times New Roman"/>
          <w:color w:val="222222"/>
          <w:sz w:val="22"/>
          <w:szCs w:val="20"/>
          <w:shd w:val="clear" w:color="auto" w:fill="FFFFFF"/>
        </w:rPr>
        <w:t>He, J., Morrison, A.M. and Zhang, H., 2021. How high-performance HR practices and LMX affect employee engagement and creativity in hospitality. </w:t>
      </w:r>
      <w:r w:rsidRPr="00E0616B">
        <w:rPr>
          <w:rFonts w:cs="Times New Roman"/>
          <w:i/>
          <w:iCs/>
          <w:color w:val="222222"/>
          <w:sz w:val="22"/>
          <w:szCs w:val="20"/>
          <w:shd w:val="clear" w:color="auto" w:fill="FFFFFF"/>
        </w:rPr>
        <w:t>Journal of Hospitality &amp; Tourism Research</w:t>
      </w:r>
      <w:r w:rsidRPr="00E0616B">
        <w:rPr>
          <w:rFonts w:cs="Times New Roman"/>
          <w:color w:val="222222"/>
          <w:sz w:val="22"/>
          <w:szCs w:val="20"/>
          <w:shd w:val="clear" w:color="auto" w:fill="FFFFFF"/>
        </w:rPr>
        <w:t>, </w:t>
      </w:r>
      <w:r w:rsidRPr="00E0616B">
        <w:rPr>
          <w:rFonts w:cs="Times New Roman"/>
          <w:i/>
          <w:iCs/>
          <w:color w:val="222222"/>
          <w:sz w:val="22"/>
          <w:szCs w:val="20"/>
          <w:shd w:val="clear" w:color="auto" w:fill="FFFFFF"/>
        </w:rPr>
        <w:t>45</w:t>
      </w:r>
      <w:r w:rsidRPr="00E0616B">
        <w:rPr>
          <w:rFonts w:cs="Times New Roman"/>
          <w:color w:val="222222"/>
          <w:sz w:val="22"/>
          <w:szCs w:val="20"/>
          <w:shd w:val="clear" w:color="auto" w:fill="FFFFFF"/>
        </w:rPr>
        <w:t>(8), pp.1360-1382.</w:t>
      </w:r>
    </w:p>
    <w:p w14:paraId="7B95C685" w14:textId="77777777" w:rsidR="000C1AEF" w:rsidRPr="00F96E63" w:rsidRDefault="005C0C7F" w:rsidP="002B2FF3">
      <w:pPr>
        <w:rPr>
          <w:rFonts w:cs="Arial"/>
          <w:sz w:val="22"/>
        </w:rPr>
      </w:pPr>
      <w:proofErr w:type="spellStart"/>
      <w:r w:rsidRPr="00F96E63">
        <w:rPr>
          <w:rFonts w:cs="Arial"/>
          <w:sz w:val="22"/>
          <w:shd w:val="clear" w:color="auto" w:fill="FFFFFF"/>
        </w:rPr>
        <w:t>Hinzmann</w:t>
      </w:r>
      <w:proofErr w:type="spellEnd"/>
      <w:r w:rsidRPr="00F96E63">
        <w:rPr>
          <w:rFonts w:cs="Arial"/>
          <w:sz w:val="22"/>
          <w:shd w:val="clear" w:color="auto" w:fill="FFFFFF"/>
        </w:rPr>
        <w:t xml:space="preserve">, R.A., </w:t>
      </w:r>
      <w:proofErr w:type="spellStart"/>
      <w:r w:rsidRPr="00F96E63">
        <w:rPr>
          <w:rFonts w:cs="Arial"/>
          <w:sz w:val="22"/>
          <w:shd w:val="clear" w:color="auto" w:fill="FFFFFF"/>
        </w:rPr>
        <w:t>Rašticová</w:t>
      </w:r>
      <w:proofErr w:type="spellEnd"/>
      <w:r w:rsidRPr="00F96E63">
        <w:rPr>
          <w:rFonts w:cs="Arial"/>
          <w:sz w:val="22"/>
          <w:shd w:val="clear" w:color="auto" w:fill="FFFFFF"/>
        </w:rPr>
        <w:t xml:space="preserve">, M. and </w:t>
      </w:r>
      <w:proofErr w:type="spellStart"/>
      <w:r w:rsidRPr="00F96E63">
        <w:rPr>
          <w:rFonts w:cs="Arial"/>
          <w:sz w:val="22"/>
          <w:shd w:val="clear" w:color="auto" w:fill="FFFFFF"/>
        </w:rPr>
        <w:t>Šácha</w:t>
      </w:r>
      <w:proofErr w:type="spellEnd"/>
      <w:r w:rsidRPr="00F96E63">
        <w:rPr>
          <w:rFonts w:cs="Arial"/>
          <w:sz w:val="22"/>
          <w:shd w:val="clear" w:color="auto" w:fill="FFFFFF"/>
        </w:rPr>
        <w:t>, J., 2019. Factors of employee engagement at the workplace. Do years of service count</w:t>
      </w:r>
      <w:r w:rsidR="00B66F7B" w:rsidRPr="00F96E63">
        <w:rPr>
          <w:rFonts w:cs="Arial"/>
          <w:sz w:val="22"/>
          <w:shd w:val="clear" w:color="auto" w:fill="FFFFFF"/>
        </w:rPr>
        <w:t>?</w:t>
      </w:r>
      <w:r w:rsidRPr="00F96E63">
        <w:rPr>
          <w:rFonts w:cs="Arial"/>
          <w:sz w:val="22"/>
          <w:shd w:val="clear" w:color="auto" w:fill="FFFFFF"/>
        </w:rPr>
        <w:t> </w:t>
      </w:r>
      <w:r w:rsidRPr="00F96E63">
        <w:rPr>
          <w:rFonts w:cs="Arial"/>
          <w:i/>
          <w:iCs/>
          <w:sz w:val="22"/>
          <w:shd w:val="clear" w:color="auto" w:fill="FFFFFF"/>
        </w:rPr>
        <w:t xml:space="preserve">Acta Universitatis </w:t>
      </w:r>
      <w:proofErr w:type="spellStart"/>
      <w:r w:rsidRPr="00F96E63">
        <w:rPr>
          <w:rFonts w:cs="Arial"/>
          <w:i/>
          <w:iCs/>
          <w:sz w:val="22"/>
          <w:shd w:val="clear" w:color="auto" w:fill="FFFFFF"/>
        </w:rPr>
        <w:t>Agriculturae</w:t>
      </w:r>
      <w:proofErr w:type="spellEnd"/>
      <w:r w:rsidRPr="00F96E63">
        <w:rPr>
          <w:rFonts w:cs="Arial"/>
          <w:i/>
          <w:iCs/>
          <w:sz w:val="22"/>
          <w:shd w:val="clear" w:color="auto" w:fill="FFFFFF"/>
        </w:rPr>
        <w:t xml:space="preserve"> et </w:t>
      </w:r>
      <w:proofErr w:type="spellStart"/>
      <w:r w:rsidRPr="00F96E63">
        <w:rPr>
          <w:rFonts w:cs="Arial"/>
          <w:i/>
          <w:iCs/>
          <w:sz w:val="22"/>
          <w:shd w:val="clear" w:color="auto" w:fill="FFFFFF"/>
        </w:rPr>
        <w:t>Silviculturae</w:t>
      </w:r>
      <w:proofErr w:type="spellEnd"/>
      <w:r w:rsidRPr="00F96E63">
        <w:rPr>
          <w:rFonts w:cs="Arial"/>
          <w:i/>
          <w:iCs/>
          <w:sz w:val="22"/>
          <w:shd w:val="clear" w:color="auto" w:fill="FFFFFF"/>
        </w:rPr>
        <w:t xml:space="preserve"> </w:t>
      </w:r>
      <w:proofErr w:type="spellStart"/>
      <w:r w:rsidRPr="00F96E63">
        <w:rPr>
          <w:rFonts w:cs="Arial"/>
          <w:i/>
          <w:iCs/>
          <w:sz w:val="22"/>
          <w:shd w:val="clear" w:color="auto" w:fill="FFFFFF"/>
        </w:rPr>
        <w:t>Mendelianae</w:t>
      </w:r>
      <w:proofErr w:type="spellEnd"/>
      <w:r w:rsidRPr="00F96E63">
        <w:rPr>
          <w:rFonts w:cs="Arial"/>
          <w:i/>
          <w:iCs/>
          <w:sz w:val="22"/>
          <w:shd w:val="clear" w:color="auto" w:fill="FFFFFF"/>
        </w:rPr>
        <w:t xml:space="preserve"> </w:t>
      </w:r>
      <w:proofErr w:type="spellStart"/>
      <w:r w:rsidRPr="00F96E63">
        <w:rPr>
          <w:rFonts w:cs="Arial"/>
          <w:i/>
          <w:iCs/>
          <w:sz w:val="22"/>
          <w:shd w:val="clear" w:color="auto" w:fill="FFFFFF"/>
        </w:rPr>
        <w:t>Brunensis</w:t>
      </w:r>
      <w:proofErr w:type="spellEnd"/>
      <w:r w:rsidRPr="00F96E63">
        <w:rPr>
          <w:rFonts w:cs="Arial"/>
          <w:sz w:val="22"/>
          <w:shd w:val="clear" w:color="auto" w:fill="FFFFFF"/>
        </w:rPr>
        <w:t>.</w:t>
      </w:r>
    </w:p>
    <w:p w14:paraId="3BEDC990" w14:textId="77777777" w:rsidR="000C1AEF" w:rsidRPr="00F96E63" w:rsidRDefault="000C1AEF" w:rsidP="002B2FF3">
      <w:pPr>
        <w:rPr>
          <w:rFonts w:cs="Arial"/>
          <w:sz w:val="22"/>
          <w:shd w:val="clear" w:color="auto" w:fill="FFFFFF"/>
        </w:rPr>
      </w:pPr>
      <w:r w:rsidRPr="00F96E63">
        <w:rPr>
          <w:rFonts w:cs="Arial"/>
          <w:sz w:val="22"/>
          <w:shd w:val="clear" w:color="auto" w:fill="FFFFFF"/>
        </w:rPr>
        <w:t xml:space="preserve">Kim, W.G., McGinley, S., Choi, H.M. and </w:t>
      </w:r>
      <w:proofErr w:type="spellStart"/>
      <w:r w:rsidRPr="00F96E63">
        <w:rPr>
          <w:rFonts w:cs="Arial"/>
          <w:sz w:val="22"/>
          <w:shd w:val="clear" w:color="auto" w:fill="FFFFFF"/>
        </w:rPr>
        <w:t>Agmapisarn</w:t>
      </w:r>
      <w:proofErr w:type="spellEnd"/>
      <w:r w:rsidRPr="00F96E63">
        <w:rPr>
          <w:rFonts w:cs="Arial"/>
          <w:sz w:val="22"/>
          <w:shd w:val="clear" w:color="auto" w:fill="FFFFFF"/>
        </w:rPr>
        <w:t>, C., 2020. Hotels’ environmental leadership and employees’ organizational citizenship behavior. </w:t>
      </w:r>
      <w:r w:rsidRPr="00F96E63">
        <w:rPr>
          <w:rFonts w:cs="Arial"/>
          <w:i/>
          <w:iCs/>
          <w:sz w:val="22"/>
          <w:shd w:val="clear" w:color="auto" w:fill="FFFFFF"/>
        </w:rPr>
        <w:t>International Journal of Hospitality Management</w:t>
      </w:r>
      <w:r w:rsidRPr="00F96E63">
        <w:rPr>
          <w:rFonts w:cs="Arial"/>
          <w:sz w:val="22"/>
          <w:shd w:val="clear" w:color="auto" w:fill="FFFFFF"/>
        </w:rPr>
        <w:t>, </w:t>
      </w:r>
      <w:r w:rsidRPr="00F96E63">
        <w:rPr>
          <w:rFonts w:cs="Arial"/>
          <w:i/>
          <w:iCs/>
          <w:sz w:val="22"/>
          <w:shd w:val="clear" w:color="auto" w:fill="FFFFFF"/>
        </w:rPr>
        <w:t>87</w:t>
      </w:r>
      <w:r w:rsidRPr="00F96E63">
        <w:rPr>
          <w:rFonts w:cs="Arial"/>
          <w:sz w:val="22"/>
          <w:shd w:val="clear" w:color="auto" w:fill="FFFFFF"/>
        </w:rPr>
        <w:t>, p.102375.</w:t>
      </w:r>
    </w:p>
    <w:p w14:paraId="2C5A6CDC" w14:textId="77777777" w:rsidR="00B507D1" w:rsidRPr="00F96E63" w:rsidRDefault="00B507D1" w:rsidP="002B2FF3">
      <w:pPr>
        <w:rPr>
          <w:rFonts w:cs="Arial"/>
          <w:sz w:val="22"/>
          <w:shd w:val="clear" w:color="auto" w:fill="FFFFFF"/>
        </w:rPr>
      </w:pPr>
      <w:r w:rsidRPr="00F96E63">
        <w:rPr>
          <w:rFonts w:cs="Arial"/>
          <w:sz w:val="22"/>
          <w:shd w:val="clear" w:color="auto" w:fill="FFFFFF"/>
        </w:rPr>
        <w:t xml:space="preserve">Kleinaltenkamp, M., </w:t>
      </w:r>
      <w:proofErr w:type="spellStart"/>
      <w:r w:rsidRPr="00F96E63">
        <w:rPr>
          <w:rFonts w:cs="Arial"/>
          <w:sz w:val="22"/>
          <w:shd w:val="clear" w:color="auto" w:fill="FFFFFF"/>
        </w:rPr>
        <w:t>Karpen</w:t>
      </w:r>
      <w:proofErr w:type="spellEnd"/>
      <w:r w:rsidRPr="00F96E63">
        <w:rPr>
          <w:rFonts w:cs="Arial"/>
          <w:sz w:val="22"/>
          <w:shd w:val="clear" w:color="auto" w:fill="FFFFFF"/>
        </w:rPr>
        <w:t xml:space="preserve">, I.O., </w:t>
      </w:r>
      <w:proofErr w:type="spellStart"/>
      <w:r w:rsidRPr="00F96E63">
        <w:rPr>
          <w:rFonts w:cs="Arial"/>
          <w:sz w:val="22"/>
          <w:shd w:val="clear" w:color="auto" w:fill="FFFFFF"/>
        </w:rPr>
        <w:t>Plewa</w:t>
      </w:r>
      <w:proofErr w:type="spellEnd"/>
      <w:r w:rsidRPr="00F96E63">
        <w:rPr>
          <w:rFonts w:cs="Arial"/>
          <w:sz w:val="22"/>
          <w:shd w:val="clear" w:color="auto" w:fill="FFFFFF"/>
        </w:rPr>
        <w:t xml:space="preserve">, C., </w:t>
      </w:r>
      <w:proofErr w:type="spellStart"/>
      <w:r w:rsidRPr="00F96E63">
        <w:rPr>
          <w:rFonts w:cs="Arial"/>
          <w:sz w:val="22"/>
          <w:shd w:val="clear" w:color="auto" w:fill="FFFFFF"/>
        </w:rPr>
        <w:t>Jaakkola</w:t>
      </w:r>
      <w:proofErr w:type="spellEnd"/>
      <w:r w:rsidRPr="00F96E63">
        <w:rPr>
          <w:rFonts w:cs="Arial"/>
          <w:sz w:val="22"/>
          <w:shd w:val="clear" w:color="auto" w:fill="FFFFFF"/>
        </w:rPr>
        <w:t>, E. and Conduit, J., 2019. Collective engagement in organizational settings. </w:t>
      </w:r>
      <w:r w:rsidRPr="00F96E63">
        <w:rPr>
          <w:rFonts w:cs="Arial"/>
          <w:i/>
          <w:iCs/>
          <w:sz w:val="22"/>
          <w:shd w:val="clear" w:color="auto" w:fill="FFFFFF"/>
        </w:rPr>
        <w:t>Industrial Marketing Management</w:t>
      </w:r>
      <w:r w:rsidRPr="00F96E63">
        <w:rPr>
          <w:rFonts w:cs="Arial"/>
          <w:sz w:val="22"/>
          <w:shd w:val="clear" w:color="auto" w:fill="FFFFFF"/>
        </w:rPr>
        <w:t>, </w:t>
      </w:r>
      <w:r w:rsidRPr="00F96E63">
        <w:rPr>
          <w:rFonts w:cs="Arial"/>
          <w:i/>
          <w:iCs/>
          <w:sz w:val="22"/>
          <w:shd w:val="clear" w:color="auto" w:fill="FFFFFF"/>
        </w:rPr>
        <w:t>80</w:t>
      </w:r>
      <w:r w:rsidRPr="00F96E63">
        <w:rPr>
          <w:rFonts w:cs="Arial"/>
          <w:sz w:val="22"/>
          <w:shd w:val="clear" w:color="auto" w:fill="FFFFFF"/>
        </w:rPr>
        <w:t>, pp.11-23.</w:t>
      </w:r>
    </w:p>
    <w:p w14:paraId="240EFBB5" w14:textId="77777777" w:rsidR="005C0C7F" w:rsidRPr="00F96E63" w:rsidRDefault="005C0C7F" w:rsidP="002B2FF3">
      <w:pPr>
        <w:rPr>
          <w:rFonts w:cs="Arial"/>
          <w:sz w:val="22"/>
          <w:shd w:val="clear" w:color="auto" w:fill="FFFFFF"/>
        </w:rPr>
      </w:pPr>
      <w:r w:rsidRPr="00F96E63">
        <w:rPr>
          <w:rFonts w:cs="Arial"/>
          <w:sz w:val="22"/>
          <w:shd w:val="clear" w:color="auto" w:fill="FFFFFF"/>
        </w:rPr>
        <w:t>Kwon, K. and Park, J., 2019. The life cycle of employee engagement theory in HRD research. </w:t>
      </w:r>
      <w:r w:rsidRPr="00F96E63">
        <w:rPr>
          <w:rFonts w:cs="Arial"/>
          <w:i/>
          <w:iCs/>
          <w:sz w:val="22"/>
          <w:shd w:val="clear" w:color="auto" w:fill="FFFFFF"/>
        </w:rPr>
        <w:t>Advances in Developing Human Resources</w:t>
      </w:r>
      <w:r w:rsidRPr="00F96E63">
        <w:rPr>
          <w:rFonts w:cs="Arial"/>
          <w:sz w:val="22"/>
          <w:shd w:val="clear" w:color="auto" w:fill="FFFFFF"/>
        </w:rPr>
        <w:t>, </w:t>
      </w:r>
      <w:r w:rsidRPr="00F96E63">
        <w:rPr>
          <w:rFonts w:cs="Arial"/>
          <w:i/>
          <w:iCs/>
          <w:sz w:val="22"/>
          <w:shd w:val="clear" w:color="auto" w:fill="FFFFFF"/>
        </w:rPr>
        <w:t>21</w:t>
      </w:r>
      <w:r w:rsidRPr="00F96E63">
        <w:rPr>
          <w:rFonts w:cs="Arial"/>
          <w:sz w:val="22"/>
          <w:shd w:val="clear" w:color="auto" w:fill="FFFFFF"/>
        </w:rPr>
        <w:t>(3), pp.352-370.</w:t>
      </w:r>
    </w:p>
    <w:p w14:paraId="6DDB02AD" w14:textId="77777777" w:rsidR="00B507D1" w:rsidRPr="00F96E63" w:rsidRDefault="00B507D1" w:rsidP="002B2FF3">
      <w:pPr>
        <w:rPr>
          <w:rFonts w:cs="Arial"/>
          <w:sz w:val="22"/>
          <w:shd w:val="clear" w:color="auto" w:fill="FFFFFF"/>
        </w:rPr>
      </w:pPr>
      <w:r w:rsidRPr="00F96E63">
        <w:rPr>
          <w:rFonts w:cs="Arial"/>
          <w:sz w:val="22"/>
          <w:shd w:val="clear" w:color="auto" w:fill="FFFFFF"/>
        </w:rPr>
        <w:t>Lambert, A., Jones, R.P. and Clinton, S., 2021. Employee engagement and the service profit chain in a quick-service restaurant organization. </w:t>
      </w:r>
      <w:r w:rsidRPr="00F96E63">
        <w:rPr>
          <w:rFonts w:cs="Arial"/>
          <w:i/>
          <w:iCs/>
          <w:sz w:val="22"/>
          <w:shd w:val="clear" w:color="auto" w:fill="FFFFFF"/>
        </w:rPr>
        <w:t>Journal of Business Research</w:t>
      </w:r>
      <w:r w:rsidRPr="00F96E63">
        <w:rPr>
          <w:rFonts w:cs="Arial"/>
          <w:sz w:val="22"/>
          <w:shd w:val="clear" w:color="auto" w:fill="FFFFFF"/>
        </w:rPr>
        <w:t>, </w:t>
      </w:r>
      <w:r w:rsidRPr="00F96E63">
        <w:rPr>
          <w:rFonts w:cs="Arial"/>
          <w:i/>
          <w:iCs/>
          <w:sz w:val="22"/>
          <w:shd w:val="clear" w:color="auto" w:fill="FFFFFF"/>
        </w:rPr>
        <w:t>135</w:t>
      </w:r>
      <w:r w:rsidRPr="00F96E63">
        <w:rPr>
          <w:rFonts w:cs="Arial"/>
          <w:sz w:val="22"/>
          <w:shd w:val="clear" w:color="auto" w:fill="FFFFFF"/>
        </w:rPr>
        <w:t>, pp.214-225.</w:t>
      </w:r>
    </w:p>
    <w:p w14:paraId="0602A255" w14:textId="77777777" w:rsidR="00B507D1" w:rsidRPr="00F96E63" w:rsidRDefault="00B507D1" w:rsidP="002B2FF3">
      <w:pPr>
        <w:rPr>
          <w:rFonts w:cs="Arial"/>
          <w:sz w:val="22"/>
          <w:shd w:val="clear" w:color="auto" w:fill="FFFFFF"/>
        </w:rPr>
      </w:pPr>
      <w:r w:rsidRPr="00F96E63">
        <w:rPr>
          <w:rFonts w:cs="Arial"/>
          <w:sz w:val="22"/>
          <w:shd w:val="clear" w:color="auto" w:fill="FFFFFF"/>
        </w:rPr>
        <w:t>Lee, J. and Ok, C.M., 2016. Hotel employee work engagement and its consequences. </w:t>
      </w:r>
      <w:r w:rsidRPr="00F96E63">
        <w:rPr>
          <w:rFonts w:cs="Arial"/>
          <w:i/>
          <w:iCs/>
          <w:sz w:val="22"/>
          <w:shd w:val="clear" w:color="auto" w:fill="FFFFFF"/>
        </w:rPr>
        <w:t>Journal of Hospitality Marketing &amp; Management</w:t>
      </w:r>
      <w:r w:rsidRPr="00F96E63">
        <w:rPr>
          <w:rFonts w:cs="Arial"/>
          <w:sz w:val="22"/>
          <w:shd w:val="clear" w:color="auto" w:fill="FFFFFF"/>
        </w:rPr>
        <w:t>, </w:t>
      </w:r>
      <w:r w:rsidRPr="00F96E63">
        <w:rPr>
          <w:rFonts w:cs="Arial"/>
          <w:i/>
          <w:iCs/>
          <w:sz w:val="22"/>
          <w:shd w:val="clear" w:color="auto" w:fill="FFFFFF"/>
        </w:rPr>
        <w:t>25</w:t>
      </w:r>
      <w:r w:rsidRPr="00F96E63">
        <w:rPr>
          <w:rFonts w:cs="Arial"/>
          <w:sz w:val="22"/>
          <w:shd w:val="clear" w:color="auto" w:fill="FFFFFF"/>
        </w:rPr>
        <w:t>(2), pp.133-166.</w:t>
      </w:r>
    </w:p>
    <w:p w14:paraId="2E1A578B" w14:textId="77777777" w:rsidR="00A26034" w:rsidRPr="00F96E63" w:rsidRDefault="00A26034" w:rsidP="002B2FF3">
      <w:pPr>
        <w:rPr>
          <w:rFonts w:cs="Arial"/>
          <w:sz w:val="22"/>
          <w:shd w:val="clear" w:color="auto" w:fill="FFFFFF"/>
        </w:rPr>
      </w:pPr>
      <w:r w:rsidRPr="00F96E63">
        <w:rPr>
          <w:rFonts w:cs="Arial"/>
          <w:sz w:val="22"/>
          <w:shd w:val="clear" w:color="auto" w:fill="FFFFFF"/>
        </w:rPr>
        <w:lastRenderedPageBreak/>
        <w:t xml:space="preserve">Meister, J.C. and </w:t>
      </w:r>
      <w:proofErr w:type="spellStart"/>
      <w:r w:rsidRPr="00F96E63">
        <w:rPr>
          <w:rFonts w:cs="Arial"/>
          <w:sz w:val="22"/>
          <w:shd w:val="clear" w:color="auto" w:fill="FFFFFF"/>
        </w:rPr>
        <w:t>Willyerd</w:t>
      </w:r>
      <w:proofErr w:type="spellEnd"/>
      <w:r w:rsidRPr="00F96E63">
        <w:rPr>
          <w:rFonts w:cs="Arial"/>
          <w:sz w:val="22"/>
          <w:shd w:val="clear" w:color="auto" w:fill="FFFFFF"/>
        </w:rPr>
        <w:t>, K., 2021. </w:t>
      </w:r>
      <w:r w:rsidRPr="00F96E63">
        <w:rPr>
          <w:rFonts w:cs="Arial"/>
          <w:i/>
          <w:iCs/>
          <w:sz w:val="22"/>
          <w:shd w:val="clear" w:color="auto" w:fill="FFFFFF"/>
        </w:rPr>
        <w:t>The 2020 workplace: How innovative companies attract, develop, and keep tomorrow’s employees today</w:t>
      </w:r>
      <w:r w:rsidRPr="00F96E63">
        <w:rPr>
          <w:rFonts w:cs="Arial"/>
          <w:sz w:val="22"/>
          <w:shd w:val="clear" w:color="auto" w:fill="FFFFFF"/>
        </w:rPr>
        <w:t>. HarperCollins Publishers Inc.</w:t>
      </w:r>
    </w:p>
    <w:p w14:paraId="439D3FF8" w14:textId="77777777" w:rsidR="00B507D1" w:rsidRPr="00F96E63" w:rsidRDefault="00B507D1" w:rsidP="002B2FF3">
      <w:pPr>
        <w:rPr>
          <w:rFonts w:cs="Arial"/>
          <w:sz w:val="22"/>
          <w:shd w:val="clear" w:color="auto" w:fill="FFFFFF"/>
        </w:rPr>
      </w:pPr>
      <w:proofErr w:type="spellStart"/>
      <w:r w:rsidRPr="00F96E63">
        <w:rPr>
          <w:rFonts w:cs="Arial"/>
          <w:sz w:val="22"/>
          <w:shd w:val="clear" w:color="auto" w:fill="FFFFFF"/>
        </w:rPr>
        <w:t>Menguc</w:t>
      </w:r>
      <w:proofErr w:type="spellEnd"/>
      <w:r w:rsidRPr="00F96E63">
        <w:rPr>
          <w:rFonts w:cs="Arial"/>
          <w:sz w:val="22"/>
          <w:shd w:val="clear" w:color="auto" w:fill="FFFFFF"/>
        </w:rPr>
        <w:t xml:space="preserve">, B., </w:t>
      </w:r>
      <w:proofErr w:type="spellStart"/>
      <w:r w:rsidRPr="00F96E63">
        <w:rPr>
          <w:rFonts w:cs="Arial"/>
          <w:sz w:val="22"/>
          <w:shd w:val="clear" w:color="auto" w:fill="FFFFFF"/>
        </w:rPr>
        <w:t>Auh</w:t>
      </w:r>
      <w:proofErr w:type="spellEnd"/>
      <w:r w:rsidRPr="00F96E63">
        <w:rPr>
          <w:rFonts w:cs="Arial"/>
          <w:sz w:val="22"/>
          <w:shd w:val="clear" w:color="auto" w:fill="FFFFFF"/>
        </w:rPr>
        <w:t>, S., Fisher, M. and Haddad, A., 2013. To be engaged or not to be engaged: The antecedents and consequences of service employee engagement. </w:t>
      </w:r>
      <w:r w:rsidRPr="00F96E63">
        <w:rPr>
          <w:rFonts w:cs="Arial"/>
          <w:i/>
          <w:iCs/>
          <w:sz w:val="22"/>
          <w:shd w:val="clear" w:color="auto" w:fill="FFFFFF"/>
        </w:rPr>
        <w:t>Journal of business research</w:t>
      </w:r>
      <w:r w:rsidRPr="00F96E63">
        <w:rPr>
          <w:rFonts w:cs="Arial"/>
          <w:sz w:val="22"/>
          <w:shd w:val="clear" w:color="auto" w:fill="FFFFFF"/>
        </w:rPr>
        <w:t>, </w:t>
      </w:r>
      <w:r w:rsidRPr="00F96E63">
        <w:rPr>
          <w:rFonts w:cs="Arial"/>
          <w:i/>
          <w:iCs/>
          <w:sz w:val="22"/>
          <w:shd w:val="clear" w:color="auto" w:fill="FFFFFF"/>
        </w:rPr>
        <w:t>66</w:t>
      </w:r>
      <w:r w:rsidRPr="00F96E63">
        <w:rPr>
          <w:rFonts w:cs="Arial"/>
          <w:sz w:val="22"/>
          <w:shd w:val="clear" w:color="auto" w:fill="FFFFFF"/>
        </w:rPr>
        <w:t>(11), pp.2163-2170.</w:t>
      </w:r>
    </w:p>
    <w:p w14:paraId="02ABEA15" w14:textId="77777777" w:rsidR="00B507D1" w:rsidRPr="00F96E63" w:rsidRDefault="00B507D1" w:rsidP="002B2FF3">
      <w:pPr>
        <w:rPr>
          <w:rFonts w:cs="Arial"/>
          <w:sz w:val="22"/>
          <w:shd w:val="clear" w:color="auto" w:fill="FFFFFF"/>
        </w:rPr>
      </w:pPr>
      <w:r w:rsidRPr="00F96E63">
        <w:rPr>
          <w:rFonts w:cs="Arial"/>
          <w:sz w:val="22"/>
          <w:shd w:val="clear" w:color="auto" w:fill="FFFFFF"/>
        </w:rPr>
        <w:t>Morgan, J., 2014. </w:t>
      </w:r>
      <w:r w:rsidRPr="00F96E63">
        <w:rPr>
          <w:rFonts w:cs="Arial"/>
          <w:i/>
          <w:iCs/>
          <w:sz w:val="22"/>
          <w:shd w:val="clear" w:color="auto" w:fill="FFFFFF"/>
        </w:rPr>
        <w:t>The future of work: Attract new talent, build better leaders, and create a competitive organization</w:t>
      </w:r>
      <w:r w:rsidRPr="00F96E63">
        <w:rPr>
          <w:rFonts w:cs="Arial"/>
          <w:sz w:val="22"/>
          <w:shd w:val="clear" w:color="auto" w:fill="FFFFFF"/>
        </w:rPr>
        <w:t>. John Wiley &amp; Sons.</w:t>
      </w:r>
    </w:p>
    <w:p w14:paraId="183FEB11" w14:textId="77777777" w:rsidR="005C0C7F" w:rsidRPr="00F96E63" w:rsidRDefault="005C0C7F" w:rsidP="002B2FF3">
      <w:pPr>
        <w:rPr>
          <w:rFonts w:cs="Arial"/>
          <w:sz w:val="22"/>
          <w:shd w:val="clear" w:color="auto" w:fill="FFFFFF"/>
        </w:rPr>
      </w:pPr>
      <w:r w:rsidRPr="00F96E63">
        <w:rPr>
          <w:rFonts w:cs="Arial"/>
          <w:sz w:val="22"/>
          <w:shd w:val="clear" w:color="auto" w:fill="FFFFFF"/>
        </w:rPr>
        <w:t>Olson, D.A. and Shultz, K.S., 2019. Lifespan perspectives on successful aging at work. In </w:t>
      </w:r>
      <w:r w:rsidRPr="00F96E63">
        <w:rPr>
          <w:rFonts w:cs="Arial"/>
          <w:i/>
          <w:iCs/>
          <w:sz w:val="22"/>
          <w:shd w:val="clear" w:color="auto" w:fill="FFFFFF"/>
        </w:rPr>
        <w:t>Work across the Lifespan</w:t>
      </w:r>
      <w:r w:rsidRPr="00F96E63">
        <w:rPr>
          <w:rFonts w:cs="Arial"/>
          <w:sz w:val="22"/>
          <w:shd w:val="clear" w:color="auto" w:fill="FFFFFF"/>
        </w:rPr>
        <w:t> (pp. 215-234). Academic Press.</w:t>
      </w:r>
    </w:p>
    <w:p w14:paraId="6729B0EF" w14:textId="77777777" w:rsidR="000C1AEF" w:rsidRPr="00F96E63" w:rsidRDefault="000C1AEF" w:rsidP="002B2FF3">
      <w:pPr>
        <w:rPr>
          <w:rFonts w:cs="Arial"/>
          <w:sz w:val="22"/>
          <w:shd w:val="clear" w:color="auto" w:fill="FFFFFF"/>
        </w:rPr>
      </w:pPr>
      <w:r w:rsidRPr="00F96E63">
        <w:rPr>
          <w:rFonts w:cs="Arial"/>
          <w:sz w:val="22"/>
          <w:shd w:val="clear" w:color="auto" w:fill="FFFFFF"/>
        </w:rPr>
        <w:t>Peng, X., Lee, S. and Lu, Z., 2020. Employees' perceived job performance, organizational identification, and pro-environmental behaviors in the hotel industry. </w:t>
      </w:r>
      <w:r w:rsidRPr="00F96E63">
        <w:rPr>
          <w:rFonts w:cs="Arial"/>
          <w:i/>
          <w:iCs/>
          <w:sz w:val="22"/>
          <w:shd w:val="clear" w:color="auto" w:fill="FFFFFF"/>
        </w:rPr>
        <w:t>International Journal of Hospitality Management</w:t>
      </w:r>
      <w:r w:rsidRPr="00F96E63">
        <w:rPr>
          <w:rFonts w:cs="Arial"/>
          <w:sz w:val="22"/>
          <w:shd w:val="clear" w:color="auto" w:fill="FFFFFF"/>
        </w:rPr>
        <w:t>, </w:t>
      </w:r>
      <w:r w:rsidRPr="00F96E63">
        <w:rPr>
          <w:rFonts w:cs="Arial"/>
          <w:i/>
          <w:iCs/>
          <w:sz w:val="22"/>
          <w:shd w:val="clear" w:color="auto" w:fill="FFFFFF"/>
        </w:rPr>
        <w:t>90</w:t>
      </w:r>
      <w:r w:rsidRPr="00F96E63">
        <w:rPr>
          <w:rFonts w:cs="Arial"/>
          <w:sz w:val="22"/>
          <w:shd w:val="clear" w:color="auto" w:fill="FFFFFF"/>
        </w:rPr>
        <w:t>, p.102632.</w:t>
      </w:r>
    </w:p>
    <w:p w14:paraId="4575B5CA" w14:textId="77777777" w:rsidR="005C0C7F" w:rsidRPr="00F96E63" w:rsidRDefault="005C0C7F" w:rsidP="002B2FF3">
      <w:pPr>
        <w:rPr>
          <w:rFonts w:cs="Arial"/>
          <w:sz w:val="22"/>
          <w:shd w:val="clear" w:color="auto" w:fill="FFFFFF"/>
        </w:rPr>
      </w:pPr>
      <w:r w:rsidRPr="00F96E63">
        <w:rPr>
          <w:rFonts w:cs="Arial"/>
          <w:sz w:val="22"/>
          <w:shd w:val="clear" w:color="auto" w:fill="FFFFFF"/>
        </w:rPr>
        <w:t>Rana, G. and Sharma, R., 2019. Emerging human resource management practices in Industry 4.0. </w:t>
      </w:r>
      <w:r w:rsidRPr="00F96E63">
        <w:rPr>
          <w:rFonts w:cs="Arial"/>
          <w:i/>
          <w:iCs/>
          <w:sz w:val="22"/>
          <w:shd w:val="clear" w:color="auto" w:fill="FFFFFF"/>
        </w:rPr>
        <w:t>Strategic HR Review</w:t>
      </w:r>
      <w:r w:rsidRPr="00F96E63">
        <w:rPr>
          <w:rFonts w:cs="Arial"/>
          <w:sz w:val="22"/>
          <w:shd w:val="clear" w:color="auto" w:fill="FFFFFF"/>
        </w:rPr>
        <w:t>.</w:t>
      </w:r>
    </w:p>
    <w:p w14:paraId="4FCBCE9D" w14:textId="77777777" w:rsidR="003C22E9" w:rsidRPr="00F96E63" w:rsidRDefault="003C22E9" w:rsidP="002B2FF3">
      <w:pPr>
        <w:rPr>
          <w:rFonts w:cs="Arial"/>
          <w:sz w:val="22"/>
          <w:shd w:val="clear" w:color="auto" w:fill="FFFFFF"/>
        </w:rPr>
      </w:pPr>
      <w:r w:rsidRPr="00F96E63">
        <w:rPr>
          <w:rFonts w:cs="Arial"/>
          <w:sz w:val="22"/>
          <w:shd w:val="clear" w:color="auto" w:fill="FFFFFF"/>
        </w:rPr>
        <w:t>Smith, D. and Cantrell, S.M., 2011. The new rules of engagement: treating your workforce as a workforce of one. </w:t>
      </w:r>
      <w:r w:rsidRPr="00F96E63">
        <w:rPr>
          <w:rFonts w:cs="Arial"/>
          <w:i/>
          <w:iCs/>
          <w:sz w:val="22"/>
          <w:shd w:val="clear" w:color="auto" w:fill="FFFFFF"/>
        </w:rPr>
        <w:t>Strategic HR Review</w:t>
      </w:r>
      <w:r w:rsidRPr="00F96E63">
        <w:rPr>
          <w:rFonts w:cs="Arial"/>
          <w:sz w:val="22"/>
          <w:shd w:val="clear" w:color="auto" w:fill="FFFFFF"/>
        </w:rPr>
        <w:t>.</w:t>
      </w:r>
    </w:p>
    <w:p w14:paraId="58C23AC5" w14:textId="77777777" w:rsidR="00346947" w:rsidRPr="00F96E63" w:rsidRDefault="00346947" w:rsidP="002B2FF3">
      <w:pPr>
        <w:rPr>
          <w:rFonts w:cs="Arial"/>
          <w:sz w:val="22"/>
          <w:shd w:val="clear" w:color="auto" w:fill="FFFFFF"/>
        </w:rPr>
      </w:pPr>
      <w:r w:rsidRPr="00F96E63">
        <w:rPr>
          <w:rFonts w:cs="Arial"/>
          <w:sz w:val="22"/>
          <w:shd w:val="clear" w:color="auto" w:fill="FFFFFF"/>
        </w:rPr>
        <w:t xml:space="preserve">Schwartz, J., Hatfield, S., Jones, R. and Anderson, S., 2019. What is the future of </w:t>
      </w:r>
      <w:r w:rsidR="00C14888" w:rsidRPr="00F96E63">
        <w:rPr>
          <w:rFonts w:cs="Arial"/>
          <w:sz w:val="22"/>
          <w:shd w:val="clear" w:color="auto" w:fill="FFFFFF"/>
        </w:rPr>
        <w:t>work?</w:t>
      </w:r>
      <w:r w:rsidRPr="00F96E63">
        <w:rPr>
          <w:rFonts w:cs="Arial"/>
          <w:sz w:val="22"/>
          <w:shd w:val="clear" w:color="auto" w:fill="FFFFFF"/>
        </w:rPr>
        <w:t> </w:t>
      </w:r>
      <w:r w:rsidRPr="00F96E63">
        <w:rPr>
          <w:rFonts w:cs="Arial"/>
          <w:i/>
          <w:iCs/>
          <w:sz w:val="22"/>
          <w:shd w:val="clear" w:color="auto" w:fill="FFFFFF"/>
        </w:rPr>
        <w:t xml:space="preserve">Redefining work, workforces, and workplaces. Part of </w:t>
      </w:r>
      <w:r w:rsidR="00B66F7B" w:rsidRPr="00F96E63">
        <w:rPr>
          <w:rFonts w:cs="Arial"/>
          <w:i/>
          <w:iCs/>
          <w:sz w:val="22"/>
          <w:shd w:val="clear" w:color="auto" w:fill="FFFFFF"/>
        </w:rPr>
        <w:t>a</w:t>
      </w:r>
      <w:r w:rsidRPr="00F96E63">
        <w:rPr>
          <w:rFonts w:cs="Arial"/>
          <w:i/>
          <w:iCs/>
          <w:sz w:val="22"/>
          <w:shd w:val="clear" w:color="auto" w:fill="FFFFFF"/>
        </w:rPr>
        <w:t xml:space="preserve"> Deloitte Series on the Future of Work</w:t>
      </w:r>
      <w:r w:rsidRPr="00F96E63">
        <w:rPr>
          <w:rFonts w:cs="Arial"/>
          <w:sz w:val="22"/>
          <w:shd w:val="clear" w:color="auto" w:fill="FFFFFF"/>
        </w:rPr>
        <w:t>.</w:t>
      </w:r>
    </w:p>
    <w:p w14:paraId="2E557A53" w14:textId="77777777" w:rsidR="003C22E9" w:rsidRDefault="003C22E9" w:rsidP="002B2FF3">
      <w:pPr>
        <w:rPr>
          <w:rFonts w:cs="Arial"/>
          <w:sz w:val="22"/>
          <w:shd w:val="clear" w:color="auto" w:fill="FFFFFF"/>
        </w:rPr>
      </w:pPr>
      <w:proofErr w:type="spellStart"/>
      <w:r w:rsidRPr="00F96E63">
        <w:rPr>
          <w:rFonts w:cs="Arial"/>
          <w:sz w:val="22"/>
          <w:shd w:val="clear" w:color="auto" w:fill="FFFFFF"/>
        </w:rPr>
        <w:t>Temminck</w:t>
      </w:r>
      <w:proofErr w:type="spellEnd"/>
      <w:r w:rsidRPr="00F96E63">
        <w:rPr>
          <w:rFonts w:cs="Arial"/>
          <w:sz w:val="22"/>
          <w:shd w:val="clear" w:color="auto" w:fill="FFFFFF"/>
        </w:rPr>
        <w:t xml:space="preserve">, E., Mearns, K. and </w:t>
      </w:r>
      <w:proofErr w:type="spellStart"/>
      <w:r w:rsidRPr="00F96E63">
        <w:rPr>
          <w:rFonts w:cs="Arial"/>
          <w:sz w:val="22"/>
          <w:shd w:val="clear" w:color="auto" w:fill="FFFFFF"/>
        </w:rPr>
        <w:t>Fruhen</w:t>
      </w:r>
      <w:proofErr w:type="spellEnd"/>
      <w:r w:rsidRPr="00F96E63">
        <w:rPr>
          <w:rFonts w:cs="Arial"/>
          <w:sz w:val="22"/>
          <w:shd w:val="clear" w:color="auto" w:fill="FFFFFF"/>
        </w:rPr>
        <w:t xml:space="preserve">, L., 2015. Motivating employees towards sustainable </w:t>
      </w:r>
      <w:proofErr w:type="spellStart"/>
      <w:r w:rsidRPr="00F96E63">
        <w:rPr>
          <w:rFonts w:cs="Arial"/>
          <w:sz w:val="22"/>
          <w:shd w:val="clear" w:color="auto" w:fill="FFFFFF"/>
        </w:rPr>
        <w:t>behaviour</w:t>
      </w:r>
      <w:proofErr w:type="spellEnd"/>
      <w:r w:rsidRPr="00F96E63">
        <w:rPr>
          <w:rFonts w:cs="Arial"/>
          <w:sz w:val="22"/>
          <w:shd w:val="clear" w:color="auto" w:fill="FFFFFF"/>
        </w:rPr>
        <w:t>. </w:t>
      </w:r>
      <w:r w:rsidRPr="00F96E63">
        <w:rPr>
          <w:rFonts w:cs="Arial"/>
          <w:i/>
          <w:iCs/>
          <w:sz w:val="22"/>
          <w:shd w:val="clear" w:color="auto" w:fill="FFFFFF"/>
        </w:rPr>
        <w:t>Business Strategy and the Environment</w:t>
      </w:r>
      <w:r w:rsidRPr="00F96E63">
        <w:rPr>
          <w:rFonts w:cs="Arial"/>
          <w:sz w:val="22"/>
          <w:shd w:val="clear" w:color="auto" w:fill="FFFFFF"/>
        </w:rPr>
        <w:t>, </w:t>
      </w:r>
      <w:r w:rsidRPr="00F96E63">
        <w:rPr>
          <w:rFonts w:cs="Arial"/>
          <w:i/>
          <w:iCs/>
          <w:sz w:val="22"/>
          <w:shd w:val="clear" w:color="auto" w:fill="FFFFFF"/>
        </w:rPr>
        <w:t>24</w:t>
      </w:r>
      <w:r w:rsidRPr="00F96E63">
        <w:rPr>
          <w:rFonts w:cs="Arial"/>
          <w:sz w:val="22"/>
          <w:shd w:val="clear" w:color="auto" w:fill="FFFFFF"/>
        </w:rPr>
        <w:t>(6), pp.402-412.</w:t>
      </w:r>
    </w:p>
    <w:p w14:paraId="20428511" w14:textId="77777777" w:rsidR="00CC1B81" w:rsidRPr="00CC1B81" w:rsidRDefault="00CC1B81" w:rsidP="002B2FF3">
      <w:pPr>
        <w:rPr>
          <w:rFonts w:cs="Times New Roman"/>
          <w:shd w:val="clear" w:color="auto" w:fill="FFFFFF"/>
        </w:rPr>
      </w:pPr>
      <w:r w:rsidRPr="00E0616B">
        <w:rPr>
          <w:rFonts w:cs="Times New Roman"/>
          <w:color w:val="222222"/>
          <w:sz w:val="22"/>
          <w:szCs w:val="20"/>
          <w:shd w:val="clear" w:color="auto" w:fill="FFFFFF"/>
        </w:rPr>
        <w:t>Voegeli, C., 2021. A Case Study of Knowledge Management Practices at the Intercontinental Hotels’ Group. </w:t>
      </w:r>
      <w:r w:rsidRPr="00E0616B">
        <w:rPr>
          <w:rFonts w:cs="Times New Roman"/>
          <w:i/>
          <w:iCs/>
          <w:color w:val="222222"/>
          <w:sz w:val="22"/>
          <w:szCs w:val="20"/>
          <w:shd w:val="clear" w:color="auto" w:fill="FFFFFF"/>
        </w:rPr>
        <w:t>Available at SSRN 3819409</w:t>
      </w:r>
      <w:r w:rsidRPr="00E0616B">
        <w:rPr>
          <w:rFonts w:cs="Times New Roman"/>
          <w:color w:val="222222"/>
          <w:sz w:val="22"/>
          <w:szCs w:val="20"/>
          <w:shd w:val="clear" w:color="auto" w:fill="FFFFFF"/>
        </w:rPr>
        <w:t>.</w:t>
      </w:r>
    </w:p>
    <w:p w14:paraId="32F79885" w14:textId="77777777" w:rsidR="00B507D1" w:rsidRPr="00F96E63" w:rsidRDefault="00B507D1" w:rsidP="002B2FF3">
      <w:pPr>
        <w:rPr>
          <w:rFonts w:cs="Arial"/>
          <w:sz w:val="22"/>
          <w:shd w:val="clear" w:color="auto" w:fill="FFFFFF"/>
        </w:rPr>
      </w:pPr>
      <w:proofErr w:type="spellStart"/>
      <w:r w:rsidRPr="00F96E63">
        <w:rPr>
          <w:rFonts w:cs="Arial"/>
          <w:sz w:val="22"/>
          <w:shd w:val="clear" w:color="auto" w:fill="FFFFFF"/>
        </w:rPr>
        <w:t>Zameer</w:t>
      </w:r>
      <w:proofErr w:type="spellEnd"/>
      <w:r w:rsidRPr="00F96E63">
        <w:rPr>
          <w:rFonts w:cs="Arial"/>
          <w:sz w:val="22"/>
          <w:shd w:val="clear" w:color="auto" w:fill="FFFFFF"/>
        </w:rPr>
        <w:t xml:space="preserve">, H., Wang, Y., Yasmeen, H., </w:t>
      </w:r>
      <w:proofErr w:type="spellStart"/>
      <w:r w:rsidRPr="00F96E63">
        <w:rPr>
          <w:rFonts w:cs="Arial"/>
          <w:sz w:val="22"/>
          <w:shd w:val="clear" w:color="auto" w:fill="FFFFFF"/>
        </w:rPr>
        <w:t>Mofrad</w:t>
      </w:r>
      <w:proofErr w:type="spellEnd"/>
      <w:r w:rsidRPr="00F96E63">
        <w:rPr>
          <w:rFonts w:cs="Arial"/>
          <w:sz w:val="22"/>
          <w:shd w:val="clear" w:color="auto" w:fill="FFFFFF"/>
        </w:rPr>
        <w:t xml:space="preserve">, A.A. and </w:t>
      </w:r>
      <w:proofErr w:type="spellStart"/>
      <w:r w:rsidRPr="00F96E63">
        <w:rPr>
          <w:rFonts w:cs="Arial"/>
          <w:sz w:val="22"/>
          <w:shd w:val="clear" w:color="auto" w:fill="FFFFFF"/>
        </w:rPr>
        <w:t>Waheed</w:t>
      </w:r>
      <w:proofErr w:type="spellEnd"/>
      <w:r w:rsidRPr="00F96E63">
        <w:rPr>
          <w:rFonts w:cs="Arial"/>
          <w:sz w:val="22"/>
          <w:shd w:val="clear" w:color="auto" w:fill="FFFFFF"/>
        </w:rPr>
        <w:t>, A., 2018. Corporate image and customer satisfaction by virtue of employee engagement. </w:t>
      </w:r>
      <w:r w:rsidRPr="00F96E63">
        <w:rPr>
          <w:rFonts w:cs="Arial"/>
          <w:i/>
          <w:iCs/>
          <w:sz w:val="22"/>
          <w:shd w:val="clear" w:color="auto" w:fill="FFFFFF"/>
        </w:rPr>
        <w:t>Human Systems Management</w:t>
      </w:r>
      <w:r w:rsidRPr="00F96E63">
        <w:rPr>
          <w:rFonts w:cs="Arial"/>
          <w:sz w:val="22"/>
          <w:shd w:val="clear" w:color="auto" w:fill="FFFFFF"/>
        </w:rPr>
        <w:t>, </w:t>
      </w:r>
      <w:r w:rsidRPr="00F96E63">
        <w:rPr>
          <w:rFonts w:cs="Arial"/>
          <w:i/>
          <w:iCs/>
          <w:sz w:val="22"/>
          <w:shd w:val="clear" w:color="auto" w:fill="FFFFFF"/>
        </w:rPr>
        <w:t>37</w:t>
      </w:r>
      <w:r w:rsidRPr="00F96E63">
        <w:rPr>
          <w:rFonts w:cs="Arial"/>
          <w:sz w:val="22"/>
          <w:shd w:val="clear" w:color="auto" w:fill="FFFFFF"/>
        </w:rPr>
        <w:t>(2), pp.233-248.</w:t>
      </w:r>
    </w:p>
    <w:p w14:paraId="5FA2FAC2" w14:textId="77777777" w:rsidR="003C22E9" w:rsidRPr="00F96E63" w:rsidRDefault="003C22E9" w:rsidP="002B2FF3"/>
    <w:sectPr w:rsidR="003C22E9" w:rsidRPr="00F96E6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9FD91" w14:textId="77777777" w:rsidR="009B4ECD" w:rsidRDefault="009B4ECD" w:rsidP="00F96E63">
      <w:pPr>
        <w:spacing w:after="0" w:line="240" w:lineRule="auto"/>
      </w:pPr>
      <w:r>
        <w:separator/>
      </w:r>
    </w:p>
  </w:endnote>
  <w:endnote w:type="continuationSeparator" w:id="0">
    <w:p w14:paraId="2376842E" w14:textId="77777777" w:rsidR="009B4ECD" w:rsidRDefault="009B4ECD" w:rsidP="00F96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2E1C72" w14:textId="77777777" w:rsidR="00D330B6" w:rsidRDefault="00D330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0974444"/>
      <w:docPartObj>
        <w:docPartGallery w:val="Page Numbers (Bottom of Page)"/>
        <w:docPartUnique/>
      </w:docPartObj>
    </w:sdtPr>
    <w:sdtEndPr>
      <w:rPr>
        <w:noProof/>
      </w:rPr>
    </w:sdtEndPr>
    <w:sdtContent>
      <w:p w14:paraId="02B655D8" w14:textId="77777777" w:rsidR="00D330B6" w:rsidRDefault="00D330B6">
        <w:pPr>
          <w:pStyle w:val="Footer"/>
          <w:jc w:val="right"/>
        </w:pPr>
        <w:r>
          <w:fldChar w:fldCharType="begin"/>
        </w:r>
        <w:r>
          <w:instrText xml:space="preserve"> PAGE   \* MERGEFORMAT </w:instrText>
        </w:r>
        <w:r>
          <w:fldChar w:fldCharType="separate"/>
        </w:r>
        <w:r w:rsidR="00522D42">
          <w:rPr>
            <w:noProof/>
          </w:rPr>
          <w:t>9</w:t>
        </w:r>
        <w:r>
          <w:rPr>
            <w:noProof/>
          </w:rPr>
          <w:fldChar w:fldCharType="end"/>
        </w:r>
      </w:p>
    </w:sdtContent>
  </w:sdt>
  <w:p w14:paraId="2807E7EF" w14:textId="77777777" w:rsidR="00D330B6" w:rsidRDefault="00D330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E65575" w14:textId="77777777" w:rsidR="00D330B6" w:rsidRDefault="00D330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DBD3C4" w14:textId="77777777" w:rsidR="009B4ECD" w:rsidRDefault="009B4ECD" w:rsidP="00F96E63">
      <w:pPr>
        <w:spacing w:after="0" w:line="240" w:lineRule="auto"/>
      </w:pPr>
      <w:r>
        <w:separator/>
      </w:r>
    </w:p>
  </w:footnote>
  <w:footnote w:type="continuationSeparator" w:id="0">
    <w:p w14:paraId="06A7E73F" w14:textId="77777777" w:rsidR="009B4ECD" w:rsidRDefault="009B4ECD" w:rsidP="00F96E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0DA08A" w14:textId="77777777" w:rsidR="00D330B6" w:rsidRDefault="00D330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500EB" w14:textId="77777777" w:rsidR="00D330B6" w:rsidRDefault="00D330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E3FF5" w14:textId="77777777" w:rsidR="00D330B6" w:rsidRDefault="00D330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03793"/>
    <w:multiLevelType w:val="hybridMultilevel"/>
    <w:tmpl w:val="28CEE5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7222401"/>
    <w:multiLevelType w:val="hybridMultilevel"/>
    <w:tmpl w:val="094AA3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96773186">
    <w:abstractNumId w:val="0"/>
  </w:num>
  <w:num w:numId="2" w16cid:durableId="20160339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A3MLE0MDcxMjU3NjdR0lEKTi0uzszPAykwrgUAhZQuXSwAAAA="/>
  </w:docVars>
  <w:rsids>
    <w:rsidRoot w:val="00C822E0"/>
    <w:rsid w:val="0002410B"/>
    <w:rsid w:val="00060EAB"/>
    <w:rsid w:val="0007312F"/>
    <w:rsid w:val="000916BF"/>
    <w:rsid w:val="000923D7"/>
    <w:rsid w:val="000B45B1"/>
    <w:rsid w:val="000C1AEF"/>
    <w:rsid w:val="000E1F6F"/>
    <w:rsid w:val="00101DB1"/>
    <w:rsid w:val="001257AA"/>
    <w:rsid w:val="00167084"/>
    <w:rsid w:val="001857C6"/>
    <w:rsid w:val="001D1723"/>
    <w:rsid w:val="001D2D79"/>
    <w:rsid w:val="001E7F19"/>
    <w:rsid w:val="0021580C"/>
    <w:rsid w:val="002B2FF3"/>
    <w:rsid w:val="002F3346"/>
    <w:rsid w:val="00302B24"/>
    <w:rsid w:val="0031457F"/>
    <w:rsid w:val="00330DC8"/>
    <w:rsid w:val="00346947"/>
    <w:rsid w:val="0037703A"/>
    <w:rsid w:val="003918BF"/>
    <w:rsid w:val="003C22E9"/>
    <w:rsid w:val="003F7D55"/>
    <w:rsid w:val="00424137"/>
    <w:rsid w:val="00430C9F"/>
    <w:rsid w:val="00463B9C"/>
    <w:rsid w:val="00491105"/>
    <w:rsid w:val="004E11E1"/>
    <w:rsid w:val="00522D42"/>
    <w:rsid w:val="00581855"/>
    <w:rsid w:val="005C0C7F"/>
    <w:rsid w:val="006008AB"/>
    <w:rsid w:val="006145D5"/>
    <w:rsid w:val="006A65B9"/>
    <w:rsid w:val="006C6E74"/>
    <w:rsid w:val="006E0E1B"/>
    <w:rsid w:val="00700755"/>
    <w:rsid w:val="00854858"/>
    <w:rsid w:val="008662B3"/>
    <w:rsid w:val="00892E80"/>
    <w:rsid w:val="00935809"/>
    <w:rsid w:val="0094697A"/>
    <w:rsid w:val="0095416E"/>
    <w:rsid w:val="00973685"/>
    <w:rsid w:val="009A5E9C"/>
    <w:rsid w:val="009B4ECD"/>
    <w:rsid w:val="009C4350"/>
    <w:rsid w:val="009D2F61"/>
    <w:rsid w:val="00A12FC8"/>
    <w:rsid w:val="00A26034"/>
    <w:rsid w:val="00A30233"/>
    <w:rsid w:val="00A41456"/>
    <w:rsid w:val="00A872BB"/>
    <w:rsid w:val="00A9564D"/>
    <w:rsid w:val="00AF4AE6"/>
    <w:rsid w:val="00B1187B"/>
    <w:rsid w:val="00B43BAD"/>
    <w:rsid w:val="00B507D1"/>
    <w:rsid w:val="00B66F7B"/>
    <w:rsid w:val="00C14888"/>
    <w:rsid w:val="00C224FB"/>
    <w:rsid w:val="00C822E0"/>
    <w:rsid w:val="00CA1478"/>
    <w:rsid w:val="00CC1B81"/>
    <w:rsid w:val="00CC2EE5"/>
    <w:rsid w:val="00CD4164"/>
    <w:rsid w:val="00D330B6"/>
    <w:rsid w:val="00DA7F62"/>
    <w:rsid w:val="00E0616B"/>
    <w:rsid w:val="00E41967"/>
    <w:rsid w:val="00E83A59"/>
    <w:rsid w:val="00F15B28"/>
    <w:rsid w:val="00F47169"/>
    <w:rsid w:val="00F5096F"/>
    <w:rsid w:val="00F87C66"/>
    <w:rsid w:val="00F94168"/>
    <w:rsid w:val="00F96E63"/>
    <w:rsid w:val="00FA1D47"/>
    <w:rsid w:val="00FA6A96"/>
    <w:rsid w:val="00FF46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400D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10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96E6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C6E74"/>
    <w:pPr>
      <w:keepNext/>
      <w:keepLines/>
      <w:spacing w:before="40" w:after="0"/>
      <w:jc w:val="left"/>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C6E74"/>
    <w:rPr>
      <w:rFonts w:ascii="Arial" w:eastAsiaTheme="majorEastAsia" w:hAnsi="Arial" w:cstheme="majorBidi"/>
      <w:b/>
      <w:sz w:val="28"/>
      <w:szCs w:val="26"/>
    </w:rPr>
  </w:style>
  <w:style w:type="paragraph" w:styleId="ListParagraph">
    <w:name w:val="List Paragraph"/>
    <w:basedOn w:val="Normal"/>
    <w:uiPriority w:val="34"/>
    <w:qFormat/>
    <w:rsid w:val="006C6E74"/>
    <w:pPr>
      <w:ind w:left="720"/>
      <w:contextualSpacing/>
    </w:pPr>
  </w:style>
  <w:style w:type="character" w:customStyle="1" w:styleId="Heading1Char">
    <w:name w:val="Heading 1 Char"/>
    <w:basedOn w:val="DefaultParagraphFont"/>
    <w:link w:val="Heading1"/>
    <w:uiPriority w:val="9"/>
    <w:rsid w:val="00F96E6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96E63"/>
    <w:pPr>
      <w:spacing w:line="259" w:lineRule="auto"/>
      <w:jc w:val="left"/>
      <w:outlineLvl w:val="9"/>
    </w:pPr>
  </w:style>
  <w:style w:type="paragraph" w:styleId="TOC2">
    <w:name w:val="toc 2"/>
    <w:basedOn w:val="Normal"/>
    <w:next w:val="Normal"/>
    <w:autoRedefine/>
    <w:uiPriority w:val="39"/>
    <w:unhideWhenUsed/>
    <w:rsid w:val="00F96E63"/>
    <w:pPr>
      <w:spacing w:after="100"/>
      <w:ind w:left="240"/>
    </w:pPr>
  </w:style>
  <w:style w:type="character" w:styleId="Hyperlink">
    <w:name w:val="Hyperlink"/>
    <w:basedOn w:val="DefaultParagraphFont"/>
    <w:uiPriority w:val="99"/>
    <w:unhideWhenUsed/>
    <w:rsid w:val="00F96E63"/>
    <w:rPr>
      <w:color w:val="0563C1" w:themeColor="hyperlink"/>
      <w:u w:val="single"/>
    </w:rPr>
  </w:style>
  <w:style w:type="paragraph" w:styleId="Header">
    <w:name w:val="header"/>
    <w:basedOn w:val="Normal"/>
    <w:link w:val="HeaderChar"/>
    <w:uiPriority w:val="99"/>
    <w:unhideWhenUsed/>
    <w:rsid w:val="00F96E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6E63"/>
    <w:rPr>
      <w:rFonts w:ascii="Arial" w:hAnsi="Arial"/>
      <w:sz w:val="24"/>
    </w:rPr>
  </w:style>
  <w:style w:type="paragraph" w:styleId="Footer">
    <w:name w:val="footer"/>
    <w:basedOn w:val="Normal"/>
    <w:link w:val="FooterChar"/>
    <w:uiPriority w:val="99"/>
    <w:unhideWhenUsed/>
    <w:rsid w:val="00F96E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6E63"/>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7532020">
      <w:bodyDiv w:val="1"/>
      <w:marLeft w:val="0"/>
      <w:marRight w:val="0"/>
      <w:marTop w:val="0"/>
      <w:marBottom w:val="0"/>
      <w:divBdr>
        <w:top w:val="none" w:sz="0" w:space="0" w:color="auto"/>
        <w:left w:val="none" w:sz="0" w:space="0" w:color="auto"/>
        <w:bottom w:val="none" w:sz="0" w:space="0" w:color="auto"/>
        <w:right w:val="none" w:sz="0" w:space="0" w:color="auto"/>
      </w:divBdr>
      <w:divsChild>
        <w:div w:id="875003776">
          <w:marLeft w:val="0"/>
          <w:marRight w:val="0"/>
          <w:marTop w:val="0"/>
          <w:marBottom w:val="0"/>
          <w:divBdr>
            <w:top w:val="single" w:sz="2" w:space="0" w:color="auto"/>
            <w:left w:val="single" w:sz="2" w:space="0" w:color="auto"/>
            <w:bottom w:val="single" w:sz="6" w:space="0" w:color="auto"/>
            <w:right w:val="single" w:sz="2" w:space="0" w:color="auto"/>
          </w:divBdr>
          <w:divsChild>
            <w:div w:id="1961762519">
              <w:marLeft w:val="0"/>
              <w:marRight w:val="0"/>
              <w:marTop w:val="100"/>
              <w:marBottom w:val="100"/>
              <w:divBdr>
                <w:top w:val="single" w:sz="2" w:space="0" w:color="D9D9E3"/>
                <w:left w:val="single" w:sz="2" w:space="0" w:color="D9D9E3"/>
                <w:bottom w:val="single" w:sz="2" w:space="0" w:color="D9D9E3"/>
                <w:right w:val="single" w:sz="2" w:space="0" w:color="D9D9E3"/>
              </w:divBdr>
              <w:divsChild>
                <w:div w:id="32075200">
                  <w:marLeft w:val="0"/>
                  <w:marRight w:val="0"/>
                  <w:marTop w:val="0"/>
                  <w:marBottom w:val="0"/>
                  <w:divBdr>
                    <w:top w:val="single" w:sz="2" w:space="0" w:color="D9D9E3"/>
                    <w:left w:val="single" w:sz="2" w:space="0" w:color="D9D9E3"/>
                    <w:bottom w:val="single" w:sz="2" w:space="0" w:color="D9D9E3"/>
                    <w:right w:val="single" w:sz="2" w:space="0" w:color="D9D9E3"/>
                  </w:divBdr>
                  <w:divsChild>
                    <w:div w:id="1927107323">
                      <w:marLeft w:val="0"/>
                      <w:marRight w:val="0"/>
                      <w:marTop w:val="0"/>
                      <w:marBottom w:val="0"/>
                      <w:divBdr>
                        <w:top w:val="single" w:sz="2" w:space="0" w:color="D9D9E3"/>
                        <w:left w:val="single" w:sz="2" w:space="0" w:color="D9D9E3"/>
                        <w:bottom w:val="single" w:sz="2" w:space="0" w:color="D9D9E3"/>
                        <w:right w:val="single" w:sz="2" w:space="0" w:color="D9D9E3"/>
                      </w:divBdr>
                      <w:divsChild>
                        <w:div w:id="18490567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53508921">
          <w:marLeft w:val="0"/>
          <w:marRight w:val="0"/>
          <w:marTop w:val="0"/>
          <w:marBottom w:val="0"/>
          <w:divBdr>
            <w:top w:val="single" w:sz="2" w:space="0" w:color="auto"/>
            <w:left w:val="single" w:sz="2" w:space="0" w:color="auto"/>
            <w:bottom w:val="single" w:sz="6" w:space="0" w:color="auto"/>
            <w:right w:val="single" w:sz="2" w:space="0" w:color="auto"/>
          </w:divBdr>
          <w:divsChild>
            <w:div w:id="671833434">
              <w:marLeft w:val="0"/>
              <w:marRight w:val="0"/>
              <w:marTop w:val="100"/>
              <w:marBottom w:val="100"/>
              <w:divBdr>
                <w:top w:val="single" w:sz="2" w:space="0" w:color="D9D9E3"/>
                <w:left w:val="single" w:sz="2" w:space="0" w:color="D9D9E3"/>
                <w:bottom w:val="single" w:sz="2" w:space="0" w:color="D9D9E3"/>
                <w:right w:val="single" w:sz="2" w:space="0" w:color="D9D9E3"/>
              </w:divBdr>
              <w:divsChild>
                <w:div w:id="693120548">
                  <w:marLeft w:val="0"/>
                  <w:marRight w:val="0"/>
                  <w:marTop w:val="0"/>
                  <w:marBottom w:val="0"/>
                  <w:divBdr>
                    <w:top w:val="single" w:sz="2" w:space="0" w:color="D9D9E3"/>
                    <w:left w:val="single" w:sz="2" w:space="0" w:color="D9D9E3"/>
                    <w:bottom w:val="single" w:sz="2" w:space="0" w:color="D9D9E3"/>
                    <w:right w:val="single" w:sz="2" w:space="0" w:color="D9D9E3"/>
                  </w:divBdr>
                  <w:divsChild>
                    <w:div w:id="1648627958">
                      <w:marLeft w:val="0"/>
                      <w:marRight w:val="0"/>
                      <w:marTop w:val="0"/>
                      <w:marBottom w:val="0"/>
                      <w:divBdr>
                        <w:top w:val="single" w:sz="2" w:space="0" w:color="D9D9E3"/>
                        <w:left w:val="single" w:sz="2" w:space="0" w:color="D9D9E3"/>
                        <w:bottom w:val="single" w:sz="2" w:space="0" w:color="D9D9E3"/>
                        <w:right w:val="single" w:sz="2" w:space="0" w:color="D9D9E3"/>
                      </w:divBdr>
                      <w:divsChild>
                        <w:div w:id="947158417">
                          <w:marLeft w:val="0"/>
                          <w:marRight w:val="0"/>
                          <w:marTop w:val="0"/>
                          <w:marBottom w:val="0"/>
                          <w:divBdr>
                            <w:top w:val="single" w:sz="2" w:space="0" w:color="D9D9E3"/>
                            <w:left w:val="single" w:sz="2" w:space="0" w:color="D9D9E3"/>
                            <w:bottom w:val="single" w:sz="2" w:space="0" w:color="D9D9E3"/>
                            <w:right w:val="single" w:sz="2" w:space="0" w:color="D9D9E3"/>
                          </w:divBdr>
                          <w:divsChild>
                            <w:div w:id="1888781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46437461">
      <w:bodyDiv w:val="1"/>
      <w:marLeft w:val="0"/>
      <w:marRight w:val="0"/>
      <w:marTop w:val="0"/>
      <w:marBottom w:val="0"/>
      <w:divBdr>
        <w:top w:val="none" w:sz="0" w:space="0" w:color="auto"/>
        <w:left w:val="none" w:sz="0" w:space="0" w:color="auto"/>
        <w:bottom w:val="none" w:sz="0" w:space="0" w:color="auto"/>
        <w:right w:val="none" w:sz="0" w:space="0" w:color="auto"/>
      </w:divBdr>
    </w:div>
    <w:div w:id="2128885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2C3FE72-FCC9-44A4-BADB-DF92A0B52B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2757</Words>
  <Characters>15717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2023-01-20T15:50:00Z</dcterms:created>
  <dcterms:modified xsi:type="dcterms:W3CDTF">2023-02-07T17:50:00Z</dcterms:modified>
</cp:coreProperties>
</file>