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30275" w14:textId="77777777" w:rsidR="00DF228F" w:rsidRPr="00DF228F" w:rsidRDefault="00DF228F" w:rsidP="00DF228F">
      <w:pPr>
        <w:keepNext/>
        <w:spacing w:after="0" w:line="360" w:lineRule="auto"/>
        <w:jc w:val="both"/>
        <w:outlineLvl w:val="2"/>
        <w:rPr>
          <w:rFonts w:ascii="Times" w:eastAsia="Times New Roman" w:hAnsi="Times" w:cs="Times New Roman"/>
          <w:b/>
          <w:sz w:val="24"/>
          <w:szCs w:val="24"/>
          <w:lang w:val="en-AU" w:eastAsia="en-AU"/>
        </w:rPr>
      </w:pPr>
      <w:bookmarkStart w:id="0" w:name="_Toc485414030"/>
      <w:bookmarkStart w:id="1" w:name="_Toc488746582"/>
      <w:r w:rsidRPr="00DF228F">
        <w:rPr>
          <w:rFonts w:ascii="Times" w:eastAsia="Times New Roman" w:hAnsi="Times" w:cs="Times New Roman"/>
          <w:b/>
          <w:sz w:val="24"/>
          <w:szCs w:val="24"/>
          <w:lang w:val="en-AU" w:eastAsia="en-AU"/>
        </w:rPr>
        <w:t>Ethics</w:t>
      </w:r>
      <w:bookmarkEnd w:id="0"/>
      <w:bookmarkEnd w:id="1"/>
    </w:p>
    <w:p w14:paraId="66820437" w14:textId="77777777" w:rsidR="00DF228F" w:rsidRPr="00DF228F" w:rsidRDefault="00DF228F" w:rsidP="00DF228F">
      <w:pPr>
        <w:spacing w:after="0" w:line="360" w:lineRule="auto"/>
        <w:jc w:val="both"/>
        <w:rPr>
          <w:rFonts w:ascii="Times" w:eastAsia="Cambria" w:hAnsi="Times" w:cs="Times New Roman"/>
          <w:b/>
          <w:sz w:val="24"/>
          <w:szCs w:val="24"/>
          <w:u w:val="single"/>
          <w:lang w:eastAsia="en-GB"/>
        </w:rPr>
      </w:pPr>
    </w:p>
    <w:p w14:paraId="24E89749" w14:textId="77777777" w:rsidR="00DF228F" w:rsidRPr="00DF228F" w:rsidRDefault="00DF228F" w:rsidP="00DF228F">
      <w:pPr>
        <w:spacing w:after="0" w:line="360" w:lineRule="auto"/>
        <w:jc w:val="both"/>
        <w:rPr>
          <w:rFonts w:ascii="Times" w:eastAsia="Cambria" w:hAnsi="Times" w:cs="Times New Roman"/>
          <w:b/>
          <w:bCs/>
          <w:sz w:val="24"/>
          <w:szCs w:val="24"/>
          <w:lang w:eastAsia="en-GB"/>
        </w:rPr>
      </w:pPr>
      <w:r w:rsidRPr="00DF228F">
        <w:rPr>
          <w:rFonts w:ascii="Times" w:eastAsia="Cambria" w:hAnsi="Times" w:cs="Times New Roman"/>
          <w:sz w:val="24"/>
          <w:szCs w:val="24"/>
          <w:lang w:eastAsia="en-GB"/>
        </w:rPr>
        <w:t xml:space="preserve">The research was approved by the university Ethics Committee and the researcher was aware of the risks involved with the GI and of researching with vulnerable participants. Working with vulnerable individuals has meant ethical research protocols have needed to be continuously reviewed throughout this thesis. Ethics can be a difficult and sensitive topic and issues can develop over the course of the research. Guidelines and a list of principles may be insufficient. To conduct face-to-face research with ‘PGs,’ additional consideration of both Seedhouse’s Ethical Grid (2007) and Flinders Ethical Frameworks and Aspects of Research (1992) matrix was applied to the GI. It was hoped that by using two sets of ethical standards, an acceptable level of ethics was achieved. </w:t>
      </w:r>
      <w:r w:rsidRPr="00DF228F">
        <w:rPr>
          <w:rFonts w:ascii="Times" w:eastAsia="Cambria" w:hAnsi="Times" w:cs="Times New Roman"/>
          <w:b/>
          <w:bCs/>
          <w:sz w:val="24"/>
          <w:szCs w:val="24"/>
          <w:lang w:eastAsia="en-GB"/>
        </w:rPr>
        <w:t>Seedhouse’s Ethical Grid (2007) assists with formulating structured, coherent and recoverable/controllable research (</w:t>
      </w:r>
      <w:proofErr w:type="spellStart"/>
      <w:r w:rsidRPr="00DF228F">
        <w:rPr>
          <w:rFonts w:ascii="Times" w:eastAsia="Cambria" w:hAnsi="Times" w:cs="Times New Roman"/>
          <w:b/>
          <w:bCs/>
          <w:sz w:val="24"/>
          <w:szCs w:val="24"/>
          <w:lang w:eastAsia="en-GB"/>
        </w:rPr>
        <w:t>Stutchbury</w:t>
      </w:r>
      <w:proofErr w:type="spellEnd"/>
      <w:r w:rsidRPr="00DF228F">
        <w:rPr>
          <w:rFonts w:ascii="Times" w:eastAsia="Cambria" w:hAnsi="Times" w:cs="Times New Roman"/>
          <w:b/>
          <w:bCs/>
          <w:sz w:val="24"/>
          <w:szCs w:val="24"/>
          <w:lang w:eastAsia="en-GB"/>
        </w:rPr>
        <w:t xml:space="preserve"> and Fox, 2009). </w:t>
      </w:r>
    </w:p>
    <w:p w14:paraId="0A00952D"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5367A807" w14:textId="77777777" w:rsidR="00DF228F" w:rsidRPr="00DF228F" w:rsidRDefault="00DF228F" w:rsidP="00DF228F">
      <w:pPr>
        <w:spacing w:after="0" w:line="240" w:lineRule="auto"/>
        <w:ind w:left="720"/>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“The Ethical Grid is a tool and nothing more than that. Like a hammer or screwdriver used competently, it can make certain tasks easier, but it cannot direct the tasks, nor can it help decide which tasks are the most important. The Grid can enhance deliberation- it can throw light into unseen corners and can suggest new avenues of thought – but it is not a substitute for personal judgement.”  (Seedhouse, 2007, p.209)</w:t>
      </w:r>
    </w:p>
    <w:p w14:paraId="4AA5F5BA"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5BD0AA99"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Seedhouse’s work is based on moral theory which helps determine what actions are right and wrong (Gray, 2010). It consists of layers, which will be discussed shortly and originally whilst designed for healthcare use, can be applied as a research tool in other disciplines (</w:t>
      </w:r>
      <w:proofErr w:type="spellStart"/>
      <w:r w:rsidRPr="00DF228F">
        <w:rPr>
          <w:rFonts w:ascii="Times" w:eastAsia="Cambria" w:hAnsi="Times" w:cs="Times New Roman"/>
          <w:sz w:val="24"/>
          <w:szCs w:val="24"/>
          <w:lang w:eastAsia="en-GB"/>
        </w:rPr>
        <w:t>Stutchbury</w:t>
      </w:r>
      <w:proofErr w:type="spellEnd"/>
      <w:r w:rsidRPr="00DF228F">
        <w:rPr>
          <w:rFonts w:ascii="Times" w:eastAsia="Cambria" w:hAnsi="Times" w:cs="Times New Roman"/>
          <w:sz w:val="24"/>
          <w:szCs w:val="24"/>
          <w:lang w:eastAsia="en-GB"/>
        </w:rPr>
        <w:t xml:space="preserve"> and Fox, 2009).</w:t>
      </w:r>
    </w:p>
    <w:p w14:paraId="6F2D9B1A" w14:textId="77777777" w:rsidR="00DF228F" w:rsidRPr="00DF228F" w:rsidRDefault="00DF228F" w:rsidP="00DF228F">
      <w:pPr>
        <w:spacing w:after="0" w:line="360" w:lineRule="auto"/>
        <w:ind w:left="-567"/>
        <w:jc w:val="both"/>
        <w:rPr>
          <w:rFonts w:ascii="Times" w:eastAsia="Cambria" w:hAnsi="Times" w:cs="Times New Roman"/>
          <w:sz w:val="24"/>
          <w:szCs w:val="24"/>
          <w:lang w:eastAsia="en-GB"/>
        </w:rPr>
      </w:pPr>
    </w:p>
    <w:p w14:paraId="43A42763" w14:textId="77777777" w:rsidR="00DF228F" w:rsidRPr="00DF228F" w:rsidRDefault="00DF228F" w:rsidP="00DF228F">
      <w:pPr>
        <w:spacing w:after="0" w:line="360" w:lineRule="auto"/>
        <w:ind w:left="-567"/>
        <w:jc w:val="both"/>
        <w:rPr>
          <w:rFonts w:ascii="Times" w:eastAsia="Cambria" w:hAnsi="Times" w:cs="Times New Roman"/>
          <w:sz w:val="24"/>
          <w:szCs w:val="24"/>
          <w:lang w:eastAsia="en-GB"/>
        </w:rPr>
      </w:pPr>
    </w:p>
    <w:p w14:paraId="0B87CD05" w14:textId="77777777" w:rsidR="00DF228F" w:rsidRPr="00DF228F" w:rsidRDefault="00DF228F" w:rsidP="00DF228F">
      <w:pPr>
        <w:spacing w:after="0" w:line="360" w:lineRule="auto"/>
        <w:ind w:left="-567"/>
        <w:jc w:val="both"/>
        <w:rPr>
          <w:rFonts w:ascii="Times" w:eastAsia="Cambria" w:hAnsi="Times" w:cs="Times New Roman"/>
          <w:sz w:val="24"/>
          <w:szCs w:val="24"/>
          <w:lang w:eastAsia="en-GB"/>
        </w:rPr>
      </w:pPr>
      <w:r w:rsidRPr="00DF228F">
        <w:rPr>
          <w:rFonts w:ascii="Times" w:eastAsia="Cambria" w:hAnsi="Times" w:cs="Times New Roman"/>
          <w:noProof/>
          <w:sz w:val="24"/>
          <w:szCs w:val="24"/>
          <w:lang w:eastAsia="en-GB"/>
        </w:rPr>
        <w:lastRenderedPageBreak/>
        <w:drawing>
          <wp:inline distT="0" distB="0" distL="0" distR="0" wp14:anchorId="10023344" wp14:editId="3F75731F">
            <wp:extent cx="5003976" cy="4173166"/>
            <wp:effectExtent l="57150" t="19050" r="44450" b="56515"/>
            <wp:docPr id="34" name="D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3D0FA4D" w14:textId="77777777" w:rsidR="00DF228F" w:rsidRPr="00DF228F" w:rsidRDefault="00DF228F" w:rsidP="00DF228F">
      <w:pPr>
        <w:spacing w:beforeLines="1" w:before="2" w:afterLines="1" w:after="2" w:line="240" w:lineRule="auto"/>
        <w:jc w:val="both"/>
        <w:outlineLvl w:val="0"/>
        <w:rPr>
          <w:rFonts w:ascii="Times" w:eastAsia="Cambria" w:hAnsi="Times" w:cs="Times New Roman"/>
          <w:sz w:val="20"/>
          <w:szCs w:val="20"/>
          <w:lang w:eastAsia="en-US"/>
        </w:rPr>
      </w:pPr>
      <w:r w:rsidRPr="00DF228F">
        <w:rPr>
          <w:rFonts w:ascii="Times" w:eastAsia="Cambria" w:hAnsi="Times" w:cs="Times New Roman"/>
          <w:color w:val="FFFFFF"/>
          <w:sz w:val="24"/>
          <w:szCs w:val="24"/>
          <w:lang w:eastAsia="en-US"/>
        </w:rPr>
        <w:t>Figure</w:t>
      </w:r>
    </w:p>
    <w:p w14:paraId="331F52BC" w14:textId="77777777" w:rsidR="00DF228F" w:rsidRPr="00DF228F" w:rsidRDefault="00DF228F" w:rsidP="00DF228F">
      <w:pPr>
        <w:spacing w:beforeLines="1" w:before="2" w:afterLines="1" w:after="2" w:line="240" w:lineRule="auto"/>
        <w:jc w:val="center"/>
        <w:rPr>
          <w:rFonts w:ascii="Times" w:eastAsia="Cambria" w:hAnsi="Times" w:cs="Times New Roman"/>
          <w:color w:val="FFFFFF"/>
          <w:sz w:val="20"/>
          <w:szCs w:val="20"/>
          <w:lang w:eastAsia="en-US"/>
        </w:rPr>
      </w:pPr>
      <w:bookmarkStart w:id="2" w:name="_Toc488743192"/>
      <w:r w:rsidRPr="00DF228F">
        <w:rPr>
          <w:rFonts w:ascii="Times" w:eastAsia="Cambria" w:hAnsi="Times" w:cs="Times New Roman"/>
          <w:color w:val="FFFFFF"/>
          <w:sz w:val="20"/>
          <w:szCs w:val="20"/>
          <w:lang w:eastAsia="en-US"/>
        </w:rPr>
        <w:t xml:space="preserve">Figure </w:t>
      </w:r>
      <w:r w:rsidRPr="00DF228F">
        <w:rPr>
          <w:rFonts w:ascii="Times" w:eastAsia="Cambria" w:hAnsi="Times" w:cs="Times New Roman"/>
          <w:color w:val="FFFFFF"/>
          <w:sz w:val="20"/>
          <w:szCs w:val="20"/>
          <w:lang w:eastAsia="en-US"/>
        </w:rPr>
        <w:fldChar w:fldCharType="begin"/>
      </w:r>
      <w:r w:rsidRPr="00DF228F">
        <w:rPr>
          <w:rFonts w:ascii="Times" w:eastAsia="Cambria" w:hAnsi="Times" w:cs="Times New Roman"/>
          <w:color w:val="FFFFFF"/>
          <w:sz w:val="20"/>
          <w:szCs w:val="20"/>
          <w:lang w:eastAsia="en-US"/>
        </w:rPr>
        <w:instrText xml:space="preserve"> SEQ Figure \* ARABIC </w:instrText>
      </w:r>
      <w:r w:rsidRPr="00DF228F">
        <w:rPr>
          <w:rFonts w:ascii="Times" w:eastAsia="Cambria" w:hAnsi="Times" w:cs="Times New Roman"/>
          <w:color w:val="FFFFFF"/>
          <w:sz w:val="20"/>
          <w:szCs w:val="20"/>
          <w:lang w:eastAsia="en-US"/>
        </w:rPr>
        <w:fldChar w:fldCharType="separate"/>
      </w:r>
      <w:r w:rsidRPr="00DF228F">
        <w:rPr>
          <w:rFonts w:ascii="Times" w:eastAsia="Cambria" w:hAnsi="Times" w:cs="Times New Roman"/>
          <w:noProof/>
          <w:color w:val="FFFFFF"/>
          <w:sz w:val="20"/>
          <w:szCs w:val="20"/>
          <w:lang w:eastAsia="en-US"/>
        </w:rPr>
        <w:t>10</w:t>
      </w:r>
      <w:r w:rsidRPr="00DF228F">
        <w:rPr>
          <w:rFonts w:ascii="Times" w:eastAsia="Cambria" w:hAnsi="Times" w:cs="Times New Roman"/>
          <w:color w:val="FFFFFF"/>
          <w:sz w:val="20"/>
          <w:szCs w:val="20"/>
          <w:lang w:eastAsia="en-US"/>
        </w:rPr>
        <w:fldChar w:fldCharType="end"/>
      </w:r>
      <w:r w:rsidRPr="00DF228F">
        <w:rPr>
          <w:rFonts w:ascii="Times" w:eastAsia="Cambria" w:hAnsi="Times" w:cs="Times New Roman"/>
          <w:color w:val="FFFFFF"/>
          <w:sz w:val="20"/>
          <w:szCs w:val="20"/>
          <w:lang w:eastAsia="en-US"/>
        </w:rPr>
        <w:t xml:space="preserve"> </w:t>
      </w:r>
    </w:p>
    <w:p w14:paraId="53B5CC63" w14:textId="77777777" w:rsidR="00DF228F" w:rsidRPr="00DF228F" w:rsidRDefault="00DF228F" w:rsidP="00DF228F">
      <w:pPr>
        <w:spacing w:beforeLines="1" w:before="2" w:afterLines="1" w:after="2" w:line="240" w:lineRule="auto"/>
        <w:jc w:val="center"/>
        <w:rPr>
          <w:rFonts w:ascii="Times" w:eastAsia="Cambria" w:hAnsi="Times" w:cs="Times New Roman"/>
          <w:color w:val="FFFFFF"/>
          <w:sz w:val="24"/>
          <w:szCs w:val="24"/>
          <w:lang w:eastAsia="en-US"/>
        </w:rPr>
      </w:pPr>
      <w:r w:rsidRPr="00DF228F">
        <w:rPr>
          <w:rFonts w:ascii="Times" w:eastAsia="Cambria" w:hAnsi="Times" w:cs="Times New Roman"/>
          <w:b/>
          <w:sz w:val="24"/>
          <w:szCs w:val="24"/>
          <w:lang w:eastAsia="en-US"/>
        </w:rPr>
        <w:t>Figure 3.2 Seedhouse’s Ethical Grid (2007)</w:t>
      </w:r>
      <w:bookmarkEnd w:id="2"/>
    </w:p>
    <w:p w14:paraId="006EE6DB" w14:textId="77777777" w:rsidR="00DF228F" w:rsidRPr="00DF228F" w:rsidRDefault="00DF228F" w:rsidP="00DF228F">
      <w:pPr>
        <w:spacing w:beforeLines="1" w:before="2" w:afterLines="1" w:after="2" w:line="240" w:lineRule="auto"/>
        <w:rPr>
          <w:rFonts w:ascii="Times" w:eastAsia="Cambria" w:hAnsi="Times" w:cs="Times New Roman"/>
          <w:color w:val="FFFFFF"/>
          <w:sz w:val="24"/>
          <w:szCs w:val="24"/>
          <w:lang w:eastAsia="en-US"/>
        </w:rPr>
      </w:pPr>
      <w:r w:rsidRPr="00DF228F">
        <w:rPr>
          <w:rFonts w:ascii="Times" w:eastAsia="Cambria" w:hAnsi="Times" w:cs="Times New Roman"/>
          <w:sz w:val="20"/>
          <w:szCs w:val="20"/>
          <w:lang w:eastAsia="en-US"/>
        </w:rPr>
        <w:t xml:space="preserve"> </w:t>
      </w:r>
    </w:p>
    <w:p w14:paraId="399B20D2" w14:textId="77777777" w:rsidR="00DF228F" w:rsidRPr="00DF228F" w:rsidRDefault="00DF228F" w:rsidP="00DF228F">
      <w:pPr>
        <w:spacing w:beforeLines="1" w:before="2" w:afterLines="1" w:after="2" w:line="240" w:lineRule="auto"/>
        <w:jc w:val="both"/>
        <w:rPr>
          <w:rFonts w:ascii="Times" w:eastAsia="Cambria" w:hAnsi="Times" w:cs="Times New Roman"/>
          <w:color w:val="FFFFFF"/>
          <w:sz w:val="24"/>
          <w:szCs w:val="24"/>
          <w:lang w:eastAsia="en-US"/>
        </w:rPr>
      </w:pPr>
    </w:p>
    <w:p w14:paraId="0F46FA26" w14:textId="77777777" w:rsidR="00DF228F" w:rsidRPr="00DF228F" w:rsidRDefault="00DF228F" w:rsidP="00DF228F">
      <w:pPr>
        <w:spacing w:beforeLines="1" w:before="2" w:afterLines="1" w:after="2" w:line="240" w:lineRule="auto"/>
        <w:jc w:val="both"/>
        <w:rPr>
          <w:rFonts w:ascii="Times" w:eastAsia="Cambria" w:hAnsi="Times" w:cs="Times New Roman"/>
          <w:sz w:val="20"/>
          <w:szCs w:val="20"/>
          <w:lang w:eastAsia="en-US"/>
        </w:rPr>
      </w:pPr>
    </w:p>
    <w:p w14:paraId="30F74B4A"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The above diagram provided a checklist that was applied to the development of the discussion matrix and processes for the GI.</w:t>
      </w:r>
    </w:p>
    <w:p w14:paraId="1A10144D"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75E78D36" w14:textId="77777777" w:rsidR="00DF228F" w:rsidRPr="00DF228F" w:rsidRDefault="00DF228F" w:rsidP="00DF228F">
      <w:pPr>
        <w:spacing w:after="0" w:line="360" w:lineRule="auto"/>
        <w:ind w:right="-4"/>
        <w:jc w:val="both"/>
        <w:outlineLvl w:val="3"/>
        <w:rPr>
          <w:rFonts w:ascii="Times" w:eastAsia="SimSun" w:hAnsi="Times" w:cs="Times New Roman"/>
          <w:b/>
          <w:i/>
          <w:sz w:val="24"/>
          <w:szCs w:val="24"/>
          <w:lang w:val="en-US" w:eastAsia="en-US"/>
        </w:rPr>
      </w:pPr>
      <w:r w:rsidRPr="00DF228F">
        <w:rPr>
          <w:rFonts w:ascii="Times" w:eastAsia="SimSun" w:hAnsi="Times" w:cs="Times New Roman"/>
          <w:b/>
          <w:i/>
          <w:sz w:val="24"/>
          <w:szCs w:val="24"/>
          <w:lang w:val="en-US" w:eastAsia="en-US"/>
        </w:rPr>
        <w:t>External considerations</w:t>
      </w:r>
    </w:p>
    <w:p w14:paraId="4F213625"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48270813"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External considerations refer to the laws, wishes of others, codes of practice and available resources; risk, effectiveness and efficiency of action. It also refers to the degree of uncertainty about the evidence on which the action is taken. These considerations were complied with and monitored by the researcher and supervisory process within the university.</w:t>
      </w:r>
    </w:p>
    <w:p w14:paraId="1C6DAA8E" w14:textId="77777777" w:rsidR="00DF228F" w:rsidRPr="00DF228F" w:rsidRDefault="00DF228F" w:rsidP="00DF228F">
      <w:pPr>
        <w:spacing w:after="0" w:line="360" w:lineRule="auto"/>
        <w:ind w:right="-4"/>
        <w:jc w:val="both"/>
        <w:outlineLvl w:val="0"/>
        <w:rPr>
          <w:rFonts w:ascii="Times" w:eastAsia="Cambria" w:hAnsi="Times" w:cs="Times New Roman"/>
          <w:sz w:val="24"/>
          <w:szCs w:val="24"/>
          <w:lang w:eastAsia="en-GB"/>
        </w:rPr>
      </w:pPr>
    </w:p>
    <w:p w14:paraId="3634C169" w14:textId="77777777" w:rsidR="00DF228F" w:rsidRPr="00DF228F" w:rsidRDefault="00DF228F" w:rsidP="00DF228F">
      <w:pPr>
        <w:spacing w:after="0" w:line="360" w:lineRule="auto"/>
        <w:ind w:right="-4"/>
        <w:jc w:val="both"/>
        <w:outlineLvl w:val="0"/>
        <w:rPr>
          <w:rFonts w:ascii="Times" w:eastAsia="Cambria" w:hAnsi="Times" w:cs="Times New Roman"/>
          <w:sz w:val="24"/>
          <w:szCs w:val="24"/>
          <w:lang w:eastAsia="en-GB"/>
        </w:rPr>
      </w:pPr>
    </w:p>
    <w:p w14:paraId="20EC98FC" w14:textId="77777777" w:rsidR="00DF228F" w:rsidRPr="00DF228F" w:rsidRDefault="00DF228F" w:rsidP="00DF228F">
      <w:pPr>
        <w:spacing w:after="0" w:line="360" w:lineRule="auto"/>
        <w:ind w:right="-4"/>
        <w:jc w:val="both"/>
        <w:outlineLvl w:val="0"/>
        <w:rPr>
          <w:rFonts w:ascii="Times" w:eastAsia="SimSun" w:hAnsi="Times" w:cs="Times New Roman"/>
          <w:b/>
          <w:sz w:val="24"/>
          <w:szCs w:val="24"/>
          <w:lang w:eastAsia="en-US"/>
        </w:rPr>
      </w:pPr>
    </w:p>
    <w:p w14:paraId="2FB5CC19" w14:textId="77777777" w:rsidR="00DF228F" w:rsidRPr="00DF228F" w:rsidRDefault="00DF228F" w:rsidP="00DF228F">
      <w:pPr>
        <w:spacing w:after="0" w:line="360" w:lineRule="auto"/>
        <w:ind w:right="-4"/>
        <w:jc w:val="both"/>
        <w:outlineLvl w:val="3"/>
        <w:rPr>
          <w:rFonts w:ascii="Times" w:eastAsia="SimSun" w:hAnsi="Times" w:cs="Times New Roman"/>
          <w:b/>
          <w:i/>
          <w:sz w:val="24"/>
          <w:szCs w:val="24"/>
          <w:lang w:val="en-US" w:eastAsia="en-US"/>
        </w:rPr>
      </w:pPr>
      <w:r w:rsidRPr="00DF228F">
        <w:rPr>
          <w:rFonts w:ascii="Times" w:eastAsia="SimSun" w:hAnsi="Times" w:cs="Times New Roman"/>
          <w:b/>
          <w:i/>
          <w:sz w:val="24"/>
          <w:szCs w:val="24"/>
          <w:lang w:val="en-US" w:eastAsia="en-US"/>
        </w:rPr>
        <w:lastRenderedPageBreak/>
        <w:t>Consequential layer</w:t>
      </w:r>
    </w:p>
    <w:p w14:paraId="6C6398AC" w14:textId="77777777" w:rsidR="00DF228F" w:rsidRPr="00DF228F" w:rsidRDefault="00DF228F" w:rsidP="00DF228F">
      <w:pPr>
        <w:spacing w:after="0" w:line="360" w:lineRule="auto"/>
        <w:jc w:val="both"/>
        <w:rPr>
          <w:rFonts w:ascii="Times" w:eastAsia="Cambria" w:hAnsi="Times" w:cs="Times New Roman"/>
          <w:b/>
          <w:sz w:val="24"/>
          <w:szCs w:val="24"/>
          <w:lang w:eastAsia="en-GB"/>
        </w:rPr>
      </w:pPr>
    </w:p>
    <w:p w14:paraId="43E4E42A"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 xml:space="preserve">There were consequences of the research for the researcher, the key stakeholders and society. First, the research was aimed at assisting the researcher gain her PhD. Second, there were consequences for the GI participants, who did not wish to be identified, who indicated that they wanted to participate and be heard in a discussion relating to the concept of RG and finally, there were consequences for key stakeholders and society if effective RGFs could be identified. </w:t>
      </w:r>
    </w:p>
    <w:p w14:paraId="3F11E577" w14:textId="77777777" w:rsidR="00DF228F" w:rsidRPr="00DF228F" w:rsidRDefault="00DF228F" w:rsidP="00DF228F">
      <w:pPr>
        <w:spacing w:after="0" w:line="360" w:lineRule="auto"/>
        <w:jc w:val="both"/>
        <w:rPr>
          <w:rFonts w:ascii="Times" w:eastAsia="Cambria" w:hAnsi="Times" w:cs="Times New Roman"/>
          <w:b/>
          <w:sz w:val="24"/>
          <w:szCs w:val="24"/>
          <w:u w:val="single"/>
          <w:lang w:eastAsia="en-GB"/>
        </w:rPr>
      </w:pPr>
    </w:p>
    <w:p w14:paraId="2C9CE7A4"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 xml:space="preserve">An important consideration was if the research was likely to hurt anyone. This was realised in advance and if any interaction in the GI began to upset anybody, the MC would have immediately ceased that line of enquiry. The MC was key to the success of this thesis. There was considerable trust between the researcher and the MC and he managed the session as he thought correct and suitable. A verbal assurance was given by the MC that no participant would find the research unwelcome or a distressing experience. The OQ participants could withdraw at any time without further contact and should any participant feel distressed when completing the OQ, contact details of </w:t>
      </w:r>
      <w:proofErr w:type="spellStart"/>
      <w:r w:rsidRPr="00DF228F">
        <w:rPr>
          <w:rFonts w:ascii="Times" w:eastAsia="Cambria" w:hAnsi="Times" w:cs="Times New Roman"/>
          <w:sz w:val="24"/>
          <w:szCs w:val="24"/>
          <w:lang w:eastAsia="en-GB"/>
        </w:rPr>
        <w:t>GamCare</w:t>
      </w:r>
      <w:proofErr w:type="spellEnd"/>
      <w:r w:rsidRPr="00DF228F">
        <w:rPr>
          <w:rFonts w:ascii="Times" w:eastAsia="Cambria" w:hAnsi="Times" w:cs="Times New Roman"/>
          <w:sz w:val="24"/>
          <w:szCs w:val="24"/>
          <w:lang w:eastAsia="en-GB"/>
        </w:rPr>
        <w:t xml:space="preserve"> were provided.</w:t>
      </w:r>
    </w:p>
    <w:p w14:paraId="1A6F3727"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37A38BF7" w14:textId="77777777" w:rsidR="00DF228F" w:rsidRPr="00DF228F" w:rsidRDefault="00DF228F" w:rsidP="00DF228F">
      <w:pPr>
        <w:spacing w:after="0" w:line="360" w:lineRule="auto"/>
        <w:ind w:right="-4"/>
        <w:jc w:val="both"/>
        <w:outlineLvl w:val="3"/>
        <w:rPr>
          <w:rFonts w:ascii="Times" w:eastAsia="SimSun" w:hAnsi="Times" w:cs="Times New Roman"/>
          <w:b/>
          <w:i/>
          <w:sz w:val="24"/>
          <w:szCs w:val="24"/>
          <w:lang w:val="en-US" w:eastAsia="en-US"/>
        </w:rPr>
      </w:pPr>
      <w:r w:rsidRPr="00DF228F">
        <w:rPr>
          <w:rFonts w:ascii="Times" w:eastAsia="SimSun" w:hAnsi="Times" w:cs="Times New Roman"/>
          <w:b/>
          <w:i/>
          <w:sz w:val="24"/>
          <w:szCs w:val="24"/>
          <w:lang w:val="en-US" w:eastAsia="en-US"/>
        </w:rPr>
        <w:t>Duties and motives</w:t>
      </w:r>
    </w:p>
    <w:p w14:paraId="183D506F" w14:textId="77777777" w:rsidR="00DF228F" w:rsidRPr="00DF228F" w:rsidRDefault="00DF228F" w:rsidP="00DF228F">
      <w:pPr>
        <w:spacing w:after="0" w:line="360" w:lineRule="auto"/>
        <w:jc w:val="both"/>
        <w:rPr>
          <w:rFonts w:ascii="Times" w:eastAsia="Cambria" w:hAnsi="Times" w:cs="Times New Roman"/>
          <w:b/>
          <w:sz w:val="24"/>
          <w:szCs w:val="24"/>
          <w:u w:val="single"/>
          <w:lang w:eastAsia="en-GB"/>
        </w:rPr>
      </w:pPr>
    </w:p>
    <w:p w14:paraId="034373AA"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The researcher has a moral duty to take positive steps to lessen or prevent harm to the ‘PG.’  Harm can manifest in different forms including an effect on self-respect, looking ‘bad’ in front of others and threatening the interests of the participants. At no time would the researcher profit from the participants and there was an acknowledgement of a duty of care to them. Duties and motives can be summed up as intentions. The intention of the researcher was to tell the truth to the participants, to minimise harm to the participants and to keep assurances to the participants to do the most positive good (</w:t>
      </w:r>
      <w:proofErr w:type="spellStart"/>
      <w:r w:rsidRPr="00DF228F">
        <w:rPr>
          <w:rFonts w:ascii="Times" w:eastAsia="Cambria" w:hAnsi="Times" w:cs="Times New Roman"/>
          <w:sz w:val="24"/>
          <w:szCs w:val="24"/>
          <w:lang w:eastAsia="en-GB"/>
        </w:rPr>
        <w:t>Stutchbury</w:t>
      </w:r>
      <w:proofErr w:type="spellEnd"/>
      <w:r w:rsidRPr="00DF228F">
        <w:rPr>
          <w:rFonts w:ascii="Times" w:eastAsia="Cambria" w:hAnsi="Times" w:cs="Times New Roman"/>
          <w:sz w:val="24"/>
          <w:szCs w:val="24"/>
          <w:lang w:eastAsia="en-GB"/>
        </w:rPr>
        <w:t xml:space="preserve">, 2009). It was the intention of the researcher to be as competent as possible by taking advice from other researchers, mentors and colleagues who are familiar with research for the findings to not be subject to any research malpractice. The researcher’s conduct was in accordance with the principles of honesty and integrity. </w:t>
      </w:r>
    </w:p>
    <w:p w14:paraId="4DB90338"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lastRenderedPageBreak/>
        <w:t xml:space="preserve">Regarding reciprocity, the researcher sought to gain an understanding of behaviours and experiences of ‘PGs,’ perceptions of stakeholders and a PhD thesis out of the study. The participants hopefully experienced benefits including being listened to with respect and any insight into their own behaviour, experiences and or perceptions. Ties may have been strengthened in the group and all participants potentially contributed to enabling effective action on RG. There may be some inequity in the benefits to the researcher and participants however, the researcher approached the analysis with a deep sense of its implications and the understanding developed will be considerable and the benefits to the participants will be equitable. </w:t>
      </w:r>
    </w:p>
    <w:p w14:paraId="4DBD599B"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74236D1E" w14:textId="77777777" w:rsidR="00DF228F" w:rsidRPr="00DF228F" w:rsidRDefault="00DF228F" w:rsidP="00DF228F">
      <w:pPr>
        <w:spacing w:after="0" w:line="360" w:lineRule="auto"/>
        <w:ind w:right="-4"/>
        <w:jc w:val="both"/>
        <w:outlineLvl w:val="3"/>
        <w:rPr>
          <w:rFonts w:ascii="Times" w:eastAsia="SimSun" w:hAnsi="Times" w:cs="Times New Roman"/>
          <w:b/>
          <w:i/>
          <w:sz w:val="24"/>
          <w:szCs w:val="24"/>
          <w:lang w:val="en-US" w:eastAsia="en-US"/>
        </w:rPr>
      </w:pPr>
      <w:r w:rsidRPr="00DF228F">
        <w:rPr>
          <w:rFonts w:ascii="Times" w:eastAsia="SimSun" w:hAnsi="Times" w:cs="Times New Roman"/>
          <w:b/>
          <w:i/>
          <w:sz w:val="24"/>
          <w:szCs w:val="24"/>
          <w:lang w:val="en-US" w:eastAsia="en-US"/>
        </w:rPr>
        <w:t xml:space="preserve">Concern for individuals </w:t>
      </w:r>
    </w:p>
    <w:p w14:paraId="0E1E01A0" w14:textId="77777777" w:rsidR="00DF228F" w:rsidRPr="00DF228F" w:rsidRDefault="00DF228F" w:rsidP="00DF228F">
      <w:pPr>
        <w:spacing w:after="0" w:line="360" w:lineRule="auto"/>
        <w:jc w:val="both"/>
        <w:rPr>
          <w:rFonts w:ascii="Times" w:eastAsia="Cambria" w:hAnsi="Times" w:cs="Times New Roman"/>
          <w:b/>
          <w:sz w:val="24"/>
          <w:szCs w:val="24"/>
          <w:u w:val="single"/>
          <w:lang w:eastAsia="en-GB"/>
        </w:rPr>
      </w:pPr>
    </w:p>
    <w:p w14:paraId="303115FE"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t>At all times, there was concern for the participants. In the GI, the researcher let the ‘PGs’ lead the conversation concerning their individual experiences and behaviours. Autonomy was created by allowing participants to be heard individually and as a group and all were respected equally even though some participants were more vocal than others. The ethics of trust requires that relationships are formed and every effort was made during the session to ensure that this continued. Concern for participants extended to anonymity in both the GI and OQ and support details for OQ participants who felt they needed support. Some details have not been included to ensure the high level of anonymity and confidentiality promised by the researcher.</w:t>
      </w:r>
    </w:p>
    <w:p w14:paraId="662573F5" w14:textId="77777777" w:rsidR="00DF228F" w:rsidRPr="00DF228F" w:rsidRDefault="00DF228F" w:rsidP="00DF228F">
      <w:pPr>
        <w:spacing w:after="0" w:line="360" w:lineRule="auto"/>
        <w:jc w:val="both"/>
        <w:rPr>
          <w:rFonts w:ascii="Times" w:eastAsia="Cambria" w:hAnsi="Times" w:cs="Times New Roman"/>
          <w:sz w:val="24"/>
          <w:szCs w:val="24"/>
          <w:lang w:eastAsia="en-GB"/>
        </w:rPr>
      </w:pPr>
    </w:p>
    <w:p w14:paraId="45DE712B" w14:textId="77777777" w:rsidR="00DF228F" w:rsidRPr="00DF228F" w:rsidRDefault="00DF228F" w:rsidP="00DF228F">
      <w:pPr>
        <w:spacing w:after="0" w:line="360" w:lineRule="auto"/>
        <w:jc w:val="both"/>
        <w:rPr>
          <w:rFonts w:ascii="Times" w:eastAsia="Cambria" w:hAnsi="Times" w:cs="Times New Roman"/>
          <w:sz w:val="24"/>
          <w:szCs w:val="24"/>
          <w:lang w:eastAsia="en-GB"/>
        </w:rPr>
        <w:sectPr w:rsidR="00DF228F" w:rsidRPr="00DF228F" w:rsidSect="00DF228F">
          <w:headerReference w:type="even" r:id="rId14"/>
          <w:headerReference w:type="default" r:id="rId15"/>
          <w:pgSz w:w="11904" w:h="16834"/>
          <w:pgMar w:top="1440" w:right="1985" w:bottom="1440" w:left="1985" w:header="709" w:footer="709" w:gutter="0"/>
          <w:pgNumType w:start="1"/>
          <w:cols w:space="708"/>
          <w:docGrid w:linePitch="360"/>
        </w:sectPr>
      </w:pPr>
      <w:r w:rsidRPr="00DF228F">
        <w:rPr>
          <w:rFonts w:ascii="Times" w:eastAsia="Cambria" w:hAnsi="Times" w:cs="Times New Roman"/>
          <w:sz w:val="24"/>
          <w:szCs w:val="24"/>
          <w:lang w:eastAsia="en-GB"/>
        </w:rPr>
        <w:t xml:space="preserve">Seedhouse’s Ethical Grid (ibid) is reflected in </w:t>
      </w:r>
      <w:proofErr w:type="spellStart"/>
      <w:r w:rsidRPr="00DF228F">
        <w:rPr>
          <w:rFonts w:ascii="Times" w:eastAsia="Cambria" w:hAnsi="Times" w:cs="Times New Roman"/>
          <w:sz w:val="24"/>
          <w:szCs w:val="24"/>
          <w:lang w:eastAsia="en-GB"/>
        </w:rPr>
        <w:t>Flinder’s</w:t>
      </w:r>
      <w:proofErr w:type="spellEnd"/>
      <w:r w:rsidRPr="00DF228F">
        <w:rPr>
          <w:rFonts w:ascii="Times" w:eastAsia="Cambria" w:hAnsi="Times" w:cs="Times New Roman"/>
          <w:sz w:val="24"/>
          <w:szCs w:val="24"/>
          <w:lang w:eastAsia="en-GB"/>
        </w:rPr>
        <w:t xml:space="preserve"> Ethical Frameworks. </w:t>
      </w:r>
      <w:proofErr w:type="spellStart"/>
      <w:r w:rsidRPr="00DF228F">
        <w:rPr>
          <w:rFonts w:ascii="Times" w:eastAsia="Cambria" w:hAnsi="Times" w:cs="Times New Roman"/>
          <w:sz w:val="24"/>
          <w:szCs w:val="24"/>
          <w:lang w:eastAsia="en-GB"/>
        </w:rPr>
        <w:t>Flinder’s</w:t>
      </w:r>
      <w:proofErr w:type="spellEnd"/>
      <w:r w:rsidRPr="00DF228F">
        <w:rPr>
          <w:rFonts w:ascii="Times" w:eastAsia="Cambria" w:hAnsi="Times" w:cs="Times New Roman"/>
          <w:sz w:val="24"/>
          <w:szCs w:val="24"/>
          <w:lang w:eastAsia="en-GB"/>
        </w:rPr>
        <w:t xml:space="preserve"> Ethical Framework addresses issues of how to behave ethically and   encourages researchers to view each situation from different philosophical perspectives. </w:t>
      </w:r>
      <w:proofErr w:type="spellStart"/>
      <w:r w:rsidRPr="00DF228F">
        <w:rPr>
          <w:rFonts w:ascii="Times" w:eastAsia="Cambria" w:hAnsi="Times" w:cs="Times New Roman"/>
          <w:sz w:val="24"/>
          <w:szCs w:val="24"/>
          <w:lang w:eastAsia="en-GB"/>
        </w:rPr>
        <w:t>Flinder’s</w:t>
      </w:r>
      <w:proofErr w:type="spellEnd"/>
      <w:r w:rsidRPr="00DF228F">
        <w:rPr>
          <w:rFonts w:ascii="Times" w:eastAsia="Cambria" w:hAnsi="Times" w:cs="Times New Roman"/>
          <w:sz w:val="24"/>
          <w:szCs w:val="24"/>
          <w:lang w:eastAsia="en-GB"/>
        </w:rPr>
        <w:t xml:space="preserve"> has been applied to the GI and the OQ to reflect the practical thinking and steps taken to behave ethically.</w:t>
      </w:r>
    </w:p>
    <w:p w14:paraId="01A85F6F" w14:textId="77777777" w:rsidR="00DF228F" w:rsidRPr="00DF228F" w:rsidRDefault="00DF228F" w:rsidP="00DF228F">
      <w:pPr>
        <w:spacing w:after="0" w:line="360" w:lineRule="auto"/>
        <w:jc w:val="both"/>
        <w:rPr>
          <w:rFonts w:ascii="Times" w:eastAsia="Cambria" w:hAnsi="Times" w:cs="Times New Roman"/>
          <w:sz w:val="24"/>
          <w:szCs w:val="24"/>
          <w:lang w:eastAsia="en-GB"/>
        </w:rPr>
      </w:pPr>
    </w:p>
    <w:tbl>
      <w:tblPr>
        <w:tblStyle w:val="TableGrid1"/>
        <w:tblW w:w="13858" w:type="dxa"/>
        <w:tblLook w:val="00A0" w:firstRow="1" w:lastRow="0" w:firstColumn="1" w:lastColumn="0" w:noHBand="0" w:noVBand="0"/>
      </w:tblPr>
      <w:tblGrid>
        <w:gridCol w:w="1509"/>
        <w:gridCol w:w="3037"/>
        <w:gridCol w:w="2694"/>
        <w:gridCol w:w="3118"/>
        <w:gridCol w:w="3500"/>
      </w:tblGrid>
      <w:tr w:rsidR="00DF228F" w:rsidRPr="00DF228F" w14:paraId="7A7051F2" w14:textId="77777777" w:rsidTr="00DF228F">
        <w:tc>
          <w:tcPr>
            <w:tcW w:w="0" w:type="auto"/>
            <w:shd w:val="clear" w:color="auto" w:fill="76D6FF"/>
          </w:tcPr>
          <w:p w14:paraId="3361CC83" w14:textId="77777777" w:rsidR="00DF228F" w:rsidRPr="00DF228F" w:rsidRDefault="00DF228F" w:rsidP="00DF228F">
            <w:pPr>
              <w:spacing w:line="360" w:lineRule="auto"/>
              <w:jc w:val="both"/>
              <w:rPr>
                <w:rFonts w:ascii="Times" w:hAnsi="Times"/>
                <w:sz w:val="24"/>
                <w:szCs w:val="24"/>
              </w:rPr>
            </w:pPr>
          </w:p>
        </w:tc>
        <w:tc>
          <w:tcPr>
            <w:tcW w:w="3037" w:type="dxa"/>
            <w:shd w:val="clear" w:color="auto" w:fill="76D6FF"/>
          </w:tcPr>
          <w:p w14:paraId="49EF975B" w14:textId="77777777" w:rsidR="00DF228F" w:rsidRPr="00DF228F" w:rsidRDefault="00DF228F" w:rsidP="00DF228F">
            <w:pPr>
              <w:spacing w:before="2" w:after="2" w:line="360" w:lineRule="auto"/>
              <w:jc w:val="both"/>
              <w:rPr>
                <w:rFonts w:ascii="Times" w:hAnsi="Times"/>
                <w:b/>
                <w:sz w:val="24"/>
                <w:szCs w:val="24"/>
              </w:rPr>
            </w:pPr>
          </w:p>
          <w:p w14:paraId="078E5444" w14:textId="77777777" w:rsidR="00DF228F" w:rsidRPr="00DF228F" w:rsidRDefault="00DF228F" w:rsidP="00DF228F">
            <w:pPr>
              <w:spacing w:before="2" w:after="2" w:line="360" w:lineRule="auto"/>
              <w:jc w:val="both"/>
              <w:rPr>
                <w:rFonts w:ascii="Times" w:hAnsi="Times"/>
                <w:b/>
                <w:sz w:val="24"/>
                <w:szCs w:val="24"/>
              </w:rPr>
            </w:pPr>
            <w:r w:rsidRPr="00DF228F">
              <w:rPr>
                <w:rFonts w:ascii="Times" w:hAnsi="Times"/>
                <w:b/>
                <w:sz w:val="24"/>
                <w:szCs w:val="24"/>
              </w:rPr>
              <w:t>Utilitarian</w:t>
            </w:r>
          </w:p>
        </w:tc>
        <w:tc>
          <w:tcPr>
            <w:tcW w:w="2694" w:type="dxa"/>
            <w:shd w:val="clear" w:color="auto" w:fill="76D6FF"/>
          </w:tcPr>
          <w:p w14:paraId="7A437A88" w14:textId="77777777" w:rsidR="00DF228F" w:rsidRPr="00DF228F" w:rsidRDefault="00DF228F" w:rsidP="00DF228F">
            <w:pPr>
              <w:spacing w:line="360" w:lineRule="auto"/>
              <w:jc w:val="both"/>
              <w:rPr>
                <w:rFonts w:ascii="Times" w:hAnsi="Times"/>
                <w:b/>
                <w:sz w:val="24"/>
                <w:szCs w:val="24"/>
              </w:rPr>
            </w:pPr>
          </w:p>
          <w:p w14:paraId="09C0BEB4" w14:textId="77777777" w:rsidR="00DF228F" w:rsidRPr="00DF228F" w:rsidRDefault="00DF228F" w:rsidP="00DF228F">
            <w:pPr>
              <w:spacing w:line="360" w:lineRule="auto"/>
              <w:jc w:val="both"/>
              <w:rPr>
                <w:rFonts w:ascii="Times" w:hAnsi="Times"/>
                <w:sz w:val="24"/>
                <w:szCs w:val="24"/>
              </w:rPr>
            </w:pPr>
            <w:r w:rsidRPr="00DF228F">
              <w:rPr>
                <w:rFonts w:ascii="Times" w:hAnsi="Times"/>
                <w:b/>
                <w:sz w:val="24"/>
                <w:szCs w:val="24"/>
              </w:rPr>
              <w:t>Deontological</w:t>
            </w:r>
          </w:p>
        </w:tc>
        <w:tc>
          <w:tcPr>
            <w:tcW w:w="3118" w:type="dxa"/>
            <w:shd w:val="clear" w:color="auto" w:fill="76D6FF"/>
          </w:tcPr>
          <w:p w14:paraId="4260A647" w14:textId="77777777" w:rsidR="00DF228F" w:rsidRPr="00DF228F" w:rsidRDefault="00DF228F" w:rsidP="00DF228F">
            <w:pPr>
              <w:spacing w:line="360" w:lineRule="auto"/>
              <w:jc w:val="both"/>
              <w:rPr>
                <w:rFonts w:ascii="Times" w:hAnsi="Times"/>
                <w:b/>
                <w:sz w:val="24"/>
                <w:szCs w:val="24"/>
              </w:rPr>
            </w:pPr>
          </w:p>
          <w:p w14:paraId="10D7D60D" w14:textId="77777777" w:rsidR="00DF228F" w:rsidRPr="00DF228F" w:rsidRDefault="00DF228F" w:rsidP="00DF228F">
            <w:pPr>
              <w:spacing w:line="360" w:lineRule="auto"/>
              <w:jc w:val="both"/>
              <w:rPr>
                <w:rFonts w:ascii="Times" w:hAnsi="Times"/>
                <w:sz w:val="24"/>
                <w:szCs w:val="24"/>
              </w:rPr>
            </w:pPr>
            <w:r w:rsidRPr="00DF228F">
              <w:rPr>
                <w:rFonts w:ascii="Times" w:hAnsi="Times"/>
                <w:b/>
                <w:sz w:val="24"/>
                <w:szCs w:val="24"/>
              </w:rPr>
              <w:t>Relational</w:t>
            </w:r>
          </w:p>
        </w:tc>
        <w:tc>
          <w:tcPr>
            <w:tcW w:w="3500" w:type="dxa"/>
            <w:shd w:val="clear" w:color="auto" w:fill="76D6FF"/>
          </w:tcPr>
          <w:p w14:paraId="433B658C" w14:textId="77777777" w:rsidR="00DF228F" w:rsidRPr="00DF228F" w:rsidRDefault="00DF228F" w:rsidP="00DF228F">
            <w:pPr>
              <w:spacing w:line="360" w:lineRule="auto"/>
              <w:jc w:val="both"/>
              <w:rPr>
                <w:rFonts w:ascii="Times" w:hAnsi="Times"/>
                <w:b/>
                <w:sz w:val="24"/>
                <w:szCs w:val="24"/>
              </w:rPr>
            </w:pPr>
          </w:p>
          <w:p w14:paraId="58B387DF" w14:textId="77777777" w:rsidR="00DF228F" w:rsidRPr="00DF228F" w:rsidRDefault="00DF228F" w:rsidP="00DF228F">
            <w:pPr>
              <w:spacing w:line="360" w:lineRule="auto"/>
              <w:jc w:val="both"/>
              <w:rPr>
                <w:rFonts w:ascii="Times" w:hAnsi="Times"/>
                <w:b/>
                <w:sz w:val="24"/>
                <w:szCs w:val="24"/>
              </w:rPr>
            </w:pPr>
            <w:r w:rsidRPr="00DF228F">
              <w:rPr>
                <w:rFonts w:ascii="Times" w:hAnsi="Times"/>
                <w:b/>
                <w:sz w:val="24"/>
                <w:szCs w:val="24"/>
              </w:rPr>
              <w:t>Ecological</w:t>
            </w:r>
          </w:p>
        </w:tc>
      </w:tr>
      <w:tr w:rsidR="00DF228F" w:rsidRPr="00DF228F" w14:paraId="127E3B05" w14:textId="77777777" w:rsidTr="00DF228F">
        <w:tc>
          <w:tcPr>
            <w:tcW w:w="0" w:type="auto"/>
          </w:tcPr>
          <w:p w14:paraId="4204AC3F" w14:textId="77777777" w:rsidR="00DF228F" w:rsidRPr="00DF228F" w:rsidRDefault="00DF228F" w:rsidP="00DF228F">
            <w:pPr>
              <w:spacing w:line="360" w:lineRule="auto"/>
              <w:jc w:val="both"/>
              <w:rPr>
                <w:rFonts w:ascii="Times" w:hAnsi="Times"/>
                <w:sz w:val="24"/>
                <w:szCs w:val="24"/>
              </w:rPr>
            </w:pPr>
            <w:r w:rsidRPr="00DF228F">
              <w:rPr>
                <w:rFonts w:ascii="Times" w:hAnsi="Times"/>
                <w:b/>
                <w:sz w:val="24"/>
                <w:szCs w:val="24"/>
              </w:rPr>
              <w:t>Recruitment</w:t>
            </w:r>
          </w:p>
        </w:tc>
        <w:tc>
          <w:tcPr>
            <w:tcW w:w="3037" w:type="dxa"/>
          </w:tcPr>
          <w:p w14:paraId="4850C620"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Informed consent</w:t>
            </w:r>
          </w:p>
          <w:p w14:paraId="5DCDA046" w14:textId="77777777" w:rsidR="00DF228F" w:rsidRPr="00DF228F" w:rsidRDefault="00DF228F" w:rsidP="00DF228F">
            <w:pPr>
              <w:rPr>
                <w:rFonts w:ascii="Times" w:hAnsi="Times"/>
                <w:color w:val="000000"/>
                <w:sz w:val="24"/>
                <w:szCs w:val="24"/>
              </w:rPr>
            </w:pPr>
          </w:p>
          <w:p w14:paraId="348A97CA"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researcher received the approval from the MC and the participants.</w:t>
            </w:r>
          </w:p>
        </w:tc>
        <w:tc>
          <w:tcPr>
            <w:tcW w:w="2694" w:type="dxa"/>
          </w:tcPr>
          <w:p w14:paraId="43EDEB9C"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Reciprocity</w:t>
            </w:r>
          </w:p>
          <w:p w14:paraId="1974A79A" w14:textId="77777777" w:rsidR="00DF228F" w:rsidRPr="00DF228F" w:rsidRDefault="00DF228F" w:rsidP="00DF228F">
            <w:pPr>
              <w:rPr>
                <w:rFonts w:ascii="Times" w:hAnsi="Times"/>
                <w:color w:val="000000"/>
                <w:sz w:val="24"/>
                <w:szCs w:val="24"/>
              </w:rPr>
            </w:pPr>
          </w:p>
          <w:p w14:paraId="2B4E6FF3"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It was anticipated that both researcher and participants would gain from this thesis.</w:t>
            </w:r>
          </w:p>
        </w:tc>
        <w:tc>
          <w:tcPr>
            <w:tcW w:w="3118" w:type="dxa"/>
          </w:tcPr>
          <w:p w14:paraId="7B298F2C"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Collaboration</w:t>
            </w:r>
          </w:p>
          <w:p w14:paraId="04667948" w14:textId="77777777" w:rsidR="00DF228F" w:rsidRPr="00DF228F" w:rsidRDefault="00DF228F" w:rsidP="00DF228F">
            <w:pPr>
              <w:rPr>
                <w:rFonts w:ascii="Times" w:hAnsi="Times"/>
                <w:color w:val="000000"/>
                <w:sz w:val="24"/>
                <w:szCs w:val="24"/>
              </w:rPr>
            </w:pPr>
          </w:p>
          <w:p w14:paraId="6A478104"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participants were already in a group support setting and familiar with each other and working together.</w:t>
            </w:r>
          </w:p>
          <w:p w14:paraId="542D69B1" w14:textId="77777777" w:rsidR="00DF228F" w:rsidRPr="00DF228F" w:rsidRDefault="00DF228F" w:rsidP="00DF228F">
            <w:pPr>
              <w:rPr>
                <w:rFonts w:ascii="Times" w:hAnsi="Times"/>
                <w:color w:val="000000"/>
                <w:sz w:val="24"/>
                <w:szCs w:val="24"/>
              </w:rPr>
            </w:pPr>
          </w:p>
        </w:tc>
        <w:tc>
          <w:tcPr>
            <w:tcW w:w="3500" w:type="dxa"/>
          </w:tcPr>
          <w:p w14:paraId="6D3C9313"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Cultural sensitivity</w:t>
            </w:r>
          </w:p>
          <w:p w14:paraId="47E32FB2" w14:textId="77777777" w:rsidR="00DF228F" w:rsidRPr="00DF228F" w:rsidRDefault="00DF228F" w:rsidP="00DF228F">
            <w:pPr>
              <w:rPr>
                <w:rFonts w:ascii="Times" w:hAnsi="Times"/>
                <w:color w:val="000000"/>
                <w:sz w:val="24"/>
                <w:szCs w:val="24"/>
              </w:rPr>
            </w:pPr>
          </w:p>
          <w:p w14:paraId="71A999CD"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GI is not representative of all ‘PGs’ and there are limitations of a sample.</w:t>
            </w:r>
          </w:p>
        </w:tc>
      </w:tr>
      <w:tr w:rsidR="00DF228F" w:rsidRPr="00DF228F" w14:paraId="54AAA164" w14:textId="77777777" w:rsidTr="00DF228F">
        <w:tc>
          <w:tcPr>
            <w:tcW w:w="0" w:type="auto"/>
          </w:tcPr>
          <w:p w14:paraId="0FAAF7E0" w14:textId="77777777" w:rsidR="00DF228F" w:rsidRPr="00DF228F" w:rsidRDefault="00DF228F" w:rsidP="00DF228F">
            <w:pPr>
              <w:spacing w:line="360" w:lineRule="auto"/>
              <w:jc w:val="both"/>
              <w:rPr>
                <w:rFonts w:ascii="Times" w:hAnsi="Times"/>
                <w:sz w:val="24"/>
                <w:szCs w:val="24"/>
              </w:rPr>
            </w:pPr>
            <w:r w:rsidRPr="00DF228F">
              <w:rPr>
                <w:rFonts w:ascii="Times" w:hAnsi="Times"/>
                <w:b/>
                <w:sz w:val="24"/>
                <w:szCs w:val="24"/>
              </w:rPr>
              <w:t>Fieldwork</w:t>
            </w:r>
          </w:p>
        </w:tc>
        <w:tc>
          <w:tcPr>
            <w:tcW w:w="3037" w:type="dxa"/>
          </w:tcPr>
          <w:p w14:paraId="2CF403AC"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Avoidance of harm</w:t>
            </w:r>
          </w:p>
          <w:p w14:paraId="283DB946" w14:textId="77777777" w:rsidR="00DF228F" w:rsidRPr="00DF228F" w:rsidRDefault="00DF228F" w:rsidP="00DF228F">
            <w:pPr>
              <w:rPr>
                <w:rFonts w:ascii="Times" w:hAnsi="Times"/>
                <w:color w:val="000000"/>
                <w:sz w:val="24"/>
                <w:szCs w:val="24"/>
              </w:rPr>
            </w:pPr>
          </w:p>
          <w:p w14:paraId="62F97976"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potential to inflict harm was recognised before the research was conducted; every effort was made to avoid harm.</w:t>
            </w:r>
          </w:p>
          <w:p w14:paraId="17B58534" w14:textId="77777777" w:rsidR="00DF228F" w:rsidRPr="00DF228F" w:rsidRDefault="00DF228F" w:rsidP="00DF228F">
            <w:pPr>
              <w:rPr>
                <w:rFonts w:ascii="Times" w:hAnsi="Times"/>
                <w:color w:val="000000"/>
                <w:sz w:val="24"/>
                <w:szCs w:val="24"/>
              </w:rPr>
            </w:pPr>
          </w:p>
        </w:tc>
        <w:tc>
          <w:tcPr>
            <w:tcW w:w="2694" w:type="dxa"/>
          </w:tcPr>
          <w:p w14:paraId="29C3CD7F"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Avoidance of wrong</w:t>
            </w:r>
          </w:p>
          <w:p w14:paraId="57AF3E0D" w14:textId="77777777" w:rsidR="00DF228F" w:rsidRPr="00DF228F" w:rsidRDefault="00DF228F" w:rsidP="00DF228F">
            <w:pPr>
              <w:rPr>
                <w:rFonts w:ascii="Times" w:hAnsi="Times"/>
                <w:color w:val="000000"/>
                <w:sz w:val="24"/>
                <w:szCs w:val="24"/>
              </w:rPr>
            </w:pPr>
          </w:p>
          <w:p w14:paraId="78EC6C69"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A moral duty of care to the participants was recognised and valued.</w:t>
            </w:r>
          </w:p>
        </w:tc>
        <w:tc>
          <w:tcPr>
            <w:tcW w:w="3118" w:type="dxa"/>
          </w:tcPr>
          <w:p w14:paraId="2107E35E"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Avoidance of imposition</w:t>
            </w:r>
          </w:p>
          <w:p w14:paraId="46AA644A" w14:textId="77777777" w:rsidR="00DF228F" w:rsidRPr="00DF228F" w:rsidRDefault="00DF228F" w:rsidP="00DF228F">
            <w:pPr>
              <w:rPr>
                <w:rFonts w:ascii="Times" w:hAnsi="Times"/>
                <w:color w:val="000000"/>
                <w:sz w:val="24"/>
                <w:szCs w:val="24"/>
              </w:rPr>
            </w:pPr>
          </w:p>
          <w:p w14:paraId="11D64E3E"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researcher established agreement to conduct the research after extensive discussions with the MC. All participation was voluntary.</w:t>
            </w:r>
          </w:p>
          <w:p w14:paraId="65844E74" w14:textId="77777777" w:rsidR="00DF228F" w:rsidRPr="00DF228F" w:rsidRDefault="00DF228F" w:rsidP="00DF228F">
            <w:pPr>
              <w:rPr>
                <w:rFonts w:ascii="Times" w:hAnsi="Times"/>
                <w:color w:val="000000"/>
                <w:sz w:val="24"/>
                <w:szCs w:val="24"/>
              </w:rPr>
            </w:pPr>
          </w:p>
        </w:tc>
        <w:tc>
          <w:tcPr>
            <w:tcW w:w="3500" w:type="dxa"/>
          </w:tcPr>
          <w:p w14:paraId="1FC29F3F"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Avoidance of detachment</w:t>
            </w:r>
          </w:p>
          <w:p w14:paraId="0863E4F8" w14:textId="77777777" w:rsidR="00DF228F" w:rsidRPr="00DF228F" w:rsidRDefault="00DF228F" w:rsidP="00DF228F">
            <w:pPr>
              <w:rPr>
                <w:rFonts w:ascii="Times" w:hAnsi="Times"/>
                <w:color w:val="000000"/>
                <w:sz w:val="24"/>
                <w:szCs w:val="24"/>
              </w:rPr>
            </w:pPr>
          </w:p>
          <w:p w14:paraId="7B53B098"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A dialogue was established with the GI, primarily through the MC.</w:t>
            </w:r>
          </w:p>
        </w:tc>
      </w:tr>
      <w:tr w:rsidR="00DF228F" w:rsidRPr="00DF228F" w14:paraId="75B0600F" w14:textId="77777777" w:rsidTr="00DF228F">
        <w:tc>
          <w:tcPr>
            <w:tcW w:w="0" w:type="auto"/>
          </w:tcPr>
          <w:p w14:paraId="30FE6201" w14:textId="77777777" w:rsidR="00DF228F" w:rsidRPr="00DF228F" w:rsidRDefault="00DF228F" w:rsidP="00DF228F">
            <w:pPr>
              <w:spacing w:line="360" w:lineRule="auto"/>
              <w:jc w:val="both"/>
              <w:rPr>
                <w:rFonts w:ascii="Times" w:hAnsi="Times"/>
                <w:sz w:val="24"/>
                <w:szCs w:val="24"/>
              </w:rPr>
            </w:pPr>
            <w:r w:rsidRPr="00DF228F">
              <w:rPr>
                <w:rFonts w:ascii="Times" w:hAnsi="Times"/>
                <w:b/>
                <w:sz w:val="24"/>
                <w:szCs w:val="24"/>
              </w:rPr>
              <w:t>Reporting</w:t>
            </w:r>
          </w:p>
        </w:tc>
        <w:tc>
          <w:tcPr>
            <w:tcW w:w="3037" w:type="dxa"/>
          </w:tcPr>
          <w:p w14:paraId="2A0290B0"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Confidentiality</w:t>
            </w:r>
          </w:p>
          <w:p w14:paraId="3F757EFD" w14:textId="77777777" w:rsidR="00DF228F" w:rsidRPr="00DF228F" w:rsidRDefault="00DF228F" w:rsidP="00DF228F">
            <w:pPr>
              <w:rPr>
                <w:rFonts w:ascii="Times" w:hAnsi="Times"/>
                <w:color w:val="000000"/>
                <w:sz w:val="24"/>
                <w:szCs w:val="24"/>
              </w:rPr>
            </w:pPr>
          </w:p>
          <w:p w14:paraId="19957B97"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Confidentiality and anonymity were guaranteed by the researcher.</w:t>
            </w:r>
          </w:p>
        </w:tc>
        <w:tc>
          <w:tcPr>
            <w:tcW w:w="2694" w:type="dxa"/>
          </w:tcPr>
          <w:p w14:paraId="16B314DE"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Fairness</w:t>
            </w:r>
          </w:p>
          <w:p w14:paraId="6F344749" w14:textId="77777777" w:rsidR="00DF228F" w:rsidRPr="00DF228F" w:rsidRDefault="00DF228F" w:rsidP="00DF228F">
            <w:pPr>
              <w:rPr>
                <w:rFonts w:ascii="Times" w:hAnsi="Times"/>
                <w:color w:val="000000"/>
                <w:sz w:val="24"/>
                <w:szCs w:val="24"/>
              </w:rPr>
            </w:pPr>
          </w:p>
          <w:p w14:paraId="439FB607"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Reports are honest, accurate, just and fair.</w:t>
            </w:r>
          </w:p>
        </w:tc>
        <w:tc>
          <w:tcPr>
            <w:tcW w:w="3118" w:type="dxa"/>
          </w:tcPr>
          <w:p w14:paraId="611703C8"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Confirmation</w:t>
            </w:r>
          </w:p>
          <w:p w14:paraId="4AF8F64F" w14:textId="77777777" w:rsidR="00DF228F" w:rsidRPr="00DF228F" w:rsidRDefault="00DF228F" w:rsidP="00DF228F">
            <w:pPr>
              <w:rPr>
                <w:rFonts w:ascii="Times" w:hAnsi="Times"/>
                <w:color w:val="000000"/>
                <w:sz w:val="24"/>
                <w:szCs w:val="24"/>
              </w:rPr>
            </w:pPr>
          </w:p>
          <w:p w14:paraId="4C0E08B2"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The researcher received the approval from the MC and the participants.</w:t>
            </w:r>
          </w:p>
          <w:p w14:paraId="51705FE4" w14:textId="77777777" w:rsidR="00DF228F" w:rsidRPr="00DF228F" w:rsidRDefault="00DF228F" w:rsidP="00DF228F">
            <w:pPr>
              <w:rPr>
                <w:rFonts w:ascii="Times" w:hAnsi="Times"/>
                <w:color w:val="000000"/>
                <w:sz w:val="24"/>
                <w:szCs w:val="24"/>
              </w:rPr>
            </w:pPr>
          </w:p>
        </w:tc>
        <w:tc>
          <w:tcPr>
            <w:tcW w:w="3500" w:type="dxa"/>
          </w:tcPr>
          <w:p w14:paraId="5F1B95C1" w14:textId="77777777" w:rsidR="00DF228F" w:rsidRPr="00DF228F" w:rsidRDefault="00DF228F" w:rsidP="00DF228F">
            <w:pPr>
              <w:rPr>
                <w:rFonts w:ascii="Times" w:hAnsi="Times"/>
                <w:b/>
                <w:i/>
                <w:color w:val="000000"/>
                <w:sz w:val="24"/>
                <w:szCs w:val="24"/>
              </w:rPr>
            </w:pPr>
            <w:r w:rsidRPr="00DF228F">
              <w:rPr>
                <w:rFonts w:ascii="Times" w:hAnsi="Times"/>
                <w:b/>
                <w:i/>
                <w:color w:val="000000"/>
                <w:sz w:val="24"/>
                <w:szCs w:val="24"/>
              </w:rPr>
              <w:t>Responsive communication</w:t>
            </w:r>
          </w:p>
          <w:p w14:paraId="404CE47B" w14:textId="77777777" w:rsidR="00DF228F" w:rsidRPr="00DF228F" w:rsidRDefault="00DF228F" w:rsidP="00DF228F">
            <w:pPr>
              <w:rPr>
                <w:rFonts w:ascii="Times" w:hAnsi="Times"/>
                <w:color w:val="000000"/>
                <w:sz w:val="24"/>
                <w:szCs w:val="24"/>
              </w:rPr>
            </w:pPr>
          </w:p>
          <w:p w14:paraId="60E61494" w14:textId="77777777" w:rsidR="00DF228F" w:rsidRPr="00DF228F" w:rsidRDefault="00DF228F" w:rsidP="00DF228F">
            <w:pPr>
              <w:rPr>
                <w:rFonts w:ascii="Times" w:hAnsi="Times"/>
                <w:color w:val="000000"/>
                <w:sz w:val="24"/>
                <w:szCs w:val="24"/>
              </w:rPr>
            </w:pPr>
            <w:r w:rsidRPr="00DF228F">
              <w:rPr>
                <w:rFonts w:ascii="Times" w:hAnsi="Times"/>
                <w:color w:val="000000"/>
                <w:sz w:val="24"/>
                <w:szCs w:val="24"/>
              </w:rPr>
              <w:t>Researcher discussed field notes with MC for participant validation.</w:t>
            </w:r>
          </w:p>
        </w:tc>
      </w:tr>
    </w:tbl>
    <w:p w14:paraId="0A6207AE" w14:textId="77777777" w:rsidR="00DF228F" w:rsidRPr="00DF228F" w:rsidRDefault="00DF228F" w:rsidP="00DF228F">
      <w:pPr>
        <w:keepNext/>
        <w:spacing w:beforeLines="1" w:before="2" w:afterLines="1" w:after="2" w:line="240" w:lineRule="auto"/>
        <w:jc w:val="both"/>
        <w:rPr>
          <w:rFonts w:ascii="Times" w:eastAsia="Cambria" w:hAnsi="Times" w:cs="Times New Roman"/>
          <w:b/>
          <w:sz w:val="24"/>
          <w:szCs w:val="24"/>
          <w:lang w:eastAsia="en-US"/>
        </w:rPr>
      </w:pPr>
    </w:p>
    <w:p w14:paraId="6DCD44CC" w14:textId="77777777" w:rsidR="00DF228F" w:rsidRPr="00DF228F" w:rsidRDefault="00DF228F" w:rsidP="00DF228F">
      <w:pPr>
        <w:spacing w:beforeLines="1" w:before="2" w:afterLines="1" w:after="2" w:line="240" w:lineRule="auto"/>
        <w:outlineLvl w:val="0"/>
        <w:rPr>
          <w:rFonts w:ascii="Times" w:eastAsia="Cambria" w:hAnsi="Times" w:cs="Times New Roman"/>
          <w:b/>
          <w:sz w:val="24"/>
          <w:szCs w:val="24"/>
          <w:lang w:eastAsia="en-US"/>
        </w:rPr>
      </w:pPr>
      <w:bookmarkStart w:id="3" w:name="_Toc488691742"/>
      <w:r w:rsidRPr="00DF228F">
        <w:rPr>
          <w:rFonts w:ascii="Times" w:eastAsia="Cambria" w:hAnsi="Times" w:cs="Times New Roman"/>
          <w:color w:val="FFFFFF"/>
          <w:sz w:val="20"/>
          <w:szCs w:val="20"/>
          <w:lang w:eastAsia="en-US"/>
        </w:rPr>
        <w:t xml:space="preserve">Table </w:t>
      </w:r>
      <w:r w:rsidRPr="00DF228F">
        <w:rPr>
          <w:rFonts w:ascii="Times" w:eastAsia="Cambria" w:hAnsi="Times" w:cs="Times New Roman"/>
          <w:color w:val="FFFFFF"/>
          <w:sz w:val="20"/>
          <w:szCs w:val="20"/>
          <w:lang w:eastAsia="en-US"/>
        </w:rPr>
        <w:fldChar w:fldCharType="begin"/>
      </w:r>
      <w:r w:rsidRPr="00DF228F">
        <w:rPr>
          <w:rFonts w:ascii="Times" w:eastAsia="Cambria" w:hAnsi="Times" w:cs="Times New Roman"/>
          <w:color w:val="FFFFFF"/>
          <w:sz w:val="20"/>
          <w:szCs w:val="20"/>
          <w:lang w:eastAsia="en-US"/>
        </w:rPr>
        <w:instrText xml:space="preserve"> SEQ Table \* ARABIC </w:instrText>
      </w:r>
      <w:r w:rsidRPr="00DF228F">
        <w:rPr>
          <w:rFonts w:ascii="Times" w:eastAsia="Cambria" w:hAnsi="Times" w:cs="Times New Roman"/>
          <w:color w:val="FFFFFF"/>
          <w:sz w:val="20"/>
          <w:szCs w:val="20"/>
          <w:lang w:eastAsia="en-US"/>
        </w:rPr>
        <w:fldChar w:fldCharType="separate"/>
      </w:r>
      <w:r w:rsidRPr="00DF228F">
        <w:rPr>
          <w:rFonts w:ascii="Times" w:eastAsia="Cambria" w:hAnsi="Times" w:cs="Times New Roman"/>
          <w:noProof/>
          <w:color w:val="FFFFFF"/>
          <w:sz w:val="20"/>
          <w:szCs w:val="20"/>
          <w:lang w:eastAsia="en-US"/>
        </w:rPr>
        <w:t>5</w:t>
      </w:r>
      <w:r w:rsidRPr="00DF228F">
        <w:rPr>
          <w:rFonts w:ascii="Times" w:eastAsia="Cambria" w:hAnsi="Times" w:cs="Times New Roman"/>
          <w:color w:val="FFFFFF"/>
          <w:sz w:val="20"/>
          <w:szCs w:val="20"/>
          <w:lang w:eastAsia="en-US"/>
        </w:rPr>
        <w:fldChar w:fldCharType="end"/>
      </w:r>
      <w:r w:rsidRPr="00DF228F">
        <w:rPr>
          <w:rFonts w:ascii="Times" w:eastAsia="Cambria" w:hAnsi="Times" w:cs="Times New Roman"/>
          <w:color w:val="FFFFFF"/>
          <w:sz w:val="20"/>
          <w:szCs w:val="20"/>
          <w:lang w:eastAsia="en-US"/>
        </w:rPr>
        <w:t xml:space="preserve"> </w:t>
      </w:r>
      <w:bookmarkStart w:id="4" w:name="_Toc451247217"/>
      <w:bookmarkStart w:id="5" w:name="_Toc488674176"/>
      <w:r w:rsidRPr="00DF228F">
        <w:rPr>
          <w:rFonts w:ascii="Times" w:eastAsia="Cambria" w:hAnsi="Times" w:cs="Times New Roman"/>
          <w:b/>
          <w:sz w:val="24"/>
          <w:szCs w:val="24"/>
          <w:lang w:eastAsia="en-US"/>
        </w:rPr>
        <w:t>Table 3.4 Adapted from Flinders’ Ethical Frameworks and Aspects of Research applied to the GI (Flinders, 1992)</w:t>
      </w:r>
      <w:bookmarkEnd w:id="3"/>
      <w:bookmarkEnd w:id="4"/>
      <w:bookmarkEnd w:id="5"/>
    </w:p>
    <w:p w14:paraId="76D534DA" w14:textId="77777777" w:rsidR="00DF228F" w:rsidRPr="00DF228F" w:rsidRDefault="00DF228F" w:rsidP="00DF228F">
      <w:pPr>
        <w:spacing w:beforeLines="1" w:before="2" w:afterLines="1" w:after="2" w:line="240" w:lineRule="auto"/>
        <w:rPr>
          <w:rFonts w:ascii="Times" w:eastAsia="Cambria" w:hAnsi="Times" w:cs="Times New Roman"/>
          <w:b/>
          <w:sz w:val="24"/>
          <w:szCs w:val="24"/>
          <w:lang w:eastAsia="en-US"/>
        </w:rPr>
      </w:pPr>
    </w:p>
    <w:p w14:paraId="6C597B04" w14:textId="34AFD8E8" w:rsidR="00DF228F" w:rsidRDefault="00DF228F" w:rsidP="00DF228F">
      <w:pPr>
        <w:spacing w:beforeLines="1" w:before="2" w:afterLines="1" w:after="2" w:line="240" w:lineRule="auto"/>
        <w:rPr>
          <w:rFonts w:ascii="Times" w:eastAsia="Cambria" w:hAnsi="Times" w:cs="Times New Roman"/>
          <w:b/>
          <w:sz w:val="24"/>
          <w:szCs w:val="24"/>
          <w:lang w:eastAsia="en-US"/>
        </w:rPr>
      </w:pPr>
    </w:p>
    <w:p w14:paraId="5920FB5F" w14:textId="77777777" w:rsidR="00B1190C" w:rsidRPr="00DF228F" w:rsidRDefault="00B1190C" w:rsidP="00DF228F">
      <w:pPr>
        <w:spacing w:beforeLines="1" w:before="2" w:afterLines="1" w:after="2" w:line="240" w:lineRule="auto"/>
        <w:rPr>
          <w:rFonts w:ascii="Times" w:eastAsia="Cambria" w:hAnsi="Times" w:cs="Times New Roman"/>
          <w:b/>
          <w:sz w:val="24"/>
          <w:szCs w:val="24"/>
          <w:lang w:eastAsia="en-US"/>
        </w:rPr>
      </w:pPr>
    </w:p>
    <w:p w14:paraId="3FD130FA" w14:textId="77777777" w:rsidR="00DF228F" w:rsidRPr="00DF228F" w:rsidRDefault="00DF228F" w:rsidP="00DF228F">
      <w:pPr>
        <w:keepNext/>
        <w:spacing w:beforeLines="1" w:before="2" w:afterLines="1" w:after="2" w:line="240" w:lineRule="auto"/>
        <w:jc w:val="both"/>
        <w:rPr>
          <w:rFonts w:ascii="Times" w:eastAsia="Cambria" w:hAnsi="Times" w:cs="Times New Roman"/>
          <w:b/>
          <w:sz w:val="24"/>
          <w:szCs w:val="24"/>
          <w:lang w:eastAsia="en-US"/>
        </w:rPr>
      </w:pPr>
    </w:p>
    <w:p w14:paraId="5750CFA5" w14:textId="77777777" w:rsidR="00DF228F" w:rsidRPr="00DF228F" w:rsidRDefault="00DF228F" w:rsidP="00DF228F">
      <w:pPr>
        <w:keepNext/>
        <w:spacing w:beforeLines="1" w:before="2" w:afterLines="1" w:after="2" w:line="240" w:lineRule="auto"/>
        <w:jc w:val="both"/>
        <w:rPr>
          <w:rFonts w:ascii="Times" w:eastAsia="Cambria" w:hAnsi="Times" w:cs="Times New Roman"/>
          <w:b/>
          <w:sz w:val="24"/>
          <w:szCs w:val="24"/>
          <w:lang w:eastAsia="en-US"/>
        </w:rPr>
      </w:pPr>
    </w:p>
    <w:p w14:paraId="523ACB33" w14:textId="77777777" w:rsidR="00DF228F" w:rsidRPr="00DF228F" w:rsidRDefault="00DF228F" w:rsidP="00DF228F">
      <w:pPr>
        <w:keepNext/>
        <w:spacing w:beforeLines="1" w:before="2" w:afterLines="1" w:after="2" w:line="240" w:lineRule="auto"/>
        <w:jc w:val="both"/>
        <w:rPr>
          <w:rFonts w:ascii="Times" w:eastAsia="Cambria" w:hAnsi="Times" w:cs="Times New Roman"/>
          <w:b/>
          <w:sz w:val="24"/>
          <w:szCs w:val="24"/>
          <w:lang w:eastAsia="en-US"/>
        </w:rPr>
      </w:pPr>
    </w:p>
    <w:p w14:paraId="349250B3" w14:textId="77777777" w:rsidR="00DF228F" w:rsidRPr="00DF228F" w:rsidRDefault="00DF228F" w:rsidP="00DF228F">
      <w:pPr>
        <w:spacing w:after="0" w:line="360" w:lineRule="auto"/>
        <w:jc w:val="both"/>
        <w:rPr>
          <w:rFonts w:ascii="Times" w:eastAsia="Cambria" w:hAnsi="Times" w:cs="Times New Roman"/>
          <w:sz w:val="24"/>
          <w:szCs w:val="24"/>
          <w:lang w:eastAsia="en-GB"/>
        </w:rPr>
      </w:pPr>
    </w:p>
    <w:tbl>
      <w:tblPr>
        <w:tblStyle w:val="TableGrid1"/>
        <w:tblW w:w="13858" w:type="dxa"/>
        <w:tblLook w:val="00A0" w:firstRow="1" w:lastRow="0" w:firstColumn="1" w:lastColumn="0" w:noHBand="0" w:noVBand="0"/>
      </w:tblPr>
      <w:tblGrid>
        <w:gridCol w:w="1294"/>
        <w:gridCol w:w="3021"/>
        <w:gridCol w:w="2946"/>
        <w:gridCol w:w="3108"/>
        <w:gridCol w:w="3489"/>
      </w:tblGrid>
      <w:tr w:rsidR="00DF228F" w:rsidRPr="00DF228F" w14:paraId="2A91009B" w14:textId="77777777" w:rsidTr="00DF228F">
        <w:tc>
          <w:tcPr>
            <w:tcW w:w="1294" w:type="dxa"/>
            <w:shd w:val="clear" w:color="auto" w:fill="76D6FF"/>
          </w:tcPr>
          <w:p w14:paraId="6C2EAF74" w14:textId="77777777" w:rsidR="00DF228F" w:rsidRPr="00DF228F" w:rsidRDefault="00DF228F" w:rsidP="00DF228F">
            <w:pPr>
              <w:spacing w:line="360" w:lineRule="auto"/>
              <w:jc w:val="both"/>
              <w:rPr>
                <w:rFonts w:ascii="Times" w:hAnsi="Times"/>
              </w:rPr>
            </w:pPr>
          </w:p>
        </w:tc>
        <w:tc>
          <w:tcPr>
            <w:tcW w:w="3021" w:type="dxa"/>
            <w:shd w:val="clear" w:color="auto" w:fill="76D6FF"/>
          </w:tcPr>
          <w:p w14:paraId="560DD978" w14:textId="77777777" w:rsidR="00DF228F" w:rsidRPr="00DF228F" w:rsidRDefault="00DF228F" w:rsidP="00DF228F">
            <w:pPr>
              <w:spacing w:before="2" w:after="2" w:line="360" w:lineRule="auto"/>
              <w:jc w:val="both"/>
              <w:rPr>
                <w:rFonts w:ascii="Times" w:hAnsi="Times"/>
                <w:b/>
              </w:rPr>
            </w:pPr>
          </w:p>
          <w:p w14:paraId="6C5CB2D3" w14:textId="77777777" w:rsidR="00DF228F" w:rsidRPr="00DF228F" w:rsidRDefault="00DF228F" w:rsidP="00DF228F">
            <w:pPr>
              <w:spacing w:before="2" w:after="2" w:line="360" w:lineRule="auto"/>
              <w:jc w:val="both"/>
              <w:rPr>
                <w:rFonts w:ascii="Times" w:hAnsi="Times"/>
                <w:b/>
              </w:rPr>
            </w:pPr>
            <w:r w:rsidRPr="00DF228F">
              <w:rPr>
                <w:rFonts w:ascii="Times" w:hAnsi="Times"/>
                <w:b/>
              </w:rPr>
              <w:t>Utilitarian</w:t>
            </w:r>
          </w:p>
        </w:tc>
        <w:tc>
          <w:tcPr>
            <w:tcW w:w="2946" w:type="dxa"/>
            <w:shd w:val="clear" w:color="auto" w:fill="76D6FF"/>
          </w:tcPr>
          <w:p w14:paraId="3B452783" w14:textId="77777777" w:rsidR="00DF228F" w:rsidRPr="00DF228F" w:rsidRDefault="00DF228F" w:rsidP="00DF228F">
            <w:pPr>
              <w:spacing w:line="360" w:lineRule="auto"/>
              <w:jc w:val="both"/>
              <w:rPr>
                <w:rFonts w:ascii="Times" w:hAnsi="Times"/>
                <w:b/>
              </w:rPr>
            </w:pPr>
          </w:p>
          <w:p w14:paraId="6709A4EE" w14:textId="77777777" w:rsidR="00DF228F" w:rsidRPr="00DF228F" w:rsidRDefault="00DF228F" w:rsidP="00DF228F">
            <w:pPr>
              <w:spacing w:line="360" w:lineRule="auto"/>
              <w:jc w:val="both"/>
              <w:rPr>
                <w:rFonts w:ascii="Times" w:hAnsi="Times"/>
              </w:rPr>
            </w:pPr>
            <w:r w:rsidRPr="00DF228F">
              <w:rPr>
                <w:rFonts w:ascii="Times" w:hAnsi="Times"/>
                <w:b/>
              </w:rPr>
              <w:t>Deontological</w:t>
            </w:r>
          </w:p>
        </w:tc>
        <w:tc>
          <w:tcPr>
            <w:tcW w:w="3108" w:type="dxa"/>
            <w:shd w:val="clear" w:color="auto" w:fill="76D6FF"/>
          </w:tcPr>
          <w:p w14:paraId="78091E37" w14:textId="77777777" w:rsidR="00DF228F" w:rsidRPr="00DF228F" w:rsidRDefault="00DF228F" w:rsidP="00DF228F">
            <w:pPr>
              <w:spacing w:line="360" w:lineRule="auto"/>
              <w:jc w:val="both"/>
              <w:rPr>
                <w:rFonts w:ascii="Times" w:hAnsi="Times"/>
                <w:b/>
              </w:rPr>
            </w:pPr>
          </w:p>
          <w:p w14:paraId="10D9296E" w14:textId="77777777" w:rsidR="00DF228F" w:rsidRPr="00DF228F" w:rsidRDefault="00DF228F" w:rsidP="00DF228F">
            <w:pPr>
              <w:spacing w:line="360" w:lineRule="auto"/>
              <w:jc w:val="both"/>
              <w:rPr>
                <w:rFonts w:ascii="Times" w:hAnsi="Times"/>
              </w:rPr>
            </w:pPr>
            <w:r w:rsidRPr="00DF228F">
              <w:rPr>
                <w:rFonts w:ascii="Times" w:hAnsi="Times"/>
                <w:b/>
              </w:rPr>
              <w:t>Relational</w:t>
            </w:r>
          </w:p>
        </w:tc>
        <w:tc>
          <w:tcPr>
            <w:tcW w:w="3489" w:type="dxa"/>
            <w:shd w:val="clear" w:color="auto" w:fill="76D6FF"/>
          </w:tcPr>
          <w:p w14:paraId="761727C4" w14:textId="77777777" w:rsidR="00DF228F" w:rsidRPr="00DF228F" w:rsidRDefault="00DF228F" w:rsidP="00DF228F">
            <w:pPr>
              <w:spacing w:line="360" w:lineRule="auto"/>
              <w:jc w:val="both"/>
              <w:rPr>
                <w:rFonts w:ascii="Times" w:hAnsi="Times"/>
                <w:b/>
              </w:rPr>
            </w:pPr>
          </w:p>
          <w:p w14:paraId="715D7CFE" w14:textId="77777777" w:rsidR="00DF228F" w:rsidRPr="00DF228F" w:rsidRDefault="00DF228F" w:rsidP="00DF228F">
            <w:pPr>
              <w:spacing w:line="360" w:lineRule="auto"/>
              <w:jc w:val="both"/>
              <w:rPr>
                <w:rFonts w:ascii="Times" w:hAnsi="Times"/>
                <w:b/>
              </w:rPr>
            </w:pPr>
            <w:r w:rsidRPr="00DF228F">
              <w:rPr>
                <w:rFonts w:ascii="Times" w:hAnsi="Times"/>
                <w:b/>
              </w:rPr>
              <w:t>Ecological</w:t>
            </w:r>
          </w:p>
        </w:tc>
      </w:tr>
      <w:tr w:rsidR="00DF228F" w:rsidRPr="00DF228F" w14:paraId="235C082F" w14:textId="77777777" w:rsidTr="00DF228F">
        <w:tc>
          <w:tcPr>
            <w:tcW w:w="1294" w:type="dxa"/>
          </w:tcPr>
          <w:p w14:paraId="17D0F62E" w14:textId="77777777" w:rsidR="00DF228F" w:rsidRPr="00DF228F" w:rsidRDefault="00DF228F" w:rsidP="00DF228F">
            <w:pPr>
              <w:spacing w:line="360" w:lineRule="auto"/>
              <w:jc w:val="both"/>
              <w:rPr>
                <w:rFonts w:ascii="Times" w:hAnsi="Times"/>
              </w:rPr>
            </w:pPr>
            <w:r w:rsidRPr="00DF228F">
              <w:rPr>
                <w:rFonts w:ascii="Times" w:hAnsi="Times"/>
                <w:b/>
              </w:rPr>
              <w:t>Recruitment</w:t>
            </w:r>
          </w:p>
        </w:tc>
        <w:tc>
          <w:tcPr>
            <w:tcW w:w="3021" w:type="dxa"/>
          </w:tcPr>
          <w:p w14:paraId="4680FB35" w14:textId="77777777" w:rsidR="00DF228F" w:rsidRPr="00DF228F" w:rsidRDefault="00DF228F" w:rsidP="00DF228F">
            <w:pPr>
              <w:rPr>
                <w:rFonts w:ascii="Times" w:hAnsi="Times"/>
                <w:b/>
                <w:i/>
                <w:color w:val="000000"/>
              </w:rPr>
            </w:pPr>
            <w:r w:rsidRPr="00DF228F">
              <w:rPr>
                <w:rFonts w:ascii="Times" w:hAnsi="Times"/>
                <w:b/>
                <w:i/>
                <w:color w:val="000000"/>
              </w:rPr>
              <w:t>Informed consent</w:t>
            </w:r>
          </w:p>
          <w:p w14:paraId="5D31F871" w14:textId="77777777" w:rsidR="00DF228F" w:rsidRPr="00DF228F" w:rsidRDefault="00DF228F" w:rsidP="00DF228F">
            <w:pPr>
              <w:rPr>
                <w:rFonts w:ascii="Times" w:hAnsi="Times"/>
                <w:b/>
              </w:rPr>
            </w:pPr>
          </w:p>
          <w:p w14:paraId="6114FF3C" w14:textId="77777777" w:rsidR="00DF228F" w:rsidRPr="00DF228F" w:rsidRDefault="00DF228F" w:rsidP="00DF228F">
            <w:pPr>
              <w:rPr>
                <w:rFonts w:ascii="Times" w:hAnsi="Times"/>
              </w:rPr>
            </w:pPr>
            <w:r w:rsidRPr="00DF228F">
              <w:rPr>
                <w:rFonts w:ascii="Times" w:hAnsi="Times"/>
              </w:rPr>
              <w:t xml:space="preserve">The key stakeholders were provided with full details about the research. The researcher required their approval on the first page of the survey. </w:t>
            </w:r>
          </w:p>
        </w:tc>
        <w:tc>
          <w:tcPr>
            <w:tcW w:w="2946" w:type="dxa"/>
          </w:tcPr>
          <w:p w14:paraId="7D90881F" w14:textId="77777777" w:rsidR="00DF228F" w:rsidRPr="00DF228F" w:rsidRDefault="00DF228F" w:rsidP="00DF228F">
            <w:pPr>
              <w:rPr>
                <w:rFonts w:ascii="Times" w:hAnsi="Times"/>
                <w:b/>
                <w:i/>
                <w:color w:val="000000"/>
              </w:rPr>
            </w:pPr>
            <w:r w:rsidRPr="00DF228F">
              <w:rPr>
                <w:rFonts w:ascii="Times" w:hAnsi="Times"/>
                <w:b/>
                <w:i/>
                <w:color w:val="000000"/>
              </w:rPr>
              <w:t>Reciprocity</w:t>
            </w:r>
          </w:p>
          <w:p w14:paraId="2CC2F99C" w14:textId="77777777" w:rsidR="00DF228F" w:rsidRPr="00DF228F" w:rsidRDefault="00DF228F" w:rsidP="00DF228F">
            <w:pPr>
              <w:rPr>
                <w:rFonts w:ascii="Times" w:hAnsi="Times"/>
                <w:b/>
              </w:rPr>
            </w:pPr>
          </w:p>
          <w:p w14:paraId="4EEEA253" w14:textId="77777777" w:rsidR="00DF228F" w:rsidRPr="00DF228F" w:rsidRDefault="00DF228F" w:rsidP="00DF228F">
            <w:pPr>
              <w:rPr>
                <w:rFonts w:ascii="Times" w:hAnsi="Times"/>
              </w:rPr>
            </w:pPr>
            <w:r w:rsidRPr="00DF228F">
              <w:rPr>
                <w:rFonts w:ascii="Times" w:hAnsi="Times"/>
              </w:rPr>
              <w:t>It was anticipated that both researcher and participants would gain from this thesis. Involvement in the research would allow all key stakeholders to participate and be heard.</w:t>
            </w:r>
          </w:p>
          <w:p w14:paraId="33D61D06" w14:textId="77777777" w:rsidR="00DF228F" w:rsidRPr="00DF228F" w:rsidRDefault="00DF228F" w:rsidP="00DF228F">
            <w:pPr>
              <w:rPr>
                <w:rFonts w:ascii="Times" w:hAnsi="Times"/>
                <w:b/>
                <w:i/>
              </w:rPr>
            </w:pPr>
          </w:p>
        </w:tc>
        <w:tc>
          <w:tcPr>
            <w:tcW w:w="3108" w:type="dxa"/>
          </w:tcPr>
          <w:p w14:paraId="382444F9" w14:textId="77777777" w:rsidR="00DF228F" w:rsidRPr="00DF228F" w:rsidRDefault="00DF228F" w:rsidP="00DF228F">
            <w:pPr>
              <w:rPr>
                <w:rFonts w:ascii="Times" w:hAnsi="Times"/>
                <w:b/>
                <w:i/>
                <w:color w:val="000000"/>
              </w:rPr>
            </w:pPr>
            <w:r w:rsidRPr="00DF228F">
              <w:rPr>
                <w:rFonts w:ascii="Times" w:hAnsi="Times"/>
                <w:b/>
                <w:i/>
                <w:color w:val="000000"/>
              </w:rPr>
              <w:t>Collaboration</w:t>
            </w:r>
          </w:p>
          <w:p w14:paraId="6276DD78" w14:textId="77777777" w:rsidR="00DF228F" w:rsidRPr="00DF228F" w:rsidRDefault="00DF228F" w:rsidP="00DF228F">
            <w:pPr>
              <w:rPr>
                <w:rFonts w:ascii="Times" w:hAnsi="Times"/>
                <w:b/>
              </w:rPr>
            </w:pPr>
          </w:p>
          <w:p w14:paraId="051B3CB5" w14:textId="77777777" w:rsidR="00DF228F" w:rsidRPr="00DF228F" w:rsidRDefault="00DF228F" w:rsidP="00DF228F">
            <w:pPr>
              <w:rPr>
                <w:rFonts w:ascii="Times" w:hAnsi="Times"/>
              </w:rPr>
            </w:pPr>
            <w:r w:rsidRPr="00DF228F">
              <w:rPr>
                <w:rFonts w:ascii="Times" w:hAnsi="Times"/>
              </w:rPr>
              <w:t>Key stakeholders were identified and it was anticipated that a constructive relationship would contribute to our understanding of ‘PG.’</w:t>
            </w:r>
          </w:p>
          <w:p w14:paraId="00F4A5C1" w14:textId="77777777" w:rsidR="00DF228F" w:rsidRPr="00DF228F" w:rsidRDefault="00DF228F" w:rsidP="00DF228F">
            <w:pPr>
              <w:rPr>
                <w:rFonts w:ascii="Times" w:hAnsi="Times"/>
                <w:b/>
                <w:i/>
              </w:rPr>
            </w:pPr>
          </w:p>
        </w:tc>
        <w:tc>
          <w:tcPr>
            <w:tcW w:w="3489" w:type="dxa"/>
          </w:tcPr>
          <w:p w14:paraId="448780DB" w14:textId="77777777" w:rsidR="00DF228F" w:rsidRPr="00DF228F" w:rsidRDefault="00DF228F" w:rsidP="00DF228F">
            <w:pPr>
              <w:rPr>
                <w:rFonts w:ascii="Times" w:hAnsi="Times"/>
                <w:b/>
                <w:i/>
                <w:color w:val="000000"/>
              </w:rPr>
            </w:pPr>
            <w:r w:rsidRPr="00DF228F">
              <w:rPr>
                <w:rFonts w:ascii="Times" w:hAnsi="Times"/>
                <w:b/>
                <w:i/>
                <w:color w:val="000000"/>
              </w:rPr>
              <w:t>Cultural sensitivity</w:t>
            </w:r>
          </w:p>
          <w:p w14:paraId="1D671DB0" w14:textId="77777777" w:rsidR="00DF228F" w:rsidRPr="00DF228F" w:rsidRDefault="00DF228F" w:rsidP="00DF228F">
            <w:pPr>
              <w:rPr>
                <w:rFonts w:ascii="Times" w:hAnsi="Times"/>
                <w:b/>
              </w:rPr>
            </w:pPr>
          </w:p>
          <w:p w14:paraId="17EABCDC" w14:textId="77777777" w:rsidR="00DF228F" w:rsidRPr="00DF228F" w:rsidRDefault="00DF228F" w:rsidP="00DF228F">
            <w:pPr>
              <w:rPr>
                <w:rFonts w:ascii="Times" w:hAnsi="Times"/>
              </w:rPr>
            </w:pPr>
            <w:r w:rsidRPr="00DF228F">
              <w:rPr>
                <w:rFonts w:ascii="Times" w:hAnsi="Times"/>
              </w:rPr>
              <w:t>The OQ is not representative of all key stakeholders and there are limitations of an opportunistic sample. However, the interdependence of all key stakeholders is recognised.</w:t>
            </w:r>
          </w:p>
        </w:tc>
      </w:tr>
      <w:tr w:rsidR="00DF228F" w:rsidRPr="00DF228F" w14:paraId="534ACF29" w14:textId="77777777" w:rsidTr="00DF228F">
        <w:tc>
          <w:tcPr>
            <w:tcW w:w="1294" w:type="dxa"/>
          </w:tcPr>
          <w:p w14:paraId="1CB2B8C3" w14:textId="77777777" w:rsidR="00DF228F" w:rsidRPr="00DF228F" w:rsidRDefault="00DF228F" w:rsidP="00DF228F">
            <w:pPr>
              <w:spacing w:line="360" w:lineRule="auto"/>
              <w:jc w:val="both"/>
              <w:rPr>
                <w:rFonts w:ascii="Times" w:hAnsi="Times"/>
              </w:rPr>
            </w:pPr>
            <w:r w:rsidRPr="00DF228F">
              <w:rPr>
                <w:rFonts w:ascii="Times" w:hAnsi="Times"/>
                <w:b/>
              </w:rPr>
              <w:t>Fieldwork</w:t>
            </w:r>
          </w:p>
        </w:tc>
        <w:tc>
          <w:tcPr>
            <w:tcW w:w="3021" w:type="dxa"/>
          </w:tcPr>
          <w:p w14:paraId="0F66C179" w14:textId="77777777" w:rsidR="00DF228F" w:rsidRPr="00DF228F" w:rsidRDefault="00DF228F" w:rsidP="00DF228F">
            <w:pPr>
              <w:rPr>
                <w:rFonts w:ascii="Times" w:hAnsi="Times"/>
                <w:b/>
                <w:i/>
                <w:color w:val="000000"/>
              </w:rPr>
            </w:pPr>
            <w:r w:rsidRPr="00DF228F">
              <w:rPr>
                <w:rFonts w:ascii="Times" w:hAnsi="Times"/>
                <w:b/>
                <w:i/>
                <w:color w:val="000000"/>
              </w:rPr>
              <w:t>Avoidance of harm</w:t>
            </w:r>
          </w:p>
          <w:p w14:paraId="7418EE02" w14:textId="77777777" w:rsidR="00DF228F" w:rsidRPr="00DF228F" w:rsidRDefault="00DF228F" w:rsidP="00DF228F">
            <w:pPr>
              <w:rPr>
                <w:rFonts w:ascii="Times" w:hAnsi="Times"/>
                <w:b/>
              </w:rPr>
            </w:pPr>
          </w:p>
          <w:p w14:paraId="7B6FC59F" w14:textId="77777777" w:rsidR="00DF228F" w:rsidRPr="00DF228F" w:rsidRDefault="00DF228F" w:rsidP="00DF228F">
            <w:pPr>
              <w:rPr>
                <w:rFonts w:ascii="Times" w:hAnsi="Times"/>
              </w:rPr>
            </w:pPr>
            <w:r w:rsidRPr="00DF228F">
              <w:rPr>
                <w:rFonts w:ascii="Times" w:hAnsi="Times"/>
              </w:rPr>
              <w:t xml:space="preserve">The potential to inflict harm was recognised before the research was conducted; every effort was made to avoid harm. Details of </w:t>
            </w:r>
            <w:proofErr w:type="spellStart"/>
            <w:r w:rsidRPr="00DF228F">
              <w:rPr>
                <w:rFonts w:ascii="Times" w:hAnsi="Times"/>
              </w:rPr>
              <w:t>GamCare</w:t>
            </w:r>
            <w:proofErr w:type="spellEnd"/>
            <w:r w:rsidRPr="00DF228F">
              <w:rPr>
                <w:rFonts w:ascii="Times" w:hAnsi="Times"/>
              </w:rPr>
              <w:t xml:space="preserve"> (with their approval) were provided for any key stakeholders who felt they had experienced distress.</w:t>
            </w:r>
          </w:p>
          <w:p w14:paraId="09FD718E" w14:textId="77777777" w:rsidR="00DF228F" w:rsidRPr="00DF228F" w:rsidRDefault="00DF228F" w:rsidP="00DF228F">
            <w:pPr>
              <w:rPr>
                <w:rFonts w:ascii="Times" w:hAnsi="Times"/>
                <w:b/>
                <w:i/>
              </w:rPr>
            </w:pPr>
          </w:p>
        </w:tc>
        <w:tc>
          <w:tcPr>
            <w:tcW w:w="2946" w:type="dxa"/>
          </w:tcPr>
          <w:p w14:paraId="5AFA13C0" w14:textId="77777777" w:rsidR="00DF228F" w:rsidRPr="00DF228F" w:rsidRDefault="00DF228F" w:rsidP="00DF228F">
            <w:pPr>
              <w:rPr>
                <w:rFonts w:ascii="Times" w:hAnsi="Times"/>
                <w:b/>
                <w:i/>
                <w:color w:val="000000"/>
              </w:rPr>
            </w:pPr>
            <w:r w:rsidRPr="00DF228F">
              <w:rPr>
                <w:rFonts w:ascii="Times" w:hAnsi="Times"/>
                <w:b/>
                <w:i/>
                <w:color w:val="000000"/>
              </w:rPr>
              <w:t>Avoidance of wrong</w:t>
            </w:r>
          </w:p>
          <w:p w14:paraId="46D48B4F" w14:textId="77777777" w:rsidR="00DF228F" w:rsidRPr="00DF228F" w:rsidRDefault="00DF228F" w:rsidP="00DF228F">
            <w:pPr>
              <w:rPr>
                <w:rFonts w:ascii="Times" w:hAnsi="Times"/>
                <w:b/>
              </w:rPr>
            </w:pPr>
          </w:p>
          <w:p w14:paraId="62F13861" w14:textId="77777777" w:rsidR="00DF228F" w:rsidRPr="00DF228F" w:rsidRDefault="00DF228F" w:rsidP="00DF228F">
            <w:pPr>
              <w:rPr>
                <w:rFonts w:ascii="Times" w:hAnsi="Times"/>
              </w:rPr>
            </w:pPr>
            <w:r w:rsidRPr="00DF228F">
              <w:rPr>
                <w:rFonts w:ascii="Times" w:hAnsi="Times"/>
              </w:rPr>
              <w:t>A moral duty of care to the key stakeholders was recognised and valued. Researcher was open and honest in the information about the research.</w:t>
            </w:r>
          </w:p>
        </w:tc>
        <w:tc>
          <w:tcPr>
            <w:tcW w:w="3108" w:type="dxa"/>
          </w:tcPr>
          <w:p w14:paraId="5B0CC38B" w14:textId="77777777" w:rsidR="00DF228F" w:rsidRPr="00DF228F" w:rsidRDefault="00DF228F" w:rsidP="00DF228F">
            <w:pPr>
              <w:rPr>
                <w:rFonts w:ascii="Times" w:hAnsi="Times"/>
                <w:b/>
                <w:i/>
                <w:color w:val="000000"/>
              </w:rPr>
            </w:pPr>
            <w:r w:rsidRPr="00DF228F">
              <w:rPr>
                <w:rFonts w:ascii="Times" w:hAnsi="Times"/>
                <w:b/>
                <w:i/>
                <w:color w:val="000000"/>
              </w:rPr>
              <w:t>Avoidance of imposition</w:t>
            </w:r>
          </w:p>
          <w:p w14:paraId="13B69154" w14:textId="77777777" w:rsidR="00DF228F" w:rsidRPr="00DF228F" w:rsidRDefault="00DF228F" w:rsidP="00DF228F">
            <w:pPr>
              <w:rPr>
                <w:rFonts w:ascii="Times" w:hAnsi="Times"/>
                <w:b/>
              </w:rPr>
            </w:pPr>
          </w:p>
          <w:p w14:paraId="5DF1F138" w14:textId="77777777" w:rsidR="00DF228F" w:rsidRPr="00DF228F" w:rsidRDefault="00DF228F" w:rsidP="00DF228F">
            <w:pPr>
              <w:rPr>
                <w:rFonts w:ascii="Times" w:hAnsi="Times"/>
              </w:rPr>
            </w:pPr>
            <w:r w:rsidRPr="00DF228F">
              <w:rPr>
                <w:rFonts w:ascii="Times" w:hAnsi="Times"/>
              </w:rPr>
              <w:t>The key stakeholders could participate or withdraw at any time without further contact. All participation was voluntary.</w:t>
            </w:r>
          </w:p>
          <w:p w14:paraId="25BFE9E8" w14:textId="77777777" w:rsidR="00DF228F" w:rsidRPr="00DF228F" w:rsidRDefault="00DF228F" w:rsidP="00DF228F">
            <w:pPr>
              <w:rPr>
                <w:rFonts w:ascii="Times" w:hAnsi="Times"/>
                <w:b/>
                <w:i/>
              </w:rPr>
            </w:pPr>
          </w:p>
          <w:p w14:paraId="4E7D26B9" w14:textId="77777777" w:rsidR="00DF228F" w:rsidRPr="00DF228F" w:rsidRDefault="00DF228F" w:rsidP="00DF228F">
            <w:pPr>
              <w:rPr>
                <w:rFonts w:ascii="Times" w:hAnsi="Times"/>
                <w:b/>
                <w:i/>
              </w:rPr>
            </w:pPr>
          </w:p>
        </w:tc>
        <w:tc>
          <w:tcPr>
            <w:tcW w:w="3489" w:type="dxa"/>
          </w:tcPr>
          <w:p w14:paraId="32435EF3" w14:textId="77777777" w:rsidR="00DF228F" w:rsidRPr="00DF228F" w:rsidRDefault="00DF228F" w:rsidP="00DF228F">
            <w:pPr>
              <w:rPr>
                <w:rFonts w:ascii="Times" w:hAnsi="Times"/>
                <w:b/>
                <w:i/>
                <w:color w:val="000000"/>
              </w:rPr>
            </w:pPr>
            <w:r w:rsidRPr="00DF228F">
              <w:rPr>
                <w:rFonts w:ascii="Times" w:hAnsi="Times"/>
                <w:b/>
                <w:i/>
                <w:color w:val="000000"/>
              </w:rPr>
              <w:t>Avoidance of detachment</w:t>
            </w:r>
          </w:p>
          <w:p w14:paraId="5D9E5EA7" w14:textId="77777777" w:rsidR="00DF228F" w:rsidRPr="00DF228F" w:rsidRDefault="00DF228F" w:rsidP="00DF228F">
            <w:pPr>
              <w:rPr>
                <w:rFonts w:ascii="Times" w:hAnsi="Times"/>
                <w:b/>
              </w:rPr>
            </w:pPr>
          </w:p>
          <w:p w14:paraId="1FA2065C" w14:textId="77777777" w:rsidR="00DF228F" w:rsidRPr="00DF228F" w:rsidRDefault="00DF228F" w:rsidP="00DF228F">
            <w:pPr>
              <w:rPr>
                <w:rFonts w:ascii="Times" w:hAnsi="Times"/>
              </w:rPr>
            </w:pPr>
            <w:r w:rsidRPr="00DF228F">
              <w:rPr>
                <w:rFonts w:ascii="Times" w:hAnsi="Times"/>
              </w:rPr>
              <w:t>Benefits of participation were established. No dialogue was established however the participants were provided with information about the study, contact details of the researcher and for the participants to remain anonymous, the findings were posted on a public blog established by the researcher.</w:t>
            </w:r>
          </w:p>
          <w:p w14:paraId="25DABB29" w14:textId="77777777" w:rsidR="00DF228F" w:rsidRPr="00DF228F" w:rsidRDefault="00DF228F" w:rsidP="00DF228F">
            <w:pPr>
              <w:rPr>
                <w:rFonts w:ascii="Times" w:hAnsi="Times"/>
                <w:b/>
                <w:i/>
              </w:rPr>
            </w:pPr>
          </w:p>
        </w:tc>
      </w:tr>
      <w:tr w:rsidR="00DF228F" w:rsidRPr="00DF228F" w14:paraId="0A991FE4" w14:textId="77777777" w:rsidTr="00DF228F">
        <w:tc>
          <w:tcPr>
            <w:tcW w:w="1294" w:type="dxa"/>
          </w:tcPr>
          <w:p w14:paraId="77FA4BBB" w14:textId="77777777" w:rsidR="00DF228F" w:rsidRPr="00DF228F" w:rsidRDefault="00DF228F" w:rsidP="00DF228F">
            <w:pPr>
              <w:spacing w:line="360" w:lineRule="auto"/>
              <w:jc w:val="both"/>
              <w:rPr>
                <w:rFonts w:ascii="Times" w:hAnsi="Times"/>
              </w:rPr>
            </w:pPr>
            <w:r w:rsidRPr="00DF228F">
              <w:rPr>
                <w:rFonts w:ascii="Times" w:hAnsi="Times"/>
                <w:b/>
              </w:rPr>
              <w:t>Reporting</w:t>
            </w:r>
          </w:p>
        </w:tc>
        <w:tc>
          <w:tcPr>
            <w:tcW w:w="3021" w:type="dxa"/>
          </w:tcPr>
          <w:p w14:paraId="58383E17" w14:textId="77777777" w:rsidR="00DF228F" w:rsidRPr="00DF228F" w:rsidRDefault="00DF228F" w:rsidP="00DF228F">
            <w:pPr>
              <w:rPr>
                <w:rFonts w:ascii="Times" w:hAnsi="Times"/>
                <w:b/>
                <w:i/>
                <w:color w:val="000000"/>
              </w:rPr>
            </w:pPr>
            <w:r w:rsidRPr="00DF228F">
              <w:rPr>
                <w:rFonts w:ascii="Times" w:hAnsi="Times"/>
                <w:b/>
                <w:i/>
                <w:color w:val="000000"/>
              </w:rPr>
              <w:t>Confidentiality</w:t>
            </w:r>
          </w:p>
          <w:p w14:paraId="00B2ED9F" w14:textId="77777777" w:rsidR="00DF228F" w:rsidRPr="00DF228F" w:rsidRDefault="00DF228F" w:rsidP="00DF228F">
            <w:pPr>
              <w:rPr>
                <w:rFonts w:ascii="Times" w:hAnsi="Times"/>
                <w:b/>
              </w:rPr>
            </w:pPr>
          </w:p>
          <w:p w14:paraId="6B52AA80" w14:textId="77777777" w:rsidR="00DF228F" w:rsidRPr="00DF228F" w:rsidRDefault="00DF228F" w:rsidP="00DF228F">
            <w:pPr>
              <w:rPr>
                <w:rFonts w:ascii="Times" w:hAnsi="Times"/>
              </w:rPr>
            </w:pPr>
            <w:r w:rsidRPr="00DF228F">
              <w:rPr>
                <w:rFonts w:ascii="Times" w:hAnsi="Times"/>
              </w:rPr>
              <w:t>Confidentiality and anonymity were guaranteed by the researcher and all data was stored securely.</w:t>
            </w:r>
          </w:p>
          <w:p w14:paraId="5D63E41D" w14:textId="77777777" w:rsidR="00DF228F" w:rsidRPr="00DF228F" w:rsidRDefault="00DF228F" w:rsidP="00DF228F">
            <w:pPr>
              <w:rPr>
                <w:rFonts w:ascii="Times" w:hAnsi="Times"/>
              </w:rPr>
            </w:pPr>
          </w:p>
        </w:tc>
        <w:tc>
          <w:tcPr>
            <w:tcW w:w="2946" w:type="dxa"/>
          </w:tcPr>
          <w:p w14:paraId="5C331C67" w14:textId="77777777" w:rsidR="00DF228F" w:rsidRPr="00DF228F" w:rsidRDefault="00DF228F" w:rsidP="00DF228F">
            <w:pPr>
              <w:rPr>
                <w:rFonts w:ascii="Times" w:hAnsi="Times"/>
                <w:b/>
                <w:i/>
                <w:color w:val="000000"/>
              </w:rPr>
            </w:pPr>
            <w:r w:rsidRPr="00DF228F">
              <w:rPr>
                <w:rFonts w:ascii="Times" w:hAnsi="Times"/>
                <w:b/>
                <w:i/>
                <w:color w:val="000000"/>
              </w:rPr>
              <w:t>Fairness</w:t>
            </w:r>
          </w:p>
          <w:p w14:paraId="2FD57C87" w14:textId="77777777" w:rsidR="00DF228F" w:rsidRPr="00DF228F" w:rsidRDefault="00DF228F" w:rsidP="00DF228F">
            <w:pPr>
              <w:rPr>
                <w:rFonts w:ascii="Times" w:hAnsi="Times"/>
                <w:b/>
              </w:rPr>
            </w:pPr>
          </w:p>
          <w:p w14:paraId="2C170A1B" w14:textId="77777777" w:rsidR="00DF228F" w:rsidRPr="00DF228F" w:rsidRDefault="00DF228F" w:rsidP="00DF228F">
            <w:pPr>
              <w:rPr>
                <w:rFonts w:ascii="Times" w:hAnsi="Times"/>
              </w:rPr>
            </w:pPr>
            <w:r w:rsidRPr="00DF228F">
              <w:rPr>
                <w:rFonts w:ascii="Times" w:hAnsi="Times"/>
              </w:rPr>
              <w:t>Reports are honest, accurate, just and fair.</w:t>
            </w:r>
          </w:p>
        </w:tc>
        <w:tc>
          <w:tcPr>
            <w:tcW w:w="3108" w:type="dxa"/>
          </w:tcPr>
          <w:p w14:paraId="0AEB7718" w14:textId="77777777" w:rsidR="00DF228F" w:rsidRPr="00DF228F" w:rsidRDefault="00DF228F" w:rsidP="00DF228F">
            <w:pPr>
              <w:rPr>
                <w:rFonts w:ascii="Times" w:hAnsi="Times"/>
                <w:b/>
                <w:i/>
                <w:color w:val="000000"/>
              </w:rPr>
            </w:pPr>
            <w:r w:rsidRPr="00DF228F">
              <w:rPr>
                <w:rFonts w:ascii="Times" w:hAnsi="Times"/>
                <w:b/>
                <w:i/>
                <w:color w:val="000000"/>
              </w:rPr>
              <w:t>Confirmation</w:t>
            </w:r>
          </w:p>
          <w:p w14:paraId="06447990" w14:textId="77777777" w:rsidR="00DF228F" w:rsidRPr="00DF228F" w:rsidRDefault="00DF228F" w:rsidP="00DF228F">
            <w:pPr>
              <w:rPr>
                <w:rFonts w:ascii="Times" w:hAnsi="Times"/>
                <w:b/>
              </w:rPr>
            </w:pPr>
          </w:p>
          <w:p w14:paraId="0BF83260" w14:textId="77777777" w:rsidR="00DF228F" w:rsidRPr="00DF228F" w:rsidRDefault="00DF228F" w:rsidP="00DF228F">
            <w:pPr>
              <w:rPr>
                <w:rFonts w:ascii="Times" w:hAnsi="Times"/>
              </w:rPr>
            </w:pPr>
            <w:r w:rsidRPr="00DF228F">
              <w:rPr>
                <w:rFonts w:ascii="Times" w:hAnsi="Times"/>
              </w:rPr>
              <w:t xml:space="preserve">The research had more emphasis on reflexivity than reliability and validity. </w:t>
            </w:r>
          </w:p>
          <w:p w14:paraId="4BB15508" w14:textId="77777777" w:rsidR="00DF228F" w:rsidRPr="00DF228F" w:rsidRDefault="00DF228F" w:rsidP="00DF228F">
            <w:pPr>
              <w:rPr>
                <w:rFonts w:ascii="Times" w:hAnsi="Times"/>
                <w:b/>
                <w:i/>
              </w:rPr>
            </w:pPr>
          </w:p>
        </w:tc>
        <w:tc>
          <w:tcPr>
            <w:tcW w:w="3489" w:type="dxa"/>
          </w:tcPr>
          <w:p w14:paraId="6D17EAAC" w14:textId="77777777" w:rsidR="00DF228F" w:rsidRPr="00DF228F" w:rsidRDefault="00DF228F" w:rsidP="00DF228F">
            <w:pPr>
              <w:rPr>
                <w:rFonts w:ascii="Times" w:hAnsi="Times"/>
                <w:b/>
                <w:i/>
                <w:color w:val="000000"/>
              </w:rPr>
            </w:pPr>
            <w:r w:rsidRPr="00DF228F">
              <w:rPr>
                <w:rFonts w:ascii="Times" w:hAnsi="Times"/>
                <w:b/>
                <w:i/>
                <w:color w:val="000000"/>
              </w:rPr>
              <w:t>Responsive communication</w:t>
            </w:r>
          </w:p>
          <w:p w14:paraId="4992AF5C" w14:textId="77777777" w:rsidR="00DF228F" w:rsidRPr="00DF228F" w:rsidRDefault="00DF228F" w:rsidP="00DF228F">
            <w:pPr>
              <w:rPr>
                <w:rFonts w:ascii="Times" w:hAnsi="Times"/>
                <w:b/>
              </w:rPr>
            </w:pPr>
          </w:p>
          <w:p w14:paraId="1B5E4566" w14:textId="77777777" w:rsidR="00DF228F" w:rsidRPr="00DF228F" w:rsidRDefault="00DF228F" w:rsidP="00DF228F">
            <w:pPr>
              <w:rPr>
                <w:rFonts w:ascii="Times" w:hAnsi="Times"/>
              </w:rPr>
            </w:pPr>
            <w:r w:rsidRPr="00DF228F">
              <w:rPr>
                <w:rFonts w:ascii="Times" w:hAnsi="Times"/>
              </w:rPr>
              <w:t>Researcher provided her professional contact details for participant validation.</w:t>
            </w:r>
          </w:p>
        </w:tc>
      </w:tr>
    </w:tbl>
    <w:p w14:paraId="2F692C65" w14:textId="77777777" w:rsidR="00DF228F" w:rsidRPr="00DF228F" w:rsidRDefault="00DF228F" w:rsidP="00DF228F">
      <w:pPr>
        <w:keepNext/>
        <w:spacing w:beforeLines="1" w:before="2" w:afterLines="1" w:after="2" w:line="240" w:lineRule="auto"/>
        <w:jc w:val="both"/>
        <w:rPr>
          <w:rFonts w:ascii="Times" w:eastAsia="Cambria" w:hAnsi="Times" w:cs="Times New Roman"/>
          <w:b/>
          <w:sz w:val="24"/>
          <w:szCs w:val="24"/>
          <w:lang w:eastAsia="en-US"/>
        </w:rPr>
      </w:pPr>
    </w:p>
    <w:p w14:paraId="70D8EBDD" w14:textId="77777777" w:rsidR="00DF228F" w:rsidRPr="00DF228F" w:rsidRDefault="00DF228F" w:rsidP="00DF228F">
      <w:pPr>
        <w:keepNext/>
        <w:spacing w:beforeLines="1" w:before="2" w:afterLines="1" w:after="2" w:line="240" w:lineRule="auto"/>
        <w:jc w:val="center"/>
        <w:outlineLvl w:val="0"/>
        <w:rPr>
          <w:rFonts w:ascii="Times" w:eastAsia="Cambria" w:hAnsi="Times" w:cs="Times New Roman"/>
          <w:b/>
          <w:sz w:val="24"/>
          <w:szCs w:val="24"/>
          <w:lang w:eastAsia="en-US"/>
        </w:rPr>
      </w:pPr>
      <w:bookmarkStart w:id="6" w:name="_Toc488691743"/>
      <w:bookmarkStart w:id="7" w:name="_Toc488674177"/>
      <w:r w:rsidRPr="00DF228F">
        <w:rPr>
          <w:rFonts w:ascii="Times" w:eastAsia="Cambria" w:hAnsi="Times" w:cs="Times New Roman"/>
          <w:color w:val="FFFFFF"/>
          <w:sz w:val="20"/>
          <w:szCs w:val="20"/>
          <w:lang w:eastAsia="en-US"/>
        </w:rPr>
        <w:t xml:space="preserve">Table </w:t>
      </w:r>
      <w:r w:rsidRPr="00DF228F">
        <w:rPr>
          <w:rFonts w:ascii="Times" w:eastAsia="Cambria" w:hAnsi="Times" w:cs="Times New Roman"/>
          <w:color w:val="FFFFFF"/>
          <w:sz w:val="20"/>
          <w:szCs w:val="20"/>
          <w:lang w:eastAsia="en-US"/>
        </w:rPr>
        <w:fldChar w:fldCharType="begin"/>
      </w:r>
      <w:r w:rsidRPr="00DF228F">
        <w:rPr>
          <w:rFonts w:ascii="Times" w:eastAsia="Cambria" w:hAnsi="Times" w:cs="Times New Roman"/>
          <w:color w:val="FFFFFF"/>
          <w:sz w:val="20"/>
          <w:szCs w:val="20"/>
          <w:lang w:eastAsia="en-US"/>
        </w:rPr>
        <w:instrText xml:space="preserve"> SEQ Table \* ARABIC </w:instrText>
      </w:r>
      <w:r w:rsidRPr="00DF228F">
        <w:rPr>
          <w:rFonts w:ascii="Times" w:eastAsia="Cambria" w:hAnsi="Times" w:cs="Times New Roman"/>
          <w:color w:val="FFFFFF"/>
          <w:sz w:val="20"/>
          <w:szCs w:val="20"/>
          <w:lang w:eastAsia="en-US"/>
        </w:rPr>
        <w:fldChar w:fldCharType="separate"/>
      </w:r>
      <w:r w:rsidRPr="00DF228F">
        <w:rPr>
          <w:rFonts w:ascii="Times" w:eastAsia="Cambria" w:hAnsi="Times" w:cs="Times New Roman"/>
          <w:noProof/>
          <w:color w:val="FFFFFF"/>
          <w:sz w:val="20"/>
          <w:szCs w:val="20"/>
          <w:lang w:eastAsia="en-US"/>
        </w:rPr>
        <w:t>6</w:t>
      </w:r>
      <w:r w:rsidRPr="00DF228F">
        <w:rPr>
          <w:rFonts w:ascii="Times" w:eastAsia="Cambria" w:hAnsi="Times" w:cs="Times New Roman"/>
          <w:color w:val="FFFFFF"/>
          <w:sz w:val="20"/>
          <w:szCs w:val="20"/>
          <w:lang w:eastAsia="en-US"/>
        </w:rPr>
        <w:fldChar w:fldCharType="end"/>
      </w:r>
      <w:r w:rsidRPr="00DF228F">
        <w:rPr>
          <w:rFonts w:ascii="Times" w:eastAsia="Cambria" w:hAnsi="Times" w:cs="Times New Roman"/>
          <w:color w:val="FFFFFF"/>
          <w:sz w:val="20"/>
          <w:szCs w:val="20"/>
          <w:lang w:eastAsia="en-US"/>
        </w:rPr>
        <w:t xml:space="preserve"> </w:t>
      </w:r>
      <w:r w:rsidRPr="00DF228F">
        <w:rPr>
          <w:rFonts w:ascii="Times" w:eastAsia="Cambria" w:hAnsi="Times" w:cs="Times New Roman"/>
          <w:b/>
          <w:sz w:val="24"/>
          <w:szCs w:val="24"/>
          <w:lang w:eastAsia="en-US"/>
        </w:rPr>
        <w:t>Table 3.5 Adapted from Flinders’ Ethical Frameworks and Aspects of Research applied to the OQ (Flinders, 1992)</w:t>
      </w:r>
      <w:bookmarkEnd w:id="6"/>
    </w:p>
    <w:p w14:paraId="4CDD80EF" w14:textId="77777777" w:rsidR="00DF228F" w:rsidRPr="00DF228F" w:rsidRDefault="00DF228F" w:rsidP="00DF228F">
      <w:pPr>
        <w:spacing w:beforeLines="1" w:before="2" w:afterLines="1" w:after="2" w:line="240" w:lineRule="auto"/>
        <w:rPr>
          <w:rFonts w:ascii="Times" w:eastAsia="Cambria" w:hAnsi="Times" w:cs="Times New Roman"/>
          <w:color w:val="FFFFFF"/>
          <w:sz w:val="24"/>
          <w:szCs w:val="24"/>
          <w:lang w:eastAsia="en-US"/>
        </w:rPr>
      </w:pPr>
      <w:r w:rsidRPr="00DF228F">
        <w:rPr>
          <w:rFonts w:ascii="Times" w:eastAsia="Cambria" w:hAnsi="Times" w:cs="Times New Roman"/>
          <w:color w:val="FFFFFF"/>
          <w:sz w:val="24"/>
          <w:szCs w:val="24"/>
          <w:lang w:eastAsia="en-US"/>
        </w:rPr>
        <w:t>and Aspects of Research applied to the OQ (Flinders 1992)</w:t>
      </w:r>
      <w:bookmarkEnd w:id="7"/>
    </w:p>
    <w:p w14:paraId="68A83035" w14:textId="77777777" w:rsidR="00DF228F" w:rsidRPr="00DF228F" w:rsidRDefault="00DF228F" w:rsidP="00DF228F">
      <w:pPr>
        <w:spacing w:after="0" w:line="360" w:lineRule="auto"/>
        <w:jc w:val="center"/>
        <w:rPr>
          <w:rFonts w:ascii="Times" w:eastAsia="Cambria" w:hAnsi="Times" w:cs="Times New Roman"/>
          <w:b/>
          <w:sz w:val="24"/>
          <w:szCs w:val="24"/>
          <w:lang w:eastAsia="en-GB"/>
        </w:rPr>
        <w:sectPr w:rsidR="00DF228F" w:rsidRPr="00DF228F" w:rsidSect="00DF228F">
          <w:headerReference w:type="even" r:id="rId16"/>
          <w:headerReference w:type="default" r:id="rId17"/>
          <w:pgSz w:w="16834" w:h="11904" w:orient="landscape"/>
          <w:pgMar w:top="720" w:right="720" w:bottom="720" w:left="720" w:header="709" w:footer="709" w:gutter="0"/>
          <w:cols w:space="708"/>
          <w:docGrid w:linePitch="360"/>
        </w:sectPr>
      </w:pPr>
    </w:p>
    <w:p w14:paraId="174E43DD" w14:textId="77777777" w:rsidR="00DF228F" w:rsidRPr="00DF228F" w:rsidRDefault="00DF228F" w:rsidP="00DF228F">
      <w:pPr>
        <w:spacing w:after="0" w:line="360" w:lineRule="auto"/>
        <w:jc w:val="both"/>
        <w:rPr>
          <w:rFonts w:ascii="Times" w:eastAsia="Cambria" w:hAnsi="Times" w:cs="Times New Roman"/>
          <w:sz w:val="24"/>
          <w:szCs w:val="24"/>
          <w:lang w:eastAsia="en-GB"/>
        </w:rPr>
      </w:pPr>
      <w:r w:rsidRPr="00DF228F">
        <w:rPr>
          <w:rFonts w:ascii="Times" w:eastAsia="Cambria" w:hAnsi="Times" w:cs="Times New Roman"/>
          <w:sz w:val="24"/>
          <w:szCs w:val="24"/>
          <w:lang w:eastAsia="en-GB"/>
        </w:rPr>
        <w:lastRenderedPageBreak/>
        <w:t>The guidance of Flinders (1992) was applied to both the GI and OQ. Utilitarian research guided the recruitment of participants via informed consent and fieldwork minimised harms to others which extended to the protection of confidentiality and anonymity in reports. Deontological research ethics are more absolutist and recruitment emphasises that both researcher and participants will benefit, fieldwork must avoid harming others and reports are honest, fair and accurate. Relational research emphasises equal-status collaboration and stresses the importance of issues of caring, attachment and respect. Fieldwork avoided as much imposition as possible and reports were just, honest and fair. Ecological ethical research stresses the impact of actions on an inter-dependent system. During the recruitment process, the researcher was sensitive to the culture of ‘PGs’ and aware of harm that may be caused to the environment</w:t>
      </w:r>
      <w:commentRangeStart w:id="8"/>
      <w:r w:rsidRPr="00DF228F">
        <w:rPr>
          <w:rFonts w:ascii="Times" w:eastAsia="Cambria" w:hAnsi="Times" w:cs="Times New Roman"/>
          <w:sz w:val="24"/>
          <w:szCs w:val="24"/>
          <w:lang w:eastAsia="en-GB"/>
        </w:rPr>
        <w:t xml:space="preserve">. Reporting was responsible in making the findings public </w:t>
      </w:r>
      <w:commentRangeStart w:id="9"/>
      <w:r w:rsidRPr="00DF228F">
        <w:rPr>
          <w:rFonts w:ascii="Times" w:eastAsia="Cambria" w:hAnsi="Times" w:cs="Times New Roman"/>
          <w:sz w:val="24"/>
          <w:szCs w:val="24"/>
          <w:lang w:eastAsia="en-GB"/>
        </w:rPr>
        <w:t xml:space="preserve">with there was special consideration </w:t>
      </w:r>
      <w:commentRangeEnd w:id="9"/>
      <w:r w:rsidRPr="00DF228F">
        <w:rPr>
          <w:rFonts w:ascii="Cambria" w:eastAsia="SimSun" w:hAnsi="Cambria" w:cs="Times New Roman"/>
          <w:sz w:val="16"/>
          <w:szCs w:val="16"/>
          <w:lang w:val="en-US" w:eastAsia="en-US"/>
        </w:rPr>
        <w:commentReference w:id="9"/>
      </w:r>
      <w:r w:rsidRPr="00DF228F">
        <w:rPr>
          <w:rFonts w:ascii="Times" w:eastAsia="Cambria" w:hAnsi="Times" w:cs="Times New Roman"/>
          <w:sz w:val="24"/>
          <w:szCs w:val="24"/>
          <w:lang w:eastAsia="en-GB"/>
        </w:rPr>
        <w:t>to the language used and wherever possible identified in the thesis as ‘usual’ or ‘normal.</w:t>
      </w:r>
      <w:commentRangeEnd w:id="8"/>
      <w:r w:rsidRPr="00DF228F">
        <w:rPr>
          <w:rFonts w:ascii="Cambria" w:eastAsia="SimSun" w:hAnsi="Cambria" w:cs="Times New Roman"/>
          <w:sz w:val="16"/>
          <w:szCs w:val="16"/>
          <w:lang w:val="en-US" w:eastAsia="en-US"/>
        </w:rPr>
        <w:commentReference w:id="8"/>
      </w:r>
      <w:r w:rsidRPr="00DF228F">
        <w:rPr>
          <w:rFonts w:ascii="Times" w:eastAsia="Cambria" w:hAnsi="Times" w:cs="Times New Roman"/>
          <w:sz w:val="24"/>
          <w:szCs w:val="24"/>
          <w:lang w:eastAsia="en-GB"/>
        </w:rPr>
        <w:t xml:space="preserve">’ </w:t>
      </w:r>
    </w:p>
    <w:p w14:paraId="308E2A43" w14:textId="77777777" w:rsidR="00DF228F" w:rsidRDefault="00DF228F"/>
    <w:sectPr w:rsidR="00DF228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9" w:author="Hannah" w:date="2017-07-12T16:56:00Z" w:initials="H">
    <w:p w14:paraId="17CE47AD" w14:textId="77777777" w:rsidR="00DF228F" w:rsidRDefault="00DF228F" w:rsidP="00DF228F">
      <w:pPr>
        <w:pStyle w:val="CommentText1"/>
      </w:pPr>
      <w:r>
        <w:rPr>
          <w:rStyle w:val="CommentReference"/>
        </w:rPr>
        <w:annotationRef/>
      </w:r>
      <w:r>
        <w:t>With special consideration</w:t>
      </w:r>
    </w:p>
  </w:comment>
  <w:comment w:id="8" w:author="Hannah" w:date="2017-07-12T16:56:00Z" w:initials="H">
    <w:p w14:paraId="5FA08266" w14:textId="77777777" w:rsidR="00DF228F" w:rsidRDefault="00DF228F" w:rsidP="00DF228F">
      <w:pPr>
        <w:pStyle w:val="CommentText1"/>
      </w:pPr>
      <w:r>
        <w:rPr>
          <w:rStyle w:val="CommentReference"/>
        </w:rPr>
        <w:annotationRef/>
      </w:r>
      <w:r>
        <w:t>Revise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7CE47AD" w15:done="0"/>
  <w15:commentEx w15:paraId="5FA0826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7CE47AD" w16cid:durableId="23148E7B"/>
  <w16cid:commentId w16cid:paraId="5FA08266" w16cid:durableId="23148E7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9F8D8" w14:textId="77777777" w:rsidR="00B25031" w:rsidRDefault="00B25031">
      <w:pPr>
        <w:spacing w:after="0" w:line="240" w:lineRule="auto"/>
      </w:pPr>
      <w:r>
        <w:separator/>
      </w:r>
    </w:p>
  </w:endnote>
  <w:endnote w:type="continuationSeparator" w:id="0">
    <w:p w14:paraId="2FC97A2F" w14:textId="77777777" w:rsidR="00B25031" w:rsidRDefault="00B25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0E1B3" w14:textId="77777777" w:rsidR="00B25031" w:rsidRDefault="00B25031">
      <w:pPr>
        <w:spacing w:after="0" w:line="240" w:lineRule="auto"/>
      </w:pPr>
      <w:r>
        <w:separator/>
      </w:r>
    </w:p>
  </w:footnote>
  <w:footnote w:type="continuationSeparator" w:id="0">
    <w:p w14:paraId="3CFD9257" w14:textId="77777777" w:rsidR="00B25031" w:rsidRDefault="00B25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97E5E" w14:textId="77777777" w:rsidR="00DF228F" w:rsidRDefault="00DF228F" w:rsidP="00DF228F">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5961AAAC" w14:textId="77777777" w:rsidR="00DF228F" w:rsidRDefault="00DF228F" w:rsidP="00DF228F">
    <w:pP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2C407" w14:textId="77777777" w:rsidR="00DF228F" w:rsidRDefault="00DF228F" w:rsidP="00DF228F">
    <w:pPr>
      <w:framePr w:wrap="around" w:vAnchor="text" w:hAnchor="margin" w:xAlign="right" w:y="1"/>
    </w:pPr>
    <w:r>
      <w:fldChar w:fldCharType="begin"/>
    </w:r>
    <w:r>
      <w:instrText xml:space="preserve">PAGE  </w:instrText>
    </w:r>
    <w:r>
      <w:fldChar w:fldCharType="separate"/>
    </w:r>
    <w:r>
      <w:rPr>
        <w:noProof/>
      </w:rPr>
      <w:t>190</w:t>
    </w:r>
    <w:r>
      <w:rPr>
        <w:noProof/>
      </w:rPr>
      <w:fldChar w:fldCharType="end"/>
    </w:r>
  </w:p>
  <w:p w14:paraId="54C722EC" w14:textId="77777777" w:rsidR="00DF228F" w:rsidRDefault="00DF228F" w:rsidP="00DF228F">
    <w:pP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BC55C" w14:textId="77777777" w:rsidR="00DF228F" w:rsidRDefault="00DF228F" w:rsidP="00DF228F">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596F06B4" w14:textId="77777777" w:rsidR="00DF228F" w:rsidRDefault="00DF228F" w:rsidP="00DF228F">
    <w:pPr>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B8EF6" w14:textId="77777777" w:rsidR="00DF228F" w:rsidRDefault="00DF228F" w:rsidP="00DF228F">
    <w:pPr>
      <w:framePr w:wrap="around" w:vAnchor="text" w:hAnchor="margin" w:xAlign="right" w:y="1"/>
    </w:pPr>
    <w:r>
      <w:fldChar w:fldCharType="begin"/>
    </w:r>
    <w:r>
      <w:instrText xml:space="preserve">PAGE  </w:instrText>
    </w:r>
    <w:r>
      <w:fldChar w:fldCharType="separate"/>
    </w:r>
    <w:r>
      <w:rPr>
        <w:noProof/>
      </w:rPr>
      <w:t>192</w:t>
    </w:r>
    <w:r>
      <w:rPr>
        <w:noProof/>
      </w:rPr>
      <w:fldChar w:fldCharType="end"/>
    </w:r>
  </w:p>
  <w:p w14:paraId="58281DA0" w14:textId="77777777" w:rsidR="00DF228F" w:rsidRDefault="00DF228F" w:rsidP="00DF228F">
    <w:pPr>
      <w:ind w:right="360"/>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nnah">
    <w15:presenceInfo w15:providerId="None" w15:userId="Hann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28F"/>
    <w:rsid w:val="000B08B3"/>
    <w:rsid w:val="00153593"/>
    <w:rsid w:val="004E6243"/>
    <w:rsid w:val="005733D6"/>
    <w:rsid w:val="008D38BF"/>
    <w:rsid w:val="00B1190C"/>
    <w:rsid w:val="00B25031"/>
    <w:rsid w:val="00DF228F"/>
    <w:rsid w:val="00EC0F1C"/>
    <w:rsid w:val="00EE4B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C9DB4"/>
  <w15:chartTrackingRefBased/>
  <w15:docId w15:val="{367177EF-753C-41A9-92DF-A4F31316B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sid w:val="00DF228F"/>
    <w:rPr>
      <w:sz w:val="16"/>
      <w:szCs w:val="16"/>
    </w:rPr>
  </w:style>
  <w:style w:type="paragraph" w:customStyle="1" w:styleId="CommentText1">
    <w:name w:val="Comment Text1"/>
    <w:basedOn w:val="Normal"/>
    <w:next w:val="CommentText"/>
    <w:link w:val="CommentTextChar"/>
    <w:rsid w:val="00DF228F"/>
    <w:pPr>
      <w:spacing w:after="0" w:line="240" w:lineRule="auto"/>
    </w:pPr>
    <w:rPr>
      <w:rFonts w:eastAsia="SimSun"/>
      <w:sz w:val="20"/>
      <w:szCs w:val="20"/>
    </w:rPr>
  </w:style>
  <w:style w:type="character" w:customStyle="1" w:styleId="CommentTextChar">
    <w:name w:val="Comment Text Char"/>
    <w:basedOn w:val="DefaultParagraphFont"/>
    <w:link w:val="CommentText1"/>
    <w:rsid w:val="00DF228F"/>
    <w:rPr>
      <w:rFonts w:eastAsia="SimSun"/>
      <w:sz w:val="20"/>
      <w:szCs w:val="20"/>
    </w:rPr>
  </w:style>
  <w:style w:type="table" w:customStyle="1" w:styleId="TableGrid1">
    <w:name w:val="Table Grid1"/>
    <w:basedOn w:val="TableNormal"/>
    <w:next w:val="TableGrid"/>
    <w:uiPriority w:val="59"/>
    <w:rsid w:val="00DF228F"/>
    <w:pPr>
      <w:spacing w:after="0" w:line="240" w:lineRule="auto"/>
    </w:pPr>
    <w:rPr>
      <w:rFonts w:ascii="Cambria" w:eastAsia="Cambria" w:hAnsi="Cambria"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ommentText">
    <w:name w:val="annotation text"/>
    <w:basedOn w:val="Normal"/>
    <w:link w:val="CommentTextChar1"/>
    <w:uiPriority w:val="99"/>
    <w:semiHidden/>
    <w:unhideWhenUsed/>
    <w:rsid w:val="00DF228F"/>
    <w:pPr>
      <w:spacing w:line="240" w:lineRule="auto"/>
    </w:pPr>
    <w:rPr>
      <w:sz w:val="20"/>
      <w:szCs w:val="20"/>
    </w:rPr>
  </w:style>
  <w:style w:type="character" w:customStyle="1" w:styleId="CommentTextChar1">
    <w:name w:val="Comment Text Char1"/>
    <w:basedOn w:val="DefaultParagraphFont"/>
    <w:link w:val="CommentText"/>
    <w:uiPriority w:val="99"/>
    <w:semiHidden/>
    <w:rsid w:val="00DF228F"/>
    <w:rPr>
      <w:sz w:val="20"/>
      <w:szCs w:val="20"/>
    </w:rPr>
  </w:style>
  <w:style w:type="table" w:styleId="TableGrid">
    <w:name w:val="Table Grid"/>
    <w:basedOn w:val="TableNormal"/>
    <w:uiPriority w:val="39"/>
    <w:rsid w:val="00DF22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F22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228F"/>
    <w:rPr>
      <w:rFonts w:ascii="Segoe UI" w:hAnsi="Segoe UI" w:cs="Segoe UI"/>
      <w:sz w:val="18"/>
      <w:szCs w:val="18"/>
    </w:rPr>
  </w:style>
  <w:style w:type="paragraph" w:styleId="Footer">
    <w:name w:val="footer"/>
    <w:basedOn w:val="Normal"/>
    <w:link w:val="FooterChar"/>
    <w:uiPriority w:val="99"/>
    <w:unhideWhenUsed/>
    <w:rsid w:val="00573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3D6"/>
  </w:style>
  <w:style w:type="paragraph" w:styleId="Header">
    <w:name w:val="header"/>
    <w:basedOn w:val="Normal"/>
    <w:link w:val="HeaderChar"/>
    <w:uiPriority w:val="99"/>
    <w:unhideWhenUsed/>
    <w:rsid w:val="00573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comments" Target="comments.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diagramLayout" Target="diagrams/layout1.xml"/><Relationship Id="rId19"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eader" Target="header1.xml"/><Relationship Id="rId22" Type="http://schemas.microsoft.com/office/2011/relationships/people" Target="people.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BAFBC4-6050-234D-9D12-7B3DE50A5D82}" type="doc">
      <dgm:prSet loTypeId="urn:microsoft.com/office/officeart/2005/8/layout/pyramid1" loCatId="pyramid" qsTypeId="urn:microsoft.com/office/officeart/2005/8/quickstyle/simple4" qsCatId="simple" csTypeId="urn:microsoft.com/office/officeart/2005/8/colors/colorful1#3" csCatId="colorful" phldr="1"/>
      <dgm:spPr/>
    </dgm:pt>
    <dgm:pt modelId="{29C54CCC-4DED-2844-A8C1-41D3A3F1B99B}">
      <dgm:prSet phldrT="[Text]"/>
      <dgm:spPr>
        <a:xfrm>
          <a:off x="1876491" y="0"/>
          <a:ext cx="1250994" cy="1043291"/>
        </a:xfrm>
        <a:prstGeom prst="trapezoid">
          <a:avLst>
            <a:gd name="adj" fmla="val 64003"/>
          </a:avLst>
        </a:prstGeo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gm:spPr>
      <dgm:t>
        <a:bodyPr/>
        <a:lstStyle/>
        <a:p>
          <a:pPr algn="ctr">
            <a:buNone/>
          </a:pPr>
          <a:r>
            <a:rPr lang="en-US">
              <a:solidFill>
                <a:sysClr val="windowText" lastClr="000000">
                  <a:hueOff val="0"/>
                  <a:satOff val="0"/>
                  <a:lumOff val="0"/>
                  <a:alphaOff val="0"/>
                </a:sysClr>
              </a:solidFill>
              <a:latin typeface="Cambria"/>
              <a:ea typeface="+mn-ea"/>
              <a:cs typeface="+mn-cs"/>
            </a:rPr>
            <a:t>Individuals</a:t>
          </a:r>
        </a:p>
      </dgm:t>
    </dgm:pt>
    <dgm:pt modelId="{084C11E9-3CBE-2B40-A5EE-B43110D64A80}" type="parTrans" cxnId="{78E28D64-62A2-8447-A495-1661C016F221}">
      <dgm:prSet/>
      <dgm:spPr/>
      <dgm:t>
        <a:bodyPr/>
        <a:lstStyle/>
        <a:p>
          <a:pPr algn="ctr"/>
          <a:endParaRPr lang="en-US"/>
        </a:p>
      </dgm:t>
    </dgm:pt>
    <dgm:pt modelId="{4466F070-F136-3142-8AD2-A8BC09E50B88}" type="sibTrans" cxnId="{78E28D64-62A2-8447-A495-1661C016F221}">
      <dgm:prSet/>
      <dgm:spPr/>
      <dgm:t>
        <a:bodyPr/>
        <a:lstStyle/>
        <a:p>
          <a:pPr algn="ctr"/>
          <a:endParaRPr lang="en-US"/>
        </a:p>
      </dgm:t>
    </dgm:pt>
    <dgm:pt modelId="{B6B5944C-45F8-4D47-81CF-8D7A99B7929D}">
      <dgm:prSet phldrT="[Text]"/>
      <dgm:spPr>
        <a:xfrm>
          <a:off x="625496" y="2086583"/>
          <a:ext cx="3752982" cy="1043291"/>
        </a:xfrm>
        <a:prstGeom prst="trapezoid">
          <a:avLst>
            <a:gd name="adj" fmla="val 64003"/>
          </a:avLst>
        </a:prstGeo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gm:spPr>
      <dgm:t>
        <a:bodyPr/>
        <a:lstStyle/>
        <a:p>
          <a:pPr algn="ctr">
            <a:buNone/>
          </a:pPr>
          <a:r>
            <a:rPr lang="en-US">
              <a:solidFill>
                <a:sysClr val="windowText" lastClr="000000">
                  <a:hueOff val="0"/>
                  <a:satOff val="0"/>
                  <a:lumOff val="0"/>
                  <a:alphaOff val="0"/>
                </a:sysClr>
              </a:solidFill>
              <a:latin typeface="Cambria"/>
              <a:ea typeface="+mn-ea"/>
              <a:cs typeface="+mn-cs"/>
            </a:rPr>
            <a:t>Consequential Layer</a:t>
          </a:r>
        </a:p>
      </dgm:t>
    </dgm:pt>
    <dgm:pt modelId="{912AF2BB-F490-6C4F-8672-CC6C71B7DA01}" type="parTrans" cxnId="{1B8369AF-7C84-4445-8907-E923CE307B40}">
      <dgm:prSet/>
      <dgm:spPr/>
      <dgm:t>
        <a:bodyPr/>
        <a:lstStyle/>
        <a:p>
          <a:pPr algn="ctr"/>
          <a:endParaRPr lang="en-US"/>
        </a:p>
      </dgm:t>
    </dgm:pt>
    <dgm:pt modelId="{29E5D4F0-8B23-F441-8EBE-65165F78CEB2}" type="sibTrans" cxnId="{1B8369AF-7C84-4445-8907-E923CE307B40}">
      <dgm:prSet/>
      <dgm:spPr/>
      <dgm:t>
        <a:bodyPr/>
        <a:lstStyle/>
        <a:p>
          <a:pPr algn="ctr"/>
          <a:endParaRPr lang="en-US"/>
        </a:p>
      </dgm:t>
    </dgm:pt>
    <dgm:pt modelId="{9A767FDF-EBF7-1742-8E30-2D0F02502C38}">
      <dgm:prSet phldrT="[Text]"/>
      <dgm:spPr>
        <a:xfrm>
          <a:off x="0" y="3111481"/>
          <a:ext cx="5003976" cy="1043291"/>
        </a:xfrm>
        <a:prstGeom prst="trapezoid">
          <a:avLst>
            <a:gd name="adj" fmla="val 64003"/>
          </a:avLst>
        </a:prstGeo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gm:spPr>
      <dgm:t>
        <a:bodyPr anchor="ctr"/>
        <a:lstStyle/>
        <a:p>
          <a:pPr algn="ctr">
            <a:buNone/>
          </a:pPr>
          <a:r>
            <a:rPr lang="en-US">
              <a:solidFill>
                <a:sysClr val="windowText" lastClr="000000">
                  <a:hueOff val="0"/>
                  <a:satOff val="0"/>
                  <a:lumOff val="0"/>
                  <a:alphaOff val="0"/>
                </a:sysClr>
              </a:solidFill>
              <a:latin typeface="Cambria"/>
              <a:ea typeface="+mn-ea"/>
              <a:cs typeface="+mn-cs"/>
            </a:rPr>
            <a:t>External Considerations</a:t>
          </a:r>
        </a:p>
      </dgm:t>
    </dgm:pt>
    <dgm:pt modelId="{41036B13-36D2-6A48-84DC-832A20E44BBB}" type="parTrans" cxnId="{6A63EDE8-32B8-3443-9CE1-9A9D873ED71C}">
      <dgm:prSet/>
      <dgm:spPr/>
      <dgm:t>
        <a:bodyPr/>
        <a:lstStyle/>
        <a:p>
          <a:pPr algn="ctr"/>
          <a:endParaRPr lang="en-US"/>
        </a:p>
      </dgm:t>
    </dgm:pt>
    <dgm:pt modelId="{A2C1FCBC-5429-5A48-85F5-40E83D4AA38A}" type="sibTrans" cxnId="{6A63EDE8-32B8-3443-9CE1-9A9D873ED71C}">
      <dgm:prSet/>
      <dgm:spPr/>
      <dgm:t>
        <a:bodyPr/>
        <a:lstStyle/>
        <a:p>
          <a:pPr algn="ctr"/>
          <a:endParaRPr lang="en-US"/>
        </a:p>
      </dgm:t>
    </dgm:pt>
    <dgm:pt modelId="{74AA7D43-A893-7346-BBE3-5D2E682DA012}">
      <dgm:prSet/>
      <dgm:spPr>
        <a:xfrm>
          <a:off x="1250994" y="1043291"/>
          <a:ext cx="2501988" cy="1043291"/>
        </a:xfrm>
        <a:prstGeom prst="trapezoid">
          <a:avLst>
            <a:gd name="adj" fmla="val 64003"/>
          </a:avLst>
        </a:prstGeo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gm:spPr>
      <dgm:t>
        <a:bodyPr/>
        <a:lstStyle/>
        <a:p>
          <a:pPr algn="ctr">
            <a:buNone/>
          </a:pPr>
          <a:r>
            <a:rPr lang="en-US">
              <a:solidFill>
                <a:sysClr val="windowText" lastClr="000000">
                  <a:hueOff val="0"/>
                  <a:satOff val="0"/>
                  <a:lumOff val="0"/>
                  <a:alphaOff val="0"/>
                </a:sysClr>
              </a:solidFill>
              <a:latin typeface="Cambria"/>
              <a:ea typeface="+mn-ea"/>
              <a:cs typeface="+mn-cs"/>
            </a:rPr>
            <a:t>Duties and Motives</a:t>
          </a:r>
        </a:p>
      </dgm:t>
    </dgm:pt>
    <dgm:pt modelId="{67CFE732-316F-9945-B9A9-AB1FA5B64D8E}" type="parTrans" cxnId="{A4DDCB7B-1AE3-E145-B18B-777CD6FCD53F}">
      <dgm:prSet/>
      <dgm:spPr/>
      <dgm:t>
        <a:bodyPr/>
        <a:lstStyle/>
        <a:p>
          <a:pPr algn="ctr"/>
          <a:endParaRPr lang="en-GB"/>
        </a:p>
      </dgm:t>
    </dgm:pt>
    <dgm:pt modelId="{783EC200-1343-D640-A248-A1103A10881A}" type="sibTrans" cxnId="{A4DDCB7B-1AE3-E145-B18B-777CD6FCD53F}">
      <dgm:prSet/>
      <dgm:spPr/>
      <dgm:t>
        <a:bodyPr/>
        <a:lstStyle/>
        <a:p>
          <a:pPr algn="ctr"/>
          <a:endParaRPr lang="en-GB"/>
        </a:p>
      </dgm:t>
    </dgm:pt>
    <dgm:pt modelId="{A86FD93A-4623-144C-A626-961626631819}" type="pres">
      <dgm:prSet presAssocID="{E3BAFBC4-6050-234D-9D12-7B3DE50A5D82}" presName="Name0" presStyleCnt="0">
        <dgm:presLayoutVars>
          <dgm:dir/>
          <dgm:animLvl val="lvl"/>
          <dgm:resizeHandles val="exact"/>
        </dgm:presLayoutVars>
      </dgm:prSet>
      <dgm:spPr/>
    </dgm:pt>
    <dgm:pt modelId="{CD384B77-A170-8A45-8E88-E6712FC4A28C}" type="pres">
      <dgm:prSet presAssocID="{29C54CCC-4DED-2844-A8C1-41D3A3F1B99B}" presName="Name8" presStyleCnt="0"/>
      <dgm:spPr/>
    </dgm:pt>
    <dgm:pt modelId="{683158AF-588D-A148-8AAA-BBABA1380D1B}" type="pres">
      <dgm:prSet presAssocID="{29C54CCC-4DED-2844-A8C1-41D3A3F1B99B}" presName="level" presStyleLbl="node1" presStyleIdx="0" presStyleCnt="4">
        <dgm:presLayoutVars>
          <dgm:chMax val="1"/>
          <dgm:bulletEnabled val="1"/>
        </dgm:presLayoutVars>
      </dgm:prSet>
      <dgm:spPr>
        <a:prstGeom prst="trapezoid">
          <a:avLst>
            <a:gd name="adj" fmla="val 64003"/>
          </a:avLst>
        </a:prstGeom>
      </dgm:spPr>
    </dgm:pt>
    <dgm:pt modelId="{D77ACA3B-F465-B542-BB2E-9EA1DE64C04F}" type="pres">
      <dgm:prSet presAssocID="{29C54CCC-4DED-2844-A8C1-41D3A3F1B99B}" presName="levelTx" presStyleLbl="revTx" presStyleIdx="0" presStyleCnt="0">
        <dgm:presLayoutVars>
          <dgm:chMax val="1"/>
          <dgm:bulletEnabled val="1"/>
        </dgm:presLayoutVars>
      </dgm:prSet>
      <dgm:spPr/>
    </dgm:pt>
    <dgm:pt modelId="{BD44B8AC-4AD2-E642-BD0C-2C5C1ED77BDE}" type="pres">
      <dgm:prSet presAssocID="{74AA7D43-A893-7346-BBE3-5D2E682DA012}" presName="Name8" presStyleCnt="0"/>
      <dgm:spPr/>
    </dgm:pt>
    <dgm:pt modelId="{2E0F74C6-3C0A-5D44-BBC7-5DE3E2220293}" type="pres">
      <dgm:prSet presAssocID="{74AA7D43-A893-7346-BBE3-5D2E682DA012}" presName="level" presStyleLbl="node1" presStyleIdx="1" presStyleCnt="4">
        <dgm:presLayoutVars>
          <dgm:chMax val="1"/>
          <dgm:bulletEnabled val="1"/>
        </dgm:presLayoutVars>
      </dgm:prSet>
      <dgm:spPr>
        <a:prstGeom prst="trapezoid">
          <a:avLst>
            <a:gd name="adj" fmla="val 64003"/>
          </a:avLst>
        </a:prstGeom>
      </dgm:spPr>
    </dgm:pt>
    <dgm:pt modelId="{85290AB5-5C0F-E846-80E8-6C74210EB3CE}" type="pres">
      <dgm:prSet presAssocID="{74AA7D43-A893-7346-BBE3-5D2E682DA012}" presName="levelTx" presStyleLbl="revTx" presStyleIdx="0" presStyleCnt="0">
        <dgm:presLayoutVars>
          <dgm:chMax val="1"/>
          <dgm:bulletEnabled val="1"/>
        </dgm:presLayoutVars>
      </dgm:prSet>
      <dgm:spPr/>
    </dgm:pt>
    <dgm:pt modelId="{C9C48495-4561-6245-AC20-53D68CB64DE9}" type="pres">
      <dgm:prSet presAssocID="{B6B5944C-45F8-4D47-81CF-8D7A99B7929D}" presName="Name8" presStyleCnt="0"/>
      <dgm:spPr/>
    </dgm:pt>
    <dgm:pt modelId="{988C80CE-4F7E-6D47-8860-49D34338B32E}" type="pres">
      <dgm:prSet presAssocID="{B6B5944C-45F8-4D47-81CF-8D7A99B7929D}" presName="level" presStyleLbl="node1" presStyleIdx="2" presStyleCnt="4">
        <dgm:presLayoutVars>
          <dgm:chMax val="1"/>
          <dgm:bulletEnabled val="1"/>
        </dgm:presLayoutVars>
      </dgm:prSet>
      <dgm:spPr>
        <a:prstGeom prst="trapezoid">
          <a:avLst>
            <a:gd name="adj" fmla="val 64003"/>
          </a:avLst>
        </a:prstGeom>
      </dgm:spPr>
    </dgm:pt>
    <dgm:pt modelId="{E205F1BB-B353-BE45-90A4-94A76B2EF9F4}" type="pres">
      <dgm:prSet presAssocID="{B6B5944C-45F8-4D47-81CF-8D7A99B7929D}" presName="levelTx" presStyleLbl="revTx" presStyleIdx="0" presStyleCnt="0">
        <dgm:presLayoutVars>
          <dgm:chMax val="1"/>
          <dgm:bulletEnabled val="1"/>
        </dgm:presLayoutVars>
      </dgm:prSet>
      <dgm:spPr/>
    </dgm:pt>
    <dgm:pt modelId="{71F90E04-FA57-9942-8388-BE2160020417}" type="pres">
      <dgm:prSet presAssocID="{9A767FDF-EBF7-1742-8E30-2D0F02502C38}" presName="Name8" presStyleCnt="0"/>
      <dgm:spPr/>
    </dgm:pt>
    <dgm:pt modelId="{9CF35C19-A358-714A-A012-5E9A8E65B982}" type="pres">
      <dgm:prSet presAssocID="{9A767FDF-EBF7-1742-8E30-2D0F02502C38}" presName="level" presStyleLbl="node1" presStyleIdx="3" presStyleCnt="4" custLinFactNeighborX="6095" custLinFactNeighborY="-1763">
        <dgm:presLayoutVars>
          <dgm:chMax val="1"/>
          <dgm:bulletEnabled val="1"/>
        </dgm:presLayoutVars>
      </dgm:prSet>
      <dgm:spPr>
        <a:prstGeom prst="trapezoid">
          <a:avLst>
            <a:gd name="adj" fmla="val 64003"/>
          </a:avLst>
        </a:prstGeom>
      </dgm:spPr>
    </dgm:pt>
    <dgm:pt modelId="{E0B23541-FEDB-BB4E-8DA0-4B10FB908B40}" type="pres">
      <dgm:prSet presAssocID="{9A767FDF-EBF7-1742-8E30-2D0F02502C38}" presName="levelTx" presStyleLbl="revTx" presStyleIdx="0" presStyleCnt="0">
        <dgm:presLayoutVars>
          <dgm:chMax val="1"/>
          <dgm:bulletEnabled val="1"/>
        </dgm:presLayoutVars>
      </dgm:prSet>
      <dgm:spPr/>
    </dgm:pt>
  </dgm:ptLst>
  <dgm:cxnLst>
    <dgm:cxn modelId="{26491F13-7E48-4261-96D6-088274E75EE4}" type="presOf" srcId="{29C54CCC-4DED-2844-A8C1-41D3A3F1B99B}" destId="{D77ACA3B-F465-B542-BB2E-9EA1DE64C04F}" srcOrd="1" destOrd="0" presId="urn:microsoft.com/office/officeart/2005/8/layout/pyramid1"/>
    <dgm:cxn modelId="{4FAB5C34-2B6B-44E3-BC26-0012E5036871}" type="presOf" srcId="{9A767FDF-EBF7-1742-8E30-2D0F02502C38}" destId="{E0B23541-FEDB-BB4E-8DA0-4B10FB908B40}" srcOrd="1" destOrd="0" presId="urn:microsoft.com/office/officeart/2005/8/layout/pyramid1"/>
    <dgm:cxn modelId="{78E28D64-62A2-8447-A495-1661C016F221}" srcId="{E3BAFBC4-6050-234D-9D12-7B3DE50A5D82}" destId="{29C54CCC-4DED-2844-A8C1-41D3A3F1B99B}" srcOrd="0" destOrd="0" parTransId="{084C11E9-3CBE-2B40-A5EE-B43110D64A80}" sibTransId="{4466F070-F136-3142-8AD2-A8BC09E50B88}"/>
    <dgm:cxn modelId="{381F744D-5345-4058-9552-4E49E62975DC}" type="presOf" srcId="{B6B5944C-45F8-4D47-81CF-8D7A99B7929D}" destId="{E205F1BB-B353-BE45-90A4-94A76B2EF9F4}" srcOrd="1" destOrd="0" presId="urn:microsoft.com/office/officeart/2005/8/layout/pyramid1"/>
    <dgm:cxn modelId="{BB6CEB77-7E5C-420B-9A44-9D29D64712FF}" type="presOf" srcId="{B6B5944C-45F8-4D47-81CF-8D7A99B7929D}" destId="{988C80CE-4F7E-6D47-8860-49D34338B32E}" srcOrd="0" destOrd="0" presId="urn:microsoft.com/office/officeart/2005/8/layout/pyramid1"/>
    <dgm:cxn modelId="{A4DDCB7B-1AE3-E145-B18B-777CD6FCD53F}" srcId="{E3BAFBC4-6050-234D-9D12-7B3DE50A5D82}" destId="{74AA7D43-A893-7346-BBE3-5D2E682DA012}" srcOrd="1" destOrd="0" parTransId="{67CFE732-316F-9945-B9A9-AB1FA5B64D8E}" sibTransId="{783EC200-1343-D640-A248-A1103A10881A}"/>
    <dgm:cxn modelId="{179FFB88-3AE6-48FF-9617-2FB3068BD162}" type="presOf" srcId="{74AA7D43-A893-7346-BBE3-5D2E682DA012}" destId="{2E0F74C6-3C0A-5D44-BBC7-5DE3E2220293}" srcOrd="0" destOrd="0" presId="urn:microsoft.com/office/officeart/2005/8/layout/pyramid1"/>
    <dgm:cxn modelId="{1A3E5DAC-A2FA-4C70-A2DE-43779D9CDFAE}" type="presOf" srcId="{74AA7D43-A893-7346-BBE3-5D2E682DA012}" destId="{85290AB5-5C0F-E846-80E8-6C74210EB3CE}" srcOrd="1" destOrd="0" presId="urn:microsoft.com/office/officeart/2005/8/layout/pyramid1"/>
    <dgm:cxn modelId="{F7AA4EAD-D171-4F6D-99E3-0BC8BC62756D}" type="presOf" srcId="{29C54CCC-4DED-2844-A8C1-41D3A3F1B99B}" destId="{683158AF-588D-A148-8AAA-BBABA1380D1B}" srcOrd="0" destOrd="0" presId="urn:microsoft.com/office/officeart/2005/8/layout/pyramid1"/>
    <dgm:cxn modelId="{1B8369AF-7C84-4445-8907-E923CE307B40}" srcId="{E3BAFBC4-6050-234D-9D12-7B3DE50A5D82}" destId="{B6B5944C-45F8-4D47-81CF-8D7A99B7929D}" srcOrd="2" destOrd="0" parTransId="{912AF2BB-F490-6C4F-8672-CC6C71B7DA01}" sibTransId="{29E5D4F0-8B23-F441-8EBE-65165F78CEB2}"/>
    <dgm:cxn modelId="{ED5B60D0-8AE8-46B2-9E3E-23FD1D36AF7E}" type="presOf" srcId="{E3BAFBC4-6050-234D-9D12-7B3DE50A5D82}" destId="{A86FD93A-4623-144C-A626-961626631819}" srcOrd="0" destOrd="0" presId="urn:microsoft.com/office/officeart/2005/8/layout/pyramid1"/>
    <dgm:cxn modelId="{6A63EDE8-32B8-3443-9CE1-9A9D873ED71C}" srcId="{E3BAFBC4-6050-234D-9D12-7B3DE50A5D82}" destId="{9A767FDF-EBF7-1742-8E30-2D0F02502C38}" srcOrd="3" destOrd="0" parTransId="{41036B13-36D2-6A48-84DC-832A20E44BBB}" sibTransId="{A2C1FCBC-5429-5A48-85F5-40E83D4AA38A}"/>
    <dgm:cxn modelId="{EC7FC4EE-40D3-4884-BFD0-AB9E947CC0C8}" type="presOf" srcId="{9A767FDF-EBF7-1742-8E30-2D0F02502C38}" destId="{9CF35C19-A358-714A-A012-5E9A8E65B982}" srcOrd="0" destOrd="0" presId="urn:microsoft.com/office/officeart/2005/8/layout/pyramid1"/>
    <dgm:cxn modelId="{906F4CD8-04D5-41DC-A04A-F15E904DFA0C}" type="presParOf" srcId="{A86FD93A-4623-144C-A626-961626631819}" destId="{CD384B77-A170-8A45-8E88-E6712FC4A28C}" srcOrd="0" destOrd="0" presId="urn:microsoft.com/office/officeart/2005/8/layout/pyramid1"/>
    <dgm:cxn modelId="{3D04BAD5-411E-4D43-84EB-862D20BBF34B}" type="presParOf" srcId="{CD384B77-A170-8A45-8E88-E6712FC4A28C}" destId="{683158AF-588D-A148-8AAA-BBABA1380D1B}" srcOrd="0" destOrd="0" presId="urn:microsoft.com/office/officeart/2005/8/layout/pyramid1"/>
    <dgm:cxn modelId="{EB8B2229-20CC-48DE-9A0A-01EFC7C456B6}" type="presParOf" srcId="{CD384B77-A170-8A45-8E88-E6712FC4A28C}" destId="{D77ACA3B-F465-B542-BB2E-9EA1DE64C04F}" srcOrd="1" destOrd="0" presId="urn:microsoft.com/office/officeart/2005/8/layout/pyramid1"/>
    <dgm:cxn modelId="{FF6E8B86-2D5B-4D20-A511-B33ED86E56E3}" type="presParOf" srcId="{A86FD93A-4623-144C-A626-961626631819}" destId="{BD44B8AC-4AD2-E642-BD0C-2C5C1ED77BDE}" srcOrd="1" destOrd="0" presId="urn:microsoft.com/office/officeart/2005/8/layout/pyramid1"/>
    <dgm:cxn modelId="{53DD075A-760D-40E8-8AE0-5CEE237DAF93}" type="presParOf" srcId="{BD44B8AC-4AD2-E642-BD0C-2C5C1ED77BDE}" destId="{2E0F74C6-3C0A-5D44-BBC7-5DE3E2220293}" srcOrd="0" destOrd="0" presId="urn:microsoft.com/office/officeart/2005/8/layout/pyramid1"/>
    <dgm:cxn modelId="{28BA8263-33D4-4814-AAD1-8C92B9DE8715}" type="presParOf" srcId="{BD44B8AC-4AD2-E642-BD0C-2C5C1ED77BDE}" destId="{85290AB5-5C0F-E846-80E8-6C74210EB3CE}" srcOrd="1" destOrd="0" presId="urn:microsoft.com/office/officeart/2005/8/layout/pyramid1"/>
    <dgm:cxn modelId="{275CC5F6-D38D-4608-9A4B-8637DE51FD0B}" type="presParOf" srcId="{A86FD93A-4623-144C-A626-961626631819}" destId="{C9C48495-4561-6245-AC20-53D68CB64DE9}" srcOrd="2" destOrd="0" presId="urn:microsoft.com/office/officeart/2005/8/layout/pyramid1"/>
    <dgm:cxn modelId="{18ADFB50-3263-4C7F-8051-A715F2E7A655}" type="presParOf" srcId="{C9C48495-4561-6245-AC20-53D68CB64DE9}" destId="{988C80CE-4F7E-6D47-8860-49D34338B32E}" srcOrd="0" destOrd="0" presId="urn:microsoft.com/office/officeart/2005/8/layout/pyramid1"/>
    <dgm:cxn modelId="{30558CA9-6DFD-431F-9449-6BC1FDA7FC62}" type="presParOf" srcId="{C9C48495-4561-6245-AC20-53D68CB64DE9}" destId="{E205F1BB-B353-BE45-90A4-94A76B2EF9F4}" srcOrd="1" destOrd="0" presId="urn:microsoft.com/office/officeart/2005/8/layout/pyramid1"/>
    <dgm:cxn modelId="{133D3359-DF13-4C6F-A5C2-F704D5DC3142}" type="presParOf" srcId="{A86FD93A-4623-144C-A626-961626631819}" destId="{71F90E04-FA57-9942-8388-BE2160020417}" srcOrd="3" destOrd="0" presId="urn:microsoft.com/office/officeart/2005/8/layout/pyramid1"/>
    <dgm:cxn modelId="{D0F6DDAF-9DE7-4ACB-A60D-DA36622BB3EC}" type="presParOf" srcId="{71F90E04-FA57-9942-8388-BE2160020417}" destId="{9CF35C19-A358-714A-A012-5E9A8E65B982}" srcOrd="0" destOrd="0" presId="urn:microsoft.com/office/officeart/2005/8/layout/pyramid1"/>
    <dgm:cxn modelId="{3D138E00-3F8C-4C6B-87A6-D46D76DAFE1C}" type="presParOf" srcId="{71F90E04-FA57-9942-8388-BE2160020417}" destId="{E0B23541-FEDB-BB4E-8DA0-4B10FB908B40}"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3158AF-588D-A148-8AAA-BBABA1380D1B}">
      <dsp:nvSpPr>
        <dsp:cNvPr id="0" name=""/>
        <dsp:cNvSpPr/>
      </dsp:nvSpPr>
      <dsp:spPr>
        <a:xfrm>
          <a:off x="1876491" y="0"/>
          <a:ext cx="1250994" cy="1043291"/>
        </a:xfrm>
        <a:prstGeom prst="trapezoid">
          <a:avLst>
            <a:gd name="adj" fmla="val 64003"/>
          </a:avLst>
        </a:prstGeo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hueOff val="0"/>
                  <a:satOff val="0"/>
                  <a:lumOff val="0"/>
                  <a:alphaOff val="0"/>
                </a:sysClr>
              </a:solidFill>
              <a:latin typeface="Cambria"/>
              <a:ea typeface="+mn-ea"/>
              <a:cs typeface="+mn-cs"/>
            </a:rPr>
            <a:t>Individuals</a:t>
          </a:r>
        </a:p>
      </dsp:txBody>
      <dsp:txXfrm>
        <a:off x="2293489" y="347764"/>
        <a:ext cx="416998" cy="695527"/>
      </dsp:txXfrm>
    </dsp:sp>
    <dsp:sp modelId="{2E0F74C6-3C0A-5D44-BBC7-5DE3E2220293}">
      <dsp:nvSpPr>
        <dsp:cNvPr id="0" name=""/>
        <dsp:cNvSpPr/>
      </dsp:nvSpPr>
      <dsp:spPr>
        <a:xfrm>
          <a:off x="1250994" y="1043291"/>
          <a:ext cx="2501988" cy="1043291"/>
        </a:xfrm>
        <a:prstGeom prst="trapezoid">
          <a:avLst>
            <a:gd name="adj" fmla="val 64003"/>
          </a:avLst>
        </a:prstGeo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hueOff val="0"/>
                  <a:satOff val="0"/>
                  <a:lumOff val="0"/>
                  <a:alphaOff val="0"/>
                </a:sysClr>
              </a:solidFill>
              <a:latin typeface="Cambria"/>
              <a:ea typeface="+mn-ea"/>
              <a:cs typeface="+mn-cs"/>
            </a:rPr>
            <a:t>Duties and Motives</a:t>
          </a:r>
        </a:p>
      </dsp:txBody>
      <dsp:txXfrm>
        <a:off x="2133999" y="1328867"/>
        <a:ext cx="735976" cy="757715"/>
      </dsp:txXfrm>
    </dsp:sp>
    <dsp:sp modelId="{988C80CE-4F7E-6D47-8860-49D34338B32E}">
      <dsp:nvSpPr>
        <dsp:cNvPr id="0" name=""/>
        <dsp:cNvSpPr/>
      </dsp:nvSpPr>
      <dsp:spPr>
        <a:xfrm>
          <a:off x="625496" y="2086583"/>
          <a:ext cx="3752982" cy="1043291"/>
        </a:xfrm>
        <a:prstGeom prst="trapezoid">
          <a:avLst>
            <a:gd name="adj" fmla="val 64003"/>
          </a:avLst>
        </a:prstGeo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hueOff val="0"/>
                  <a:satOff val="0"/>
                  <a:lumOff val="0"/>
                  <a:alphaOff val="0"/>
                </a:sysClr>
              </a:solidFill>
              <a:latin typeface="Cambria"/>
              <a:ea typeface="+mn-ea"/>
              <a:cs typeface="+mn-cs"/>
            </a:rPr>
            <a:t>Consequential Layer</a:t>
          </a:r>
        </a:p>
      </dsp:txBody>
      <dsp:txXfrm>
        <a:off x="1727426" y="2276967"/>
        <a:ext cx="1549122" cy="852907"/>
      </dsp:txXfrm>
    </dsp:sp>
    <dsp:sp modelId="{9CF35C19-A358-714A-A012-5E9A8E65B982}">
      <dsp:nvSpPr>
        <dsp:cNvPr id="0" name=""/>
        <dsp:cNvSpPr/>
      </dsp:nvSpPr>
      <dsp:spPr>
        <a:xfrm>
          <a:off x="0" y="3111481"/>
          <a:ext cx="5003976" cy="1043291"/>
        </a:xfrm>
        <a:prstGeom prst="trapezoid">
          <a:avLst>
            <a:gd name="adj" fmla="val 64003"/>
          </a:avLst>
        </a:prstGeo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hueOff val="0"/>
                  <a:satOff val="0"/>
                  <a:lumOff val="0"/>
                  <a:alphaOff val="0"/>
                </a:sysClr>
              </a:solidFill>
              <a:latin typeface="Cambria"/>
              <a:ea typeface="+mn-ea"/>
              <a:cs typeface="+mn-cs"/>
            </a:rPr>
            <a:t>External Considerations</a:t>
          </a:r>
        </a:p>
      </dsp:txBody>
      <dsp:txXfrm>
        <a:off x="1320853" y="3254269"/>
        <a:ext cx="2362268" cy="90050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E2BFC0-B67B-45F5-9DEF-3686C60D3C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153AF5-5AC8-48B3-9C4F-16EDC8B2BC89}">
  <ds:schemaRefs>
    <ds:schemaRef ds:uri="http://schemas.microsoft.com/sharepoint/v3/contenttype/forms"/>
  </ds:schemaRefs>
</ds:datastoreItem>
</file>

<file path=customXml/itemProps3.xml><?xml version="1.0" encoding="utf-8"?>
<ds:datastoreItem xmlns:ds="http://schemas.openxmlformats.org/officeDocument/2006/customXml" ds:itemID="{70688AED-81DD-45BB-8742-436D147BF8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1658</Words>
  <Characters>9454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2023-01-08T17:26:00Z</dcterms:created>
  <dcterms:modified xsi:type="dcterms:W3CDTF">2023-01-08T17:26:00Z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