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AutoText"/>
        </w:docPartObj>
      </w:sdtPr>
      <w:sdtEndPr>
        <w:rPr>
          <w:color w:val="auto"/>
        </w:rPr>
      </w:sdtEndPr>
      <w:sdtContent>
        <w:p w14:paraId="770A08B3" w14:textId="77777777" w:rsidR="00C807D6" w:rsidRDefault="00000000">
          <w:pPr>
            <w:pStyle w:val="NoSpacing"/>
            <w:spacing w:before="1540" w:after="240"/>
            <w:jc w:val="center"/>
            <w:rPr>
              <w:color w:val="5B9BD5" w:themeColor="accent1"/>
            </w:rPr>
          </w:pPr>
          <w:r>
            <w:rPr>
              <w:noProof/>
              <w:color w:val="5B9BD5" w:themeColor="accent1"/>
              <w:lang w:val="en-GB" w:eastAsia="en-GB"/>
            </w:rPr>
            <w:drawing>
              <wp:inline distT="0" distB="0" distL="0" distR="0" wp14:anchorId="7BEF64C4" wp14:editId="29F9AF96">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ajorBidi"/>
              <w:caps/>
              <w:color w:val="5B9BD5" w:themeColor="accent1"/>
              <w:sz w:val="72"/>
              <w:szCs w:val="72"/>
            </w:rPr>
            <w:alias w:val="Title"/>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6FCA07B" w14:textId="77777777" w:rsidR="00C807D6" w:rsidRDefault="00000000">
              <w:pPr>
                <w:pStyle w:val="NoSpacing"/>
                <w:pBdr>
                  <w:top w:val="single" w:sz="6" w:space="6" w:color="5B9BD5" w:themeColor="accent1"/>
                  <w:bottom w:val="single" w:sz="6" w:space="6" w:color="5B9BD5" w:themeColor="accent1"/>
                </w:pBdr>
                <w:spacing w:after="240"/>
                <w:jc w:val="center"/>
                <w:rPr>
                  <w:rFonts w:eastAsiaTheme="majorEastAsia" w:cstheme="majorBidi"/>
                  <w:caps/>
                  <w:color w:val="5B9BD5" w:themeColor="accent1"/>
                  <w:sz w:val="80"/>
                  <w:szCs w:val="80"/>
                </w:rPr>
              </w:pPr>
              <w:r>
                <w:rPr>
                  <w:rFonts w:eastAsiaTheme="majorEastAsia" w:cstheme="majorBidi"/>
                  <w:caps/>
                  <w:color w:val="5B9BD5" w:themeColor="accent1"/>
                  <w:sz w:val="72"/>
                  <w:szCs w:val="72"/>
                </w:rPr>
                <w:t>HSBC plc Holding</w:t>
              </w:r>
            </w:p>
          </w:sdtContent>
        </w:sdt>
        <w:sdt>
          <w:sdtPr>
            <w:rPr>
              <w:color w:val="5B9BD5" w:themeColor="accent1"/>
              <w:sz w:val="28"/>
              <w:szCs w:val="28"/>
            </w:rPr>
            <w:alias w:val="Subtitle"/>
            <w:id w:val="328029620"/>
            <w:dataBinding w:prefixMappings="xmlns:ns0='http://purl.org/dc/elements/1.1/' xmlns:ns1='http://schemas.openxmlformats.org/package/2006/metadata/core-properties' " w:xpath="/ns1:coreProperties[1]/ns0:subject[1]" w:storeItemID="{6C3C8BC8-F283-45AE-878A-BAB7291924A1}"/>
            <w:text/>
          </w:sdtPr>
          <w:sdtContent>
            <w:p w14:paraId="34A5666D" w14:textId="77777777" w:rsidR="00C807D6" w:rsidRDefault="00000000">
              <w:pPr>
                <w:pStyle w:val="NoSpacing"/>
                <w:jc w:val="center"/>
                <w:rPr>
                  <w:color w:val="5B9BD5" w:themeColor="accent1"/>
                  <w:sz w:val="28"/>
                  <w:szCs w:val="28"/>
                </w:rPr>
              </w:pPr>
              <w:r>
                <w:rPr>
                  <w:color w:val="5B9BD5" w:themeColor="accent1"/>
                  <w:sz w:val="28"/>
                  <w:szCs w:val="28"/>
                </w:rPr>
                <w:t xml:space="preserve">Global Business Challenges (BMMB7006)                                                       Meet </w:t>
              </w:r>
              <w:proofErr w:type="spellStart"/>
              <w:r>
                <w:rPr>
                  <w:color w:val="5B9BD5" w:themeColor="accent1"/>
                  <w:sz w:val="28"/>
                  <w:szCs w:val="28"/>
                </w:rPr>
                <w:t>Sachinkumar</w:t>
              </w:r>
              <w:proofErr w:type="spellEnd"/>
              <w:r>
                <w:rPr>
                  <w:color w:val="5B9BD5" w:themeColor="accent1"/>
                  <w:sz w:val="28"/>
                  <w:szCs w:val="28"/>
                </w:rPr>
                <w:t xml:space="preserve"> </w:t>
              </w:r>
              <w:proofErr w:type="spellStart"/>
              <w:r>
                <w:rPr>
                  <w:color w:val="5B9BD5" w:themeColor="accent1"/>
                  <w:sz w:val="28"/>
                  <w:szCs w:val="28"/>
                </w:rPr>
                <w:t>Macwan</w:t>
              </w:r>
              <w:proofErr w:type="spellEnd"/>
              <w:r>
                <w:rPr>
                  <w:color w:val="5B9BD5" w:themeColor="accent1"/>
                  <w:sz w:val="28"/>
                  <w:szCs w:val="28"/>
                </w:rPr>
                <w:t xml:space="preserve"> (2510986)</w:t>
              </w:r>
            </w:p>
          </w:sdtContent>
        </w:sdt>
        <w:p w14:paraId="485731F9" w14:textId="77777777" w:rsidR="00C807D6" w:rsidRDefault="00000000">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AD1D50C" wp14:editId="0EE7191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id w:val="197127006"/>
                                  <w:dataBinding w:prefixMappings="xmlns:ns0='http://schemas.microsoft.com/office/2006/coverPageProps' " w:xpath="/ns0:CoverPageProperties[1]/ns0:PublishDate[1]" w:storeItemID="{55AF091B-3C7A-41E3-B477-F2FDAA23CFDA}"/>
                                  <w:date w:fullDate="2026-04-26T00:00:00Z">
                                    <w:dateFormat w:val="MMMM d, yyyy"/>
                                    <w:lid w:val="en-US"/>
                                    <w:storeMappedDataAs w:val="dateTime"/>
                                    <w:calendar w:val="gregorian"/>
                                  </w:date>
                                </w:sdtPr>
                                <w:sdtContent>
                                  <w:p w14:paraId="33888D82" w14:textId="3CFD976C" w:rsidR="00C807D6" w:rsidRDefault="003568BC">
                                    <w:pPr>
                                      <w:pStyle w:val="NoSpacing"/>
                                      <w:spacing w:after="40"/>
                                      <w:jc w:val="center"/>
                                      <w:rPr>
                                        <w:caps/>
                                        <w:color w:val="5B9BD5" w:themeColor="accent1"/>
                                        <w:sz w:val="28"/>
                                        <w:szCs w:val="28"/>
                                      </w:rPr>
                                    </w:pPr>
                                    <w:r>
                                      <w:rPr>
                                        <w:caps/>
                                        <w:color w:val="5B9BD5" w:themeColor="accent1"/>
                                        <w:sz w:val="28"/>
                                        <w:szCs w:val="28"/>
                                      </w:rPr>
                                      <w:t>April 26, 2026</w:t>
                                    </w:r>
                                  </w:p>
                                </w:sdtContent>
                              </w:sdt>
                              <w:p w14:paraId="18A97112" w14:textId="77777777" w:rsidR="00C807D6" w:rsidRDefault="00000000">
                                <w:pPr>
                                  <w:pStyle w:val="NoSpacing"/>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76385E6" w14:textId="77777777" w:rsidR="00C807D6" w:rsidRDefault="00000000">
                                <w:pPr>
                                  <w:pStyle w:val="NoSpacing"/>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type w14:anchorId="6AD1D50C"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" filled="f" stroked="f" strokeweight=".5pt">
                    <v:textbox style="mso-fit-shape-to-text:t" inset="0,0,0,0">
                      <w:txbxContent>
                        <w:sdt>
                          <w:sdtPr>
                            <w:rPr>
                              <w:caps/>
                              <w:color w:val="5B9BD5" w:themeColor="accent1"/>
                              <w:sz w:val="28"/>
                              <w:szCs w:val="28"/>
                            </w:rPr>
                            <w:alias w:val="Date"/>
                            <w:id w:val="197127006"/>
                            <w:dataBinding w:prefixMappings="xmlns:ns0='http://schemas.microsoft.com/office/2006/coverPageProps' " w:xpath="/ns0:CoverPageProperties[1]/ns0:PublishDate[1]" w:storeItemID="{55AF091B-3C7A-41E3-B477-F2FDAA23CFDA}"/>
                            <w:date w:fullDate="2026-04-26T00:00:00Z">
                              <w:dateFormat w:val="MMMM d, yyyy"/>
                              <w:lid w:val="en-US"/>
                              <w:storeMappedDataAs w:val="dateTime"/>
                              <w:calendar w:val="gregorian"/>
                            </w:date>
                          </w:sdtPr>
                          <w:sdtContent>
                            <w:p w14:paraId="33888D82" w14:textId="3CFD976C" w:rsidR="00C807D6" w:rsidRDefault="003568BC">
                              <w:pPr>
                                <w:pStyle w:val="NoSpacing"/>
                                <w:spacing w:after="40"/>
                                <w:jc w:val="center"/>
                                <w:rPr>
                                  <w:caps/>
                                  <w:color w:val="5B9BD5" w:themeColor="accent1"/>
                                  <w:sz w:val="28"/>
                                  <w:szCs w:val="28"/>
                                </w:rPr>
                              </w:pPr>
                              <w:r>
                                <w:rPr>
                                  <w:caps/>
                                  <w:color w:val="5B9BD5" w:themeColor="accent1"/>
                                  <w:sz w:val="28"/>
                                  <w:szCs w:val="28"/>
                                </w:rPr>
                                <w:t>April 26, 2026</w:t>
                              </w:r>
                            </w:p>
                          </w:sdtContent>
                        </w:sdt>
                        <w:p w14:paraId="18A97112" w14:textId="77777777" w:rsidR="00C807D6" w:rsidRDefault="00000000">
                          <w:pPr>
                            <w:pStyle w:val="NoSpacing"/>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76385E6" w14:textId="77777777" w:rsidR="00C807D6" w:rsidRDefault="00000000">
                          <w:pPr>
                            <w:pStyle w:val="NoSpacing"/>
                            <w:jc w:val="center"/>
                            <w:rPr>
                              <w:color w:val="5B9BD5" w:themeColor="accent1"/>
                            </w:rPr>
                          </w:pPr>
                          <w:sdt>
                            <w:sdtPr>
                              <w:rPr>
                                <w:color w:val="5B9BD5" w:themeColor="accent1"/>
                              </w:rPr>
                              <w:alias w:val="Address"/>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52BB0270" wp14:editId="6B597686">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24F725" w14:textId="77777777" w:rsidR="00C807D6" w:rsidRDefault="00000000">
          <w:pPr>
            <w:pStyle w:val="Heading1"/>
          </w:pPr>
          <w:r>
            <w:br w:type="page"/>
          </w:r>
          <w:bookmarkStart w:id="0" w:name="_Toc227857853"/>
          <w:r>
            <w:lastRenderedPageBreak/>
            <w:t>Executive Summary</w:t>
          </w:r>
          <w:bookmarkEnd w:id="0"/>
        </w:p>
        <w:p w14:paraId="292A308B" w14:textId="77777777" w:rsidR="00C807D6" w:rsidRDefault="00000000">
          <w:pPr>
            <w:jc w:val="both"/>
          </w:pPr>
          <w:r>
            <w:t>This report examines AI risk management in HSBC and argues that AI should now be treated as a strategic enterprise-risk issue rather than only a digital innovation agenda. The analysis shows that HSBC is expanding AI across important banking activities, including customer decision-making, transaction monitoring, pricing, internal productivity and digital operations. While this offers clear commercial benefits, it also creates material exposures in model risk, data quality, privacy, explainability, fairness, cyber resilience and third-party dependency. The international environment strengthens this challenge. Macroeconomic uncertainty continues to push banks towards productivity-enhancing technologies, while the regulatory environment is becoming more demanding. In the UK, AI governance remains principles-based and regulator-led; in the EU, the AI Act introduces a clearer and more prescriptive risk-based framework for high-impact uses. For HSBC, the key implication is that governance capability must develop at the same pace as AI deployment if the bank is to protect trust, resilience and long-term value.</w:t>
          </w:r>
        </w:p>
        <w:p w14:paraId="5294FFC3" w14:textId="77777777" w:rsidR="00C807D6" w:rsidRDefault="00000000">
          <w:pPr>
            <w:jc w:val="both"/>
            <w:rPr>
              <w:lang w:val="en-US"/>
            </w:rPr>
          </w:pPr>
          <w:r>
            <w:t>The report concludes that HSBC should adopt a group-wide, risk-tiered AI governance model aligned to the EU’s high-risk logic for material banking systems and embedded within enterprise risk management across its UK and EU operations. This recommendation is supported by strategic and governance theory. Resource-Based View suggests that safe and well-governed AI deployment can become a difficult-to-imitate capability in regulated markets, while Stakeholder Theory and Institutional Theory show that long-term success depends on balancing the expectations of regulators, customers, investors, employees and partners in an environment of increasing external pressure. The report therefore proposes stronger board oversight, a central AI inventory, risk-tiered controls for high-impact systems, enhanced third-party oversight, and a customer-trust operating model built around explanation, human review and monitoring. Overall, the central argument is that future competitive advantage for HSBC will depend less on adopting AI fastest and more on scaling it credibly, safely and accountably.</w:t>
          </w:r>
        </w:p>
        <w:p w14:paraId="3924CFAE" w14:textId="77777777" w:rsidR="00C807D6" w:rsidRDefault="00C807D6"/>
        <w:p w14:paraId="54401901" w14:textId="77777777" w:rsidR="00C807D6" w:rsidRDefault="00C807D6"/>
        <w:p w14:paraId="3A0C308D" w14:textId="77777777" w:rsidR="00C807D6" w:rsidRDefault="00C807D6"/>
        <w:p w14:paraId="00AF6E5D" w14:textId="77777777" w:rsidR="00C807D6" w:rsidRDefault="00C807D6"/>
        <w:p w14:paraId="652990CB" w14:textId="77777777" w:rsidR="00C807D6" w:rsidRDefault="00C807D6"/>
        <w:p w14:paraId="06A49FA1" w14:textId="77777777" w:rsidR="00C807D6" w:rsidRDefault="00C807D6"/>
        <w:p w14:paraId="748CA74C" w14:textId="77777777" w:rsidR="00C807D6" w:rsidRDefault="00C807D6"/>
        <w:p w14:paraId="52FAF735" w14:textId="77777777" w:rsidR="00C807D6" w:rsidRDefault="00C807D6"/>
        <w:p w14:paraId="00EA9BFA" w14:textId="77777777" w:rsidR="00C807D6" w:rsidRDefault="00C807D6"/>
        <w:p w14:paraId="436E72A1" w14:textId="77777777" w:rsidR="00C807D6" w:rsidRDefault="00C807D6"/>
        <w:p w14:paraId="7F3055CA" w14:textId="77777777" w:rsidR="00C807D6" w:rsidRDefault="00C807D6"/>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asciiTheme="majorBidi" w:hAnsiTheme="majorBidi"/>
              <w:b/>
              <w:bCs/>
              <w:sz w:val="24"/>
            </w:rPr>
          </w:sdtEndPr>
          <w:sdtContent>
            <w:p w14:paraId="7C5820BD" w14:textId="77777777" w:rsidR="00C807D6" w:rsidRDefault="00000000">
              <w:pPr>
                <w:pStyle w:val="TOCHeading1"/>
                <w:rPr>
                  <w:rFonts w:asciiTheme="minorHAnsi" w:eastAsiaTheme="minorHAnsi" w:hAnsiTheme="minorHAnsi" w:cstheme="minorBidi"/>
                  <w:color w:val="auto"/>
                  <w:sz w:val="22"/>
                  <w:szCs w:val="22"/>
                  <w:lang w:val="en-GB"/>
                </w:rPr>
              </w:pPr>
              <w:r>
                <w:t>Table of Contents</w:t>
              </w:r>
            </w:p>
            <w:p w14:paraId="5BECE453" w14:textId="77777777" w:rsidR="00C807D6" w:rsidRDefault="00000000">
              <w:pPr>
                <w:pStyle w:val="TOC1"/>
                <w:tabs>
                  <w:tab w:val="right" w:leader="dot" w:pos="9016"/>
                </w:tabs>
                <w:rPr>
                  <w:rFonts w:asciiTheme="minorHAnsi" w:eastAsiaTheme="minorEastAsia" w:hAnsiTheme="minorHAnsi"/>
                  <w:kern w:val="2"/>
                  <w:szCs w:val="24"/>
                  <w:lang w:eastAsia="en-GB" w:bidi="gu-IN"/>
                  <w14:ligatures w14:val="standardContextual"/>
                </w:rPr>
              </w:pPr>
              <w:r>
                <w:fldChar w:fldCharType="begin"/>
              </w:r>
              <w:r>
                <w:instrText xml:space="preserve"> TOC \o "1-3" \h \z \u </w:instrText>
              </w:r>
              <w:r>
                <w:fldChar w:fldCharType="separate"/>
              </w:r>
              <w:hyperlink w:anchor="_Toc227857853" w:history="1">
                <w:r>
                  <w:rPr>
                    <w:rStyle w:val="Hyperlink"/>
                  </w:rPr>
                  <w:t>Executive Summary</w:t>
                </w:r>
                <w:r>
                  <w:tab/>
                </w:r>
                <w:r>
                  <w:fldChar w:fldCharType="begin"/>
                </w:r>
                <w:r>
                  <w:instrText xml:space="preserve"> PAGEREF _Toc227857853 \h </w:instrText>
                </w:r>
                <w:r>
                  <w:fldChar w:fldCharType="separate"/>
                </w:r>
                <w:r>
                  <w:t>1</w:t>
                </w:r>
                <w:r>
                  <w:fldChar w:fldCharType="end"/>
                </w:r>
              </w:hyperlink>
            </w:p>
            <w:p w14:paraId="2A00331F" w14:textId="77777777" w:rsidR="00C807D6" w:rsidRDefault="00000000">
              <w:pPr>
                <w:pStyle w:val="TOC1"/>
                <w:tabs>
                  <w:tab w:val="right" w:leader="dot" w:pos="9016"/>
                </w:tabs>
                <w:rPr>
                  <w:rFonts w:asciiTheme="minorHAnsi" w:eastAsiaTheme="minorEastAsia" w:hAnsiTheme="minorHAnsi"/>
                  <w:kern w:val="2"/>
                  <w:szCs w:val="24"/>
                  <w:lang w:eastAsia="en-GB" w:bidi="gu-IN"/>
                  <w14:ligatures w14:val="standardContextual"/>
                </w:rPr>
              </w:pPr>
              <w:hyperlink w:anchor="_Toc227857854" w:history="1">
                <w:r>
                  <w:rPr>
                    <w:rStyle w:val="Hyperlink"/>
                  </w:rPr>
                  <w:t>Introduction</w:t>
                </w:r>
                <w:r>
                  <w:tab/>
                </w:r>
                <w:r>
                  <w:fldChar w:fldCharType="begin"/>
                </w:r>
                <w:r>
                  <w:instrText xml:space="preserve"> PAGEREF _Toc227857854 \h </w:instrText>
                </w:r>
                <w:r>
                  <w:fldChar w:fldCharType="separate"/>
                </w:r>
                <w:r>
                  <w:t>3</w:t>
                </w:r>
                <w:r>
                  <w:fldChar w:fldCharType="end"/>
                </w:r>
              </w:hyperlink>
            </w:p>
            <w:p w14:paraId="64B60679" w14:textId="77777777" w:rsidR="00C807D6" w:rsidRDefault="00000000">
              <w:pPr>
                <w:pStyle w:val="TOC1"/>
                <w:tabs>
                  <w:tab w:val="right" w:leader="dot" w:pos="9016"/>
                </w:tabs>
                <w:rPr>
                  <w:rFonts w:asciiTheme="minorHAnsi" w:eastAsiaTheme="minorEastAsia" w:hAnsiTheme="minorHAnsi"/>
                  <w:kern w:val="2"/>
                  <w:szCs w:val="24"/>
                  <w:lang w:eastAsia="en-GB" w:bidi="gu-IN"/>
                  <w14:ligatures w14:val="standardContextual"/>
                </w:rPr>
              </w:pPr>
              <w:hyperlink w:anchor="_Toc227857855" w:history="1">
                <w:r>
                  <w:rPr>
                    <w:rStyle w:val="Hyperlink"/>
                  </w:rPr>
                  <w:t>Main Findings</w:t>
                </w:r>
                <w:r>
                  <w:tab/>
                </w:r>
                <w:r>
                  <w:fldChar w:fldCharType="begin"/>
                </w:r>
                <w:r>
                  <w:instrText xml:space="preserve"> PAGEREF _Toc227857855 \h </w:instrText>
                </w:r>
                <w:r>
                  <w:fldChar w:fldCharType="separate"/>
                </w:r>
                <w:r>
                  <w:t>4</w:t>
                </w:r>
                <w:r>
                  <w:fldChar w:fldCharType="end"/>
                </w:r>
              </w:hyperlink>
            </w:p>
            <w:p w14:paraId="36234479" w14:textId="77777777" w:rsidR="00C807D6" w:rsidRDefault="00000000">
              <w:pPr>
                <w:pStyle w:val="TOC2"/>
                <w:tabs>
                  <w:tab w:val="right" w:leader="dot" w:pos="9016"/>
                </w:tabs>
                <w:rPr>
                  <w:rFonts w:asciiTheme="minorHAnsi" w:eastAsiaTheme="minorEastAsia" w:hAnsiTheme="minorHAnsi"/>
                  <w:kern w:val="2"/>
                  <w:szCs w:val="24"/>
                  <w:lang w:eastAsia="en-GB" w:bidi="gu-IN"/>
                  <w14:ligatures w14:val="standardContextual"/>
                </w:rPr>
              </w:pPr>
              <w:hyperlink w:anchor="_Toc227857856" w:history="1">
                <w:r>
                  <w:rPr>
                    <w:rStyle w:val="Hyperlink"/>
                  </w:rPr>
                  <w:t>2.1 AI risk management as a strategic issue for HSBC</w:t>
                </w:r>
                <w:r>
                  <w:tab/>
                </w:r>
                <w:r>
                  <w:fldChar w:fldCharType="begin"/>
                </w:r>
                <w:r>
                  <w:instrText xml:space="preserve"> PAGEREF _Toc227857856 \h </w:instrText>
                </w:r>
                <w:r>
                  <w:fldChar w:fldCharType="separate"/>
                </w:r>
                <w:r>
                  <w:t>4</w:t>
                </w:r>
                <w:r>
                  <w:fldChar w:fldCharType="end"/>
                </w:r>
              </w:hyperlink>
            </w:p>
            <w:p w14:paraId="02069ABF" w14:textId="77777777" w:rsidR="00C807D6" w:rsidRDefault="00000000">
              <w:pPr>
                <w:pStyle w:val="TOC2"/>
                <w:tabs>
                  <w:tab w:val="right" w:leader="dot" w:pos="9016"/>
                </w:tabs>
                <w:rPr>
                  <w:rFonts w:asciiTheme="minorHAnsi" w:eastAsiaTheme="minorEastAsia" w:hAnsiTheme="minorHAnsi"/>
                  <w:kern w:val="2"/>
                  <w:szCs w:val="24"/>
                  <w:lang w:eastAsia="en-GB" w:bidi="gu-IN"/>
                  <w14:ligatures w14:val="standardContextual"/>
                </w:rPr>
              </w:pPr>
              <w:hyperlink w:anchor="_Toc227857857" w:history="1">
                <w:r>
                  <w:rPr>
                    <w:rStyle w:val="Hyperlink"/>
                  </w:rPr>
                  <w:t>2.2 The international economic environment and macroeconomic policy</w:t>
                </w:r>
                <w:r>
                  <w:tab/>
                </w:r>
                <w:r>
                  <w:fldChar w:fldCharType="begin"/>
                </w:r>
                <w:r>
                  <w:instrText xml:space="preserve"> PAGEREF _Toc227857857 \h </w:instrText>
                </w:r>
                <w:r>
                  <w:fldChar w:fldCharType="separate"/>
                </w:r>
                <w:r>
                  <w:t>5</w:t>
                </w:r>
                <w:r>
                  <w:fldChar w:fldCharType="end"/>
                </w:r>
              </w:hyperlink>
            </w:p>
            <w:p w14:paraId="526B3B1F" w14:textId="77777777" w:rsidR="00C807D6" w:rsidRDefault="00000000">
              <w:pPr>
                <w:pStyle w:val="TOC2"/>
                <w:tabs>
                  <w:tab w:val="right" w:leader="dot" w:pos="9016"/>
                </w:tabs>
                <w:rPr>
                  <w:rFonts w:asciiTheme="minorHAnsi" w:eastAsiaTheme="minorEastAsia" w:hAnsiTheme="minorHAnsi"/>
                  <w:kern w:val="2"/>
                  <w:szCs w:val="24"/>
                  <w:lang w:eastAsia="en-GB" w:bidi="gu-IN"/>
                  <w14:ligatures w14:val="standardContextual"/>
                </w:rPr>
              </w:pPr>
              <w:hyperlink w:anchor="_Toc227857858" w:history="1">
                <w:r>
                  <w:rPr>
                    <w:rStyle w:val="Hyperlink"/>
                  </w:rPr>
                  <w:t>2.3 Data governance, privacy and cross-border data risk</w:t>
                </w:r>
                <w:r>
                  <w:tab/>
                </w:r>
                <w:r>
                  <w:fldChar w:fldCharType="begin"/>
                </w:r>
                <w:r>
                  <w:instrText xml:space="preserve"> PAGEREF _Toc227857858 \h </w:instrText>
                </w:r>
                <w:r>
                  <w:fldChar w:fldCharType="separate"/>
                </w:r>
                <w:r>
                  <w:t>6</w:t>
                </w:r>
                <w:r>
                  <w:fldChar w:fldCharType="end"/>
                </w:r>
              </w:hyperlink>
            </w:p>
            <w:p w14:paraId="76C7F4C5" w14:textId="77777777" w:rsidR="00C807D6" w:rsidRDefault="00000000">
              <w:pPr>
                <w:pStyle w:val="TOC2"/>
                <w:tabs>
                  <w:tab w:val="right" w:leader="dot" w:pos="9016"/>
                </w:tabs>
                <w:rPr>
                  <w:rFonts w:asciiTheme="minorHAnsi" w:eastAsiaTheme="minorEastAsia" w:hAnsiTheme="minorHAnsi"/>
                  <w:kern w:val="2"/>
                  <w:szCs w:val="24"/>
                  <w:lang w:eastAsia="en-GB" w:bidi="gu-IN"/>
                  <w14:ligatures w14:val="standardContextual"/>
                </w:rPr>
              </w:pPr>
              <w:hyperlink w:anchor="_Toc227857859" w:history="1">
                <w:r>
                  <w:rPr>
                    <w:rStyle w:val="Hyperlink"/>
                  </w:rPr>
                  <w:t>2.4 Ethical AI, explainability, accountability and customer trust</w:t>
                </w:r>
                <w:r>
                  <w:tab/>
                </w:r>
                <w:r>
                  <w:fldChar w:fldCharType="begin"/>
                </w:r>
                <w:r>
                  <w:instrText xml:space="preserve"> PAGEREF _Toc227857859 \h </w:instrText>
                </w:r>
                <w:r>
                  <w:fldChar w:fldCharType="separate"/>
                </w:r>
                <w:r>
                  <w:t>7</w:t>
                </w:r>
                <w:r>
                  <w:fldChar w:fldCharType="end"/>
                </w:r>
              </w:hyperlink>
            </w:p>
            <w:p w14:paraId="7006189C" w14:textId="77777777" w:rsidR="00C807D6" w:rsidRDefault="00000000">
              <w:pPr>
                <w:pStyle w:val="TOC2"/>
                <w:tabs>
                  <w:tab w:val="right" w:leader="dot" w:pos="9016"/>
                </w:tabs>
                <w:rPr>
                  <w:rFonts w:asciiTheme="minorHAnsi" w:eastAsiaTheme="minorEastAsia" w:hAnsiTheme="minorHAnsi"/>
                  <w:kern w:val="2"/>
                  <w:szCs w:val="24"/>
                  <w:lang w:eastAsia="en-GB" w:bidi="gu-IN"/>
                  <w14:ligatures w14:val="standardContextual"/>
                </w:rPr>
              </w:pPr>
              <w:hyperlink w:anchor="_Toc227857860" w:history="1">
                <w:r>
                  <w:rPr>
                    <w:rStyle w:val="Hyperlink"/>
                  </w:rPr>
                  <w:t>2.5 Regulatory comparison: United Kingdom and European Union</w:t>
                </w:r>
                <w:r>
                  <w:tab/>
                </w:r>
                <w:r>
                  <w:fldChar w:fldCharType="begin"/>
                </w:r>
                <w:r>
                  <w:instrText xml:space="preserve"> PAGEREF _Toc227857860 \h </w:instrText>
                </w:r>
                <w:r>
                  <w:fldChar w:fldCharType="separate"/>
                </w:r>
                <w:r>
                  <w:t>8</w:t>
                </w:r>
                <w:r>
                  <w:fldChar w:fldCharType="end"/>
                </w:r>
              </w:hyperlink>
            </w:p>
            <w:p w14:paraId="34EAFA01" w14:textId="77777777" w:rsidR="00C807D6" w:rsidRDefault="00000000">
              <w:pPr>
                <w:pStyle w:val="TOC3"/>
                <w:tabs>
                  <w:tab w:val="right" w:leader="dot" w:pos="9016"/>
                </w:tabs>
                <w:rPr>
                  <w:rFonts w:asciiTheme="minorHAnsi" w:eastAsiaTheme="minorEastAsia" w:hAnsiTheme="minorHAnsi"/>
                  <w:kern w:val="2"/>
                  <w:szCs w:val="24"/>
                  <w:lang w:eastAsia="en-GB" w:bidi="gu-IN"/>
                  <w14:ligatures w14:val="standardContextual"/>
                </w:rPr>
              </w:pPr>
              <w:hyperlink w:anchor="_Toc227857861" w:history="1">
                <w:r>
                  <w:rPr>
                    <w:rStyle w:val="Hyperlink"/>
                  </w:rPr>
                  <w:t>Table 1: Comparison of the UK and EU AI governance environments for HSBC</w:t>
                </w:r>
                <w:r>
                  <w:tab/>
                </w:r>
                <w:r>
                  <w:fldChar w:fldCharType="begin"/>
                </w:r>
                <w:r>
                  <w:instrText xml:space="preserve"> PAGEREF _Toc227857861 \h </w:instrText>
                </w:r>
                <w:r>
                  <w:fldChar w:fldCharType="separate"/>
                </w:r>
                <w:r>
                  <w:t>10</w:t>
                </w:r>
                <w:r>
                  <w:fldChar w:fldCharType="end"/>
                </w:r>
              </w:hyperlink>
            </w:p>
            <w:p w14:paraId="3585D068" w14:textId="77777777" w:rsidR="00C807D6" w:rsidRDefault="00000000">
              <w:pPr>
                <w:pStyle w:val="TOC2"/>
                <w:tabs>
                  <w:tab w:val="right" w:leader="dot" w:pos="9016"/>
                </w:tabs>
                <w:rPr>
                  <w:rFonts w:asciiTheme="minorHAnsi" w:eastAsiaTheme="minorEastAsia" w:hAnsiTheme="minorHAnsi"/>
                  <w:kern w:val="2"/>
                  <w:szCs w:val="24"/>
                  <w:lang w:eastAsia="en-GB" w:bidi="gu-IN"/>
                  <w14:ligatures w14:val="standardContextual"/>
                </w:rPr>
              </w:pPr>
              <w:hyperlink w:anchor="_Toc227857862" w:history="1">
                <w:r>
                  <w:rPr>
                    <w:rStyle w:val="Hyperlink"/>
                  </w:rPr>
                  <w:t>2.6 Governance architecture and implementation plan</w:t>
                </w:r>
                <w:r>
                  <w:tab/>
                </w:r>
                <w:r>
                  <w:fldChar w:fldCharType="begin"/>
                </w:r>
                <w:r>
                  <w:instrText xml:space="preserve"> PAGEREF _Toc227857862 \h </w:instrText>
                </w:r>
                <w:r>
                  <w:fldChar w:fldCharType="separate"/>
                </w:r>
                <w:r>
                  <w:t>10</w:t>
                </w:r>
                <w:r>
                  <w:fldChar w:fldCharType="end"/>
                </w:r>
              </w:hyperlink>
            </w:p>
            <w:p w14:paraId="6998E9AA" w14:textId="77777777" w:rsidR="00C807D6" w:rsidRDefault="00000000">
              <w:pPr>
                <w:pStyle w:val="TOC3"/>
                <w:tabs>
                  <w:tab w:val="right" w:leader="dot" w:pos="9016"/>
                </w:tabs>
                <w:rPr>
                  <w:rFonts w:asciiTheme="minorHAnsi" w:eastAsiaTheme="minorEastAsia" w:hAnsiTheme="minorHAnsi"/>
                  <w:kern w:val="2"/>
                  <w:szCs w:val="24"/>
                  <w:lang w:eastAsia="en-GB" w:bidi="gu-IN"/>
                  <w14:ligatures w14:val="standardContextual"/>
                </w:rPr>
              </w:pPr>
              <w:hyperlink w:anchor="_Toc227857863" w:history="1">
                <w:r>
                  <w:rPr>
                    <w:rStyle w:val="Hyperlink"/>
                  </w:rPr>
                  <w:t>Table 2: Twenty-four-month implementation plan for HSBC's AI governance model</w:t>
                </w:r>
                <w:r>
                  <w:tab/>
                </w:r>
                <w:r>
                  <w:fldChar w:fldCharType="begin"/>
                </w:r>
                <w:r>
                  <w:instrText xml:space="preserve"> PAGEREF _Toc227857863 \h </w:instrText>
                </w:r>
                <w:r>
                  <w:fldChar w:fldCharType="separate"/>
                </w:r>
                <w:r>
                  <w:t>12</w:t>
                </w:r>
                <w:r>
                  <w:fldChar w:fldCharType="end"/>
                </w:r>
              </w:hyperlink>
            </w:p>
            <w:p w14:paraId="2A490E54" w14:textId="77777777" w:rsidR="00C807D6" w:rsidRDefault="00000000">
              <w:pPr>
                <w:pStyle w:val="TOC1"/>
                <w:tabs>
                  <w:tab w:val="right" w:leader="dot" w:pos="9016"/>
                </w:tabs>
                <w:rPr>
                  <w:rFonts w:asciiTheme="minorHAnsi" w:eastAsiaTheme="minorEastAsia" w:hAnsiTheme="minorHAnsi"/>
                  <w:kern w:val="2"/>
                  <w:szCs w:val="24"/>
                  <w:lang w:eastAsia="en-GB" w:bidi="gu-IN"/>
                  <w14:ligatures w14:val="standardContextual"/>
                </w:rPr>
              </w:pPr>
              <w:hyperlink w:anchor="_Toc227857864" w:history="1">
                <w:r>
                  <w:rPr>
                    <w:rStyle w:val="Hyperlink"/>
                  </w:rPr>
                  <w:t>Conclusion</w:t>
                </w:r>
                <w:r>
                  <w:tab/>
                </w:r>
                <w:r>
                  <w:fldChar w:fldCharType="begin"/>
                </w:r>
                <w:r>
                  <w:instrText xml:space="preserve"> PAGEREF _Toc227857864 \h </w:instrText>
                </w:r>
                <w:r>
                  <w:fldChar w:fldCharType="separate"/>
                </w:r>
                <w:r>
                  <w:t>13</w:t>
                </w:r>
                <w:r>
                  <w:fldChar w:fldCharType="end"/>
                </w:r>
              </w:hyperlink>
            </w:p>
            <w:p w14:paraId="4FB771C0" w14:textId="77777777" w:rsidR="00C807D6" w:rsidRDefault="00000000">
              <w:pPr>
                <w:pStyle w:val="TOC1"/>
                <w:tabs>
                  <w:tab w:val="right" w:leader="dot" w:pos="9016"/>
                </w:tabs>
                <w:rPr>
                  <w:rFonts w:asciiTheme="minorHAnsi" w:eastAsiaTheme="minorEastAsia" w:hAnsiTheme="minorHAnsi"/>
                  <w:kern w:val="2"/>
                  <w:szCs w:val="24"/>
                  <w:lang w:eastAsia="en-GB" w:bidi="gu-IN"/>
                  <w14:ligatures w14:val="standardContextual"/>
                </w:rPr>
              </w:pPr>
              <w:hyperlink w:anchor="_Toc227857865" w:history="1">
                <w:r>
                  <w:rPr>
                    <w:rStyle w:val="Hyperlink"/>
                  </w:rPr>
                  <w:t>Recommendations</w:t>
                </w:r>
                <w:r>
                  <w:tab/>
                </w:r>
                <w:r>
                  <w:fldChar w:fldCharType="begin"/>
                </w:r>
                <w:r>
                  <w:instrText xml:space="preserve"> PAGEREF _Toc227857865 \h </w:instrText>
                </w:r>
                <w:r>
                  <w:fldChar w:fldCharType="separate"/>
                </w:r>
                <w:r>
                  <w:t>14</w:t>
                </w:r>
                <w:r>
                  <w:fldChar w:fldCharType="end"/>
                </w:r>
              </w:hyperlink>
            </w:p>
            <w:p w14:paraId="4B93A64B" w14:textId="77777777" w:rsidR="00C807D6" w:rsidRDefault="00000000">
              <w:pPr>
                <w:pStyle w:val="TOC1"/>
                <w:tabs>
                  <w:tab w:val="right" w:leader="dot" w:pos="9016"/>
                </w:tabs>
                <w:rPr>
                  <w:rFonts w:asciiTheme="minorHAnsi" w:eastAsiaTheme="minorEastAsia" w:hAnsiTheme="minorHAnsi"/>
                  <w:kern w:val="2"/>
                  <w:szCs w:val="24"/>
                  <w:lang w:eastAsia="en-GB" w:bidi="gu-IN"/>
                  <w14:ligatures w14:val="standardContextual"/>
                </w:rPr>
              </w:pPr>
              <w:hyperlink w:anchor="_Toc227857866" w:history="1">
                <w:r>
                  <w:rPr>
                    <w:rStyle w:val="Hyperlink"/>
                  </w:rPr>
                  <w:t>Bibliography</w:t>
                </w:r>
                <w:r>
                  <w:tab/>
                </w:r>
                <w:r>
                  <w:fldChar w:fldCharType="begin"/>
                </w:r>
                <w:r>
                  <w:instrText xml:space="preserve"> PAGEREF _Toc227857866 \h </w:instrText>
                </w:r>
                <w:r>
                  <w:fldChar w:fldCharType="separate"/>
                </w:r>
                <w:r>
                  <w:t>15</w:t>
                </w:r>
                <w:r>
                  <w:fldChar w:fldCharType="end"/>
                </w:r>
              </w:hyperlink>
            </w:p>
            <w:p w14:paraId="7A5F7963" w14:textId="77777777" w:rsidR="00C807D6" w:rsidRDefault="00000000">
              <w:pPr>
                <w:pStyle w:val="TOC3"/>
                <w:tabs>
                  <w:tab w:val="right" w:leader="dot" w:pos="9016"/>
                </w:tabs>
                <w:ind w:left="0"/>
                <w:rPr>
                  <w:b/>
                  <w:bCs/>
                </w:rPr>
              </w:pPr>
              <w:r>
                <w:rPr>
                  <w:b/>
                  <w:bCs/>
                </w:rPr>
                <w:fldChar w:fldCharType="end"/>
              </w:r>
            </w:p>
          </w:sdtContent>
        </w:sdt>
        <w:p w14:paraId="3BC0CB9E" w14:textId="77777777" w:rsidR="00C807D6" w:rsidRDefault="00000000">
          <w:pPr>
            <w:rPr>
              <w:rFonts w:eastAsiaTheme="majorEastAsia" w:cstheme="majorBidi"/>
              <w:color w:val="2E74B5" w:themeColor="accent1" w:themeShade="BF"/>
              <w:sz w:val="28"/>
              <w:szCs w:val="32"/>
            </w:rPr>
          </w:pPr>
          <w:r>
            <w:br w:type="page"/>
          </w:r>
        </w:p>
        <w:p w14:paraId="6E504197" w14:textId="77777777" w:rsidR="00C807D6" w:rsidRDefault="00000000">
          <w:pPr>
            <w:pStyle w:val="Heading1"/>
          </w:pPr>
          <w:bookmarkStart w:id="1" w:name="_Toc227857854"/>
          <w:r>
            <w:lastRenderedPageBreak/>
            <w:t>Introduction</w:t>
          </w:r>
          <w:bookmarkEnd w:id="1"/>
          <w:r>
            <w:t xml:space="preserve"> </w:t>
          </w:r>
        </w:p>
        <w:p w14:paraId="23458C4C" w14:textId="2302D1C9" w:rsidR="001057EE" w:rsidRPr="001057EE" w:rsidRDefault="001057EE">
          <w:pPr>
            <w:jc w:val="both"/>
          </w:pPr>
          <w:r w:rsidRPr="001057EE">
            <w:t>HSBC’s stated purpose is to “open up a world of opportunity”, and its current strategy is framed around becoming the most trusted bank globally and the preferred international financial partner for its customers and clients. That institutional position matters because HSBC’s competitive strength depends not only on scale and international reach, but also on sustained trust, sound governance and disciplined execution across markets. At the same time, the Group’s recent strategic reporting emphasises simplification, agility and targeted investment in areas that strengthen long-term performance. In this context, artificial intelligence should not be treated as a narrow technical development. It is increasingly connected to how HSBC improves service quality, supports decision-making, manages risk and delivers strategic transformation across its operations. As a result, any weakness in AI governance would not remain a technical matter for long; it would affect customer confidence, operational resilience and the credibility of the bank’s wider strategy</w:t>
          </w:r>
          <w:r>
            <w:t xml:space="preserve"> </w:t>
          </w:r>
          <w:sdt>
            <w:sdtPr>
              <w:id w:val="1055745865"/>
              <w:citation/>
            </w:sdtPr>
            <w:sdtContent>
              <w:r>
                <w:fldChar w:fldCharType="begin"/>
              </w:r>
              <w:r>
                <w:rPr>
                  <w:lang w:val="en-US"/>
                </w:rPr>
                <w:instrText xml:space="preserve"> CITATION HSB254 \l 1033  \m Ban24 \m plc5a</w:instrText>
              </w:r>
              <w:r w:rsidR="00B90A1C">
                <w:rPr>
                  <w:lang w:val="en-US"/>
                </w:rPr>
                <w:instrText xml:space="preserve"> \m Ban262</w:instrText>
              </w:r>
              <w:r>
                <w:fldChar w:fldCharType="separate"/>
              </w:r>
              <w:r w:rsidR="00B90A1C" w:rsidRPr="00B90A1C">
                <w:rPr>
                  <w:noProof/>
                  <w:lang w:val="en-US"/>
                </w:rPr>
                <w:t>(HSBC, 2025; Bank of England and FCA, 2024; HSBC Holding plc, 2025a; Bank of England, 2026)</w:t>
              </w:r>
              <w:r>
                <w:fldChar w:fldCharType="end"/>
              </w:r>
            </w:sdtContent>
          </w:sdt>
          <w:r w:rsidR="00B90A1C">
            <w:t xml:space="preserve">. </w:t>
          </w:r>
        </w:p>
        <w:p w14:paraId="2869D639" w14:textId="3AC468FF" w:rsidR="00C807D6" w:rsidRDefault="001057EE">
          <w:pPr>
            <w:rPr>
              <w:rFonts w:eastAsiaTheme="majorEastAsia" w:cstheme="majorBidi"/>
              <w:color w:val="2E74B5" w:themeColor="accent1" w:themeShade="BF"/>
              <w:sz w:val="28"/>
              <w:szCs w:val="32"/>
            </w:rPr>
          </w:pPr>
          <w:r w:rsidRPr="001057EE">
            <w:t>The purpose of this report is therefore to evaluate whether HSBC’s approach to AI risk management is strong enough to support its strategic ambition in a rapidly evolving financial-services environment. This report examines AI not only as a source of productivity and innovation, but also as a source of model risk, governance pressure, third-party dependency, conduct risk and financial-stability concern. UK regulators have already reported widespread AI adoption across financial services, while also identifying data quality, privacy, cyber security and bias as key areas of concern. In parallel, the Bank of England has signalled that responsible innovation in AI is now an important part of the resilience agenda for the financial system, and recent parliamentary scrutiny has reinforced the view that governance and oversight must keep pace with deployment. Accordingly, this report assesses HSBC’s AI governance through strategic, regulatory and operational lenses in order to identify how the bank can scale AI in a manner that is credible, resilient and aligned with its corporate purpose</w:t>
          </w:r>
          <w:r>
            <w:t xml:space="preserve"> </w:t>
          </w:r>
          <w:sdt>
            <w:sdtPr>
              <w:id w:val="888143440"/>
              <w:citation/>
            </w:sdtPr>
            <w:sdtContent>
              <w:r>
                <w:fldChar w:fldCharType="begin"/>
              </w:r>
              <w:r>
                <w:rPr>
                  <w:lang w:val="en-US"/>
                </w:rPr>
                <w:instrText xml:space="preserve"> CITATION Ban251 \l 1033  \m Ban24</w:instrText>
              </w:r>
              <w:r>
                <w:fldChar w:fldCharType="separate"/>
              </w:r>
              <w:r w:rsidRPr="001057EE">
                <w:rPr>
                  <w:noProof/>
                  <w:lang w:val="en-US"/>
                </w:rPr>
                <w:t>(Bank of England, 2025; Bank of England and FCA, 2024)</w:t>
              </w:r>
              <w:r>
                <w:fldChar w:fldCharType="end"/>
              </w:r>
            </w:sdtContent>
          </w:sdt>
          <w:r>
            <w:t xml:space="preserve">. </w:t>
          </w:r>
          <w:r w:rsidR="00000000">
            <w:br w:type="page"/>
          </w:r>
        </w:p>
        <w:p w14:paraId="7F4C089E" w14:textId="77777777" w:rsidR="00C807D6" w:rsidRDefault="00000000">
          <w:pPr>
            <w:pStyle w:val="Heading1"/>
            <w:rPr>
              <w:rFonts w:eastAsiaTheme="minorHAnsi" w:cstheme="minorBidi"/>
              <w:color w:val="auto"/>
              <w:sz w:val="24"/>
              <w:szCs w:val="22"/>
            </w:rPr>
          </w:pPr>
          <w:bookmarkStart w:id="2" w:name="_Toc227857855"/>
          <w:r>
            <w:lastRenderedPageBreak/>
            <w:t>Main Findings</w:t>
          </w:r>
          <w:bookmarkEnd w:id="2"/>
        </w:p>
        <w:p w14:paraId="22F39348" w14:textId="77777777" w:rsidR="00C807D6" w:rsidRDefault="00000000">
          <w:pPr>
            <w:pStyle w:val="Heading2"/>
          </w:pPr>
          <w:bookmarkStart w:id="3" w:name="_Toc227857856"/>
          <w:r>
            <w:t>2.1 AI risk management as a strategic issue for HSBC</w:t>
          </w:r>
          <w:bookmarkEnd w:id="3"/>
        </w:p>
        <w:p w14:paraId="7565EAA0" w14:textId="77777777" w:rsidR="00C807D6" w:rsidRDefault="00000000">
          <w:pPr>
            <w:jc w:val="both"/>
          </w:pPr>
          <w:r>
            <w:t xml:space="preserve">AI is already embedded in core banking decisions, which means failures in AI governance can quickly become failures in business governance. In banking, errors do not remain technical for long: they become mis-priced credit, missed suspicious transactions, unsuitable customer treatment, weak complaints handling or resilience failures. The Bank of England and the Financial Conduct Authority ('FCA') found in their 2024 joint survey that 75 per cent of financial-services firms already use AI and that the most commonly cited risks are data related, including privacy, data quality, cyber security and bias. The significance for HSBC is that the commercial value and the control challenge of AI are rising together, not separately </w:t>
          </w:r>
          <w:sdt>
            <w:sdtPr>
              <w:id w:val="560760343"/>
            </w:sdtPr>
            <w:sdtContent>
              <w:r>
                <w:fldChar w:fldCharType="begin"/>
              </w:r>
              <w:r>
                <w:rPr>
                  <w:lang w:val="en-US"/>
                </w:rPr>
                <w:instrText xml:space="preserve">CITATION Ban24 \l 1033 </w:instrText>
              </w:r>
              <w:r>
                <w:fldChar w:fldCharType="separate"/>
              </w:r>
              <w:r>
                <w:t>(Bank of England and FCA, 2024)</w:t>
              </w:r>
              <w:r>
                <w:fldChar w:fldCharType="end"/>
              </w:r>
            </w:sdtContent>
          </w:sdt>
          <w:r>
            <w:t>.</w:t>
          </w:r>
        </w:p>
        <w:p w14:paraId="61E6E22D" w14:textId="77777777" w:rsidR="00C807D6" w:rsidRDefault="00000000">
          <w:pPr>
            <w:jc w:val="both"/>
          </w:pPr>
          <w:r>
            <w:t xml:space="preserve">HSBC's own disclosures show why AI has become strategically material. The group states that it uses reversion, imitation, sampling, machine learning and judgmental scorecards across customer selection, product pricing, financial-crime transaction monitoring, wealth evaluation and financial reporting. It also reports model-risk committees, data-risk governance and cyber controls intended to support safe digital deployment. At the same time, HSBC has intensified its AI ambition. In 2025 it announced a strategic partnership with Mistral AI to accelerate generative-AI adoption, and in March 2026 it appointed David Rice as its first Chief AI Officer. The group also reports an internal productivity suite based on large language models and more than 26,000 colleagues completing over 122,000 hours of AI-related learning through HSBC's AI Academy. AI is therefore becoming part of HSBC's operating model rather than an isolated innovation project </w:t>
          </w:r>
          <w:sdt>
            <w:sdtPr>
              <w:id w:val="1480569156"/>
            </w:sdtPr>
            <w:sdtContent>
              <w:r>
                <w:fldChar w:fldCharType="begin"/>
              </w:r>
              <w:r>
                <w:rPr>
                  <w:lang w:val="en-US"/>
                </w:rPr>
                <w:instrText xml:space="preserve">CITATION plc5a \m HSB5b \m HSB261 \m Reu6a \l 1033 </w:instrText>
              </w:r>
              <w:r>
                <w:fldChar w:fldCharType="separate"/>
              </w:r>
              <w:r>
                <w:t>(HSBC Holding plc, 2025a; HSBC Holding plc, 2025b; HSBC Holding plc, 2026; Reuters, 2026a)</w:t>
              </w:r>
              <w:r>
                <w:fldChar w:fldCharType="end"/>
              </w:r>
            </w:sdtContent>
          </w:sdt>
          <w:r>
            <w:t>.</w:t>
          </w:r>
        </w:p>
        <w:p w14:paraId="717FC178" w14:textId="77777777" w:rsidR="00C807D6" w:rsidRDefault="00000000">
          <w:pPr>
            <w:jc w:val="both"/>
          </w:pPr>
          <w:r>
            <w:t xml:space="preserve">The governance implication is that a bank cannot rely on conventional model-risk processes alone. Traditional model governance remains necessary, especially in credit and financial-crime use cases, but generative AI, externally hosted models and AI-enabled customer interaction create additional requirements around explainability, monitoring, hallucination risk, vendor dependence and human oversight. </w:t>
          </w:r>
          <w:sdt>
            <w:sdtPr>
              <w:id w:val="-1986152747"/>
            </w:sdtPr>
            <w:sdtContent>
              <w:r>
                <w:fldChar w:fldCharType="begin"/>
              </w:r>
              <w:r>
                <w:rPr>
                  <w:lang w:val="en-US"/>
                </w:rPr>
                <w:instrText xml:space="preserve"> CITATION Ini20 \l 1033 </w:instrText>
              </w:r>
              <w:r>
                <w:fldChar w:fldCharType="separate"/>
              </w:r>
              <w:r>
                <w:rPr>
                  <w:lang w:val="en-US"/>
                </w:rPr>
                <w:t>(Raji et al., 2020)</w:t>
              </w:r>
              <w:r>
                <w:fldChar w:fldCharType="end"/>
              </w:r>
            </w:sdtContent>
          </w:sdt>
          <w:r>
            <w:t xml:space="preserve"> argue that organisational accountability gaps emerge when technical systems are built faster than institutional review processes, while </w:t>
          </w:r>
          <w:sdt>
            <w:sdtPr>
              <w:id w:val="-874394142"/>
            </w:sdtPr>
            <w:sdtContent>
              <w:r>
                <w:fldChar w:fldCharType="begin"/>
              </w:r>
              <w:r>
                <w:rPr>
                  <w:lang w:val="en-US"/>
                </w:rPr>
                <w:instrText xml:space="preserve"> CITATION Amn25 \l 1033 </w:instrText>
              </w:r>
              <w:r>
                <w:fldChar w:fldCharType="separate"/>
              </w:r>
              <w:r>
                <w:rPr>
                  <w:lang w:val="en-US"/>
                </w:rPr>
                <w:t>(Batool et al., 2025)</w:t>
              </w:r>
              <w:r>
                <w:fldChar w:fldCharType="end"/>
              </w:r>
            </w:sdtContent>
          </w:sdt>
          <w:r>
            <w:t xml:space="preserve"> show that AI governance fails when organisations treat it as a purely technical issue rather than a socio-technical one involving policy, incentives and oversight. For HSBC, the strategic mistake would be to treat AI as a digital transformation programme with risk added later. Risk architecture must develop at the same speed as placement. </w:t>
          </w:r>
        </w:p>
        <w:p w14:paraId="4D2E12BA" w14:textId="77777777" w:rsidR="00C807D6" w:rsidRDefault="00000000">
          <w:pPr>
            <w:jc w:val="both"/>
          </w:pPr>
          <w:r>
            <w:t xml:space="preserve">This matters at board level because the bank's competitive positioning depends on trust as well as efficiency. HSBC's ambition to become 'the world's most trusted bank globally' raises the standard against which its AI choices will be judged. </w:t>
          </w:r>
          <w:sdt>
            <w:sdtPr>
              <w:id w:val="908967001"/>
            </w:sdtPr>
            <w:sdtContent>
              <w:r>
                <w:fldChar w:fldCharType="begin"/>
              </w:r>
              <w:r>
                <w:rPr>
                  <w:lang w:val="en-US"/>
                </w:rPr>
                <w:instrText xml:space="preserve"> CITATION Ede25 \l 1033 </w:instrText>
              </w:r>
              <w:r>
                <w:fldChar w:fldCharType="separate"/>
              </w:r>
              <w:r>
                <w:rPr>
                  <w:lang w:val="en-US"/>
                </w:rPr>
                <w:t>(Edelman, 2025)</w:t>
              </w:r>
              <w:r>
                <w:fldChar w:fldCharType="end"/>
              </w:r>
            </w:sdtContent>
          </w:sdt>
          <w:r>
            <w:t xml:space="preserve">Trust Barometer shows that trust in innovation is conditional rather than automatic, while </w:t>
          </w:r>
          <w:sdt>
            <w:sdtPr>
              <w:id w:val="-1243717432"/>
            </w:sdtPr>
            <w:sdtContent>
              <w:r>
                <w:fldChar w:fldCharType="begin"/>
              </w:r>
              <w:r>
                <w:rPr>
                  <w:lang w:val="en-US"/>
                </w:rPr>
                <w:instrText xml:space="preserve"> CITATION Ell20 \l 1033 </w:instrText>
              </w:r>
              <w:r>
                <w:fldChar w:fldCharType="separate"/>
              </w:r>
              <w:r>
                <w:rPr>
                  <w:lang w:val="en-US"/>
                </w:rPr>
                <w:t>(Glikson &amp; Woolley, 2020)</w:t>
              </w:r>
              <w:r>
                <w:fldChar w:fldCharType="end"/>
              </w:r>
            </w:sdtContent>
          </w:sdt>
          <w:r>
            <w:t xml:space="preserve"> find that trust in AI depends heavily on perceived reliability, transparency and institutional context. Customer trust is therefore not a communications outcome layered on top of AI strategy it is one of the main tests of whether the strategy is working. </w:t>
          </w:r>
        </w:p>
        <w:p w14:paraId="7B914667" w14:textId="77777777" w:rsidR="00C807D6" w:rsidRDefault="00000000">
          <w:pPr>
            <w:rPr>
              <w:rFonts w:eastAsiaTheme="majorEastAsia" w:cstheme="majorBidi"/>
              <w:color w:val="2E74B5" w:themeColor="accent1" w:themeShade="BF"/>
              <w:szCs w:val="26"/>
            </w:rPr>
          </w:pPr>
          <w:r>
            <w:br w:type="page"/>
          </w:r>
        </w:p>
        <w:p w14:paraId="0F46DFA6" w14:textId="77777777" w:rsidR="00C807D6" w:rsidRDefault="00000000">
          <w:pPr>
            <w:pStyle w:val="Heading2"/>
          </w:pPr>
          <w:bookmarkStart w:id="4" w:name="_Toc227857857"/>
          <w:r>
            <w:lastRenderedPageBreak/>
            <w:t>2.2 The international economic environment and macroeconomic policy</w:t>
          </w:r>
          <w:bookmarkEnd w:id="4"/>
        </w:p>
        <w:p w14:paraId="2CFE8B18" w14:textId="77777777" w:rsidR="00C807D6" w:rsidRDefault="00000000">
          <w:pPr>
            <w:jc w:val="both"/>
          </w:pPr>
          <w:r>
            <w:t xml:space="preserve">The macroeconomic environment shapes both the attractiveness of AI investment and the risks of arranging it badly. The International Monetary Fund's January 2026 World Economic Outlook Update projects global growth of 3.3 per cent in 2026 and 3.2 per cent in 2027, while noting that technology investment has helped offset trade-policy headwinds. For global firms, including banks, that creates pressure to continue digital and AI investment even while uncertainty remains elevated. AI is increasingly framed as a means of raising productivity, shortening processing times and managing costs in a lower-growth, higher-volatility environment </w:t>
          </w:r>
          <w:sdt>
            <w:sdtPr>
              <w:id w:val="1485886987"/>
            </w:sdtPr>
            <w:sdtContent>
              <w:r>
                <w:fldChar w:fldCharType="begin"/>
              </w:r>
              <w:r>
                <w:rPr>
                  <w:lang w:val="en-US"/>
                </w:rPr>
                <w:instrText xml:space="preserve">CITATION Int26 \m OEC24 \l 1033 </w:instrText>
              </w:r>
              <w:r>
                <w:fldChar w:fldCharType="separate"/>
              </w:r>
              <w:r>
                <w:t>(International Monetary Fund, 2026; OECO, 2024c)</w:t>
              </w:r>
              <w:r>
                <w:fldChar w:fldCharType="end"/>
              </w:r>
            </w:sdtContent>
          </w:sdt>
          <w:r>
            <w:t xml:space="preserve">. </w:t>
          </w:r>
        </w:p>
        <w:p w14:paraId="3C2ADC81" w14:textId="77777777" w:rsidR="00C807D6" w:rsidRDefault="00000000">
          <w:pPr>
            <w:jc w:val="both"/>
          </w:pPr>
          <w:r>
            <w:t xml:space="preserve">Monetary policy reinforces that pressure. The Bank of England held Bank Rate at 3.75 per cent in March 2026 and reported inflation at 3.0 per cent, while warning that renewed Middle East tensions had increased uncertainty and pushed up energy prices. The European Central Bank also left rates unchanged in March 2026 but revised inflation expectations upward and growth expectations downward. For a multinational bank these conditions matter because customer risk profiles can change quickly when inflation, rates or energy costs move, while instability makes historical data less stable as a guide to future behaviour. That increases the incentive to deploy AI for pricing, risk monitoring, service efficiency and fraud control, but it also increases the danger of model drift if systems are trained on patterns that no longer hold </w:t>
          </w:r>
          <w:sdt>
            <w:sdtPr>
              <w:id w:val="-690382425"/>
            </w:sdtPr>
            <w:sdtContent>
              <w:r>
                <w:fldChar w:fldCharType="begin"/>
              </w:r>
              <w:r>
                <w:rPr>
                  <w:lang w:val="en-US"/>
                </w:rPr>
                <w:instrText>CITATION Ban261 \l 1033  \m Ban6b \m ECB26</w:instrText>
              </w:r>
              <w:r>
                <w:fldChar w:fldCharType="separate"/>
              </w:r>
              <w:r>
                <w:t>(Bank of England, 2026a; Bank of England, 2026b; ECB, 2026)</w:t>
              </w:r>
              <w:r>
                <w:fldChar w:fldCharType="end"/>
              </w:r>
            </w:sdtContent>
          </w:sdt>
          <w:r>
            <w:t>.</w:t>
          </w:r>
        </w:p>
        <w:p w14:paraId="535A10F6" w14:textId="77777777" w:rsidR="00C807D6" w:rsidRDefault="00000000">
          <w:pPr>
            <w:jc w:val="both"/>
          </w:pPr>
          <w:r>
            <w:t xml:space="preserve">HSBC's own strategic and financial context fits this macro picture. The group reported profit before tax of $29.9 billion in 2025 and a CET1 ratio of 14.9 per cent, while pursuing organisational simplification and greater operating efficiency. Reuters reported in March 2026 that senior management had linked expanded AI use to HSBC's ambition to improve returns over 2026-2028. Resource-Based View logic is useful here. Barney (1991) argues that sustained advantage depends on resources and capabilities that are valuable, rare, difficult to imitate and organisationally embedded. Applied to HSBC, the implication is that competitive advantage will not come from generic AI tools that every bank can buy, it will come from building a governance and deployment capability that allows HSBC to scale AI safely in regulated, data-intensive contexts </w:t>
          </w:r>
          <w:sdt>
            <w:sdtPr>
              <w:id w:val="1346444801"/>
            </w:sdtPr>
            <w:sdtContent>
              <w:r>
                <w:fldChar w:fldCharType="begin"/>
              </w:r>
              <w:r>
                <w:rPr>
                  <w:lang w:val="en-US"/>
                </w:rPr>
                <w:instrText xml:space="preserve"> CITATION plc5a \l 1033  \m Reu6a \m Jay91</w:instrText>
              </w:r>
              <w:r>
                <w:fldChar w:fldCharType="separate"/>
              </w:r>
              <w:r>
                <w:rPr>
                  <w:lang w:val="en-US"/>
                </w:rPr>
                <w:t>(HSBC Holding plc, 2025a; Reuters, 2026a; Barney, 1991)</w:t>
              </w:r>
              <w:r>
                <w:fldChar w:fldCharType="end"/>
              </w:r>
            </w:sdtContent>
          </w:sdt>
          <w:r>
            <w:t>.</w:t>
          </w:r>
        </w:p>
        <w:p w14:paraId="41498DE0" w14:textId="77777777" w:rsidR="00C807D6" w:rsidRDefault="00000000">
          <w:pPr>
            <w:jc w:val="both"/>
          </w:pPr>
          <w:r>
            <w:t xml:space="preserve">Macroeconomic uncertainty also makes weak governance more expensive. The World Economic Forum's Global Risks Report 2025 highlights misinformation, cyber insecurity and adverse outcomes of AI technologies among the major risks facing organisations. McKinsey's 2025 State of AI survey similarly reports that 47 per cent of organisations using generative AI experienced at least one negative consequence, while more than 80 per cent still reported no tangible enterprise-level EBIT impact. Boards are investing because they fear missing the upside, but realised gains remain uneven and downside incidents are already common. The stronger strategic position is therefore disciplined scale continues to invest, but tie that investment to measurable governance capability and evidence that risk controls are keeping step with deployment </w:t>
          </w:r>
          <w:sdt>
            <w:sdtPr>
              <w:id w:val="-1696079409"/>
            </w:sdtPr>
            <w:sdtContent>
              <w:r>
                <w:fldChar w:fldCharType="begin"/>
              </w:r>
              <w:r>
                <w:rPr>
                  <w:lang w:val="en-US"/>
                </w:rPr>
                <w:instrText xml:space="preserve"> CITATION McK25 \l 1033  \m Wor25</w:instrText>
              </w:r>
              <w:r>
                <w:fldChar w:fldCharType="separate"/>
              </w:r>
              <w:r>
                <w:rPr>
                  <w:lang w:val="en-US"/>
                </w:rPr>
                <w:t>(McKinsey &amp; Company, 2025; World Economic Forum, 2025)</w:t>
              </w:r>
              <w:r>
                <w:fldChar w:fldCharType="end"/>
              </w:r>
            </w:sdtContent>
          </w:sdt>
          <w:r>
            <w:t>.</w:t>
          </w:r>
        </w:p>
        <w:p w14:paraId="3DD4A26B" w14:textId="77777777" w:rsidR="00C807D6" w:rsidRDefault="00000000">
          <w:pPr>
            <w:jc w:val="both"/>
            <w:rPr>
              <w:rFonts w:eastAsiaTheme="majorEastAsia" w:cstheme="majorBidi"/>
              <w:color w:val="2E74B5" w:themeColor="accent1" w:themeShade="BF"/>
              <w:szCs w:val="26"/>
            </w:rPr>
          </w:pPr>
          <w:r>
            <w:br w:type="page"/>
          </w:r>
        </w:p>
        <w:p w14:paraId="2167A6C2" w14:textId="77777777" w:rsidR="00C807D6" w:rsidRDefault="00000000">
          <w:pPr>
            <w:pStyle w:val="Heading2"/>
          </w:pPr>
          <w:bookmarkStart w:id="5" w:name="_Toc227857858"/>
          <w:r>
            <w:lastRenderedPageBreak/>
            <w:t>2.3 Data governance, privacy and cross-border data risk</w:t>
          </w:r>
          <w:bookmarkEnd w:id="5"/>
        </w:p>
        <w:p w14:paraId="207529AF" w14:textId="77777777" w:rsidR="00C807D6" w:rsidRDefault="00000000">
          <w:pPr>
            <w:jc w:val="both"/>
          </w:pPr>
          <w:r>
            <w:t xml:space="preserve">Data governance is the operational foundation of AI risk management because most material AI failures begin with data problems. In banking, the issue is not only inaccurate data but also incomplete lineage, inappropriate reprocess, weak authorization, poor representativeness and unclear cross-border transfer arrangements. The Bank of England and FCA found that four of the top five AI risks identified by financial-services firms were data related: privacy and protection, data quality, data security and bias. Those risks are amplified in multinational institutions because data often moves across business lines, legal units and powers with different privacy rules and different expectations about explainability and contestability </w:t>
          </w:r>
          <w:sdt>
            <w:sdtPr>
              <w:id w:val="574402958"/>
            </w:sdtPr>
            <w:sdtContent>
              <w:r>
                <w:fldChar w:fldCharType="begin"/>
              </w:r>
              <w:r>
                <w:rPr>
                  <w:lang w:val="en-US"/>
                </w:rPr>
                <w:instrText xml:space="preserve"> CITATION Ban24 \l 1033  \m OEC4a</w:instrText>
              </w:r>
              <w:r>
                <w:fldChar w:fldCharType="separate"/>
              </w:r>
              <w:r>
                <w:rPr>
                  <w:lang w:val="en-US"/>
                </w:rPr>
                <w:t>(Bank of England and FCA, 2024; OECD, 2024a)</w:t>
              </w:r>
              <w:r>
                <w:fldChar w:fldCharType="end"/>
              </w:r>
            </w:sdtContent>
          </w:sdt>
          <w:r>
            <w:t xml:space="preserve">. </w:t>
          </w:r>
        </w:p>
        <w:p w14:paraId="49CCE3CF" w14:textId="77777777" w:rsidR="00C807D6" w:rsidRDefault="00000000">
          <w:pPr>
            <w:jc w:val="both"/>
          </w:pPr>
          <w:r>
            <w:t xml:space="preserve">HSBC already discloses significant work on data governance through trusted sources, data flows, data-quality controls, privacy processes and a risk-data aggregation and risk-reporting framework aligned to BCBS239 principles. Those are strong foundations, but AI raises the standard in two ways. First, the bank must show not only that data is governed, but that the data is appropriate for the purpose and decision context of each AI system. Second, it must demonstrate that personal data, model inputs, outputs and derived inferences are controlled consistently across powers. Abraham, Schneider and von Brocke (2019) argue that data governance succeeds when organisations clearly define decision rights, accountability and data-quality expectations across the enterprise. Applied to HSBC, AI data governance should therefore be tied to business ownership, legal accountability and model inventory at group level rather than left inside a technical lack of collaboration </w:t>
          </w:r>
          <w:sdt>
            <w:sdtPr>
              <w:id w:val="360947033"/>
            </w:sdtPr>
            <w:sdtContent>
              <w:r>
                <w:fldChar w:fldCharType="begin"/>
              </w:r>
              <w:r>
                <w:rPr>
                  <w:lang w:val="en-US"/>
                </w:rPr>
                <w:instrText xml:space="preserve"> CITATION plc5a \l 1033  \m Ren19</w:instrText>
              </w:r>
              <w:r>
                <w:fldChar w:fldCharType="separate"/>
              </w:r>
              <w:r>
                <w:rPr>
                  <w:lang w:val="en-US"/>
                </w:rPr>
                <w:t>(HSBC Holding plc, 2025a; Abraham et al., 2019)</w:t>
              </w:r>
              <w:r>
                <w:fldChar w:fldCharType="end"/>
              </w:r>
            </w:sdtContent>
          </w:sdt>
          <w:r>
            <w:t>.</w:t>
          </w:r>
        </w:p>
        <w:p w14:paraId="544C4FBE" w14:textId="77777777" w:rsidR="00C807D6" w:rsidRDefault="00000000">
          <w:pPr>
            <w:jc w:val="both"/>
          </w:pPr>
          <w:r>
            <w:t xml:space="preserve">Cross-border data issues are especially important because the UK and EU remain aligned in broad privacy structure but not identical in institutional development. The UK GDPR still contains important safeguards relating to automated decision-making, and the Information Commissioner's Office ('ICO') continues to emphasise that solely automated decisions with legal or similarly significant effects trigger enhanced rights. The Data (Use and Access) Act 2025 has amended parts of the UK regime, with a first set of provisions already in force and a larger package commencing on 5 February 2026, yet the broad policy direction is not deregulation. For HSBC, that means compliance still depends on disciplined mapping of lawful bases, data minimisation, retention, access control and human review where significant effects are involved </w:t>
          </w:r>
          <w:sdt>
            <w:sdtPr>
              <w:id w:val="1566456643"/>
            </w:sdtPr>
            <w:sdtContent>
              <w:r>
                <w:fldChar w:fldCharType="begin"/>
              </w:r>
              <w:r>
                <w:rPr>
                  <w:lang w:val="en-US"/>
                </w:rPr>
                <w:instrText xml:space="preserve"> CITATION ICO26 \l 1033  \m ICO261 \m UKG25</w:instrText>
              </w:r>
              <w:r>
                <w:fldChar w:fldCharType="separate"/>
              </w:r>
              <w:r>
                <w:rPr>
                  <w:lang w:val="en-US"/>
                </w:rPr>
                <w:t>(ICO, n.d.; ICO, 2026; UK Government, 2025)</w:t>
              </w:r>
              <w:r>
                <w:fldChar w:fldCharType="end"/>
              </w:r>
            </w:sdtContent>
          </w:sdt>
          <w:r>
            <w:t>.</w:t>
          </w:r>
        </w:p>
        <w:p w14:paraId="0E9C1A2C" w14:textId="51C41C11" w:rsidR="00C807D6" w:rsidRDefault="00000000">
          <w:pPr>
            <w:jc w:val="both"/>
          </w:pPr>
          <w:r>
            <w:t xml:space="preserve">The privacy challenge is also architectural. Generative-AI tools and vendor-hosted applications can blur the boundaries between prompts, outputs, training data and secondary use. OECD work on AI, data governance and privacy notes that AI and privacy communities have often developed in silos even though AI systems increasingly operate on large-scale personal and commercially sensitive data. In a bank, a document-processing or summarisation tool may create confidentiality and leakage risk even where the underlying dataset was lawfully collected. NIST's AI Risk Management Framework therefore emphasises data provenance, intended use, downstream impacts and ongoing monitoring rather than assuming that compliance at data-collection stage is sufficient for the rest of the lifecycle </w:t>
          </w:r>
          <w:sdt>
            <w:sdtPr>
              <w:id w:val="1559203566"/>
            </w:sdtPr>
            <w:sdtContent>
              <w:r>
                <w:fldChar w:fldCharType="begin"/>
              </w:r>
              <w:r>
                <w:rPr>
                  <w:lang w:val="en-US"/>
                </w:rPr>
                <w:instrText xml:space="preserve"> CITATION OEC4a \l 1033  \m Nat23</w:instrText>
              </w:r>
              <w:r>
                <w:fldChar w:fldCharType="separate"/>
              </w:r>
              <w:r>
                <w:rPr>
                  <w:lang w:val="en-US"/>
                </w:rPr>
                <w:t xml:space="preserve">(OECD, 2024a; </w:t>
              </w:r>
              <w:r w:rsidR="00D713A6" w:rsidRPr="00D713A6">
                <w:t>OECD</w:t>
              </w:r>
              <w:r w:rsidR="00D713A6">
                <w:t xml:space="preserve">, </w:t>
              </w:r>
              <w:r w:rsidR="00D713A6" w:rsidRPr="00D713A6">
                <w:t>2024b</w:t>
              </w:r>
              <w:r w:rsidR="00D713A6">
                <w:t>;</w:t>
              </w:r>
              <w:r w:rsidR="00D713A6" w:rsidRPr="00D713A6">
                <w:t xml:space="preserve"> </w:t>
              </w:r>
              <w:r>
                <w:rPr>
                  <w:lang w:val="en-US"/>
                </w:rPr>
                <w:t>National Institute of Standards and Technology, 2023)</w:t>
              </w:r>
              <w:r>
                <w:fldChar w:fldCharType="end"/>
              </w:r>
            </w:sdtContent>
          </w:sdt>
        </w:p>
        <w:p w14:paraId="15A4BDEA" w14:textId="77777777" w:rsidR="00C807D6" w:rsidRDefault="00C807D6">
          <w:pPr>
            <w:jc w:val="both"/>
          </w:pPr>
        </w:p>
        <w:p w14:paraId="6C1668C3" w14:textId="77777777" w:rsidR="00C807D6" w:rsidRDefault="00C807D6">
          <w:pPr>
            <w:jc w:val="both"/>
          </w:pPr>
        </w:p>
        <w:p w14:paraId="32BDE7DE" w14:textId="757F33BC" w:rsidR="00C807D6" w:rsidRDefault="00000000">
          <w:pPr>
            <w:jc w:val="both"/>
          </w:pPr>
          <w:r>
            <w:lastRenderedPageBreak/>
            <w:t xml:space="preserve">There is also a concentration dimension. The Bank of England and FCA survey found extensive dependence on a small number of cloud, model and data providers, while HSBC identifies third-party risk as a major enterprise concern. Reuters reported in December 2025 that HSBC's Mistral partnership is intended to accelerate generative-AI use across the group. Third-party AI can deliver value faster than internal build, but it complicates governance because critical controls may sit outside the bank's own infrastructure. That heightens the need for model documentation, audit rights, change-notification duties, resilience testing and exit planning. A future-proof data-governance model therefore requires an enterprise AI inventory, traceable lineage, region-specific data controls and third-party oversight that is materially stronger than conventional vendor management </w:t>
          </w:r>
          <w:sdt>
            <w:sdtPr>
              <w:id w:val="-883549746"/>
            </w:sdtPr>
            <w:sdtContent>
              <w:r>
                <w:fldChar w:fldCharType="begin"/>
              </w:r>
              <w:r>
                <w:rPr>
                  <w:lang w:val="en-US"/>
                </w:rPr>
                <w:instrText xml:space="preserve"> CITATION Ban24 \l 1033  \m Reu252 \m OEC6b</w:instrText>
              </w:r>
              <w:r>
                <w:fldChar w:fldCharType="separate"/>
              </w:r>
              <w:r>
                <w:rPr>
                  <w:lang w:val="en-US"/>
                </w:rPr>
                <w:t>(Bank of England and FCA, 2024; Reuters, 2025;</w:t>
              </w:r>
              <w:r w:rsidR="00D713A6">
                <w:rPr>
                  <w:lang w:val="en-US"/>
                </w:rPr>
                <w:t xml:space="preserve"> </w:t>
              </w:r>
              <w:r w:rsidR="00D713A6" w:rsidRPr="00D713A6">
                <w:t>OECD</w:t>
              </w:r>
              <w:r w:rsidR="00D713A6">
                <w:t xml:space="preserve">, </w:t>
              </w:r>
              <w:r w:rsidR="00D713A6" w:rsidRPr="00D713A6">
                <w:t>2026a</w:t>
              </w:r>
              <w:r w:rsidR="00D713A6">
                <w:t>;</w:t>
              </w:r>
              <w:r>
                <w:rPr>
                  <w:lang w:val="en-US"/>
                </w:rPr>
                <w:t xml:space="preserve"> OECD, 2026b)</w:t>
              </w:r>
              <w:r>
                <w:fldChar w:fldCharType="end"/>
              </w:r>
            </w:sdtContent>
          </w:sdt>
          <w:r>
            <w:t>.</w:t>
          </w:r>
        </w:p>
        <w:p w14:paraId="3A750032" w14:textId="77777777" w:rsidR="00C807D6" w:rsidRDefault="00000000">
          <w:pPr>
            <w:pStyle w:val="Heading2"/>
            <w:jc w:val="both"/>
          </w:pPr>
          <w:bookmarkStart w:id="6" w:name="_Toc227857859"/>
          <w:r>
            <w:t>2.4 Ethical AI, explainability, accountability and customer trust</w:t>
          </w:r>
          <w:bookmarkEnd w:id="6"/>
        </w:p>
        <w:p w14:paraId="3595621F" w14:textId="77777777" w:rsidR="00C807D6" w:rsidRDefault="00000000">
          <w:pPr>
            <w:jc w:val="both"/>
          </w:pPr>
          <w:r>
            <w:t xml:space="preserve">Ethical AI matters in banking because legal compliance alone does not resolve questions of fairness, transparency and legitimacy. </w:t>
          </w:r>
          <w:proofErr w:type="spellStart"/>
          <w:r>
            <w:t>Floridi</w:t>
          </w:r>
          <w:proofErr w:type="spellEnd"/>
          <w:r>
            <w:t xml:space="preserve"> et al. (2018) argue that trustworthy AI requires principles such as beneficence, non-maleficence, autonomy, justice and explicability, while Jobin, Ienca and </w:t>
          </w:r>
          <w:proofErr w:type="spellStart"/>
          <w:r>
            <w:t>Vayena</w:t>
          </w:r>
          <w:proofErr w:type="spellEnd"/>
          <w:r>
            <w:t xml:space="preserve"> (2019) show that global AI ethics guidelines consistently emphasise transparency, accountability and fairness. Yet principles alone are not enough. Mittelstadt (2019) argues that they often fail because they do not specify the institutional mechanisms through which trade-offs will be governed. For HSBC, this matters directly. A bank can publish responsible-AI principles and still create harm if high-impact systems remain weakly explained, poorly tested or difficult for customers to challenge </w:t>
          </w:r>
          <w:sdt>
            <w:sdtPr>
              <w:id w:val="892461800"/>
            </w:sdtPr>
            <w:sdtContent>
              <w:r>
                <w:fldChar w:fldCharType="begin"/>
              </w:r>
              <w:r>
                <w:rPr>
                  <w:lang w:val="en-US"/>
                </w:rPr>
                <w:instrText xml:space="preserve"> CITATION Luc181 \l 1033  \m Ann19 \m Bre19</w:instrText>
              </w:r>
              <w:r>
                <w:fldChar w:fldCharType="separate"/>
              </w:r>
              <w:r>
                <w:rPr>
                  <w:lang w:val="en-US"/>
                </w:rPr>
                <w:t>(Floridi et al., 2018; Jobin et al., 2019; Mittelstadt, 2019)</w:t>
              </w:r>
              <w:r>
                <w:fldChar w:fldCharType="end"/>
              </w:r>
            </w:sdtContent>
          </w:sdt>
          <w:r>
            <w:t>.</w:t>
          </w:r>
        </w:p>
        <w:p w14:paraId="3EE1FE94" w14:textId="77777777" w:rsidR="00C807D6" w:rsidRDefault="00000000">
          <w:pPr>
            <w:jc w:val="both"/>
          </w:pPr>
          <w:r>
            <w:t xml:space="preserve">Customer trust is the clearest place where ethical and commercial logic meet. Edelman's 2025 data suggests that trust in innovation depends on whether institutions can show that new technologies are managed in the public interest, while the FCA's Mills Review stresses that AI could improve accessibility and personalisation in retail financial services but could equally worsen exclusion, manipulation, bias and fraud. In retail and commercial banking, trust failures quickly become economic failures because they increase complaints, remediation costs, regulatory scrutiny and attrition. Stakeholder Theory helps explain why. Freeman (1984) argues that firms must create value for and balance the interests of multiple stakeholder groups rather than treat shareholders as the only relevant audience. In HSBC's case those stakeholders include customers, regulators, investors, employees and technology partners. A governance model that is efficient for deployment but unacceptable to customers or supervisors is therefore not strategically sound </w:t>
          </w:r>
          <w:sdt>
            <w:sdtPr>
              <w:id w:val="-746574309"/>
            </w:sdtPr>
            <w:sdtContent>
              <w:r>
                <w:fldChar w:fldCharType="begin"/>
              </w:r>
              <w:r>
                <w:rPr>
                  <w:lang w:val="en-US"/>
                </w:rPr>
                <w:instrText xml:space="preserve">CITATION Ede25 \m Fin261 \m REd84 \l 1033 </w:instrText>
              </w:r>
              <w:r>
                <w:fldChar w:fldCharType="separate"/>
              </w:r>
              <w:r>
                <w:t>(Edelman, 2025; Financial Conduct Authority, 2026; Freeman, 1984)</w:t>
              </w:r>
              <w:r>
                <w:fldChar w:fldCharType="end"/>
              </w:r>
            </w:sdtContent>
          </w:sdt>
          <w:r>
            <w:t>.</w:t>
          </w:r>
        </w:p>
        <w:p w14:paraId="7EF039E5" w14:textId="77777777" w:rsidR="00C807D6" w:rsidRDefault="00000000">
          <w:pPr>
            <w:jc w:val="both"/>
          </w:pPr>
          <w:r>
            <w:t xml:space="preserve">Explainability is central to this problem. Rai (2020) shows that explainable AI should be understood not as a universal technical property but as a context-specific requirement shaped by the decision, the audience and the risk at stake. In banking, the explanation required for a fraud alert, a credit decision or a pricing outcome will differ, but decision-makers still need enough insight to detect unreasonable outputs and support challenge. Binns (2018) and Selbst et al. (2019) add an important caution: fairness is not simply a matter of choosing the right metric. It depends on how social and institutional context is represented in the system. For HSBC, bias testing cannot be reduced to a narrow statistical exercise performed once at launch. High-impact systems need continuous monitoring, clear escalation routes and review by people who understand conduct risk, vulnerability and customer outcome as well as model performance </w:t>
          </w:r>
          <w:sdt>
            <w:sdtPr>
              <w:id w:val="1671984969"/>
            </w:sdtPr>
            <w:sdtContent>
              <w:r>
                <w:fldChar w:fldCharType="begin"/>
              </w:r>
              <w:r>
                <w:rPr>
                  <w:lang w:val="en-US"/>
                </w:rPr>
                <w:instrText xml:space="preserve"> CITATION Reu18 \l 1033  \m Aru20 \m And19</w:instrText>
              </w:r>
              <w:r>
                <w:fldChar w:fldCharType="separate"/>
              </w:r>
              <w:r>
                <w:rPr>
                  <w:lang w:val="en-US"/>
                </w:rPr>
                <w:t>(Binns, 2018; Rai, 2020; Selbst et al., 2019)</w:t>
              </w:r>
              <w:r>
                <w:fldChar w:fldCharType="end"/>
              </w:r>
            </w:sdtContent>
          </w:sdt>
          <w:r>
            <w:t>.</w:t>
          </w:r>
        </w:p>
        <w:p w14:paraId="60EA06FE" w14:textId="77777777" w:rsidR="00C807D6" w:rsidRDefault="00000000">
          <w:pPr>
            <w:jc w:val="both"/>
          </w:pPr>
          <w:r>
            <w:lastRenderedPageBreak/>
            <w:t xml:space="preserve">The accountability question is equally important. The Institute of Internal Auditors' Three Lines Model remains highly relevant because it clarifies that business ownership, independent risk oversight and internal assurance should not collapse into each other. First-line teams can own AI-enabled products and processes, but they should not validate themselves. Second-line risk and compliance functions should set policy, challenge and approve material controls. Third-line internal audit should test whether the overall governance framework is effective in practice. Raji et al. (2020) call for algorithmic auditing and documentation to close the accountability gap. OECD's 2026 Due Diligence Guidance for Responsible AI makes a similar point by urging organisations to define governance responsibilities and establish ongoing review. HSBC already has mature risk structures, but it still needs AI-specific accountability so that serious decisions cannot be obscured by the claim that 'the model produced the outcome' </w:t>
          </w:r>
          <w:sdt>
            <w:sdtPr>
              <w:id w:val="1428699338"/>
            </w:sdtPr>
            <w:sdtContent>
              <w:r>
                <w:fldChar w:fldCharType="begin"/>
              </w:r>
              <w:r>
                <w:rPr>
                  <w:lang w:val="en-US"/>
                </w:rPr>
                <w:instrText xml:space="preserve">CITATION Ini20 \m Ins24 \m OEC26 \l 1033 </w:instrText>
              </w:r>
              <w:r>
                <w:fldChar w:fldCharType="separate"/>
              </w:r>
              <w:r>
                <w:t>(Raji et al., 2020; Institute of Internal Auditors, 2024; OECD, 2026c)</w:t>
              </w:r>
              <w:r>
                <w:fldChar w:fldCharType="end"/>
              </w:r>
            </w:sdtContent>
          </w:sdt>
          <w:r>
            <w:t xml:space="preserve">. </w:t>
          </w:r>
        </w:p>
        <w:p w14:paraId="0D1B2168" w14:textId="77777777" w:rsidR="00C807D6" w:rsidRDefault="00000000">
          <w:pPr>
            <w:jc w:val="both"/>
            <w:rPr>
              <w:rFonts w:cstheme="majorBidi"/>
            </w:rPr>
          </w:pPr>
          <w:r>
            <w:rPr>
              <w:rFonts w:cstheme="majorBidi"/>
            </w:rPr>
            <w:t>(Note: For Institute of Internal Auditors source On Saturday, April 25, 2026, between 9:00 AM and 1:00 PM ET, multiple systems including CCMS, portals, and account management will be undergoing planned maintenance.)</w:t>
          </w:r>
        </w:p>
        <w:p w14:paraId="64DD522B" w14:textId="77777777" w:rsidR="00C807D6" w:rsidRDefault="00000000">
          <w:pPr>
            <w:jc w:val="both"/>
          </w:pPr>
          <w:r>
            <w:t xml:space="preserve">Trust is also inseparable from security. The UK's National Cyber Security Centre notes that security is a precondition for resilient, fair and reliable AI, and its work on AI-enabled cyber threats warns that AI will intensify aspects of the threat landscape up to 2027. The Treasury Committee's 2026 report likewise warned about systemic dependency on a small number of external AI and cloud providers. Responsible AI in HSBC must therefore be treated as a joint ethics, conduct, security and resilience agenda rather than a compliance subgroup  </w:t>
          </w:r>
          <w:sdt>
            <w:sdtPr>
              <w:id w:val="-1789659858"/>
            </w:sdtPr>
            <w:sdtContent>
              <w:r>
                <w:fldChar w:fldCharType="begin"/>
              </w:r>
              <w:r>
                <w:rPr>
                  <w:lang w:val="en-US"/>
                </w:rPr>
                <w:instrText xml:space="preserve"> CITATION Nat4a \l 1033  \m Nat251 \m Tre26</w:instrText>
              </w:r>
              <w:r>
                <w:fldChar w:fldCharType="separate"/>
              </w:r>
              <w:r>
                <w:rPr>
                  <w:lang w:val="en-US"/>
                </w:rPr>
                <w:t>(National Cyber Security Centre, 2024a; National Cyber Security Centre, 2025; Treasury Committee, 2026)</w:t>
              </w:r>
              <w:r>
                <w:fldChar w:fldCharType="end"/>
              </w:r>
            </w:sdtContent>
          </w:sdt>
          <w:r>
            <w:t>.</w:t>
          </w:r>
        </w:p>
        <w:p w14:paraId="19A62F17" w14:textId="77777777" w:rsidR="00C807D6" w:rsidRDefault="00000000">
          <w:pPr>
            <w:pStyle w:val="Heading2"/>
            <w:jc w:val="both"/>
          </w:pPr>
          <w:bookmarkStart w:id="7" w:name="_Toc227857860"/>
          <w:r>
            <w:t>2.5 Regulatory comparison: United Kingdom and European Union</w:t>
          </w:r>
          <w:bookmarkEnd w:id="7"/>
        </w:p>
        <w:p w14:paraId="17693550" w14:textId="77777777" w:rsidR="00C807D6" w:rsidRDefault="00000000">
          <w:pPr>
            <w:jc w:val="both"/>
          </w:pPr>
          <w:r>
            <w:t xml:space="preserve">The UK and EU are moving in the same broad direction on AI risk, but through different regulatory philosophies. The UK government continues to favour a principles-based, regulator-led approach rather than a single horizontal AI statute. Its response to the AI regulation consultation repeated principles including safety, transparency, fairness, accountability and contestability, to be interpreted by existing regulators according to context. For financial services, that means the FCA, Bank of England, ICO and other sectoral bodies remain central. The strength of this model is flexibility; the weakness is uncertainty, because firms must infer how older rules apply to newer AI systems and expectations may remain under-specified until guidance or enforcement develops </w:t>
          </w:r>
          <w:sdt>
            <w:sdtPr>
              <w:id w:val="601310074"/>
            </w:sdtPr>
            <w:sdtContent>
              <w:r>
                <w:fldChar w:fldCharType="begin"/>
              </w:r>
              <w:r>
                <w:rPr>
                  <w:lang w:val="en-US"/>
                </w:rPr>
                <w:instrText xml:space="preserve"> CITATION UKG24 \l 1033  \m Fin25</w:instrText>
              </w:r>
              <w:r>
                <w:fldChar w:fldCharType="separate"/>
              </w:r>
              <w:r>
                <w:rPr>
                  <w:lang w:val="en-US"/>
                </w:rPr>
                <w:t>(UK Government, 2024; Financial Conduct Authority, 2025)</w:t>
              </w:r>
              <w:r>
                <w:fldChar w:fldCharType="end"/>
              </w:r>
            </w:sdtContent>
          </w:sdt>
          <w:r>
            <w:t>.</w:t>
          </w:r>
        </w:p>
        <w:p w14:paraId="3A2EFB21" w14:textId="77777777" w:rsidR="00C807D6" w:rsidRDefault="00000000">
          <w:pPr>
            <w:jc w:val="both"/>
          </w:pPr>
          <w:r>
            <w:t xml:space="preserve">That uncertainty is visible in recent UK debate. The Treasury Committee's January 2026 report argued that the current approach risks serious harm to consumers and the wider system because there is no AI-specific legislation or financial-services regime tailored to the technology. The Committee called for more practical FCA guidance and AI-specific stress testing, while warning that dependence on a concentrated group of external AI providers could create systemic risk. Reuters' coverage of the report highlighted the political pressure on regulators to move from broad statements of principle to more operational supervision. At the same time, the FCA's Mills Review and AI testing initiatives show that the regulator is trying to balance innovation support with consumer protection. For HSBC, the strategic implication is that the UK framework rewards firms that can evidence disciplined self-governance before the </w:t>
          </w:r>
          <w:r>
            <w:lastRenderedPageBreak/>
            <w:t xml:space="preserve">supervisory perimeter becomes more explicit </w:t>
          </w:r>
          <w:sdt>
            <w:sdtPr>
              <w:id w:val="-2117507461"/>
            </w:sdtPr>
            <w:sdtContent>
              <w:r>
                <w:fldChar w:fldCharType="begin"/>
              </w:r>
              <w:r>
                <w:rPr>
                  <w:lang w:val="en-US"/>
                </w:rPr>
                <w:instrText xml:space="preserve"> CITATION Tre26 \l 1033  \m Fin261 \m Reu6b</w:instrText>
              </w:r>
              <w:r>
                <w:fldChar w:fldCharType="separate"/>
              </w:r>
              <w:r>
                <w:rPr>
                  <w:lang w:val="en-US"/>
                </w:rPr>
                <w:t>(Treasury Committee, 2026; Financial Conduct Authority, 2026; Reuters, 2026b)</w:t>
              </w:r>
              <w:r>
                <w:fldChar w:fldCharType="end"/>
              </w:r>
            </w:sdtContent>
          </w:sdt>
          <w:r>
            <w:t>.</w:t>
          </w:r>
        </w:p>
        <w:p w14:paraId="3764FC40" w14:textId="77777777" w:rsidR="00C807D6" w:rsidRDefault="00000000">
          <w:pPr>
            <w:jc w:val="both"/>
          </w:pPr>
          <w:r>
            <w:t xml:space="preserve">The EU government is more prescriptive. Regulation (EU) 2024/1689, the AI Act, entered into force on 1 August 2024 and is being phased in over time. General provisions, AI literacy obligations and prohibitions have applied since 2 February 2025, obligations for general purpose AI models and governance arrangements have applied since 2 August 2025, most of the act becomes generally applicable from 2 August 2026, and some requirements for certain high-risk AI systems integrated into regulated products continue to phase in until 2 August 2027. The Act differentiates prohibited, high-risk, limited-risk and minimal-risk uses. High-risk systems face requirements around risk management, documentation, logging, data governance, human oversight, robustness and cyber security. That matters to banking because wealth and credit scoring used to determine access to essential private services can fall within the high-risk logic of the Act </w:t>
          </w:r>
          <w:sdt>
            <w:sdtPr>
              <w:id w:val="-1913228163"/>
            </w:sdtPr>
            <w:sdtContent>
              <w:r>
                <w:fldChar w:fldCharType="begin"/>
              </w:r>
              <w:r>
                <w:rPr>
                  <w:lang w:val="en-US"/>
                </w:rPr>
                <w:instrText xml:space="preserve"> CITATION Eur242 \l 1033  \m Eur6a</w:instrText>
              </w:r>
              <w:r>
                <w:fldChar w:fldCharType="separate"/>
              </w:r>
              <w:r>
                <w:rPr>
                  <w:lang w:val="en-US"/>
                </w:rPr>
                <w:t>(European Union, 2024; European Commission, 2026a)</w:t>
              </w:r>
              <w:r>
                <w:fldChar w:fldCharType="end"/>
              </w:r>
            </w:sdtContent>
          </w:sdt>
          <w:r>
            <w:t>.</w:t>
          </w:r>
        </w:p>
        <w:p w14:paraId="382E063B" w14:textId="77777777" w:rsidR="00C807D6" w:rsidRDefault="00000000">
          <w:pPr>
            <w:jc w:val="both"/>
          </w:pPr>
          <w:r>
            <w:t xml:space="preserve">For HSBC, the most important feature of the EU AI act is not simply that it is stricter, it is that it creates a clearer operating standard for evidence-based governance. The European Commission's AI Pact encourages early adoption of governance strategies, identification of potentially high-risk systems and investment in AI literacy. The European Banking Authority's 2025 report on the Act's implications for banking and payments suggests that, although existing sectoral rules remain important, banks should expect supervisory attention to focus on how AI Act obligations interact with established practical and conduct frameworks. This layered model is demanding, but it also signals the likely direction of travel for any firm operating across Europe </w:t>
          </w:r>
          <w:sdt>
            <w:sdtPr>
              <w:id w:val="854082780"/>
            </w:sdtPr>
            <w:sdtContent>
              <w:r>
                <w:fldChar w:fldCharType="begin"/>
              </w:r>
              <w:r>
                <w:rPr>
                  <w:lang w:val="en-US"/>
                </w:rPr>
                <w:instrText xml:space="preserve"> CITATION Eur25 \l 1033  \m Eur6b</w:instrText>
              </w:r>
              <w:r>
                <w:fldChar w:fldCharType="separate"/>
              </w:r>
              <w:r>
                <w:rPr>
                  <w:lang w:val="en-US"/>
                </w:rPr>
                <w:t>(European Banking Authority, 2025; European Commission, 2026b)</w:t>
              </w:r>
              <w:r>
                <w:fldChar w:fldCharType="end"/>
              </w:r>
            </w:sdtContent>
          </w:sdt>
          <w:r>
            <w:t>.</w:t>
          </w:r>
        </w:p>
        <w:p w14:paraId="58B1DD40" w14:textId="77777777" w:rsidR="00C807D6" w:rsidRDefault="00000000">
          <w:pPr>
            <w:jc w:val="both"/>
          </w:pPr>
          <w:r>
            <w:t xml:space="preserve">The contrast between the UK and EU can be analysed through Institutional Theory. DiMaggio and Powell (1983) argue that organisations face forced, normative and representational pressures that make governance structures converge over time. In this case, forced pressure is strongest in the EU because the AI Act is legally binding. Normative pressure arises from professional standards and emerging supervisory expectations in both powers. Representational pressure arises because large firms benchmark against peers and adopt governance structures seen as credible in the market. Bradford's (2020) 'Brussels Effect' strengthens this logic by suggesting that multinational firms often standardise upward where the EU creates a clear market rule. For HSBC, the rational choice is therefore not to build one control model for the UK and a weaker one for the EU. It is to adopt an enterprise baseline close to EU high-risk expectations for material systems and then adapt where local law requires distinction </w:t>
          </w:r>
          <w:sdt>
            <w:sdtPr>
              <w:id w:val="1551503516"/>
            </w:sdtPr>
            <w:sdtContent>
              <w:r>
                <w:fldChar w:fldCharType="begin"/>
              </w:r>
              <w:r>
                <w:rPr>
                  <w:lang w:val="en-US"/>
                </w:rPr>
                <w:instrText xml:space="preserve"> CITATION Pau83 \l 1033  \m Anu20 \m OEC6d</w:instrText>
              </w:r>
              <w:r>
                <w:fldChar w:fldCharType="separate"/>
              </w:r>
              <w:r>
                <w:rPr>
                  <w:lang w:val="en-US"/>
                </w:rPr>
                <w:t>(DiMaggio &amp; Powell, 1983; Bradford, 2020; OECD, 2026d)</w:t>
              </w:r>
              <w:r>
                <w:fldChar w:fldCharType="end"/>
              </w:r>
            </w:sdtContent>
          </w:sdt>
          <w:r>
            <w:t>.</w:t>
          </w:r>
        </w:p>
        <w:p w14:paraId="3A81B598" w14:textId="77777777" w:rsidR="00C807D6" w:rsidRDefault="00C807D6">
          <w:pPr>
            <w:jc w:val="both"/>
            <w:rPr>
              <w:bCs/>
              <w:color w:val="000000" w:themeColor="text1"/>
              <w:szCs w:val="28"/>
            </w:rPr>
          </w:pPr>
        </w:p>
        <w:p w14:paraId="1D205DCA" w14:textId="77777777" w:rsidR="00C807D6" w:rsidRDefault="00C807D6">
          <w:pPr>
            <w:jc w:val="both"/>
            <w:rPr>
              <w:bCs/>
              <w:color w:val="000000" w:themeColor="text1"/>
              <w:szCs w:val="28"/>
            </w:rPr>
          </w:pPr>
        </w:p>
        <w:p w14:paraId="7DBAD27D" w14:textId="77777777" w:rsidR="00C807D6" w:rsidRDefault="00C807D6">
          <w:pPr>
            <w:jc w:val="both"/>
            <w:rPr>
              <w:bCs/>
              <w:color w:val="000000" w:themeColor="text1"/>
              <w:szCs w:val="28"/>
            </w:rPr>
          </w:pPr>
        </w:p>
        <w:p w14:paraId="032A09E3" w14:textId="77777777" w:rsidR="00C807D6" w:rsidRDefault="00C807D6">
          <w:pPr>
            <w:jc w:val="both"/>
            <w:rPr>
              <w:bCs/>
              <w:color w:val="000000" w:themeColor="text1"/>
              <w:szCs w:val="28"/>
            </w:rPr>
          </w:pPr>
        </w:p>
        <w:p w14:paraId="7ECA0255" w14:textId="77777777" w:rsidR="00C807D6" w:rsidRDefault="00C807D6">
          <w:pPr>
            <w:jc w:val="both"/>
            <w:rPr>
              <w:bCs/>
              <w:color w:val="000000" w:themeColor="text1"/>
              <w:szCs w:val="28"/>
            </w:rPr>
          </w:pPr>
        </w:p>
        <w:p w14:paraId="26C871EA" w14:textId="77777777" w:rsidR="00C807D6" w:rsidRDefault="00C807D6">
          <w:pPr>
            <w:jc w:val="both"/>
            <w:rPr>
              <w:bCs/>
              <w:color w:val="000000" w:themeColor="text1"/>
              <w:szCs w:val="28"/>
            </w:rPr>
          </w:pPr>
        </w:p>
        <w:p w14:paraId="72C6F24D" w14:textId="77777777" w:rsidR="00C807D6" w:rsidRDefault="00C807D6">
          <w:pPr>
            <w:jc w:val="both"/>
            <w:rPr>
              <w:bCs/>
              <w:color w:val="000000" w:themeColor="text1"/>
              <w:szCs w:val="28"/>
            </w:rPr>
          </w:pPr>
        </w:p>
        <w:p w14:paraId="554A5B13" w14:textId="77777777" w:rsidR="00C807D6" w:rsidRDefault="00000000">
          <w:pPr>
            <w:pStyle w:val="Heading3"/>
            <w:rPr>
              <w:color w:val="44546A" w:themeColor="text2"/>
            </w:rPr>
          </w:pPr>
          <w:bookmarkStart w:id="8" w:name="_Toc227857861"/>
          <w:bookmarkStart w:id="9" w:name="_Toc227697633"/>
          <w:r>
            <w:lastRenderedPageBreak/>
            <w:t xml:space="preserve">Table </w:t>
          </w:r>
          <w:r>
            <w:fldChar w:fldCharType="begin"/>
          </w:r>
          <w:r>
            <w:instrText xml:space="preserve"> SEQ Table \* ARABIC </w:instrText>
          </w:r>
          <w:r>
            <w:fldChar w:fldCharType="separate"/>
          </w:r>
          <w:r>
            <w:t>1</w:t>
          </w:r>
          <w:r>
            <w:fldChar w:fldCharType="end"/>
          </w:r>
          <w:r>
            <w:t>: Comparison of the UK and EU AI governance environments for HSBC</w:t>
          </w:r>
          <w:bookmarkEnd w:id="8"/>
          <w:bookmarkEnd w:id="9"/>
        </w:p>
        <w:tbl>
          <w:tblPr>
            <w:tblStyle w:val="TableGrid"/>
            <w:tblW w:w="0" w:type="auto"/>
            <w:tblLook w:val="04A0" w:firstRow="1" w:lastRow="0" w:firstColumn="1" w:lastColumn="0" w:noHBand="0" w:noVBand="1"/>
          </w:tblPr>
          <w:tblGrid>
            <w:gridCol w:w="2211"/>
            <w:gridCol w:w="2265"/>
            <w:gridCol w:w="2278"/>
            <w:gridCol w:w="2262"/>
          </w:tblGrid>
          <w:tr w:rsidR="00C807D6" w14:paraId="265F0102" w14:textId="77777777">
            <w:tc>
              <w:tcPr>
                <w:tcW w:w="2412" w:type="dxa"/>
              </w:tcPr>
              <w:p w14:paraId="2094BF59" w14:textId="77777777" w:rsidR="00C807D6" w:rsidRDefault="00000000">
                <w:pPr>
                  <w:spacing w:after="20" w:line="245" w:lineRule="auto"/>
                  <w:jc w:val="both"/>
                  <w:rPr>
                    <w:rFonts w:eastAsiaTheme="minorEastAsia"/>
                    <w:b/>
                    <w:color w:val="000000" w:themeColor="text1"/>
                    <w:szCs w:val="32"/>
                    <w:lang w:val="en-US"/>
                  </w:rPr>
                </w:pPr>
                <w:r>
                  <w:rPr>
                    <w:rFonts w:eastAsiaTheme="minorEastAsia"/>
                    <w:b/>
                    <w:color w:val="000000" w:themeColor="text1"/>
                    <w:szCs w:val="32"/>
                    <w:lang w:val="en-US"/>
                  </w:rPr>
                  <w:t>Issue</w:t>
                </w:r>
              </w:p>
            </w:tc>
            <w:tc>
              <w:tcPr>
                <w:tcW w:w="2412" w:type="dxa"/>
              </w:tcPr>
              <w:p w14:paraId="057D6BD6" w14:textId="77777777" w:rsidR="00C807D6" w:rsidRDefault="00000000">
                <w:pPr>
                  <w:spacing w:after="20" w:line="245" w:lineRule="auto"/>
                  <w:jc w:val="both"/>
                  <w:rPr>
                    <w:rFonts w:eastAsiaTheme="minorEastAsia"/>
                    <w:b/>
                    <w:color w:val="000000" w:themeColor="text1"/>
                    <w:szCs w:val="32"/>
                    <w:lang w:val="en-US"/>
                  </w:rPr>
                </w:pPr>
                <w:r>
                  <w:rPr>
                    <w:rFonts w:eastAsiaTheme="minorEastAsia"/>
                    <w:b/>
                    <w:color w:val="000000" w:themeColor="text1"/>
                    <w:szCs w:val="32"/>
                    <w:lang w:val="en-US"/>
                  </w:rPr>
                  <w:t>United Kingdom</w:t>
                </w:r>
              </w:p>
            </w:tc>
            <w:tc>
              <w:tcPr>
                <w:tcW w:w="2412" w:type="dxa"/>
              </w:tcPr>
              <w:p w14:paraId="379EB48E" w14:textId="77777777" w:rsidR="00C807D6" w:rsidRDefault="00000000">
                <w:pPr>
                  <w:spacing w:after="20" w:line="245" w:lineRule="auto"/>
                  <w:jc w:val="both"/>
                  <w:rPr>
                    <w:rFonts w:eastAsiaTheme="minorEastAsia"/>
                    <w:b/>
                    <w:color w:val="000000" w:themeColor="text1"/>
                    <w:szCs w:val="32"/>
                    <w:lang w:val="en-US"/>
                  </w:rPr>
                </w:pPr>
                <w:r>
                  <w:rPr>
                    <w:rFonts w:eastAsiaTheme="minorEastAsia"/>
                    <w:b/>
                    <w:color w:val="000000" w:themeColor="text1"/>
                    <w:szCs w:val="32"/>
                    <w:lang w:val="en-US"/>
                  </w:rPr>
                  <w:t>European Union</w:t>
                </w:r>
              </w:p>
            </w:tc>
            <w:tc>
              <w:tcPr>
                <w:tcW w:w="2412" w:type="dxa"/>
              </w:tcPr>
              <w:p w14:paraId="5E816DD2" w14:textId="77777777" w:rsidR="00C807D6" w:rsidRDefault="00000000">
                <w:pPr>
                  <w:spacing w:after="20" w:line="245" w:lineRule="auto"/>
                  <w:jc w:val="both"/>
                  <w:rPr>
                    <w:rFonts w:eastAsiaTheme="minorEastAsia"/>
                    <w:b/>
                    <w:color w:val="000000" w:themeColor="text1"/>
                    <w:szCs w:val="32"/>
                    <w:lang w:val="en-US"/>
                  </w:rPr>
                </w:pPr>
                <w:r>
                  <w:rPr>
                    <w:rFonts w:eastAsiaTheme="minorEastAsia"/>
                    <w:b/>
                    <w:color w:val="000000" w:themeColor="text1"/>
                    <w:szCs w:val="32"/>
                    <w:lang w:val="en-US"/>
                  </w:rPr>
                  <w:t>Implication for HSBC</w:t>
                </w:r>
              </w:p>
            </w:tc>
          </w:tr>
          <w:tr w:rsidR="00C807D6" w14:paraId="5DFA2F3C" w14:textId="77777777">
            <w:tc>
              <w:tcPr>
                <w:tcW w:w="2412" w:type="dxa"/>
              </w:tcPr>
              <w:p w14:paraId="25B67CE6"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Regulatory model</w:t>
                </w:r>
              </w:p>
            </w:tc>
            <w:tc>
              <w:tcPr>
                <w:tcW w:w="2412" w:type="dxa"/>
              </w:tcPr>
              <w:p w14:paraId="64E24EDB"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Principles-based, regulator-led, no single AI statute yet</w:t>
                </w:r>
              </w:p>
            </w:tc>
            <w:tc>
              <w:tcPr>
                <w:tcW w:w="2412" w:type="dxa"/>
              </w:tcPr>
              <w:p w14:paraId="58F81674"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Binding, risk-based AI Act with staged implementation</w:t>
                </w:r>
              </w:p>
            </w:tc>
            <w:tc>
              <w:tcPr>
                <w:tcW w:w="2412" w:type="dxa"/>
              </w:tcPr>
              <w:p w14:paraId="40823363"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Group policy should not rely on UK flexibility alone.</w:t>
                </w:r>
              </w:p>
            </w:tc>
          </w:tr>
          <w:tr w:rsidR="00C807D6" w14:paraId="1BEB942B" w14:textId="77777777">
            <w:tc>
              <w:tcPr>
                <w:tcW w:w="2412" w:type="dxa"/>
              </w:tcPr>
              <w:p w14:paraId="61F2FB91"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Supervisory posture</w:t>
                </w:r>
              </w:p>
            </w:tc>
            <w:tc>
              <w:tcPr>
                <w:tcW w:w="2412" w:type="dxa"/>
              </w:tcPr>
              <w:p w14:paraId="41A9E3A9"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Existing regulators apply current rules and are developing guidance</w:t>
                </w:r>
              </w:p>
            </w:tc>
            <w:tc>
              <w:tcPr>
                <w:tcW w:w="2412" w:type="dxa"/>
              </w:tcPr>
              <w:p w14:paraId="2D8F9925"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AI Act requirements are becoming directly operational</w:t>
                </w:r>
              </w:p>
            </w:tc>
            <w:tc>
              <w:tcPr>
                <w:tcW w:w="2412" w:type="dxa"/>
              </w:tcPr>
              <w:p w14:paraId="78F2F69B"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Evidence and documentation standards should be designed to satisfy EU scrutiny.</w:t>
                </w:r>
              </w:p>
            </w:tc>
          </w:tr>
          <w:tr w:rsidR="00C807D6" w14:paraId="45F8093A" w14:textId="77777777">
            <w:tc>
              <w:tcPr>
                <w:tcW w:w="2412" w:type="dxa"/>
              </w:tcPr>
              <w:p w14:paraId="379FF2D7"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Automated decisions</w:t>
                </w:r>
              </w:p>
            </w:tc>
            <w:tc>
              <w:tcPr>
                <w:tcW w:w="2412" w:type="dxa"/>
              </w:tcPr>
              <w:p w14:paraId="0E33E4F2"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UK GDPR safeguards remain important; DUAA modifies framework but keeps safeguards</w:t>
                </w:r>
              </w:p>
            </w:tc>
            <w:tc>
              <w:tcPr>
                <w:tcW w:w="2412" w:type="dxa"/>
              </w:tcPr>
              <w:p w14:paraId="77E2CC49"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AI Act overlays sector rules for high-risk uses; GDPR still relevant</w:t>
                </w:r>
              </w:p>
            </w:tc>
            <w:tc>
              <w:tcPr>
                <w:tcW w:w="2412" w:type="dxa"/>
              </w:tcPr>
              <w:p w14:paraId="52C40B72"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Material customer decisions need documented human review and contestability.</w:t>
                </w:r>
              </w:p>
            </w:tc>
          </w:tr>
          <w:tr w:rsidR="00C807D6" w14:paraId="77D75992" w14:textId="77777777">
            <w:tc>
              <w:tcPr>
                <w:tcW w:w="2412" w:type="dxa"/>
              </w:tcPr>
              <w:p w14:paraId="5786D6BA"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Third-party AI risk</w:t>
                </w:r>
              </w:p>
            </w:tc>
            <w:tc>
              <w:tcPr>
                <w:tcW w:w="2412" w:type="dxa"/>
              </w:tcPr>
              <w:p w14:paraId="6AE8838C"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Rising concern from Parliament and regulators</w:t>
                </w:r>
              </w:p>
            </w:tc>
            <w:tc>
              <w:tcPr>
                <w:tcW w:w="2412" w:type="dxa"/>
              </w:tcPr>
              <w:p w14:paraId="750B73DD"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Also relevant through deployer obligations and operational-resilience expectations</w:t>
                </w:r>
              </w:p>
            </w:tc>
            <w:tc>
              <w:tcPr>
                <w:tcW w:w="2412" w:type="dxa"/>
              </w:tcPr>
              <w:p w14:paraId="5368D59A"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Vendor governance should be enterprise-wide, not regional.</w:t>
                </w:r>
              </w:p>
            </w:tc>
          </w:tr>
          <w:tr w:rsidR="00C807D6" w14:paraId="4347C405" w14:textId="77777777">
            <w:tc>
              <w:tcPr>
                <w:tcW w:w="2412" w:type="dxa"/>
              </w:tcPr>
              <w:p w14:paraId="1B943412"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Strategic response</w:t>
                </w:r>
              </w:p>
            </w:tc>
            <w:tc>
              <w:tcPr>
                <w:tcW w:w="2412" w:type="dxa"/>
              </w:tcPr>
              <w:p w14:paraId="1F9E5E19"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Room for proportionality but uncertainty remains</w:t>
                </w:r>
              </w:p>
            </w:tc>
            <w:tc>
              <w:tcPr>
                <w:tcW w:w="2412" w:type="dxa"/>
              </w:tcPr>
              <w:p w14:paraId="198CAA78"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Higher prescriptive baseline for material use cases</w:t>
                </w:r>
              </w:p>
            </w:tc>
            <w:tc>
              <w:tcPr>
                <w:tcW w:w="2412" w:type="dxa"/>
              </w:tcPr>
              <w:p w14:paraId="447478B6" w14:textId="77777777" w:rsidR="00C807D6" w:rsidRDefault="00000000">
                <w:pPr>
                  <w:spacing w:after="20" w:line="245" w:lineRule="auto"/>
                  <w:jc w:val="both"/>
                  <w:rPr>
                    <w:rFonts w:eastAsiaTheme="minorEastAsia"/>
                    <w:bCs/>
                    <w:szCs w:val="32"/>
                    <w:lang w:val="en-US"/>
                  </w:rPr>
                </w:pPr>
                <w:r>
                  <w:rPr>
                    <w:rFonts w:eastAsiaTheme="minorEastAsia"/>
                    <w:bCs/>
                    <w:szCs w:val="32"/>
                    <w:lang w:val="en-US"/>
                  </w:rPr>
                  <w:t>Adopt an EU-shaped baseline with local legal overlays.</w:t>
                </w:r>
              </w:p>
            </w:tc>
          </w:tr>
        </w:tbl>
        <w:p w14:paraId="3337CEDB" w14:textId="77777777" w:rsidR="00C807D6" w:rsidRDefault="00C807D6">
          <w:pPr>
            <w:pStyle w:val="Heading2"/>
            <w:jc w:val="both"/>
          </w:pPr>
        </w:p>
        <w:p w14:paraId="7F0775A1" w14:textId="77777777" w:rsidR="00C807D6" w:rsidRDefault="00000000">
          <w:pPr>
            <w:pStyle w:val="Heading2"/>
            <w:jc w:val="both"/>
          </w:pPr>
          <w:bookmarkStart w:id="10" w:name="_Toc227857862"/>
          <w:r>
            <w:t>2.6 Governance architecture and implementation plan</w:t>
          </w:r>
          <w:bookmarkEnd w:id="10"/>
        </w:p>
        <w:p w14:paraId="5C38AC08" w14:textId="77777777" w:rsidR="00C807D6" w:rsidRDefault="00000000">
          <w:pPr>
            <w:jc w:val="both"/>
          </w:pPr>
          <w:r>
            <w:t xml:space="preserve">The recommended governance architecture for HSBC combines enterprise-risk discipline with AI-specific controls. At strategic level, the bank should place AI formally within enterprise risk management, using COSO logic to connect governance, strategy, performance, review and information flows. The board should approve an explicit AI risk appetite statement defining which use cases are acceptable, restricted or prohibited, what level of explainability, human oversight and documentation is required by risk tier, and which forms of third-party dependency or data use fall outside tolerance. This is more robust than managing AI through scattered policy documents because it forces trade-offs to be decided where strategy, conduct and risk appetite meet. It also supports Resource-Based View reasoning by treating governance capability itself as a strategic asset that enables the safe scaling of AI across the bank </w:t>
          </w:r>
          <w:sdt>
            <w:sdtPr>
              <w:id w:val="1184863363"/>
            </w:sdtPr>
            <w:sdtContent>
              <w:r>
                <w:fldChar w:fldCharType="begin"/>
              </w:r>
              <w:r>
                <w:rPr>
                  <w:lang w:val="en-US"/>
                </w:rPr>
                <w:instrText xml:space="preserve"> CITATION Jay911 \l 1033  \m COS17 \m Emm25</w:instrText>
              </w:r>
              <w:r>
                <w:fldChar w:fldCharType="separate"/>
              </w:r>
              <w:r>
                <w:rPr>
                  <w:lang w:val="en-US"/>
                </w:rPr>
                <w:t>(Barney, 1991; COSO, 2017; Papagiannidis et al., 2025)</w:t>
              </w:r>
              <w:r>
                <w:fldChar w:fldCharType="end"/>
              </w:r>
            </w:sdtContent>
          </w:sdt>
          <w:r>
            <w:t xml:space="preserve">. </w:t>
          </w:r>
        </w:p>
        <w:p w14:paraId="052C8334" w14:textId="77777777" w:rsidR="00C807D6" w:rsidRDefault="00000000">
          <w:pPr>
            <w:jc w:val="both"/>
          </w:pPr>
          <w:r>
            <w:t xml:space="preserve">Operationally, the first priority is visibility. HSBC should create a single enterprise AI inventory covering all material models and AI-enabled systems across business lines and legal entities. Each entry should record owner, business purpose, data sources, power, model type, third-party dependencies, customer impact, applicable regulation, validation status and next review date. The inventory should be linked to risk tiering so that systems affecting credit, fraud intervention, anti-money-laundering decisions, onboarding, complaints handling, or vulnerable customers receive enhanced governance. NIST's AI RMF provides a useful lifecycle structure because it requires organisations to map, measure, manage and govern AI risks rather </w:t>
          </w:r>
          <w:r>
            <w:lastRenderedPageBreak/>
            <w:t xml:space="preserve">than treat controls as a one-off gateway exercise </w:t>
          </w:r>
          <w:sdt>
            <w:sdtPr>
              <w:id w:val="96911060"/>
            </w:sdtPr>
            <w:sdtContent>
              <w:r>
                <w:fldChar w:fldCharType="begin"/>
              </w:r>
              <w:r>
                <w:rPr>
                  <w:lang w:val="en-US"/>
                </w:rPr>
                <w:instrText xml:space="preserve"> CITATION Nat231 \l 1033  \m Eur25</w:instrText>
              </w:r>
              <w:r>
                <w:fldChar w:fldCharType="separate"/>
              </w:r>
              <w:r>
                <w:rPr>
                  <w:lang w:val="en-US"/>
                </w:rPr>
                <w:t>(National Institute of Standards and Technology, 2023; European Banking Authority, 2025)</w:t>
              </w:r>
              <w:r>
                <w:fldChar w:fldCharType="end"/>
              </w:r>
            </w:sdtContent>
          </w:sdt>
          <w:r>
            <w:t>.</w:t>
          </w:r>
        </w:p>
        <w:p w14:paraId="17B222A2" w14:textId="77777777" w:rsidR="00C807D6" w:rsidRDefault="00000000">
          <w:pPr>
            <w:jc w:val="both"/>
          </w:pPr>
          <w:r>
            <w:t xml:space="preserve">The second priority is control depth. High-impact systems should be subject to independent validation, fairness testing, explainability review, scenario analysis, documentation of intended use, human-oversight design and post-deployment monitoring. Generative-AI systems should additionally be assessed for vision risk, prompt abuse, content leakage and model-change dependence where third parties are involved. The Three Lines Model should be made explicit: first-line teams own design and operational performance, second-line risk, compliance and data-governance functions define standards and approve exceptions, third-line internal audit periodically tests whether the overall framework is effective. This aligns with Raji et al.'s (2020) argument that algorithmic accountability requires documentation and auditability, and with OECD due-diligence guidance calling for governance responsibilities, traceability and remediation processes </w:t>
          </w:r>
          <w:sdt>
            <w:sdtPr>
              <w:id w:val="41412559"/>
            </w:sdtPr>
            <w:sdtContent>
              <w:r>
                <w:fldChar w:fldCharType="begin"/>
              </w:r>
              <w:r>
                <w:rPr>
                  <w:lang w:val="en-US"/>
                </w:rPr>
                <w:instrText xml:space="preserve"> CITATION Ins24 \l 1033  \m Ini20 \m OEC6c</w:instrText>
              </w:r>
              <w:r>
                <w:fldChar w:fldCharType="separate"/>
              </w:r>
              <w:r>
                <w:rPr>
                  <w:lang w:val="en-US"/>
                </w:rPr>
                <w:t>(Institute of Internal Auditors, 2024; Raji et al., 2020; OECD, 2026c)</w:t>
              </w:r>
              <w:r>
                <w:fldChar w:fldCharType="end"/>
              </w:r>
            </w:sdtContent>
          </w:sdt>
          <w:r>
            <w:t>.</w:t>
          </w:r>
        </w:p>
        <w:p w14:paraId="27E751EE" w14:textId="77777777" w:rsidR="00C807D6" w:rsidRDefault="00000000">
          <w:pPr>
            <w:jc w:val="both"/>
          </w:pPr>
          <w:r>
            <w:t xml:space="preserve">The third priority is customer and regulator confidence. HSBC should build a customer-trust operating model for significant AI use cases. That would include clear disclosure where automated or AI-assisted decisions materially affect customers, meaningful routes to human review, complaint categories that tag AI-related harms, and management information that tracks patterns in disputes, overrides and vulnerable-customer outcomes. The FCA's work suggests that consumer understanding and contestability will become increasingly important as AI-enabled services become more personalised and potentially opaquer. From a Stakeholder Theory perspective, these controls are not merely defensive; they are the mechanisms through which HSBC demonstrates that its AI strategy creates value for customers and regulators as well as shareholders </w:t>
          </w:r>
          <w:sdt>
            <w:sdtPr>
              <w:id w:val="-511071148"/>
            </w:sdtPr>
            <w:sdtContent>
              <w:r>
                <w:fldChar w:fldCharType="begin"/>
              </w:r>
              <w:r>
                <w:rPr>
                  <w:lang w:val="en-US"/>
                </w:rPr>
                <w:instrText xml:space="preserve"> CITATION REd84 \l 1033  \m Fin261</w:instrText>
              </w:r>
              <w:r>
                <w:fldChar w:fldCharType="separate"/>
              </w:r>
              <w:r>
                <w:rPr>
                  <w:lang w:val="en-US"/>
                </w:rPr>
                <w:t>(Freeman, 1984; Financial Conduct Authority, 2026)</w:t>
              </w:r>
              <w:r>
                <w:fldChar w:fldCharType="end"/>
              </w:r>
            </w:sdtContent>
          </w:sdt>
          <w:r>
            <w:t>.</w:t>
          </w:r>
        </w:p>
        <w:p w14:paraId="703EF053" w14:textId="77777777" w:rsidR="00C807D6" w:rsidRDefault="00000000">
          <w:pPr>
            <w:jc w:val="both"/>
          </w:pPr>
          <w:r>
            <w:t xml:space="preserve">A phased implementation plan over twenty-four months is appropriate. In months 1-6, HSBC should establish a Group AI Governance Committee, approve the AI risk appetite, create the enterprise inventory and complete a UK-EU regulatory gap analysis. In months 7-15, the bank should implement risk-tiered control standards, strengthen data lineage and model documentation, deploy enhanced third-party review requirements, and roll out role-specific training focused on first-line accountability. In months 16-24, HSBC should embed AI metrics in board reporting, publish a responsible-AI report, run AI-specific resilience simulations and commission internal-audit assurance across major use cases. Indicative public-market benchmarking suggests that a group of HSBC's scale could credibly expect to spend roughly £63-82 million over two years on programme management, data architecture, validation, audit, legal support, training and control tooling, although exact internal costs would depend on existing system maturity </w:t>
          </w:r>
          <w:sdt>
            <w:sdtPr>
              <w:id w:val="-259909413"/>
            </w:sdtPr>
            <w:sdtContent>
              <w:r>
                <w:fldChar w:fldCharType="begin"/>
              </w:r>
              <w:r>
                <w:rPr>
                  <w:lang w:val="en-US"/>
                </w:rPr>
                <w:instrText xml:space="preserve"> CITATION plc5a \l 1033  \m McK25</w:instrText>
              </w:r>
              <w:r>
                <w:fldChar w:fldCharType="separate"/>
              </w:r>
              <w:r>
                <w:rPr>
                  <w:lang w:val="en-US"/>
                </w:rPr>
                <w:t>(HSBC Holding plc, 2025a; McKinsey &amp; Company, 2025)</w:t>
              </w:r>
              <w:r>
                <w:fldChar w:fldCharType="end"/>
              </w:r>
            </w:sdtContent>
          </w:sdt>
          <w:r>
            <w:t>.</w:t>
          </w:r>
        </w:p>
        <w:p w14:paraId="39968A54" w14:textId="77777777" w:rsidR="00C807D6" w:rsidRDefault="00000000">
          <w:pPr>
            <w:jc w:val="both"/>
          </w:pPr>
          <w:r>
            <w:t xml:space="preserve">To make the plan measurable, each phase should have named owners and KPIs. Foundation metrics should include the percentage of material systems inventoried and the percentage of high-risk use cases assigned accountable business owners. Build-phase metrics should include the proportion of tier-one systems independently validated, the proportion of critical vendors covered by enhanced AI clauses, and the number of systems with documented human-oversight procedures. Lead-phase metrics should include trends in AI-related complaints, the number of material incidents, average time to remediate model issues and the proportion of significant systems covered by internal-audit testing. A credible implementation plan answers who does </w:t>
          </w:r>
          <w:r>
            <w:lastRenderedPageBreak/>
            <w:t xml:space="preserve">what, by when, measured how, and at what cost </w:t>
          </w:r>
          <w:sdt>
            <w:sdtPr>
              <w:id w:val="-186063201"/>
            </w:sdtPr>
            <w:sdtContent>
              <w:r>
                <w:fldChar w:fldCharType="begin"/>
              </w:r>
              <w:r>
                <w:rPr>
                  <w:lang w:val="en-US"/>
                </w:rPr>
                <w:instrText xml:space="preserve"> CITATION Nat23 \l 1033  \m OEC6b \m Amn25 \m Tre26</w:instrText>
              </w:r>
              <w:r>
                <w:fldChar w:fldCharType="separate"/>
              </w:r>
              <w:r>
                <w:rPr>
                  <w:lang w:val="en-US"/>
                </w:rPr>
                <w:t>(National Institute of Standards and Technology, 2023; OECD, 2026b; Batool et al., 2025; Treasury Committee, 2026)</w:t>
              </w:r>
              <w:r>
                <w:fldChar w:fldCharType="end"/>
              </w:r>
            </w:sdtContent>
          </w:sdt>
          <w:r>
            <w:t>.</w:t>
          </w:r>
        </w:p>
        <w:p w14:paraId="5F457AD3" w14:textId="77777777" w:rsidR="00C807D6" w:rsidRDefault="00000000">
          <w:pPr>
            <w:pStyle w:val="Heading3"/>
            <w:rPr>
              <w:color w:val="44546A" w:themeColor="text2"/>
            </w:rPr>
          </w:pPr>
          <w:bookmarkStart w:id="11" w:name="_Toc227857863"/>
          <w:bookmarkStart w:id="12" w:name="_Toc227697635"/>
          <w:r>
            <w:t xml:space="preserve">Table </w:t>
          </w:r>
          <w:r>
            <w:fldChar w:fldCharType="begin"/>
          </w:r>
          <w:r>
            <w:instrText xml:space="preserve"> SEQ Table \* ARABIC </w:instrText>
          </w:r>
          <w:r>
            <w:fldChar w:fldCharType="separate"/>
          </w:r>
          <w:r>
            <w:t>2</w:t>
          </w:r>
          <w:r>
            <w:fldChar w:fldCharType="end"/>
          </w:r>
          <w:r>
            <w:t>: Twenty-four-month implementation plan for HSBC's AI governance model</w:t>
          </w:r>
          <w:bookmarkEnd w:id="11"/>
          <w:bookmarkEnd w:id="12"/>
        </w:p>
        <w:tbl>
          <w:tblPr>
            <w:tblStyle w:val="TableGrid"/>
            <w:tblW w:w="0" w:type="auto"/>
            <w:tblLook w:val="04A0" w:firstRow="1" w:lastRow="0" w:firstColumn="1" w:lastColumn="0" w:noHBand="0" w:noVBand="1"/>
          </w:tblPr>
          <w:tblGrid>
            <w:gridCol w:w="1759"/>
            <w:gridCol w:w="1869"/>
            <w:gridCol w:w="1814"/>
            <w:gridCol w:w="1833"/>
            <w:gridCol w:w="1741"/>
          </w:tblGrid>
          <w:tr w:rsidR="00C807D6" w14:paraId="165B92A3" w14:textId="77777777">
            <w:tc>
              <w:tcPr>
                <w:tcW w:w="1930" w:type="dxa"/>
              </w:tcPr>
              <w:p w14:paraId="0785E758" w14:textId="77777777" w:rsidR="00C807D6" w:rsidRDefault="00000000">
                <w:pPr>
                  <w:spacing w:after="20" w:line="245" w:lineRule="auto"/>
                  <w:rPr>
                    <w:rFonts w:eastAsiaTheme="minorEastAsia"/>
                    <w:color w:val="000000" w:themeColor="text1"/>
                    <w:szCs w:val="32"/>
                    <w:lang w:val="en-US"/>
                  </w:rPr>
                </w:pPr>
                <w:r>
                  <w:rPr>
                    <w:rFonts w:eastAsiaTheme="minorEastAsia"/>
                    <w:b/>
                    <w:color w:val="000000" w:themeColor="text1"/>
                    <w:szCs w:val="32"/>
                    <w:lang w:val="en-US"/>
                  </w:rPr>
                  <w:t>Phase and timing</w:t>
                </w:r>
              </w:p>
            </w:tc>
            <w:tc>
              <w:tcPr>
                <w:tcW w:w="1930" w:type="dxa"/>
              </w:tcPr>
              <w:p w14:paraId="3708C3A8" w14:textId="77777777" w:rsidR="00C807D6" w:rsidRDefault="00000000">
                <w:pPr>
                  <w:spacing w:after="20" w:line="245" w:lineRule="auto"/>
                  <w:rPr>
                    <w:rFonts w:eastAsiaTheme="minorEastAsia"/>
                    <w:color w:val="000000" w:themeColor="text1"/>
                    <w:szCs w:val="32"/>
                    <w:lang w:val="en-US"/>
                  </w:rPr>
                </w:pPr>
                <w:r>
                  <w:rPr>
                    <w:rFonts w:eastAsiaTheme="minorEastAsia"/>
                    <w:b/>
                    <w:color w:val="000000" w:themeColor="text1"/>
                    <w:szCs w:val="32"/>
                    <w:lang w:val="en-US"/>
                  </w:rPr>
                  <w:t>Priority actions</w:t>
                </w:r>
              </w:p>
            </w:tc>
            <w:tc>
              <w:tcPr>
                <w:tcW w:w="1930" w:type="dxa"/>
              </w:tcPr>
              <w:p w14:paraId="6646CFB5" w14:textId="77777777" w:rsidR="00C807D6" w:rsidRDefault="00000000">
                <w:pPr>
                  <w:spacing w:after="20" w:line="245" w:lineRule="auto"/>
                  <w:rPr>
                    <w:rFonts w:eastAsiaTheme="minorEastAsia"/>
                    <w:color w:val="000000" w:themeColor="text1"/>
                    <w:szCs w:val="32"/>
                    <w:lang w:val="en-US"/>
                  </w:rPr>
                </w:pPr>
                <w:r>
                  <w:rPr>
                    <w:rFonts w:eastAsiaTheme="minorEastAsia"/>
                    <w:b/>
                    <w:color w:val="000000" w:themeColor="text1"/>
                    <w:szCs w:val="32"/>
                    <w:lang w:val="en-US"/>
                  </w:rPr>
                  <w:t>Lead owners</w:t>
                </w:r>
              </w:p>
            </w:tc>
            <w:tc>
              <w:tcPr>
                <w:tcW w:w="1930" w:type="dxa"/>
              </w:tcPr>
              <w:p w14:paraId="459B3E20" w14:textId="77777777" w:rsidR="00C807D6" w:rsidRDefault="00000000">
                <w:pPr>
                  <w:spacing w:after="20" w:line="245" w:lineRule="auto"/>
                  <w:rPr>
                    <w:rFonts w:eastAsiaTheme="minorEastAsia"/>
                    <w:color w:val="000000" w:themeColor="text1"/>
                    <w:szCs w:val="32"/>
                    <w:lang w:val="en-US"/>
                  </w:rPr>
                </w:pPr>
                <w:r>
                  <w:rPr>
                    <w:rFonts w:eastAsiaTheme="minorEastAsia"/>
                    <w:b/>
                    <w:color w:val="000000" w:themeColor="text1"/>
                    <w:szCs w:val="32"/>
                    <w:lang w:val="en-US"/>
                  </w:rPr>
                  <w:t>Core KPIs</w:t>
                </w:r>
              </w:p>
            </w:tc>
            <w:tc>
              <w:tcPr>
                <w:tcW w:w="1930" w:type="dxa"/>
              </w:tcPr>
              <w:p w14:paraId="6FAB36A0" w14:textId="77777777" w:rsidR="00C807D6" w:rsidRDefault="00000000">
                <w:pPr>
                  <w:spacing w:after="20" w:line="245" w:lineRule="auto"/>
                  <w:rPr>
                    <w:rFonts w:eastAsiaTheme="minorEastAsia"/>
                    <w:color w:val="000000" w:themeColor="text1"/>
                    <w:szCs w:val="32"/>
                    <w:lang w:val="en-US"/>
                  </w:rPr>
                </w:pPr>
                <w:r>
                  <w:rPr>
                    <w:rFonts w:eastAsiaTheme="minorEastAsia"/>
                    <w:b/>
                    <w:color w:val="000000" w:themeColor="text1"/>
                    <w:szCs w:val="32"/>
                    <w:lang w:val="en-US"/>
                  </w:rPr>
                  <w:t>Indicative cost</w:t>
                </w:r>
              </w:p>
            </w:tc>
          </w:tr>
          <w:tr w:rsidR="00C807D6" w14:paraId="186A5F9E" w14:textId="77777777">
            <w:tc>
              <w:tcPr>
                <w:tcW w:w="1930" w:type="dxa"/>
              </w:tcPr>
              <w:p w14:paraId="52152A17" w14:textId="77777777" w:rsidR="00C807D6" w:rsidRDefault="00000000">
                <w:pPr>
                  <w:spacing w:after="20" w:line="245" w:lineRule="auto"/>
                  <w:rPr>
                    <w:rFonts w:eastAsiaTheme="minorEastAsia"/>
                    <w:szCs w:val="32"/>
                    <w:lang w:val="en-US"/>
                  </w:rPr>
                </w:pPr>
                <w:r>
                  <w:rPr>
                    <w:rFonts w:eastAsiaTheme="minorEastAsia"/>
                    <w:szCs w:val="32"/>
                    <w:lang w:val="en-US"/>
                  </w:rPr>
                  <w:t>Phase 1 - Foundation</w:t>
                </w:r>
                <w:r>
                  <w:rPr>
                    <w:rFonts w:eastAsiaTheme="minorEastAsia"/>
                    <w:szCs w:val="32"/>
                    <w:lang w:val="en-US"/>
                  </w:rPr>
                  <w:br/>
                  <w:t>Months 1-6</w:t>
                </w:r>
              </w:p>
            </w:tc>
            <w:tc>
              <w:tcPr>
                <w:tcW w:w="1930" w:type="dxa"/>
              </w:tcPr>
              <w:p w14:paraId="10FC9B03" w14:textId="77777777" w:rsidR="00C807D6" w:rsidRDefault="00000000">
                <w:pPr>
                  <w:spacing w:after="20" w:line="245" w:lineRule="auto"/>
                  <w:rPr>
                    <w:rFonts w:eastAsiaTheme="minorEastAsia"/>
                    <w:szCs w:val="32"/>
                    <w:lang w:val="en-US"/>
                  </w:rPr>
                </w:pPr>
                <w:r>
                  <w:rPr>
                    <w:rFonts w:eastAsiaTheme="minorEastAsia"/>
                    <w:szCs w:val="32"/>
                    <w:lang w:val="en-US"/>
                  </w:rPr>
                  <w:t>Approve AI risk appetite; establish Group AI Governance Committee; create enterprise AI inventory; complete UK-EU gap analysis</w:t>
                </w:r>
              </w:p>
            </w:tc>
            <w:tc>
              <w:tcPr>
                <w:tcW w:w="1930" w:type="dxa"/>
              </w:tcPr>
              <w:p w14:paraId="45D36FB9" w14:textId="77777777" w:rsidR="00C807D6" w:rsidRDefault="00000000">
                <w:pPr>
                  <w:spacing w:after="20" w:line="245" w:lineRule="auto"/>
                  <w:rPr>
                    <w:rFonts w:eastAsiaTheme="minorEastAsia"/>
                    <w:szCs w:val="32"/>
                    <w:lang w:val="en-US"/>
                  </w:rPr>
                </w:pPr>
                <w:r>
                  <w:rPr>
                    <w:rFonts w:eastAsiaTheme="minorEastAsia"/>
                    <w:szCs w:val="32"/>
                    <w:lang w:val="en-US"/>
                  </w:rPr>
                  <w:t>Board Risk Committee; Chief Risk Officer; Chief AI Officer; Chief Data Officer</w:t>
                </w:r>
              </w:p>
            </w:tc>
            <w:tc>
              <w:tcPr>
                <w:tcW w:w="1930" w:type="dxa"/>
              </w:tcPr>
              <w:p w14:paraId="5B71D76F" w14:textId="77777777" w:rsidR="00C807D6" w:rsidRDefault="00000000">
                <w:pPr>
                  <w:spacing w:after="20" w:line="245" w:lineRule="auto"/>
                  <w:rPr>
                    <w:rFonts w:eastAsiaTheme="minorEastAsia"/>
                    <w:szCs w:val="32"/>
                    <w:lang w:val="en-US"/>
                  </w:rPr>
                </w:pPr>
                <w:r>
                  <w:rPr>
                    <w:rFonts w:eastAsiaTheme="minorEastAsia"/>
                    <w:szCs w:val="32"/>
                    <w:lang w:val="en-US"/>
                  </w:rPr>
                  <w:t>% material systems inventoried; % high-impact systems with named owner</w:t>
                </w:r>
              </w:p>
            </w:tc>
            <w:tc>
              <w:tcPr>
                <w:tcW w:w="1930" w:type="dxa"/>
              </w:tcPr>
              <w:p w14:paraId="3962A540" w14:textId="77777777" w:rsidR="00C807D6" w:rsidRDefault="00000000">
                <w:pPr>
                  <w:spacing w:after="20" w:line="245" w:lineRule="auto"/>
                  <w:rPr>
                    <w:rFonts w:eastAsiaTheme="minorEastAsia"/>
                    <w:szCs w:val="32"/>
                    <w:lang w:val="en-US"/>
                  </w:rPr>
                </w:pPr>
                <w:r>
                  <w:rPr>
                    <w:rFonts w:eastAsiaTheme="minorEastAsia"/>
                    <w:szCs w:val="32"/>
                    <w:lang w:val="en-US"/>
                  </w:rPr>
                  <w:t>£18m-£22m</w:t>
                </w:r>
              </w:p>
            </w:tc>
          </w:tr>
          <w:tr w:rsidR="00C807D6" w14:paraId="5878D13B" w14:textId="77777777">
            <w:tc>
              <w:tcPr>
                <w:tcW w:w="1930" w:type="dxa"/>
              </w:tcPr>
              <w:p w14:paraId="43E3024C" w14:textId="77777777" w:rsidR="00C807D6" w:rsidRDefault="00000000">
                <w:pPr>
                  <w:spacing w:after="20" w:line="245" w:lineRule="auto"/>
                  <w:rPr>
                    <w:rFonts w:eastAsiaTheme="minorEastAsia"/>
                    <w:szCs w:val="32"/>
                    <w:lang w:val="en-US"/>
                  </w:rPr>
                </w:pPr>
                <w:r>
                  <w:rPr>
                    <w:rFonts w:eastAsiaTheme="minorEastAsia"/>
                    <w:szCs w:val="32"/>
                    <w:lang w:val="en-US"/>
                  </w:rPr>
                  <w:t>Phase 2 - Build</w:t>
                </w:r>
                <w:r>
                  <w:rPr>
                    <w:rFonts w:eastAsiaTheme="minorEastAsia"/>
                    <w:szCs w:val="32"/>
                    <w:lang w:val="en-US"/>
                  </w:rPr>
                  <w:br/>
                  <w:t>Months 7-15</w:t>
                </w:r>
              </w:p>
            </w:tc>
            <w:tc>
              <w:tcPr>
                <w:tcW w:w="1930" w:type="dxa"/>
              </w:tcPr>
              <w:p w14:paraId="76DBE58A" w14:textId="77777777" w:rsidR="00C807D6" w:rsidRDefault="00000000">
                <w:pPr>
                  <w:spacing w:after="20" w:line="245" w:lineRule="auto"/>
                  <w:rPr>
                    <w:rFonts w:eastAsiaTheme="minorEastAsia"/>
                    <w:szCs w:val="32"/>
                    <w:lang w:val="en-US"/>
                  </w:rPr>
                </w:pPr>
                <w:r>
                  <w:rPr>
                    <w:rFonts w:eastAsiaTheme="minorEastAsia"/>
                    <w:szCs w:val="32"/>
                    <w:lang w:val="en-US"/>
                  </w:rPr>
                  <w:t>Implement risk-tiered standards; strengthen lineage and documentation; enhance vendor clauses; role-specific training</w:t>
                </w:r>
              </w:p>
            </w:tc>
            <w:tc>
              <w:tcPr>
                <w:tcW w:w="1930" w:type="dxa"/>
              </w:tcPr>
              <w:p w14:paraId="6D01C75B" w14:textId="77777777" w:rsidR="00C807D6" w:rsidRDefault="00000000">
                <w:pPr>
                  <w:spacing w:after="20" w:line="245" w:lineRule="auto"/>
                  <w:rPr>
                    <w:rFonts w:eastAsiaTheme="minorEastAsia"/>
                    <w:szCs w:val="32"/>
                    <w:lang w:val="en-US"/>
                  </w:rPr>
                </w:pPr>
                <w:r>
                  <w:rPr>
                    <w:rFonts w:eastAsiaTheme="minorEastAsia"/>
                    <w:szCs w:val="32"/>
                    <w:lang w:val="en-US"/>
                  </w:rPr>
                  <w:t>Risk; Compliance; Data Governance; Procurement; Business unit leads</w:t>
                </w:r>
              </w:p>
            </w:tc>
            <w:tc>
              <w:tcPr>
                <w:tcW w:w="1930" w:type="dxa"/>
              </w:tcPr>
              <w:p w14:paraId="7849E15F" w14:textId="77777777" w:rsidR="00C807D6" w:rsidRDefault="00000000">
                <w:pPr>
                  <w:spacing w:after="20" w:line="245" w:lineRule="auto"/>
                  <w:rPr>
                    <w:rFonts w:eastAsiaTheme="minorEastAsia"/>
                    <w:szCs w:val="32"/>
                    <w:lang w:val="en-US"/>
                  </w:rPr>
                </w:pPr>
                <w:r>
                  <w:rPr>
                    <w:rFonts w:eastAsiaTheme="minorEastAsia"/>
                    <w:szCs w:val="32"/>
                    <w:lang w:val="en-US"/>
                  </w:rPr>
                  <w:t>% tier-one systems independently validated; % critical vendors under enhanced review</w:t>
                </w:r>
              </w:p>
            </w:tc>
            <w:tc>
              <w:tcPr>
                <w:tcW w:w="1930" w:type="dxa"/>
              </w:tcPr>
              <w:p w14:paraId="4557E855" w14:textId="77777777" w:rsidR="00C807D6" w:rsidRDefault="00000000">
                <w:pPr>
                  <w:spacing w:after="20" w:line="245" w:lineRule="auto"/>
                  <w:rPr>
                    <w:rFonts w:eastAsiaTheme="minorEastAsia"/>
                    <w:szCs w:val="32"/>
                    <w:lang w:val="en-US"/>
                  </w:rPr>
                </w:pPr>
                <w:r>
                  <w:rPr>
                    <w:rFonts w:eastAsiaTheme="minorEastAsia"/>
                    <w:szCs w:val="32"/>
                    <w:lang w:val="en-US"/>
                  </w:rPr>
                  <w:t>£30m-£40m</w:t>
                </w:r>
              </w:p>
            </w:tc>
          </w:tr>
          <w:tr w:rsidR="00C807D6" w14:paraId="4F972C69" w14:textId="77777777">
            <w:tc>
              <w:tcPr>
                <w:tcW w:w="1930" w:type="dxa"/>
              </w:tcPr>
              <w:p w14:paraId="2DFFA1CC" w14:textId="77777777" w:rsidR="00C807D6" w:rsidRDefault="00000000">
                <w:pPr>
                  <w:spacing w:after="20" w:line="245" w:lineRule="auto"/>
                  <w:rPr>
                    <w:rFonts w:eastAsiaTheme="minorEastAsia"/>
                    <w:szCs w:val="32"/>
                    <w:lang w:val="en-US"/>
                  </w:rPr>
                </w:pPr>
                <w:r>
                  <w:rPr>
                    <w:rFonts w:eastAsiaTheme="minorEastAsia"/>
                    <w:szCs w:val="32"/>
                    <w:lang w:val="en-US"/>
                  </w:rPr>
                  <w:t>Phase 3 - Lead</w:t>
                </w:r>
                <w:r>
                  <w:rPr>
                    <w:rFonts w:eastAsiaTheme="minorEastAsia"/>
                    <w:szCs w:val="32"/>
                    <w:lang w:val="en-US"/>
                  </w:rPr>
                  <w:br/>
                  <w:t>Months 16-24</w:t>
                </w:r>
              </w:p>
            </w:tc>
            <w:tc>
              <w:tcPr>
                <w:tcW w:w="1930" w:type="dxa"/>
              </w:tcPr>
              <w:p w14:paraId="42EECF06" w14:textId="77777777" w:rsidR="00C807D6" w:rsidRDefault="00000000">
                <w:pPr>
                  <w:spacing w:after="20" w:line="245" w:lineRule="auto"/>
                  <w:rPr>
                    <w:rFonts w:eastAsiaTheme="minorEastAsia"/>
                    <w:szCs w:val="32"/>
                    <w:lang w:val="en-US"/>
                  </w:rPr>
                </w:pPr>
                <w:r>
                  <w:rPr>
                    <w:rFonts w:eastAsiaTheme="minorEastAsia"/>
                    <w:szCs w:val="32"/>
                    <w:lang w:val="en-US"/>
                  </w:rPr>
                  <w:t>Board dashboards; responsible-AI report; resilience simulations; internal-audit assurance and remediation</w:t>
                </w:r>
              </w:p>
            </w:tc>
            <w:tc>
              <w:tcPr>
                <w:tcW w:w="1930" w:type="dxa"/>
              </w:tcPr>
              <w:p w14:paraId="5E88F0B2" w14:textId="77777777" w:rsidR="00C807D6" w:rsidRDefault="00000000">
                <w:pPr>
                  <w:spacing w:after="20" w:line="245" w:lineRule="auto"/>
                  <w:rPr>
                    <w:rFonts w:eastAsiaTheme="minorEastAsia"/>
                    <w:szCs w:val="32"/>
                    <w:lang w:val="en-US"/>
                  </w:rPr>
                </w:pPr>
                <w:r>
                  <w:rPr>
                    <w:rFonts w:eastAsiaTheme="minorEastAsia"/>
                    <w:szCs w:val="32"/>
                    <w:lang w:val="en-US"/>
                  </w:rPr>
                  <w:t>Executive Committee; Internal Audit; Operations; Corporate Affairs</w:t>
                </w:r>
              </w:p>
            </w:tc>
            <w:tc>
              <w:tcPr>
                <w:tcW w:w="1930" w:type="dxa"/>
              </w:tcPr>
              <w:p w14:paraId="4686BC7F" w14:textId="77777777" w:rsidR="00C807D6" w:rsidRDefault="00000000">
                <w:pPr>
                  <w:spacing w:after="20" w:line="245" w:lineRule="auto"/>
                  <w:rPr>
                    <w:rFonts w:eastAsiaTheme="minorEastAsia"/>
                    <w:szCs w:val="32"/>
                    <w:lang w:val="en-US"/>
                  </w:rPr>
                </w:pPr>
                <w:r>
                  <w:rPr>
                    <w:rFonts w:eastAsiaTheme="minorEastAsia"/>
                    <w:szCs w:val="32"/>
                    <w:lang w:val="en-US"/>
                  </w:rPr>
                  <w:t>AI complaint trend; incident remediation time; % significant systems audit-tested</w:t>
                </w:r>
              </w:p>
            </w:tc>
            <w:tc>
              <w:tcPr>
                <w:tcW w:w="1930" w:type="dxa"/>
              </w:tcPr>
              <w:p w14:paraId="39FA3A31" w14:textId="77777777" w:rsidR="00C807D6" w:rsidRDefault="00000000">
                <w:pPr>
                  <w:spacing w:after="20" w:line="245" w:lineRule="auto"/>
                  <w:rPr>
                    <w:rFonts w:eastAsiaTheme="minorEastAsia"/>
                    <w:szCs w:val="32"/>
                    <w:lang w:val="en-US"/>
                  </w:rPr>
                </w:pPr>
                <w:r>
                  <w:rPr>
                    <w:rFonts w:eastAsiaTheme="minorEastAsia"/>
                    <w:szCs w:val="32"/>
                    <w:lang w:val="en-US"/>
                  </w:rPr>
                  <w:t>£15m-£20m</w:t>
                </w:r>
              </w:p>
            </w:tc>
          </w:tr>
        </w:tbl>
        <w:p w14:paraId="758FA457" w14:textId="77777777" w:rsidR="00C807D6" w:rsidRDefault="00C807D6">
          <w:pPr>
            <w:jc w:val="both"/>
          </w:pPr>
        </w:p>
        <w:p w14:paraId="22A08289" w14:textId="77777777" w:rsidR="00C807D6" w:rsidRDefault="00C807D6"/>
        <w:p w14:paraId="02BC8F06" w14:textId="77777777" w:rsidR="00C807D6" w:rsidRDefault="00000000">
          <w:pPr>
            <w:rPr>
              <w:rFonts w:eastAsiaTheme="majorEastAsia" w:cstheme="majorBidi"/>
              <w:color w:val="2E74B5" w:themeColor="accent1" w:themeShade="BF"/>
              <w:sz w:val="28"/>
              <w:szCs w:val="32"/>
            </w:rPr>
          </w:pPr>
          <w:r>
            <w:br w:type="page"/>
          </w:r>
        </w:p>
        <w:p w14:paraId="16C79713" w14:textId="77777777" w:rsidR="00C807D6" w:rsidRDefault="00000000">
          <w:pPr>
            <w:pStyle w:val="Heading1"/>
          </w:pPr>
          <w:bookmarkStart w:id="13" w:name="_Toc227857864"/>
          <w:r>
            <w:lastRenderedPageBreak/>
            <w:t>Conclusion</w:t>
          </w:r>
          <w:bookmarkEnd w:id="13"/>
          <w:r>
            <w:t xml:space="preserve"> </w:t>
          </w:r>
        </w:p>
        <w:p w14:paraId="01FB68BC" w14:textId="77777777" w:rsidR="00C807D6" w:rsidRDefault="00000000">
          <w:pPr>
            <w:jc w:val="both"/>
          </w:pPr>
          <w:r>
            <w:t xml:space="preserve">This report has argued that AI should now be treated by HSBC as a strategic enterprise-risk issue rather than a narrow innovation agenda. The reason is simple the same technologies that can improve productivity, fraud detection, customer service and analytical capacity can also intensify data-governance failures, bias, opacity, cyber exposure, third-party concentration risk and conduct failures. Those threats are not hypothetical. Official UK evidence, OECD analysis, industry surveys and recent parliamentary scrutiny all point to a common message: AI adoption in finance is advancing quickly, but governance maturity is uneven and the downside from weak control can be systemic as well as reputational </w:t>
          </w:r>
          <w:sdt>
            <w:sdtPr>
              <w:id w:val="-1713028917"/>
            </w:sdtPr>
            <w:sdtContent>
              <w:r>
                <w:fldChar w:fldCharType="begin"/>
              </w:r>
              <w:r>
                <w:rPr>
                  <w:lang w:val="en-US"/>
                </w:rPr>
                <w:instrText xml:space="preserve"> CITATION Ban24 \l 1033  \m OEC6d \m Tre26</w:instrText>
              </w:r>
              <w:r>
                <w:fldChar w:fldCharType="separate"/>
              </w:r>
              <w:r>
                <w:rPr>
                  <w:lang w:val="en-US"/>
                </w:rPr>
                <w:t>(Bank of England and FCA, 2024; OECD, 2026d; Treasury Committee, 2026)</w:t>
              </w:r>
              <w:r>
                <w:fldChar w:fldCharType="end"/>
              </w:r>
            </w:sdtContent>
          </w:sdt>
          <w:r>
            <w:t>.</w:t>
          </w:r>
        </w:p>
        <w:p w14:paraId="24ED9A96" w14:textId="77777777" w:rsidR="00C807D6" w:rsidRDefault="00000000">
          <w:pPr>
            <w:jc w:val="both"/>
          </w:pPr>
          <w:r>
            <w:t xml:space="preserve">The UK and EU comparison reinforces that conclusion. The UK remains flexible and principles based, which gives firms room to innovate but places more responsibility on them to show that existing rules have been operationalised credibly. The EU, by contrast, is providing a clearer and more prescriptive risk-based regime through the AI Act. For a multinational bank, the rational strategic response is not to exploit the gap between the two systems. It is to build an enterprise-wide governance baseline close to the highest credible standard for material use cases and then apply local legal overlays. That is the most defensible way to protect customer trust, simplify oversight and avoid fragmented compliance </w:t>
          </w:r>
          <w:sdt>
            <w:sdtPr>
              <w:id w:val="1604372494"/>
            </w:sdtPr>
            <w:sdtContent>
              <w:r>
                <w:fldChar w:fldCharType="begin"/>
              </w:r>
              <w:r>
                <w:rPr>
                  <w:lang w:val="en-US"/>
                </w:rPr>
                <w:instrText xml:space="preserve"> CITATION UKG24 \l 1033  \m Eur242 \m Anu20</w:instrText>
              </w:r>
              <w:r>
                <w:fldChar w:fldCharType="separate"/>
              </w:r>
              <w:r>
                <w:rPr>
                  <w:lang w:val="en-US"/>
                </w:rPr>
                <w:t>(UK Government, 2024; European Union, 2024; Bradford, 2020)</w:t>
              </w:r>
              <w:r>
                <w:fldChar w:fldCharType="end"/>
              </w:r>
            </w:sdtContent>
          </w:sdt>
          <w:r>
            <w:t xml:space="preserve">. </w:t>
          </w:r>
        </w:p>
        <w:p w14:paraId="4A503F5D" w14:textId="77777777" w:rsidR="00C807D6" w:rsidRDefault="00000000">
          <w:pPr>
            <w:jc w:val="both"/>
          </w:pPr>
          <w:r>
            <w:t xml:space="preserve">Ultimately, HSBC's competitive advantage will not come from adopting AI fastest, because access to generic models and tools is increasingly widespread. The stronger advantage will come from the ability to scale AI in sensitive, regulated contexts without losing trust, control or strategic flexibility. In that sense, governance is not a drag on performance. It is part of the performance model. A bank that can demonstrate disciplined AI deployment, auditable accountability and credible customer protection is more likely to realise the value of AI than a bank that pursues speed without institutional depth </w:t>
          </w:r>
          <w:sdt>
            <w:sdtPr>
              <w:id w:val="-506367907"/>
            </w:sdtPr>
            <w:sdtContent>
              <w:r>
                <w:fldChar w:fldCharType="begin"/>
              </w:r>
              <w:r>
                <w:rPr>
                  <w:lang w:val="en-US"/>
                </w:rPr>
                <w:instrText xml:space="preserve"> CITATION Jay91 \l 1033  \m Ede25 \m Emm25</w:instrText>
              </w:r>
              <w:r>
                <w:fldChar w:fldCharType="separate"/>
              </w:r>
              <w:r>
                <w:rPr>
                  <w:lang w:val="en-US"/>
                </w:rPr>
                <w:t>(Barney, 1991; Edelman, 2025; Papagiannidis et al., 2025)</w:t>
              </w:r>
              <w:r>
                <w:fldChar w:fldCharType="end"/>
              </w:r>
            </w:sdtContent>
          </w:sdt>
          <w:r>
            <w:t>.</w:t>
          </w:r>
        </w:p>
        <w:p w14:paraId="039BBF96" w14:textId="77777777" w:rsidR="00C807D6" w:rsidRDefault="00000000">
          <w:pPr>
            <w:rPr>
              <w:rFonts w:eastAsiaTheme="majorEastAsia" w:cstheme="majorBidi"/>
              <w:color w:val="2E74B5" w:themeColor="accent1" w:themeShade="BF"/>
              <w:sz w:val="28"/>
              <w:szCs w:val="32"/>
            </w:rPr>
          </w:pPr>
          <w:r>
            <w:br w:type="page"/>
          </w:r>
        </w:p>
        <w:p w14:paraId="09118715" w14:textId="77777777" w:rsidR="00C807D6" w:rsidRDefault="00000000">
          <w:pPr>
            <w:pStyle w:val="Heading1"/>
            <w:jc w:val="both"/>
          </w:pPr>
          <w:bookmarkStart w:id="14" w:name="_Toc227857865"/>
          <w:r>
            <w:lastRenderedPageBreak/>
            <w:t>Recommendations</w:t>
          </w:r>
          <w:bookmarkEnd w:id="14"/>
          <w:r>
            <w:t xml:space="preserve"> </w:t>
          </w:r>
        </w:p>
        <w:p w14:paraId="0077DCD7" w14:textId="77777777" w:rsidR="00C807D6" w:rsidRDefault="00000000">
          <w:pPr>
            <w:jc w:val="both"/>
          </w:pPr>
          <w:r>
            <w:t xml:space="preserve">The strongest recommendation from this report is that HSBC should adopt a group-wide, risk-tiered AI governance model, aligned to the EU’s high-risk logic for material banking use cases and embedded within existing enterprise risk, compliance and operational resilience structures across its UK and EU operations. This is preferable to fragmented local compliance because the main AI exposures in finance are cross-functional and cross-jurisdictional. They include model risk, data governance weaknesses, explainability problems, cyber risk and dependence on external providers. BIS identifies governance, skills, model risk management, data governance and third-party AI service providers as areas needing particular supervisory attention, while the FSB highlights third-party concentration, cyber risk, model risk, data quality and governance as vulnerabilities that may scale beyond the firm level. ECB analysis similarly warns that AI can increase operational risk and external dependency when critical processes rely on opaque or externally supplied models </w:t>
          </w:r>
          <w:sdt>
            <w:sdtPr>
              <w:id w:val="-181674349"/>
            </w:sdtPr>
            <w:sdtContent>
              <w:r>
                <w:fldChar w:fldCharType="begin"/>
              </w:r>
              <w:r>
                <w:rPr>
                  <w:lang w:val="en-US"/>
                </w:rPr>
                <w:instrText xml:space="preserve"> CITATION Ban241 \l 1033  \m Eur4a \m Fin24</w:instrText>
              </w:r>
              <w:r>
                <w:fldChar w:fldCharType="separate"/>
              </w:r>
              <w:r>
                <w:rPr>
                  <w:lang w:val="en-US"/>
                </w:rPr>
                <w:t>(Bank for International Settlements, 2024; European Central Bank, 2024a; Financial Stability Board, 2024)</w:t>
              </w:r>
              <w:r>
                <w:fldChar w:fldCharType="end"/>
              </w:r>
            </w:sdtContent>
          </w:sdt>
          <w:r>
            <w:t>.</w:t>
          </w:r>
        </w:p>
        <w:p w14:paraId="115FDE07" w14:textId="77777777" w:rsidR="00C807D6" w:rsidRDefault="00000000">
          <w:pPr>
            <w:jc w:val="both"/>
          </w:pPr>
          <w:r>
            <w:t xml:space="preserve">Five linked actions should follow. First, the board should approve a formal AI risk appetite and assign named executive accountability, because effective AI governance requires senior management ownership rather than informal delegation to technical teams </w:t>
          </w:r>
          <w:sdt>
            <w:sdtPr>
              <w:id w:val="-486784956"/>
            </w:sdtPr>
            <w:sdtContent>
              <w:r>
                <w:fldChar w:fldCharType="begin"/>
              </w:r>
              <w:r>
                <w:rPr>
                  <w:lang w:val="en-US"/>
                </w:rPr>
                <w:instrText xml:space="preserve"> CITATION Inf3a \l 1033  \m Ban25</w:instrText>
              </w:r>
              <w:r>
                <w:fldChar w:fldCharType="separate"/>
              </w:r>
              <w:r>
                <w:rPr>
                  <w:lang w:val="en-US"/>
                </w:rPr>
                <w:t>(Information Commissioner’s Office, 2023a; Bank for International Settlements, 2025)</w:t>
              </w:r>
              <w:r>
                <w:fldChar w:fldCharType="end"/>
              </w:r>
            </w:sdtContent>
          </w:sdt>
          <w:r>
            <w:t xml:space="preserve">. Second, HSBC should create a central AI inventory covering model purpose, materiality, ownership, legal basis, jurisdiction and vendor dependencies. Recent banking guidance stresses that inventory quality is essential for understanding model risk at both individual and aggregate levels. Third, systems used in credit, fraud, AML, underwriting or other high-impact decisions should face enhanced validation, fairness testing, explainability review, ongoing monitoring and effective challenge proportionate to their materiality. Fourth, HSBC should tighten oversight of third-party AI and cloud providers through contract registers, performance monitoring, contingency arrangements and clear termination pathways for critical services </w:t>
          </w:r>
          <w:sdt>
            <w:sdtPr>
              <w:id w:val="-781178987"/>
            </w:sdtPr>
            <w:sdtContent>
              <w:r>
                <w:fldChar w:fldCharType="begin"/>
              </w:r>
              <w:r>
                <w:rPr>
                  <w:lang w:val="en-US"/>
                </w:rPr>
                <w:instrText xml:space="preserve"> CITATION Eur4b \l 1033  \m Fin24</w:instrText>
              </w:r>
              <w:r>
                <w:fldChar w:fldCharType="separate"/>
              </w:r>
              <w:r>
                <w:rPr>
                  <w:lang w:val="en-US"/>
                </w:rPr>
                <w:t>(European Central Bank, 2024b; Financial Stability Board, 2024)</w:t>
              </w:r>
              <w:r>
                <w:fldChar w:fldCharType="end"/>
              </w:r>
            </w:sdtContent>
          </w:sdt>
          <w:r>
            <w:t xml:space="preserve">. Fifth, it should build a customer-trust operating model for material AI decisions, including clear explanations, documented human review routes and complaint monitoring, because in financial services the justification of decisions to affected individuals is a core governance requirement, not communications extra </w:t>
          </w:r>
          <w:sdt>
            <w:sdtPr>
              <w:id w:val="1533067966"/>
            </w:sdtPr>
            <w:sdtContent>
              <w:r>
                <w:fldChar w:fldCharType="begin"/>
              </w:r>
              <w:r>
                <w:rPr>
                  <w:lang w:val="en-US"/>
                </w:rPr>
                <w:instrText xml:space="preserve"> CITATION Inf3a \l 1033  \m Inf3b</w:instrText>
              </w:r>
              <w:r>
                <w:fldChar w:fldCharType="separate"/>
              </w:r>
              <w:r>
                <w:rPr>
                  <w:lang w:val="en-US"/>
                </w:rPr>
                <w:t>(Information Commissioner’s Office, 2023a; Information Commissioner’s Office, 2023b)</w:t>
              </w:r>
              <w:r>
                <w:fldChar w:fldCharType="end"/>
              </w:r>
            </w:sdtContent>
          </w:sdt>
          <w:r>
            <w:t>.</w:t>
          </w:r>
        </w:p>
        <w:p w14:paraId="25D575AF" w14:textId="77777777" w:rsidR="00C807D6" w:rsidRDefault="00000000">
          <w:r>
            <w:br w:type="page"/>
          </w:r>
        </w:p>
        <w:bookmarkStart w:id="15" w:name="_Toc227857866" w:displacedByCustomXml="next"/>
        <w:sdt>
          <w:sdtPr>
            <w:rPr>
              <w:rFonts w:eastAsiaTheme="minorHAnsi" w:cstheme="minorBidi"/>
              <w:color w:val="auto"/>
              <w:sz w:val="24"/>
              <w:szCs w:val="22"/>
            </w:rPr>
            <w:id w:val="-975988645"/>
            <w:docPartObj>
              <w:docPartGallery w:val="AutoText"/>
            </w:docPartObj>
          </w:sdtPr>
          <w:sdtContent>
            <w:p w14:paraId="09106FF7" w14:textId="77777777" w:rsidR="00C807D6" w:rsidRDefault="00000000">
              <w:pPr>
                <w:pStyle w:val="Heading1"/>
              </w:pPr>
              <w:r>
                <w:t>Bibliography</w:t>
              </w:r>
              <w:bookmarkEnd w:id="15"/>
            </w:p>
            <w:sdt>
              <w:sdtPr>
                <w:id w:val="111145805"/>
              </w:sdtPr>
              <w:sdtContent>
                <w:p w14:paraId="56A40718" w14:textId="313C1893" w:rsidR="00C807D6" w:rsidRDefault="00000000">
                  <w:pPr>
                    <w:pStyle w:val="Bibliography1"/>
                    <w:jc w:val="both"/>
                    <w:rPr>
                      <w:szCs w:val="24"/>
                    </w:rPr>
                  </w:pPr>
                  <w:r>
                    <w:fldChar w:fldCharType="begin"/>
                  </w:r>
                  <w:r>
                    <w:instrText>BIBLIOGRAPHY</w:instrText>
                  </w:r>
                  <w:r>
                    <w:fldChar w:fldCharType="separate"/>
                  </w:r>
                  <w:r>
                    <w:t xml:space="preserve">Abraham, R., Schneider, J. </w:t>
                  </w:r>
                  <w:r w:rsidR="00F943BD">
                    <w:t>and</w:t>
                  </w:r>
                  <w:r>
                    <w:t xml:space="preserve"> Brocke, J. (2019) 'Data governance: A conceptual framework, structured review, and research agenda', </w:t>
                  </w:r>
                  <w:r>
                    <w:rPr>
                      <w:i/>
                      <w:iCs/>
                    </w:rPr>
                    <w:t>International Journal of Information Management</w:t>
                  </w:r>
                  <w:r>
                    <w:t>, 49, pp. 424-438.</w:t>
                  </w:r>
                </w:p>
                <w:p w14:paraId="6DB11A4A" w14:textId="77777777" w:rsidR="00C807D6" w:rsidRDefault="00000000">
                  <w:pPr>
                    <w:pStyle w:val="Bibliography1"/>
                    <w:jc w:val="both"/>
                  </w:pPr>
                  <w:r>
                    <w:t xml:space="preserve">Bank for International Settlements (2024) </w:t>
                  </w:r>
                  <w:r>
                    <w:rPr>
                      <w:i/>
                      <w:iCs/>
                    </w:rPr>
                    <w:t>Regulating AI in the financial sector: recent developments and main challenges</w:t>
                  </w:r>
                  <w:r>
                    <w:t xml:space="preserve">. Available at: </w:t>
                  </w:r>
                  <w:hyperlink r:id="rId11" w:history="1">
                    <w:r>
                      <w:rPr>
                        <w:rStyle w:val="Hyperlink"/>
                      </w:rPr>
                      <w:t>https://www.bis.org/fsi/publ/insights63.htm</w:t>
                    </w:r>
                  </w:hyperlink>
                  <w:r>
                    <w:t xml:space="preserve"> (Accessed: 23 April 2026).</w:t>
                  </w:r>
                </w:p>
                <w:p w14:paraId="3E4A8710" w14:textId="77777777" w:rsidR="00C807D6" w:rsidRDefault="00000000">
                  <w:pPr>
                    <w:pStyle w:val="Bibliography1"/>
                    <w:jc w:val="both"/>
                  </w:pPr>
                  <w:r>
                    <w:t xml:space="preserve">Bank for International Settlements (2025) </w:t>
                  </w:r>
                  <w:r>
                    <w:rPr>
                      <w:i/>
                      <w:iCs/>
                    </w:rPr>
                    <w:t>Governance of AI adoption in central banks</w:t>
                  </w:r>
                  <w:r>
                    <w:t xml:space="preserve">. Available at: </w:t>
                  </w:r>
                  <w:hyperlink r:id="rId12" w:history="1">
                    <w:r>
                      <w:rPr>
                        <w:rStyle w:val="Hyperlink"/>
                      </w:rPr>
                      <w:t>https://www.bis.org/publ/othp90.htm</w:t>
                    </w:r>
                  </w:hyperlink>
                  <w:r>
                    <w:t xml:space="preserve"> (Accessed: 23 April 2026).</w:t>
                  </w:r>
                </w:p>
                <w:p w14:paraId="4C2C4628" w14:textId="3E36DCDE" w:rsidR="00C807D6" w:rsidRDefault="00000000">
                  <w:pPr>
                    <w:pStyle w:val="Bibliography1"/>
                    <w:jc w:val="both"/>
                  </w:pPr>
                  <w:r>
                    <w:t xml:space="preserve">Bank of England and </w:t>
                  </w:r>
                  <w:r>
                    <w:rPr>
                      <w:lang w:val="en-US"/>
                    </w:rPr>
                    <w:t>Financial Conduct Authority</w:t>
                  </w:r>
                  <w:r>
                    <w:t xml:space="preserve"> (2024) </w:t>
                  </w:r>
                  <w:r>
                    <w:rPr>
                      <w:i/>
                      <w:iCs/>
                    </w:rPr>
                    <w:t>Artificial intelligence in UK financial services - 2024</w:t>
                  </w:r>
                  <w:r>
                    <w:t xml:space="preserve">. London: Bank of England. Available at: </w:t>
                  </w:r>
                  <w:hyperlink r:id="rId13" w:history="1">
                    <w:r>
                      <w:rPr>
                        <w:rStyle w:val="Hyperlink"/>
                      </w:rPr>
                      <w:t>https://www.bankofengland.co.uk/report/2024/artificial-intelligence-in-uk-financial-services-2024</w:t>
                    </w:r>
                  </w:hyperlink>
                  <w:r>
                    <w:t xml:space="preserve"> (Accessed: 17 April 2026)</w:t>
                  </w:r>
                  <w:r w:rsidR="00B90A1C">
                    <w:t>.</w:t>
                  </w:r>
                </w:p>
                <w:p w14:paraId="50C4CFBA" w14:textId="634CF91C" w:rsidR="00B90A1C" w:rsidRDefault="00B90A1C" w:rsidP="00FC0F34">
                  <w:pPr>
                    <w:jc w:val="both"/>
                  </w:pPr>
                  <w:r w:rsidRPr="00B90A1C">
                    <w:t xml:space="preserve">Bank of England (2025) </w:t>
                  </w:r>
                  <w:r w:rsidRPr="00B90A1C">
                    <w:rPr>
                      <w:i/>
                      <w:iCs/>
                    </w:rPr>
                    <w:t>The Bank of England’s approach to innovation in artificial intelligence, distributed ledger technology, and quantum computing</w:t>
                  </w:r>
                  <w:r w:rsidRPr="00B90A1C">
                    <w:t>.</w:t>
                  </w:r>
                  <w:r>
                    <w:t xml:space="preserve"> Available at: </w:t>
                  </w:r>
                  <w:hyperlink r:id="rId14" w:history="1">
                    <w:r w:rsidRPr="00B90A1C">
                      <w:rPr>
                        <w:rStyle w:val="Hyperlink"/>
                      </w:rPr>
                      <w:t>https://www.bankofengland.co.uk/report/2025/the-boes-approach-to-innovation-in-ai-dlt-quantum-computing</w:t>
                    </w:r>
                  </w:hyperlink>
                  <w:r>
                    <w:t xml:space="preserve"> (Accessed: 23 April 2026). </w:t>
                  </w:r>
                </w:p>
                <w:p w14:paraId="43619ABF" w14:textId="516EB949" w:rsidR="00B90A1C" w:rsidRPr="00B90A1C" w:rsidRDefault="00B90A1C" w:rsidP="00FC0F34">
                  <w:pPr>
                    <w:jc w:val="both"/>
                  </w:pPr>
                  <w:r w:rsidRPr="00B90A1C">
                    <w:t xml:space="preserve">Bank of England (2026) </w:t>
                  </w:r>
                  <w:r w:rsidRPr="00B90A1C">
                    <w:rPr>
                      <w:i/>
                      <w:iCs/>
                    </w:rPr>
                    <w:t>Response to TSC inquiry report on AI in financial services</w:t>
                  </w:r>
                  <w:r>
                    <w:rPr>
                      <w:i/>
                      <w:iCs/>
                    </w:rPr>
                    <w:t xml:space="preserve">. </w:t>
                  </w:r>
                  <w:r>
                    <w:t>Available at:</w:t>
                  </w:r>
                  <w:r w:rsidR="00FC0F34">
                    <w:t xml:space="preserve"> </w:t>
                  </w:r>
                  <w:r w:rsidR="00FC0F34" w:rsidRPr="00FC0F34">
                    <w:t>https://www.bankofengland.co.uk/-/media/boe/files/letter/2026/response-to-tsc-inquiry-report-on-ai-in-financial-services</w:t>
                  </w:r>
                  <w:r w:rsidR="00FC0F34">
                    <w:t xml:space="preserve"> (Accessed: 23 April 2026). </w:t>
                  </w:r>
                </w:p>
                <w:p w14:paraId="598C4219" w14:textId="1AFDA4FB" w:rsidR="00C807D6" w:rsidRDefault="00000000">
                  <w:pPr>
                    <w:pStyle w:val="Bibliography1"/>
                    <w:jc w:val="both"/>
                  </w:pPr>
                  <w:r>
                    <w:t xml:space="preserve">Bank of England (2026a) </w:t>
                  </w:r>
                  <w:r>
                    <w:rPr>
                      <w:i/>
                      <w:iCs/>
                    </w:rPr>
                    <w:t>Bank Rate maintained at 3.75% - March 2026 Monetary Policy Summary and Minutes</w:t>
                  </w:r>
                  <w:r>
                    <w:t xml:space="preserve">. London: Bank of England. Available at: </w:t>
                  </w:r>
                  <w:hyperlink r:id="rId15" w:history="1">
                    <w:r>
                      <w:rPr>
                        <w:rStyle w:val="Hyperlink"/>
                      </w:rPr>
                      <w:t>https://www.bankofengland.co.uk/monetary-policy-summary-and-minutes/2026/march-2026</w:t>
                    </w:r>
                  </w:hyperlink>
                  <w:r>
                    <w:t xml:space="preserve"> (Accessed: 15 April 2026)</w:t>
                  </w:r>
                  <w:r w:rsidR="00B90A1C">
                    <w:t>.</w:t>
                  </w:r>
                </w:p>
                <w:p w14:paraId="74D0A38D" w14:textId="77777777" w:rsidR="00C807D6" w:rsidRDefault="00000000">
                  <w:pPr>
                    <w:pStyle w:val="Bibliography1"/>
                    <w:jc w:val="both"/>
                  </w:pPr>
                  <w:r>
                    <w:t xml:space="preserve">Bank of England (2026b) </w:t>
                  </w:r>
                  <w:r>
                    <w:rPr>
                      <w:i/>
                      <w:iCs/>
                    </w:rPr>
                    <w:t>Interest rates and Bank Rate: our latest decision</w:t>
                  </w:r>
                  <w:r>
                    <w:t xml:space="preserve">. London: Bank of England. Available at: </w:t>
                  </w:r>
                  <w:hyperlink r:id="rId16" w:history="1">
                    <w:r>
                      <w:rPr>
                        <w:rStyle w:val="Hyperlink"/>
                      </w:rPr>
                      <w:t>https://www.bankofengland.co.uk/monetary-policy/the-interest-rate-bank-rate</w:t>
                    </w:r>
                  </w:hyperlink>
                  <w:r>
                    <w:t xml:space="preserve"> (Accessed: 15 April 2026).</w:t>
                  </w:r>
                </w:p>
                <w:p w14:paraId="031F5CB3" w14:textId="77777777" w:rsidR="00C807D6" w:rsidRDefault="00000000">
                  <w:pPr>
                    <w:pStyle w:val="Bibliography1"/>
                    <w:jc w:val="both"/>
                  </w:pPr>
                  <w:r>
                    <w:t xml:space="preserve">Barney, J. (1991) 'Firm Resources and Sustained Competitive Advantage', </w:t>
                  </w:r>
                  <w:r>
                    <w:rPr>
                      <w:i/>
                      <w:iCs/>
                    </w:rPr>
                    <w:t>Journal of Management</w:t>
                  </w:r>
                  <w:r>
                    <w:t>, 17(1), pp. 99-120.</w:t>
                  </w:r>
                </w:p>
                <w:p w14:paraId="6533F7E5" w14:textId="77777777" w:rsidR="00C807D6" w:rsidRDefault="00000000">
                  <w:pPr>
                    <w:pStyle w:val="Bibliography1"/>
                    <w:jc w:val="both"/>
                  </w:pPr>
                  <w:r>
                    <w:t xml:space="preserve">Batool, A., Zowghi, D. and Bano, M. (2025) 'AI governance: a systematic literature review', </w:t>
                  </w:r>
                  <w:r>
                    <w:rPr>
                      <w:i/>
                      <w:iCs/>
                    </w:rPr>
                    <w:t>AI and Ethics</w:t>
                  </w:r>
                  <w:r>
                    <w:t>, 5(3), pp. 3265–3279.</w:t>
                  </w:r>
                </w:p>
                <w:p w14:paraId="15BA073B" w14:textId="77777777" w:rsidR="00C807D6" w:rsidRDefault="00000000">
                  <w:pPr>
                    <w:pStyle w:val="Bibliography1"/>
                    <w:jc w:val="both"/>
                  </w:pPr>
                  <w:r>
                    <w:t xml:space="preserve">Binns, R. (2018) 'Fairness in Machine Learning: Lessons from Political Philosophy', </w:t>
                  </w:r>
                  <w:r>
                    <w:rPr>
                      <w:i/>
                      <w:iCs/>
                    </w:rPr>
                    <w:t>Proceedings of the 1st Conference on Fairness, Accountability and Transparency</w:t>
                  </w:r>
                  <w:r>
                    <w:t>, 81, pp. 149–159.</w:t>
                  </w:r>
                </w:p>
                <w:p w14:paraId="1CB4104B" w14:textId="77777777" w:rsidR="00C807D6" w:rsidRDefault="00000000">
                  <w:pPr>
                    <w:pStyle w:val="Bibliography1"/>
                    <w:jc w:val="both"/>
                  </w:pPr>
                  <w:r>
                    <w:t xml:space="preserve">Bradford, A. (2020) </w:t>
                  </w:r>
                  <w:r>
                    <w:rPr>
                      <w:i/>
                      <w:iCs/>
                    </w:rPr>
                    <w:t>The Brussels Effect: How the European Union Rules the World</w:t>
                  </w:r>
                  <w:r>
                    <w:t>. New York, NY: Oxford University Press.</w:t>
                  </w:r>
                </w:p>
                <w:p w14:paraId="42E1C704" w14:textId="77777777" w:rsidR="00C807D6" w:rsidRDefault="00000000">
                  <w:pPr>
                    <w:pStyle w:val="Bibliography1"/>
                    <w:jc w:val="both"/>
                  </w:pPr>
                  <w:r>
                    <w:t xml:space="preserve">COSO (2017) </w:t>
                  </w:r>
                  <w:r>
                    <w:rPr>
                      <w:i/>
                      <w:iCs/>
                    </w:rPr>
                    <w:t>Enterprise Risk Management: Integrating with Strategy and Performance</w:t>
                  </w:r>
                  <w:r>
                    <w:t xml:space="preserve">. Available at: </w:t>
                  </w:r>
                  <w:hyperlink r:id="rId17" w:history="1">
                    <w:r>
                      <w:rPr>
                        <w:rStyle w:val="Hyperlink"/>
                      </w:rPr>
                      <w:t>https://www.coso.org/enterprise-risk-management</w:t>
                    </w:r>
                  </w:hyperlink>
                  <w:r>
                    <w:t xml:space="preserve"> (Accessed: 21 April 2026).</w:t>
                  </w:r>
                </w:p>
                <w:p w14:paraId="6A9CC003" w14:textId="77777777" w:rsidR="00C807D6" w:rsidRDefault="00000000">
                  <w:pPr>
                    <w:pStyle w:val="Bibliography1"/>
                    <w:jc w:val="both"/>
                  </w:pPr>
                  <w:r>
                    <w:lastRenderedPageBreak/>
                    <w:t xml:space="preserve">DiMaggio, P.J. and Powell, W.W. (1983) 'The iron cage revisited: Institutional isomorphism and collective rationality in organizational fields', </w:t>
                  </w:r>
                  <w:r>
                    <w:rPr>
                      <w:i/>
                      <w:iCs/>
                    </w:rPr>
                    <w:t>American Sociological Review</w:t>
                  </w:r>
                  <w:r>
                    <w:t>, 48(2), pp. 147–160.</w:t>
                  </w:r>
                </w:p>
                <w:p w14:paraId="1A7F31F2" w14:textId="77777777" w:rsidR="00C807D6" w:rsidRDefault="00000000">
                  <w:pPr>
                    <w:pStyle w:val="Bibliography1"/>
                    <w:jc w:val="both"/>
                  </w:pPr>
                  <w:r>
                    <w:t xml:space="preserve">Edelman (2025) </w:t>
                  </w:r>
                  <w:r>
                    <w:rPr>
                      <w:i/>
                      <w:iCs/>
                    </w:rPr>
                    <w:t>2025 Edelman Trust Barometer</w:t>
                  </w:r>
                  <w:r>
                    <w:t>. Chicago: Edelman.</w:t>
                  </w:r>
                </w:p>
                <w:p w14:paraId="1CABD840" w14:textId="77777777" w:rsidR="00C807D6" w:rsidRDefault="00C807D6">
                  <w:pPr>
                    <w:pStyle w:val="Bibliography1"/>
                    <w:jc w:val="both"/>
                  </w:pPr>
                </w:p>
                <w:p w14:paraId="0793BFBB" w14:textId="77777777" w:rsidR="00C807D6" w:rsidRDefault="00C807D6">
                  <w:pPr>
                    <w:pStyle w:val="Bibliography1"/>
                    <w:jc w:val="both"/>
                  </w:pPr>
                </w:p>
                <w:p w14:paraId="4A2F306A" w14:textId="77777777" w:rsidR="00C807D6" w:rsidRDefault="00000000">
                  <w:pPr>
                    <w:pStyle w:val="Bibliography1"/>
                    <w:jc w:val="both"/>
                  </w:pPr>
                  <w:r>
                    <w:t xml:space="preserve">European Banking Authority (2025) </w:t>
                  </w:r>
                  <w:r>
                    <w:rPr>
                      <w:i/>
                      <w:iCs/>
                    </w:rPr>
                    <w:t>AI Act: implications for the EU banking and payments sector</w:t>
                  </w:r>
                  <w:r>
                    <w:t xml:space="preserve">. Available at: </w:t>
                  </w:r>
                  <w:hyperlink r:id="rId18" w:history="1">
                    <w:r>
                      <w:rPr>
                        <w:rStyle w:val="Hyperlink"/>
                      </w:rPr>
                      <w:t>https://www.eba.europa.eu/sites/default/files/2025-11/d8b999ce-a1d9-4964-9606-971bbc2aaf89/AI%20Act%20implications%20for%20the%20EU%20banking%20sector.pdf</w:t>
                    </w:r>
                  </w:hyperlink>
                  <w:r>
                    <w:t xml:space="preserve"> (Accessed: 21 April 2026).</w:t>
                  </w:r>
                </w:p>
                <w:p w14:paraId="0F61374A" w14:textId="77777777" w:rsidR="00C807D6" w:rsidRDefault="00000000">
                  <w:pPr>
                    <w:pStyle w:val="Bibliography1"/>
                    <w:jc w:val="both"/>
                  </w:pPr>
                  <w:r>
                    <w:t xml:space="preserve">European Central Bank (2024a) </w:t>
                  </w:r>
                  <w:r>
                    <w:rPr>
                      <w:i/>
                      <w:iCs/>
                    </w:rPr>
                    <w:t>The rise of artificial intelligence: benefits and risks for financial stability</w:t>
                  </w:r>
                  <w:r>
                    <w:t xml:space="preserve">. Available at: </w:t>
                  </w:r>
                  <w:hyperlink r:id="rId19" w:history="1">
                    <w:r>
                      <w:rPr>
                        <w:rStyle w:val="Hyperlink"/>
                      </w:rPr>
                      <w:t>https://www.ecb.europa.eu/press/financial-stability-publications/fsr/special/html/ecb.fsrart202405_02~58c3ce5246.en.html</w:t>
                    </w:r>
                  </w:hyperlink>
                  <w:r>
                    <w:t xml:space="preserve"> (Accessed: 23 April 2026).</w:t>
                  </w:r>
                </w:p>
                <w:p w14:paraId="1F92D120" w14:textId="77777777" w:rsidR="00C807D6" w:rsidRDefault="00000000">
                  <w:pPr>
                    <w:pStyle w:val="Bibliography1"/>
                    <w:jc w:val="both"/>
                  </w:pPr>
                  <w:r>
                    <w:t xml:space="preserve">European Central Bank (2024b) </w:t>
                  </w:r>
                  <w:r>
                    <w:rPr>
                      <w:i/>
                      <w:iCs/>
                    </w:rPr>
                    <w:t>Digital innovation and banking regulation</w:t>
                  </w:r>
                  <w:r>
                    <w:t xml:space="preserve">. Available at: </w:t>
                  </w:r>
                  <w:hyperlink r:id="rId20" w:history="1">
                    <w:r>
                      <w:rPr>
                        <w:rStyle w:val="Hyperlink"/>
                      </w:rPr>
                      <w:t>https://www.ecb.europa.eu/pub/pdf/scpops/ecb.op351~c46b57f061.en.pdf</w:t>
                    </w:r>
                  </w:hyperlink>
                  <w:r>
                    <w:t xml:space="preserve"> (Accessed: 23 April 2026).</w:t>
                  </w:r>
                </w:p>
                <w:p w14:paraId="5E6D77CA" w14:textId="77777777" w:rsidR="00C807D6" w:rsidRDefault="00000000">
                  <w:pPr>
                    <w:pStyle w:val="Bibliography1"/>
                    <w:jc w:val="both"/>
                  </w:pPr>
                  <w:r>
                    <w:t>European Cent</w:t>
                  </w:r>
                  <w:r>
                    <w:rPr>
                      <w:lang w:val="en-US"/>
                    </w:rPr>
                    <w:t>r</w:t>
                  </w:r>
                  <w:r>
                    <w:t xml:space="preserve">al Bank (2026) </w:t>
                  </w:r>
                  <w:r>
                    <w:rPr>
                      <w:i/>
                      <w:iCs/>
                    </w:rPr>
                    <w:t>Monetary policy decisions</w:t>
                  </w:r>
                  <w:r>
                    <w:t xml:space="preserve">. Available at: </w:t>
                  </w:r>
                  <w:hyperlink r:id="rId21" w:history="1">
                    <w:r>
                      <w:rPr>
                        <w:rStyle w:val="Hyperlink"/>
                      </w:rPr>
                      <w:t>https://www.ecb.europa.eu/press/pr/date/2026/html/ecb.mp260319~3057739775.en.html</w:t>
                    </w:r>
                  </w:hyperlink>
                  <w:r>
                    <w:t xml:space="preserve"> (Accessed: 15 April 2026).</w:t>
                  </w:r>
                </w:p>
                <w:p w14:paraId="28995EF2" w14:textId="20510A4B" w:rsidR="00C807D6" w:rsidRDefault="00000000">
                  <w:pPr>
                    <w:pStyle w:val="Bibliography1"/>
                    <w:jc w:val="both"/>
                  </w:pPr>
                  <w:r>
                    <w:t xml:space="preserve">European Commission (2026a) </w:t>
                  </w:r>
                  <w:r>
                    <w:rPr>
                      <w:i/>
                      <w:iCs/>
                    </w:rPr>
                    <w:t>Timeline for the Implementation of the EU AI Act</w:t>
                  </w:r>
                  <w:r>
                    <w:t xml:space="preserve">. Available at: </w:t>
                  </w:r>
                  <w:hyperlink r:id="rId22" w:history="1">
                    <w:r>
                      <w:rPr>
                        <w:rStyle w:val="Hyperlink"/>
                      </w:rPr>
                      <w:t>https://ai-act-service-desk.ec.europa.eu/en/ai-act/timeline/timeline-implementation-eu-ai-act</w:t>
                    </w:r>
                  </w:hyperlink>
                  <w:r>
                    <w:t xml:space="preserve"> (Accessed</w:t>
                  </w:r>
                  <w:r w:rsidR="00F943BD">
                    <w:t xml:space="preserve">: </w:t>
                  </w:r>
                  <w:r>
                    <w:t>21 April 2026).</w:t>
                  </w:r>
                </w:p>
                <w:p w14:paraId="1EDC263C" w14:textId="7EEB57B9" w:rsidR="00C807D6" w:rsidRDefault="00000000">
                  <w:pPr>
                    <w:pStyle w:val="Bibliography1"/>
                    <w:jc w:val="both"/>
                  </w:pPr>
                  <w:r>
                    <w:t xml:space="preserve">European Commission (2026b) </w:t>
                  </w:r>
                  <w:r>
                    <w:rPr>
                      <w:i/>
                      <w:iCs/>
                    </w:rPr>
                    <w:t>What is the AI Pact?</w:t>
                  </w:r>
                  <w:r>
                    <w:t xml:space="preserve"> Available at: </w:t>
                  </w:r>
                  <w:hyperlink r:id="rId23" w:history="1">
                    <w:r>
                      <w:rPr>
                        <w:rStyle w:val="Hyperlink"/>
                      </w:rPr>
                      <w:t>https://digital-strategy.ec.europa.eu/en/policies/ai-pact</w:t>
                    </w:r>
                  </w:hyperlink>
                  <w:r>
                    <w:t xml:space="preserve"> (Accessed</w:t>
                  </w:r>
                  <w:r w:rsidR="00F943BD">
                    <w:t xml:space="preserve">: </w:t>
                  </w:r>
                  <w:r>
                    <w:t>21 April 2026).</w:t>
                  </w:r>
                </w:p>
                <w:p w14:paraId="7EB387BC" w14:textId="096B44D9" w:rsidR="00C807D6" w:rsidRDefault="00000000">
                  <w:pPr>
                    <w:pStyle w:val="Bibliography1"/>
                    <w:jc w:val="both"/>
                  </w:pPr>
                  <w:r>
                    <w:t xml:space="preserve">European Union (2024) </w:t>
                  </w:r>
                  <w:r>
                    <w:rPr>
                      <w:i/>
                      <w:iCs/>
                    </w:rPr>
                    <w:t>Regulation (EU) 2024/1689 of the European Parliament and of the Council of 13 June 2024 laying down harmonised rules on artificial intelligence and amending Regulations (EC) No 300/2008, (EU) No 167/2013, (EU) No 168/2013, (EU) 2018/858, (EU) 2018/1139</w:t>
                  </w:r>
                  <w:r>
                    <w:t xml:space="preserve">. Available at: </w:t>
                  </w:r>
                  <w:hyperlink r:id="rId24" w:history="1">
                    <w:r>
                      <w:rPr>
                        <w:rStyle w:val="Hyperlink"/>
                      </w:rPr>
                      <w:t>https://eur-lex.europa.eu/eli/reg/2024/1689/oj/eng</w:t>
                    </w:r>
                  </w:hyperlink>
                  <w:r>
                    <w:t xml:space="preserve"> (Accessed: 21 April 2026).</w:t>
                  </w:r>
                </w:p>
                <w:p w14:paraId="486B437D" w14:textId="77777777" w:rsidR="00C807D6" w:rsidRDefault="00000000">
                  <w:pPr>
                    <w:pStyle w:val="Bibliography1"/>
                    <w:jc w:val="both"/>
                  </w:pPr>
                  <w:r>
                    <w:t xml:space="preserve">Financial Conduct Authority (2025) </w:t>
                  </w:r>
                  <w:r>
                    <w:rPr>
                      <w:i/>
                      <w:iCs/>
                    </w:rPr>
                    <w:t>FCA helps firms to test AI safely</w:t>
                  </w:r>
                  <w:r>
                    <w:t xml:space="preserve">. Available at: </w:t>
                  </w:r>
                  <w:hyperlink r:id="rId25" w:history="1">
                    <w:r>
                      <w:rPr>
                        <w:rStyle w:val="Hyperlink"/>
                      </w:rPr>
                      <w:t>https://www.fca.org.uk/news/press-releases/fca-helps-firms-test-ai-safely</w:t>
                    </w:r>
                  </w:hyperlink>
                  <w:r>
                    <w:t xml:space="preserve"> (Accessed: 16 April 2026).</w:t>
                  </w:r>
                </w:p>
                <w:p w14:paraId="5608E68E" w14:textId="77777777" w:rsidR="00C807D6" w:rsidRDefault="00000000">
                  <w:pPr>
                    <w:pStyle w:val="Bibliography1"/>
                    <w:jc w:val="both"/>
                  </w:pPr>
                  <w:r>
                    <w:t xml:space="preserve">Financial Conduct Authority (2026) </w:t>
                  </w:r>
                  <w:r>
                    <w:rPr>
                      <w:i/>
                      <w:iCs/>
                    </w:rPr>
                    <w:t>Review into the long-term impact of AI on retail financial services (The Mills Review)</w:t>
                  </w:r>
                  <w:r>
                    <w:t xml:space="preserve">. Available at: </w:t>
                  </w:r>
                  <w:hyperlink r:id="rId26" w:history="1">
                    <w:r>
                      <w:rPr>
                        <w:rStyle w:val="Hyperlink"/>
                      </w:rPr>
                      <w:t>https://www.fca.org.uk/publications/calls-input/review-long-term-impact-ai-retail-financial-services-mills-review</w:t>
                    </w:r>
                  </w:hyperlink>
                  <w:r>
                    <w:t xml:space="preserve"> (Accessed: 16 April 2026).</w:t>
                  </w:r>
                </w:p>
                <w:p w14:paraId="2E81AEC1" w14:textId="77777777" w:rsidR="00C807D6" w:rsidRDefault="00000000">
                  <w:pPr>
                    <w:pStyle w:val="Bibliography1"/>
                    <w:jc w:val="both"/>
                  </w:pPr>
                  <w:r>
                    <w:lastRenderedPageBreak/>
                    <w:t xml:space="preserve">Financial Stability Board (2024) </w:t>
                  </w:r>
                  <w:r>
                    <w:rPr>
                      <w:i/>
                      <w:iCs/>
                    </w:rPr>
                    <w:t>The financial stability implications of artificial intelligence</w:t>
                  </w:r>
                  <w:r>
                    <w:t xml:space="preserve">. Available at: </w:t>
                  </w:r>
                  <w:hyperlink r:id="rId27" w:history="1">
                    <w:r>
                      <w:rPr>
                        <w:rStyle w:val="Hyperlink"/>
                      </w:rPr>
                      <w:t>https://www.fsb.org/2024/11/the-financial-stability-implications-of-artificial-intelligence/</w:t>
                    </w:r>
                  </w:hyperlink>
                  <w:r>
                    <w:t xml:space="preserve"> (Accessed: 23 April 2026).</w:t>
                  </w:r>
                </w:p>
                <w:p w14:paraId="4019DB6F" w14:textId="77777777" w:rsidR="00C807D6" w:rsidRDefault="00000000">
                  <w:pPr>
                    <w:pStyle w:val="Bibliography1"/>
                    <w:jc w:val="both"/>
                  </w:pPr>
                  <w:r>
                    <w:t xml:space="preserve">Floridi, L. et al. (2018) 'AI4People - An ethical framework for a good AI society: opportunities, risks, principles, and recommendations', </w:t>
                  </w:r>
                  <w:r>
                    <w:rPr>
                      <w:i/>
                      <w:iCs/>
                    </w:rPr>
                    <w:t>Minds and Machines</w:t>
                  </w:r>
                  <w:r>
                    <w:t>, 28(4), pp. 689–707.</w:t>
                  </w:r>
                </w:p>
                <w:p w14:paraId="3B040971" w14:textId="77777777" w:rsidR="00C807D6" w:rsidRDefault="00000000">
                  <w:pPr>
                    <w:pStyle w:val="Bibliography1"/>
                    <w:jc w:val="both"/>
                  </w:pPr>
                  <w:r>
                    <w:t xml:space="preserve">Freeman, R.E. (1984) </w:t>
                  </w:r>
                  <w:r>
                    <w:rPr>
                      <w:i/>
                      <w:iCs/>
                    </w:rPr>
                    <w:t>Strategic Management: A Stakeholder Approach</w:t>
                  </w:r>
                  <w:r>
                    <w:t>. Boston, MA: Pitman.</w:t>
                  </w:r>
                </w:p>
                <w:p w14:paraId="24EAFEE8" w14:textId="77777777" w:rsidR="00C807D6" w:rsidRDefault="00000000">
                  <w:pPr>
                    <w:pStyle w:val="Bibliography1"/>
                    <w:jc w:val="both"/>
                  </w:pPr>
                  <w:r>
                    <w:t xml:space="preserve">Glikson, E. and Woolley, A.W. (2020) 'Human trust in artificial intelligence: Review of empirical research', </w:t>
                  </w:r>
                  <w:r>
                    <w:rPr>
                      <w:i/>
                      <w:iCs/>
                    </w:rPr>
                    <w:t>Academy of Management Annals</w:t>
                  </w:r>
                  <w:r>
                    <w:t>, 14(2), pp. 627–660.</w:t>
                  </w:r>
                </w:p>
                <w:p w14:paraId="6641CF5D" w14:textId="77777777" w:rsidR="00C807D6" w:rsidRDefault="00000000">
                  <w:pPr>
                    <w:pStyle w:val="Bibliography1"/>
                    <w:jc w:val="both"/>
                  </w:pPr>
                  <w:r>
                    <w:t>HSBC Holding</w:t>
                  </w:r>
                  <w:r>
                    <w:rPr>
                      <w:lang w:val="en-US"/>
                    </w:rPr>
                    <w:t>s</w:t>
                  </w:r>
                  <w:r>
                    <w:t xml:space="preserve"> plc (2025a) </w:t>
                  </w:r>
                  <w:r>
                    <w:rPr>
                      <w:i/>
                      <w:iCs/>
                    </w:rPr>
                    <w:t>Annual Report and Accounts 2025</w:t>
                  </w:r>
                  <w:r>
                    <w:t xml:space="preserve">. Available at: </w:t>
                  </w:r>
                  <w:hyperlink r:id="rId28" w:history="1">
                    <w:r>
                      <w:rPr>
                        <w:rStyle w:val="Hyperlink"/>
                      </w:rPr>
                      <w:t>https://www.hsbc.com/investors/results-and-announcements/annual-report</w:t>
                    </w:r>
                  </w:hyperlink>
                  <w:r>
                    <w:t xml:space="preserve"> (Accessed: 15 April 2026).</w:t>
                  </w:r>
                </w:p>
                <w:p w14:paraId="05BD0EC3" w14:textId="77777777" w:rsidR="00C807D6" w:rsidRDefault="00000000">
                  <w:pPr>
                    <w:pStyle w:val="Bibliography1"/>
                    <w:jc w:val="both"/>
                  </w:pPr>
                  <w:r>
                    <w:t>HSBC Holding</w:t>
                  </w:r>
                  <w:r>
                    <w:rPr>
                      <w:lang w:val="en-US"/>
                    </w:rPr>
                    <w:t>s</w:t>
                  </w:r>
                  <w:r>
                    <w:t xml:space="preserve"> plc (2025b) </w:t>
                  </w:r>
                  <w:r>
                    <w:rPr>
                      <w:i/>
                      <w:iCs/>
                    </w:rPr>
                    <w:t>HSBC and Mistral AI join forces to accelerate AI adoption across global bank</w:t>
                  </w:r>
                  <w:r>
                    <w:t xml:space="preserve">. Available at: </w:t>
                  </w:r>
                  <w:hyperlink r:id="rId29" w:history="1">
                    <w:r>
                      <w:rPr>
                        <w:rStyle w:val="Hyperlink"/>
                      </w:rPr>
                      <w:t>https://www.hsbc.com/news-and-views/news/media-releases/2025/hsbc-and-mistral-ai-join-forces-to-accelerate-ai-adoption-across-global-bank</w:t>
                    </w:r>
                  </w:hyperlink>
                  <w:r>
                    <w:t xml:space="preserve"> (Accessed: 15 April 2026).</w:t>
                  </w:r>
                </w:p>
                <w:p w14:paraId="40EBF880" w14:textId="77777777" w:rsidR="00C807D6" w:rsidRDefault="00000000">
                  <w:pPr>
                    <w:pStyle w:val="Bibliography1"/>
                    <w:jc w:val="both"/>
                  </w:pPr>
                  <w:r>
                    <w:t>HSBC Holding</w:t>
                  </w:r>
                  <w:r>
                    <w:rPr>
                      <w:lang w:val="en-US"/>
                    </w:rPr>
                    <w:t>s</w:t>
                  </w:r>
                  <w:r>
                    <w:t xml:space="preserve"> plc (2026) </w:t>
                  </w:r>
                  <w:r>
                    <w:rPr>
                      <w:i/>
                      <w:iCs/>
                    </w:rPr>
                    <w:t>HSBC announces David Rice as its first Chief AI Officer</w:t>
                  </w:r>
                  <w:r>
                    <w:t xml:space="preserve">. Available at: </w:t>
                  </w:r>
                  <w:hyperlink r:id="rId30" w:history="1">
                    <w:r>
                      <w:rPr>
                        <w:rStyle w:val="Hyperlink"/>
                      </w:rPr>
                      <w:t>https://www.hsbc.com/news-and-views/news/media-releases/2026/david-rice-announced-as-chief-ai-officer</w:t>
                    </w:r>
                  </w:hyperlink>
                  <w:r>
                    <w:t xml:space="preserve"> (Accessed: 15 April 2026).</w:t>
                  </w:r>
                </w:p>
                <w:p w14:paraId="2F7EA6C3" w14:textId="38642BFE" w:rsidR="00FC0F34" w:rsidRPr="00FC0F34" w:rsidRDefault="00FC0F34" w:rsidP="00FC0F34">
                  <w:pPr>
                    <w:jc w:val="both"/>
                  </w:pPr>
                  <w:r w:rsidRPr="00FC0F34">
                    <w:t xml:space="preserve">HSBC Holdings plc (2026a) </w:t>
                  </w:r>
                  <w:r w:rsidRPr="00FC0F34">
                    <w:rPr>
                      <w:i/>
                      <w:iCs/>
                    </w:rPr>
                    <w:t>Our strategy and values</w:t>
                  </w:r>
                  <w:r>
                    <w:rPr>
                      <w:i/>
                      <w:iCs/>
                    </w:rPr>
                    <w:t xml:space="preserve">. </w:t>
                  </w:r>
                  <w:r>
                    <w:t xml:space="preserve">Available at: </w:t>
                  </w:r>
                  <w:r w:rsidRPr="00FC0F34">
                    <w:t>https://www.hsbc.com/who-we-are/our-strategy-and-values</w:t>
                  </w:r>
                  <w:r>
                    <w:t xml:space="preserve"> (Accessed: 23 April 2026).</w:t>
                  </w:r>
                </w:p>
                <w:p w14:paraId="37A9200A" w14:textId="77777777" w:rsidR="00C807D6" w:rsidRDefault="00000000">
                  <w:pPr>
                    <w:pStyle w:val="Bibliography1"/>
                    <w:jc w:val="both"/>
                  </w:pPr>
                  <w:r>
                    <w:t xml:space="preserve">Information Commissioner’s Office (2023a) </w:t>
                  </w:r>
                  <w:r>
                    <w:rPr>
                      <w:i/>
                      <w:iCs/>
                    </w:rPr>
                    <w:t>What are the accountability and governance implications of AI?</w:t>
                  </w:r>
                  <w:r>
                    <w:t xml:space="preserve"> Available at: </w:t>
                  </w:r>
                  <w:hyperlink r:id="rId31" w:history="1">
                    <w:r>
                      <w:rPr>
                        <w:rStyle w:val="Hyperlink"/>
                      </w:rPr>
                      <w:t>https://ico.org.uk/for-organisations/uk-gdpr-guidance-and-resources/artificial-intelligence/guidance-on-ai-and-data-protection/what-are-the-accountability-and-governance-implications-of-ai/</w:t>
                    </w:r>
                  </w:hyperlink>
                  <w:r>
                    <w:t xml:space="preserve"> (Accessed: 23 April 2026).</w:t>
                  </w:r>
                </w:p>
                <w:p w14:paraId="6E3EFBCB" w14:textId="77777777" w:rsidR="00C807D6" w:rsidRDefault="00000000">
                  <w:pPr>
                    <w:pStyle w:val="Bibliography1"/>
                    <w:jc w:val="both"/>
                  </w:pPr>
                  <w:r>
                    <w:t xml:space="preserve">Information Commissioner’s Office (2023b) </w:t>
                  </w:r>
                  <w:r>
                    <w:rPr>
                      <w:i/>
                      <w:iCs/>
                    </w:rPr>
                    <w:t>Task 3: Build your system to ensure you are able to extract relevant information for a range of explanation types</w:t>
                  </w:r>
                  <w:r>
                    <w:t xml:space="preserve">. Available at: </w:t>
                  </w:r>
                  <w:hyperlink r:id="rId32" w:history="1">
                    <w:r>
                      <w:rPr>
                        <w:rStyle w:val="Hyperlink"/>
                      </w:rPr>
                      <w:t>https://ico.org.uk/for-organisations/uk-gdpr-guidance-and-resources/artificial-intelligence/explaining-decisions-made-with-artificial-intelligence/part-2-explaining-ai-in-practice/task-3-build/</w:t>
                    </w:r>
                  </w:hyperlink>
                  <w:r>
                    <w:t xml:space="preserve"> (Accessed: 23 April 2026).</w:t>
                  </w:r>
                </w:p>
                <w:p w14:paraId="014E84A0" w14:textId="77777777" w:rsidR="00C807D6" w:rsidRDefault="00000000">
                  <w:pPr>
                    <w:pStyle w:val="Bibliography1"/>
                    <w:jc w:val="both"/>
                  </w:pPr>
                  <w:r>
                    <w:t xml:space="preserve">Information Commissioner’s Office (2026) </w:t>
                  </w:r>
                  <w:r>
                    <w:rPr>
                      <w:i/>
                      <w:iCs/>
                    </w:rPr>
                    <w:t>ICO consultation on the draft guidance about automated decision-making, including profiling</w:t>
                  </w:r>
                  <w:r>
                    <w:t xml:space="preserve">. Available at: </w:t>
                  </w:r>
                  <w:hyperlink r:id="rId33" w:history="1">
                    <w:r>
                      <w:rPr>
                        <w:rStyle w:val="Hyperlink"/>
                      </w:rPr>
                      <w:t>https://ico.org.uk/about-the-ico/ico-and-stakeholder-consultations/2026/03/ico-consultation-on-the-draft-guidance-about-automated-decision-making-including-profiling/</w:t>
                    </w:r>
                  </w:hyperlink>
                  <w:r>
                    <w:t xml:space="preserve"> (Accessed: 15 April 2026).</w:t>
                  </w:r>
                </w:p>
                <w:p w14:paraId="3C429490" w14:textId="77777777" w:rsidR="00C807D6" w:rsidRDefault="00000000">
                  <w:pPr>
                    <w:pStyle w:val="Bibliography1"/>
                    <w:jc w:val="both"/>
                  </w:pPr>
                  <w:r>
                    <w:t>Information Commissioner’s Office</w:t>
                  </w:r>
                  <w:r>
                    <w:rPr>
                      <w:lang w:val="en-US"/>
                    </w:rPr>
                    <w:t xml:space="preserve"> </w:t>
                  </w:r>
                  <w:r>
                    <w:t xml:space="preserve">(n.d.) </w:t>
                  </w:r>
                  <w:r>
                    <w:rPr>
                      <w:i/>
                      <w:iCs/>
                    </w:rPr>
                    <w:t>Rights related to automated decision making including profiling</w:t>
                  </w:r>
                  <w:r>
                    <w:t xml:space="preserve">. Available at: </w:t>
                  </w:r>
                  <w:hyperlink r:id="rId34" w:history="1">
                    <w:r>
                      <w:rPr>
                        <w:rStyle w:val="Hyperlink"/>
                      </w:rPr>
                      <w:t>https://ico.org.uk/for-organisations/uk-gdpr-guidance-and-resources/individual-rights/individual-rights/rights-related-to-automated-decision-making-including-profiling/</w:t>
                    </w:r>
                  </w:hyperlink>
                  <w:r>
                    <w:t xml:space="preserve"> (Accessed: 15 April 2026).</w:t>
                  </w:r>
                </w:p>
                <w:p w14:paraId="614A391F" w14:textId="77777777" w:rsidR="00C807D6" w:rsidRDefault="00000000">
                  <w:pPr>
                    <w:pStyle w:val="Bibliography1"/>
                    <w:jc w:val="both"/>
                  </w:pPr>
                  <w:r>
                    <w:t xml:space="preserve">Institute of Internal Auditors (2024) </w:t>
                  </w:r>
                  <w:r>
                    <w:rPr>
                      <w:i/>
                      <w:iCs/>
                    </w:rPr>
                    <w:t>The IIA’s Three Lines Model: An update of the Three Lines of Defense</w:t>
                  </w:r>
                  <w:r>
                    <w:t xml:space="preserve">. Available at: </w:t>
                  </w:r>
                  <w:hyperlink r:id="rId35" w:history="1">
                    <w:r>
                      <w:rPr>
                        <w:rStyle w:val="Hyperlink"/>
                      </w:rPr>
                      <w:t>https://www.theiia.org/en/content/position-papers/2020/the-iias-three-lines-model-an-update-of-the-three-lines-of-defense/</w:t>
                    </w:r>
                  </w:hyperlink>
                  <w:r>
                    <w:t xml:space="preserve"> (Accessed: 16 April 2026).</w:t>
                  </w:r>
                </w:p>
                <w:p w14:paraId="777E3346" w14:textId="77777777" w:rsidR="00C807D6" w:rsidRDefault="00000000">
                  <w:pPr>
                    <w:pStyle w:val="Bibliography1"/>
                    <w:jc w:val="both"/>
                  </w:pPr>
                  <w:r>
                    <w:lastRenderedPageBreak/>
                    <w:t xml:space="preserve">International Monetary Fund (2026) </w:t>
                  </w:r>
                  <w:r>
                    <w:rPr>
                      <w:i/>
                      <w:iCs/>
                    </w:rPr>
                    <w:t>World Economic Outlook Update, January 2026: Global Economy: Steady amid Divergent Forces</w:t>
                  </w:r>
                  <w:r>
                    <w:t>. Washington, DC: International Monetary Fund.</w:t>
                  </w:r>
                </w:p>
                <w:p w14:paraId="3F81FC8A" w14:textId="77777777" w:rsidR="00C807D6" w:rsidRDefault="00000000">
                  <w:pPr>
                    <w:pStyle w:val="Bibliography1"/>
                    <w:jc w:val="both"/>
                  </w:pPr>
                  <w:r>
                    <w:t xml:space="preserve">Jobin, A., Ienca, M. and Vayena, E. (2019) 'The global landscape of AI ethics guidelines', </w:t>
                  </w:r>
                  <w:r>
                    <w:rPr>
                      <w:i/>
                      <w:iCs/>
                    </w:rPr>
                    <w:t>Nature Machine Intelligence</w:t>
                  </w:r>
                  <w:r>
                    <w:t>, 1(9), pp. 389–399.</w:t>
                  </w:r>
                </w:p>
                <w:p w14:paraId="78C21A90" w14:textId="77777777" w:rsidR="00C807D6" w:rsidRDefault="00000000">
                  <w:pPr>
                    <w:pStyle w:val="Bibliography1"/>
                    <w:jc w:val="both"/>
                  </w:pPr>
                  <w:r>
                    <w:t xml:space="preserve">McKinsey &amp; Company (2025) </w:t>
                  </w:r>
                  <w:r>
                    <w:rPr>
                      <w:i/>
                      <w:iCs/>
                    </w:rPr>
                    <w:t>The state of AI in 2025: Agents, innovation, and transformation</w:t>
                  </w:r>
                  <w:r>
                    <w:t>. New York: McKinsey &amp; Company.</w:t>
                  </w:r>
                </w:p>
                <w:p w14:paraId="4981FDBF" w14:textId="77777777" w:rsidR="00C807D6" w:rsidRDefault="00000000">
                  <w:pPr>
                    <w:pStyle w:val="Bibliography1"/>
                    <w:jc w:val="both"/>
                  </w:pPr>
                  <w:r>
                    <w:t xml:space="preserve">Mittelstadt, B.D. (2019) 'Principles alone cannot guarantee ethical AI', </w:t>
                  </w:r>
                  <w:r>
                    <w:rPr>
                      <w:i/>
                      <w:iCs/>
                    </w:rPr>
                    <w:t>Nature Machine Intelligence</w:t>
                  </w:r>
                  <w:r>
                    <w:t>, 1(11), pp. 501–507.</w:t>
                  </w:r>
                </w:p>
                <w:p w14:paraId="1AF076E9" w14:textId="77777777" w:rsidR="00C807D6" w:rsidRDefault="00000000">
                  <w:pPr>
                    <w:pStyle w:val="Bibliography1"/>
                    <w:jc w:val="both"/>
                  </w:pPr>
                  <w:r>
                    <w:t xml:space="preserve">National Cyber Security Centre (2024) </w:t>
                  </w:r>
                  <w:r>
                    <w:rPr>
                      <w:i/>
                      <w:iCs/>
                    </w:rPr>
                    <w:t>AI and cyber security: what you need to know</w:t>
                  </w:r>
                  <w:r>
                    <w:t xml:space="preserve">. Available at: </w:t>
                  </w:r>
                  <w:hyperlink r:id="rId36" w:history="1">
                    <w:r>
                      <w:rPr>
                        <w:rStyle w:val="Hyperlink"/>
                      </w:rPr>
                      <w:t>https://www.ncsc.gov.uk/guidance/ai-and-cyber-security-what-you-need-to-know</w:t>
                    </w:r>
                  </w:hyperlink>
                  <w:r>
                    <w:t xml:space="preserve"> (Accessed: 16 April 2026).</w:t>
                  </w:r>
                </w:p>
                <w:p w14:paraId="160E790D" w14:textId="77777777" w:rsidR="00C807D6" w:rsidRDefault="00000000">
                  <w:pPr>
                    <w:pStyle w:val="Bibliography1"/>
                    <w:jc w:val="both"/>
                  </w:pPr>
                  <w:r>
                    <w:t xml:space="preserve">National Cyber Security Centre (2025) </w:t>
                  </w:r>
                  <w:r>
                    <w:rPr>
                      <w:i/>
                      <w:iCs/>
                    </w:rPr>
                    <w:t>Impact of AI on cyber threat from now to 2027</w:t>
                  </w:r>
                  <w:r>
                    <w:t xml:space="preserve">. Available at: </w:t>
                  </w:r>
                  <w:hyperlink r:id="rId37" w:history="1">
                    <w:r>
                      <w:rPr>
                        <w:rStyle w:val="Hyperlink"/>
                      </w:rPr>
                      <w:t>https://www.ncsc.gov.uk/report/impact-ai-cyber-threat-now-2027</w:t>
                    </w:r>
                  </w:hyperlink>
                  <w:r>
                    <w:t xml:space="preserve"> (Accessed: 16 April 2026).</w:t>
                  </w:r>
                </w:p>
                <w:p w14:paraId="4446A83C" w14:textId="77777777" w:rsidR="00C807D6" w:rsidRDefault="00000000">
                  <w:pPr>
                    <w:pStyle w:val="Bibliography1"/>
                    <w:jc w:val="both"/>
                  </w:pPr>
                  <w:r>
                    <w:t xml:space="preserve">National Institute of Standards and Technology (2023) </w:t>
                  </w:r>
                  <w:r>
                    <w:rPr>
                      <w:i/>
                      <w:iCs/>
                    </w:rPr>
                    <w:t>Artificial Intelligence Risk Management Framework (AI RMF 1.0)</w:t>
                  </w:r>
                  <w:r>
                    <w:t xml:space="preserve">. Gaithersburg, MD: National Institute of Standards and Technology. Available at: </w:t>
                  </w:r>
                  <w:hyperlink r:id="rId38" w:history="1">
                    <w:r>
                      <w:rPr>
                        <w:rStyle w:val="Hyperlink"/>
                      </w:rPr>
                      <w:t>https://www.nist.gov/itl/ai-risk-management-framework</w:t>
                    </w:r>
                  </w:hyperlink>
                  <w:r>
                    <w:t xml:space="preserve"> (Accessed: 21 April 2026).</w:t>
                  </w:r>
                </w:p>
                <w:p w14:paraId="65B0EEB2" w14:textId="77777777" w:rsidR="00C807D6" w:rsidRDefault="00000000">
                  <w:pPr>
                    <w:pStyle w:val="Bibliography1"/>
                    <w:jc w:val="both"/>
                  </w:pPr>
                  <w:r>
                    <w:t xml:space="preserve">OECD (2024a) </w:t>
                  </w:r>
                  <w:r>
                    <w:rPr>
                      <w:i/>
                      <w:iCs/>
                    </w:rPr>
                    <w:t>AI, data governance and privacy: Synergies and areas of international co-operation</w:t>
                  </w:r>
                  <w:r>
                    <w:t xml:space="preserve">. Paris: OECD. Available at: </w:t>
                  </w:r>
                  <w:hyperlink r:id="rId39" w:history="1">
                    <w:r>
                      <w:rPr>
                        <w:rStyle w:val="Hyperlink"/>
                      </w:rPr>
                      <w:t>https://www.oecd.org/en/publications/ai-data-governance-and-privacy-synergies-and-areas-for-international-co-operation_94b432bd-en.html</w:t>
                    </w:r>
                  </w:hyperlink>
                  <w:r>
                    <w:t xml:space="preserve"> (Accessed: 15 April 2026)</w:t>
                  </w:r>
                </w:p>
                <w:p w14:paraId="4FC207E4" w14:textId="77777777" w:rsidR="00C807D6" w:rsidRDefault="00000000">
                  <w:pPr>
                    <w:spacing w:after="60"/>
                    <w:ind w:left="432" w:hanging="432"/>
                    <w:jc w:val="both"/>
                  </w:pPr>
                  <w:r>
                    <w:t xml:space="preserve">OECD (2024b) OECD AI Principles. Paris: OECD. Available at: </w:t>
                  </w:r>
                  <w:hyperlink r:id="rId40" w:history="1">
                    <w:r>
                      <w:rPr>
                        <w:rStyle w:val="Hyperlink"/>
                      </w:rPr>
                      <w:t>https://oecd.ai/en/ai-principles</w:t>
                    </w:r>
                  </w:hyperlink>
                  <w:r>
                    <w:t xml:space="preserve">  (Accessed: 15 April 2026).</w:t>
                  </w:r>
                </w:p>
                <w:p w14:paraId="61B59EE0" w14:textId="77777777" w:rsidR="00C807D6" w:rsidRDefault="00C807D6">
                  <w:pPr>
                    <w:spacing w:after="60"/>
                    <w:ind w:left="432" w:hanging="432"/>
                    <w:jc w:val="both"/>
                  </w:pPr>
                </w:p>
                <w:p w14:paraId="0F9CEA8B" w14:textId="0B3375C2" w:rsidR="00C807D6" w:rsidRDefault="00000000">
                  <w:pPr>
                    <w:pStyle w:val="Bibliography1"/>
                    <w:jc w:val="both"/>
                  </w:pPr>
                  <w:r>
                    <w:t>OEC</w:t>
                  </w:r>
                  <w:r>
                    <w:rPr>
                      <w:lang w:val="en-US"/>
                    </w:rPr>
                    <w:t>D</w:t>
                  </w:r>
                  <w:r>
                    <w:t xml:space="preserve"> (2024c) </w:t>
                  </w:r>
                  <w:r>
                    <w:rPr>
                      <w:i/>
                      <w:iCs/>
                    </w:rPr>
                    <w:t>OECD Digital Economy Outlook 2024 (Volume 1): Embracing the Technology Frontier</w:t>
                  </w:r>
                  <w:r>
                    <w:t xml:space="preserve">. Paris: OECD Publishing. Available at: </w:t>
                  </w:r>
                  <w:hyperlink r:id="rId41" w:history="1">
                    <w:r>
                      <w:rPr>
                        <w:rStyle w:val="Hyperlink"/>
                      </w:rPr>
                      <w:t>https://www.oecd.org/digital/oecd-digital-economy-outlook-2024.htm</w:t>
                    </w:r>
                  </w:hyperlink>
                  <w:r>
                    <w:t xml:space="preserve"> (Accessed: 15 April 2026). </w:t>
                  </w:r>
                </w:p>
                <w:p w14:paraId="11DE90F1" w14:textId="77777777" w:rsidR="00C807D6" w:rsidRDefault="00000000">
                  <w:pPr>
                    <w:spacing w:after="60"/>
                    <w:ind w:left="432" w:hanging="432"/>
                    <w:jc w:val="both"/>
                  </w:pPr>
                  <w:r>
                    <w:t xml:space="preserve">OECD (2026a) Artificial intelligence. Paris: OECD.AI Policy Observatory. Available at: </w:t>
                  </w:r>
                  <w:hyperlink r:id="rId42" w:history="1">
                    <w:r>
                      <w:rPr>
                        <w:rStyle w:val="Hyperlink"/>
                      </w:rPr>
                      <w:t>https://oecd.ai/en/</w:t>
                    </w:r>
                  </w:hyperlink>
                  <w:r>
                    <w:t xml:space="preserve">  (Accessed: 15 April 2026).</w:t>
                  </w:r>
                </w:p>
                <w:p w14:paraId="226B3B1B" w14:textId="77777777" w:rsidR="00C807D6" w:rsidRDefault="00C807D6">
                  <w:pPr>
                    <w:jc w:val="both"/>
                  </w:pPr>
                </w:p>
                <w:p w14:paraId="06C72E37" w14:textId="77777777" w:rsidR="00C807D6" w:rsidRDefault="00000000">
                  <w:pPr>
                    <w:pStyle w:val="Bibliography1"/>
                    <w:jc w:val="both"/>
                  </w:pPr>
                  <w:r>
                    <w:t xml:space="preserve">OECD (2026b) </w:t>
                  </w:r>
                  <w:r>
                    <w:rPr>
                      <w:i/>
                      <w:iCs/>
                    </w:rPr>
                    <w:t>AI in finance: Balancing innovation and stability</w:t>
                  </w:r>
                  <w:r>
                    <w:t xml:space="preserve">. Available at: </w:t>
                  </w:r>
                  <w:hyperlink r:id="rId43" w:history="1">
                    <w:r>
                      <w:rPr>
                        <w:rStyle w:val="Hyperlink"/>
                      </w:rPr>
                      <w:t>https://oecd.ai/en/wonk/ai-in-finance-balancing-innovation-and-stability</w:t>
                    </w:r>
                  </w:hyperlink>
                  <w:r>
                    <w:t xml:space="preserve"> (Accessed: 15 April 2026).</w:t>
                  </w:r>
                </w:p>
                <w:p w14:paraId="22449853" w14:textId="77777777" w:rsidR="00C807D6" w:rsidRDefault="00000000">
                  <w:pPr>
                    <w:pStyle w:val="Bibliography1"/>
                    <w:jc w:val="both"/>
                  </w:pPr>
                  <w:r>
                    <w:t xml:space="preserve">OECD (2026c) </w:t>
                  </w:r>
                  <w:r>
                    <w:rPr>
                      <w:i/>
                      <w:iCs/>
                    </w:rPr>
                    <w:t>OECD Due Diligence Guidance for Responsible AI</w:t>
                  </w:r>
                  <w:r>
                    <w:t xml:space="preserve">. Available at: </w:t>
                  </w:r>
                  <w:hyperlink r:id="rId44" w:history="1">
                    <w:r>
                      <w:rPr>
                        <w:rStyle w:val="Hyperlink"/>
                      </w:rPr>
                      <w:t>https://www.oecd.org/en/publications/oecd-due-diligence-guidance-for-responsible-ai_41671712-en.html</w:t>
                    </w:r>
                  </w:hyperlink>
                  <w:r>
                    <w:t xml:space="preserve"> (Accessed: 16 April 2026).</w:t>
                  </w:r>
                </w:p>
                <w:p w14:paraId="3C945F4D" w14:textId="77777777" w:rsidR="00C807D6" w:rsidRDefault="00000000">
                  <w:pPr>
                    <w:pStyle w:val="Bibliography1"/>
                    <w:jc w:val="both"/>
                  </w:pPr>
                  <w:r>
                    <w:lastRenderedPageBreak/>
                    <w:t xml:space="preserve">OECD (2026d) </w:t>
                  </w:r>
                  <w:r>
                    <w:rPr>
                      <w:i/>
                      <w:iCs/>
                    </w:rPr>
                    <w:t>Supervision of artificial intelligence in finance</w:t>
                  </w:r>
                  <w:r>
                    <w:t xml:space="preserve">. Available at: </w:t>
                  </w:r>
                  <w:hyperlink r:id="rId45" w:history="1">
                    <w:r>
                      <w:rPr>
                        <w:rStyle w:val="Hyperlink"/>
                      </w:rPr>
                      <w:t>https://www.oecd.org/en/publications/supervision-of-artificial-intelligence-in-finance_92743dc1-en.html</w:t>
                    </w:r>
                  </w:hyperlink>
                  <w:r>
                    <w:t xml:space="preserve"> (Accessed: 21 April 2026).</w:t>
                  </w:r>
                </w:p>
                <w:p w14:paraId="2318DAD3" w14:textId="77777777" w:rsidR="00C807D6" w:rsidRDefault="00000000">
                  <w:pPr>
                    <w:pStyle w:val="Bibliography1"/>
                    <w:jc w:val="both"/>
                  </w:pPr>
                  <w:r>
                    <w:t xml:space="preserve">Papagiannidis, E., Mikalef, P. and Conboy, K. (2025) 'Responsible artificial intelligence governance: A review and research framework', </w:t>
                  </w:r>
                  <w:r>
                    <w:rPr>
                      <w:i/>
                      <w:iCs/>
                    </w:rPr>
                    <w:t>The Journal of Strategic Information Systems</w:t>
                  </w:r>
                  <w:r>
                    <w:t>, 34(2), article 101885.</w:t>
                  </w:r>
                </w:p>
                <w:p w14:paraId="0B8F9FEE" w14:textId="77777777" w:rsidR="00C807D6" w:rsidRDefault="00000000">
                  <w:pPr>
                    <w:pStyle w:val="Bibliography1"/>
                    <w:jc w:val="both"/>
                  </w:pPr>
                  <w:r>
                    <w:t xml:space="preserve">Rai, A. (2020) 'Explainable AI: from black box to glass box', </w:t>
                  </w:r>
                  <w:r>
                    <w:rPr>
                      <w:i/>
                      <w:iCs/>
                    </w:rPr>
                    <w:t>Journal of the Academy of Marketing Science</w:t>
                  </w:r>
                  <w:r>
                    <w:t>, 48(1), pp. 137–141.</w:t>
                  </w:r>
                </w:p>
                <w:p w14:paraId="1FF727AF" w14:textId="77777777" w:rsidR="00C807D6" w:rsidRDefault="00C807D6">
                  <w:pPr>
                    <w:pStyle w:val="Bibliography1"/>
                    <w:jc w:val="both"/>
                  </w:pPr>
                </w:p>
                <w:p w14:paraId="67BA1D38" w14:textId="77777777" w:rsidR="00C807D6" w:rsidRDefault="00000000">
                  <w:pPr>
                    <w:pStyle w:val="Bibliography1"/>
                    <w:jc w:val="both"/>
                  </w:pPr>
                  <w:r>
                    <w:t xml:space="preserve">Raji, I.D., Smart, A., White, R.N., Mitchell, M., Gebru, T., Hutchinson, B., Smith-Loud, J., Theron, D. and Barnes, P. (2020) Closing the AI Accountability Gap: Defining an End-to-End Framework for Internal Algorithmic Auditing', </w:t>
                  </w:r>
                  <w:r>
                    <w:rPr>
                      <w:i/>
                      <w:iCs/>
                    </w:rPr>
                    <w:t>Proceedings of the 2020 Conference on Fairness, Accountability, and Transparency</w:t>
                  </w:r>
                  <w:r>
                    <w:t>, pp. 33–44.</w:t>
                  </w:r>
                </w:p>
                <w:p w14:paraId="69FFD378" w14:textId="77777777" w:rsidR="00C807D6" w:rsidRDefault="00000000">
                  <w:pPr>
                    <w:pStyle w:val="Bibliography1"/>
                    <w:jc w:val="both"/>
                  </w:pPr>
                  <w:r>
                    <w:t xml:space="preserve">Reuters (2025) </w:t>
                  </w:r>
                  <w:r>
                    <w:rPr>
                      <w:i/>
                      <w:iCs/>
                    </w:rPr>
                    <w:t>HSBC taps French start-up Mistral to supercharge generative-AI rollout</w:t>
                  </w:r>
                  <w:r>
                    <w:t xml:space="preserve">. Available at: </w:t>
                  </w:r>
                  <w:hyperlink r:id="rId46" w:history="1">
                    <w:r>
                      <w:rPr>
                        <w:rStyle w:val="Hyperlink"/>
                      </w:rPr>
                      <w:t>https://www.reuters.com/business/finance/hsbc-taps-french-start-up-mistral-supercharge-generative-ai-rollout-2025-12-01/</w:t>
                    </w:r>
                  </w:hyperlink>
                  <w:r>
                    <w:t xml:space="preserve"> (Accessed: 15 April 2026).</w:t>
                  </w:r>
                </w:p>
                <w:p w14:paraId="1660928A" w14:textId="77777777" w:rsidR="00C807D6" w:rsidRDefault="00000000">
                  <w:pPr>
                    <w:pStyle w:val="Bibliography1"/>
                    <w:jc w:val="both"/>
                  </w:pPr>
                  <w:r>
                    <w:t xml:space="preserve">Reuters (2026a) </w:t>
                  </w:r>
                  <w:r>
                    <w:rPr>
                      <w:i/>
                      <w:iCs/>
                    </w:rPr>
                    <w:t>HSBC appoints first chief AI officer as it seeks cost cuts</w:t>
                  </w:r>
                  <w:r>
                    <w:t xml:space="preserve">. Available at: </w:t>
                  </w:r>
                  <w:hyperlink r:id="rId47" w:history="1">
                    <w:r>
                      <w:rPr>
                        <w:rStyle w:val="Hyperlink"/>
                      </w:rPr>
                      <w:t>https://www.reuters.com/business/finance/hsbc-appoints-david-rice-first-chief-ai-officer-2026-03-23/</w:t>
                    </w:r>
                  </w:hyperlink>
                  <w:r>
                    <w:t xml:space="preserve"> (Accessed: 15 April 2026).</w:t>
                  </w:r>
                </w:p>
                <w:p w14:paraId="11E279D9" w14:textId="77777777" w:rsidR="00C807D6" w:rsidRDefault="00000000">
                  <w:pPr>
                    <w:pStyle w:val="Bibliography1"/>
                    <w:jc w:val="both"/>
                  </w:pPr>
                  <w:r>
                    <w:t xml:space="preserve">Reuters (2026b) </w:t>
                  </w:r>
                  <w:r>
                    <w:rPr>
                      <w:i/>
                      <w:iCs/>
                    </w:rPr>
                    <w:t>Britain needs 'AI stress tests' for financial services, lawmakers say</w:t>
                  </w:r>
                  <w:r>
                    <w:t xml:space="preserve">. Available at: </w:t>
                  </w:r>
                  <w:hyperlink r:id="rId48" w:history="1">
                    <w:r>
                      <w:rPr>
                        <w:rStyle w:val="Hyperlink"/>
                      </w:rPr>
                      <w:t>https://www.reuters.com/sustainability/boards-policy-regulation/britain-needs-ai-stress-tests-financial-services-lawmakers-say-2026-01-20/</w:t>
                    </w:r>
                  </w:hyperlink>
                  <w:r>
                    <w:t xml:space="preserve"> (Accessed: 17 April 2026).</w:t>
                  </w:r>
                </w:p>
                <w:p w14:paraId="386938C6" w14:textId="77777777" w:rsidR="00C807D6" w:rsidRDefault="00000000">
                  <w:pPr>
                    <w:pStyle w:val="Bibliography1"/>
                    <w:jc w:val="both"/>
                  </w:pPr>
                  <w:r>
                    <w:t xml:space="preserve">Selbst, A.D., boyd, d., Friedler, S.A., Venkatasubramanian, S. and Vertesi, J. (2019) 'Fairness and abstraction in sociotechnical systems', </w:t>
                  </w:r>
                  <w:r>
                    <w:rPr>
                      <w:i/>
                      <w:iCs/>
                    </w:rPr>
                    <w:t>Proceedings of the 2019 Conference on Fairness, Accountability, and Transparency</w:t>
                  </w:r>
                  <w:r>
                    <w:t>, pp. 59–68.</w:t>
                  </w:r>
                </w:p>
                <w:p w14:paraId="37B3CD96" w14:textId="77777777" w:rsidR="00C807D6" w:rsidRDefault="00000000">
                  <w:pPr>
                    <w:pStyle w:val="Bibliography1"/>
                    <w:jc w:val="both"/>
                  </w:pPr>
                  <w:r>
                    <w:t xml:space="preserve">Treasury Committee (2026) </w:t>
                  </w:r>
                  <w:r>
                    <w:rPr>
                      <w:i/>
                      <w:iCs/>
                    </w:rPr>
                    <w:t>Artificial intelligence in financial services</w:t>
                  </w:r>
                  <w:r>
                    <w:t xml:space="preserve">. Fifteenth Report of Session 2024-26. London: House of Commons. Available at: </w:t>
                  </w:r>
                  <w:hyperlink r:id="rId49" w:history="1">
                    <w:r>
                      <w:rPr>
                        <w:rStyle w:val="Hyperlink"/>
                      </w:rPr>
                      <w:t>https://publications.parliament.uk/pa/cm5901/cmselect/cmtreasy/684/report.html</w:t>
                    </w:r>
                  </w:hyperlink>
                  <w:r>
                    <w:t xml:space="preserve"> (Accessed: 16 April 2026).</w:t>
                  </w:r>
                </w:p>
                <w:p w14:paraId="07E2BC2D" w14:textId="77777777" w:rsidR="00C807D6" w:rsidRDefault="00000000">
                  <w:pPr>
                    <w:pStyle w:val="Bibliography1"/>
                    <w:jc w:val="both"/>
                  </w:pPr>
                  <w:r>
                    <w:t xml:space="preserve">UK Government (2024) </w:t>
                  </w:r>
                  <w:r>
                    <w:rPr>
                      <w:i/>
                      <w:iCs/>
                    </w:rPr>
                    <w:t>A pro-innovation approach to AI regulation: government response</w:t>
                  </w:r>
                  <w:r>
                    <w:t xml:space="preserve">. London: Department for Science, Innovation and Technology. Available at: </w:t>
                  </w:r>
                  <w:hyperlink r:id="rId50" w:history="1">
                    <w:r>
                      <w:rPr>
                        <w:rStyle w:val="Hyperlink"/>
                      </w:rPr>
                      <w:t>https://www.gov.uk/government/consultations/ai-regulation-a-pro-innovation-approach-policy-proposals/outcome/a-pro-innovation-approach-to-ai-regulation-government-response</w:t>
                    </w:r>
                  </w:hyperlink>
                  <w:r>
                    <w:t xml:space="preserve"> (Accessed: 16 April 2026).</w:t>
                  </w:r>
                </w:p>
                <w:p w14:paraId="2059C52B" w14:textId="77777777" w:rsidR="00C807D6" w:rsidRDefault="00000000">
                  <w:pPr>
                    <w:pStyle w:val="Bibliography1"/>
                    <w:jc w:val="both"/>
                  </w:pPr>
                  <w:r>
                    <w:t xml:space="preserve">UK Government (2025) </w:t>
                  </w:r>
                  <w:r>
                    <w:rPr>
                      <w:i/>
                      <w:iCs/>
                    </w:rPr>
                    <w:t>Data (Use and Access) Act 2025: data protection and privacy changes</w:t>
                  </w:r>
                  <w:r>
                    <w:t xml:space="preserve">. London: Department for Science, Innovation and Technology. Available at: </w:t>
                  </w:r>
                  <w:hyperlink r:id="rId51" w:history="1">
                    <w:r>
                      <w:rPr>
                        <w:rStyle w:val="Hyperlink"/>
                      </w:rPr>
                      <w:t>https://www.gov.uk/guidance/data-use-and-access-act-2025-data-protection-and-privacy-changes</w:t>
                    </w:r>
                  </w:hyperlink>
                  <w:r>
                    <w:t xml:space="preserve"> (Accessed: 15 April 2026).</w:t>
                  </w:r>
                </w:p>
                <w:p w14:paraId="2EEDCCA7" w14:textId="77777777" w:rsidR="00C807D6" w:rsidRDefault="00000000">
                  <w:pPr>
                    <w:pStyle w:val="Bibliography1"/>
                    <w:jc w:val="both"/>
                  </w:pPr>
                  <w:r>
                    <w:lastRenderedPageBreak/>
                    <w:t xml:space="preserve">World Economic Forum (2025) </w:t>
                  </w:r>
                  <w:r>
                    <w:rPr>
                      <w:i/>
                      <w:iCs/>
                    </w:rPr>
                    <w:t>The Global Risks Report 2025</w:t>
                  </w:r>
                  <w:r>
                    <w:t xml:space="preserve">. Geneva: World Economic Forum. Available at: </w:t>
                  </w:r>
                  <w:hyperlink r:id="rId52" w:history="1">
                    <w:r>
                      <w:rPr>
                        <w:rStyle w:val="Hyperlink"/>
                      </w:rPr>
                      <w:t>https://www.weforum.org/publications/global-risks-report-2025/</w:t>
                    </w:r>
                  </w:hyperlink>
                  <w:r>
                    <w:t xml:space="preserve"> (Accessed: 17 April 2026)</w:t>
                  </w:r>
                </w:p>
                <w:p w14:paraId="73D0E7D3" w14:textId="77777777" w:rsidR="00C807D6" w:rsidRDefault="00000000">
                  <w:pPr>
                    <w:jc w:val="both"/>
                  </w:pPr>
                  <w:r>
                    <w:rPr>
                      <w:b/>
                      <w:bCs/>
                    </w:rPr>
                    <w:fldChar w:fldCharType="end"/>
                  </w:r>
                </w:p>
              </w:sdtContent>
            </w:sdt>
          </w:sdtContent>
        </w:sdt>
        <w:p w14:paraId="305A7C98" w14:textId="77777777" w:rsidR="00C807D6" w:rsidRDefault="00C807D6"/>
        <w:p w14:paraId="1A6A9F46" w14:textId="77777777" w:rsidR="00C807D6" w:rsidRDefault="00C807D6"/>
        <w:p w14:paraId="076D01EC" w14:textId="77777777" w:rsidR="00C807D6" w:rsidRDefault="00000000"/>
      </w:sdtContent>
    </w:sdt>
    <w:sectPr w:rsidR="00C807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C140C" w14:textId="77777777" w:rsidR="00835F02" w:rsidRDefault="00835F02">
      <w:pPr>
        <w:spacing w:line="240" w:lineRule="auto"/>
      </w:pPr>
      <w:r>
        <w:separator/>
      </w:r>
    </w:p>
  </w:endnote>
  <w:endnote w:type="continuationSeparator" w:id="0">
    <w:p w14:paraId="2B6856EC" w14:textId="77777777" w:rsidR="00835F02" w:rsidRDefault="00835F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4BBB2" w14:textId="77777777" w:rsidR="00835F02" w:rsidRDefault="00835F02">
      <w:pPr>
        <w:spacing w:after="0"/>
      </w:pPr>
      <w:r>
        <w:separator/>
      </w:r>
    </w:p>
  </w:footnote>
  <w:footnote w:type="continuationSeparator" w:id="0">
    <w:p w14:paraId="7C3B3783" w14:textId="77777777" w:rsidR="00835F02" w:rsidRDefault="00835F0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4969"/>
    <w:rsid w:val="000447CF"/>
    <w:rsid w:val="00047ADD"/>
    <w:rsid w:val="00072DBF"/>
    <w:rsid w:val="000E600A"/>
    <w:rsid w:val="001057EE"/>
    <w:rsid w:val="00107936"/>
    <w:rsid w:val="00115B96"/>
    <w:rsid w:val="00142FB9"/>
    <w:rsid w:val="001A1354"/>
    <w:rsid w:val="00225314"/>
    <w:rsid w:val="00232B89"/>
    <w:rsid w:val="00253B6C"/>
    <w:rsid w:val="00292A93"/>
    <w:rsid w:val="00305AA7"/>
    <w:rsid w:val="00324CCD"/>
    <w:rsid w:val="00336CCD"/>
    <w:rsid w:val="003525B8"/>
    <w:rsid w:val="003568BC"/>
    <w:rsid w:val="0041284D"/>
    <w:rsid w:val="00480872"/>
    <w:rsid w:val="004A11F6"/>
    <w:rsid w:val="004A691D"/>
    <w:rsid w:val="004B4098"/>
    <w:rsid w:val="004D519C"/>
    <w:rsid w:val="004D7D3E"/>
    <w:rsid w:val="005A62BF"/>
    <w:rsid w:val="005D08F3"/>
    <w:rsid w:val="00684ACC"/>
    <w:rsid w:val="006A1417"/>
    <w:rsid w:val="006C3494"/>
    <w:rsid w:val="006E095D"/>
    <w:rsid w:val="006F253F"/>
    <w:rsid w:val="00716D81"/>
    <w:rsid w:val="00725275"/>
    <w:rsid w:val="00740271"/>
    <w:rsid w:val="007703D3"/>
    <w:rsid w:val="00790725"/>
    <w:rsid w:val="007B1C81"/>
    <w:rsid w:val="007D1947"/>
    <w:rsid w:val="007E2360"/>
    <w:rsid w:val="007E649C"/>
    <w:rsid w:val="00835F02"/>
    <w:rsid w:val="00846964"/>
    <w:rsid w:val="00847B86"/>
    <w:rsid w:val="008748F3"/>
    <w:rsid w:val="008946FC"/>
    <w:rsid w:val="00897669"/>
    <w:rsid w:val="0089781B"/>
    <w:rsid w:val="008D2234"/>
    <w:rsid w:val="00902A00"/>
    <w:rsid w:val="009302FE"/>
    <w:rsid w:val="00931CAA"/>
    <w:rsid w:val="00967BEC"/>
    <w:rsid w:val="009C5059"/>
    <w:rsid w:val="009E7859"/>
    <w:rsid w:val="00A12B58"/>
    <w:rsid w:val="00A9029E"/>
    <w:rsid w:val="00A926B5"/>
    <w:rsid w:val="00AA2A91"/>
    <w:rsid w:val="00AB4D74"/>
    <w:rsid w:val="00AB5F7D"/>
    <w:rsid w:val="00AE1ED4"/>
    <w:rsid w:val="00B8290F"/>
    <w:rsid w:val="00B90A1C"/>
    <w:rsid w:val="00BC27A5"/>
    <w:rsid w:val="00BF0990"/>
    <w:rsid w:val="00C54B18"/>
    <w:rsid w:val="00C807D6"/>
    <w:rsid w:val="00CA09F3"/>
    <w:rsid w:val="00CD1C88"/>
    <w:rsid w:val="00D55838"/>
    <w:rsid w:val="00D713A6"/>
    <w:rsid w:val="00D854A5"/>
    <w:rsid w:val="00E15338"/>
    <w:rsid w:val="00E97910"/>
    <w:rsid w:val="00EA5C17"/>
    <w:rsid w:val="00EE1293"/>
    <w:rsid w:val="00EF15B4"/>
    <w:rsid w:val="00F5267C"/>
    <w:rsid w:val="00F73EF7"/>
    <w:rsid w:val="00F943BD"/>
    <w:rsid w:val="00FC0F34"/>
    <w:rsid w:val="055212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49FDF97"/>
  <w15:docId w15:val="{F5FB6DF3-0AD1-48B1-A5BD-F34983967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ajorBidi" w:hAnsiTheme="majorBidi"/>
      <w:sz w:val="24"/>
      <w:szCs w:val="22"/>
      <w:lang w:eastAsia="en-US" w:bidi="ar-SA"/>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uiPriority w:val="9"/>
    <w:unhideWhenUsed/>
    <w:qFormat/>
    <w:pPr>
      <w:keepNext/>
      <w:keepLines/>
      <w:spacing w:before="40" w:after="0"/>
      <w:outlineLvl w:val="2"/>
    </w:pPr>
    <w:rPr>
      <w:rFonts w:eastAsiaTheme="majorEastAsia" w:cstheme="majorBidi"/>
      <w:color w:val="1F4E79" w:themeColor="accent1" w:themeShade="8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59"/>
    <w:qFormat/>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20"/>
    </w:pPr>
  </w:style>
  <w:style w:type="paragraph" w:styleId="TOC3">
    <w:name w:val="toc 3"/>
    <w:basedOn w:val="Normal"/>
    <w:next w:val="Normal"/>
    <w:autoRedefine/>
    <w:uiPriority w:val="39"/>
    <w:unhideWhenUsed/>
    <w:qFormat/>
    <w:pPr>
      <w:spacing w:after="100"/>
      <w:ind w:left="480"/>
    </w:pPr>
  </w:style>
  <w:style w:type="paragraph" w:styleId="NoSpacing">
    <w:name w:val="No Spacing"/>
    <w:link w:val="NoSpacingChar"/>
    <w:uiPriority w:val="1"/>
    <w:qFormat/>
    <w:rPr>
      <w:rFonts w:asciiTheme="majorBidi" w:eastAsiaTheme="minorEastAsia" w:hAnsiTheme="majorBidi"/>
      <w:sz w:val="24"/>
      <w:szCs w:val="22"/>
      <w:lang w:val="en-US" w:eastAsia="en-US" w:bidi="ar-SA"/>
    </w:rPr>
  </w:style>
  <w:style w:type="character" w:customStyle="1" w:styleId="NoSpacingChar">
    <w:name w:val="No Spacing Char"/>
    <w:basedOn w:val="DefaultParagraphFont"/>
    <w:link w:val="NoSpacing"/>
    <w:uiPriority w:val="1"/>
    <w:qFormat/>
    <w:rPr>
      <w:rFonts w:asciiTheme="majorBidi" w:eastAsiaTheme="minorEastAsia" w:hAnsiTheme="majorBidi"/>
      <w:sz w:val="24"/>
      <w:lang w:val="en-US"/>
    </w:rPr>
  </w:style>
  <w:style w:type="character" w:customStyle="1" w:styleId="Heading1Char">
    <w:name w:val="Heading 1 Char"/>
    <w:basedOn w:val="DefaultParagraphFont"/>
    <w:link w:val="Heading1"/>
    <w:uiPriority w:val="9"/>
    <w:qFormat/>
    <w:rPr>
      <w:rFonts w:asciiTheme="majorBidi" w:eastAsiaTheme="majorEastAsia" w:hAnsiTheme="majorBidi" w:cstheme="majorBidi"/>
      <w:color w:val="2E74B5" w:themeColor="accent1" w:themeShade="BF"/>
      <w:sz w:val="28"/>
      <w:szCs w:val="32"/>
    </w:rPr>
  </w:style>
  <w:style w:type="paragraph" w:customStyle="1" w:styleId="TOCHeading1">
    <w:name w:val="TOC Heading1"/>
    <w:basedOn w:val="Heading1"/>
    <w:next w:val="Normal"/>
    <w:uiPriority w:val="39"/>
    <w:unhideWhenUsed/>
    <w:qFormat/>
    <w:pPr>
      <w:outlineLvl w:val="9"/>
    </w:pPr>
    <w:rPr>
      <w:lang w:val="en-US"/>
    </w:rPr>
  </w:style>
  <w:style w:type="character" w:customStyle="1" w:styleId="Heading2Char">
    <w:name w:val="Heading 2 Char"/>
    <w:basedOn w:val="DefaultParagraphFont"/>
    <w:link w:val="Heading2"/>
    <w:uiPriority w:val="9"/>
    <w:qFormat/>
    <w:rPr>
      <w:rFonts w:asciiTheme="majorBidi" w:eastAsiaTheme="majorEastAsia" w:hAnsiTheme="majorBidi" w:cstheme="majorBidi"/>
      <w:color w:val="2E74B5" w:themeColor="accent1" w:themeShade="BF"/>
      <w:sz w:val="24"/>
      <w:szCs w:val="26"/>
    </w:rPr>
  </w:style>
  <w:style w:type="character" w:customStyle="1" w:styleId="Heading3Char">
    <w:name w:val="Heading 3 Char"/>
    <w:basedOn w:val="DefaultParagraphFont"/>
    <w:link w:val="Heading3"/>
    <w:uiPriority w:val="9"/>
    <w:qFormat/>
    <w:rPr>
      <w:rFonts w:asciiTheme="majorBidi" w:eastAsiaTheme="majorEastAsia" w:hAnsiTheme="majorBidi" w:cstheme="majorBidi"/>
      <w:color w:val="1F4E79" w:themeColor="accent1" w:themeShade="80"/>
      <w:sz w:val="24"/>
      <w:szCs w:val="24"/>
    </w:rPr>
  </w:style>
  <w:style w:type="paragraph" w:customStyle="1" w:styleId="Bibliography1">
    <w:name w:val="Bibliography1"/>
    <w:basedOn w:val="Normal"/>
    <w:next w:val="Normal"/>
    <w:uiPriority w:val="37"/>
    <w:unhideWhenUsed/>
    <w:qFormat/>
  </w:style>
  <w:style w:type="table" w:customStyle="1" w:styleId="TableGridLight1">
    <w:name w:val="Table Grid Light1"/>
    <w:basedOn w:val="Table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UnresolvedMention">
    <w:name w:val="Unresolved Mention"/>
    <w:basedOn w:val="DefaultParagraphFont"/>
    <w:uiPriority w:val="99"/>
    <w:semiHidden/>
    <w:unhideWhenUsed/>
    <w:rsid w:val="00B90A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01369">
      <w:bodyDiv w:val="1"/>
      <w:marLeft w:val="0"/>
      <w:marRight w:val="0"/>
      <w:marTop w:val="0"/>
      <w:marBottom w:val="0"/>
      <w:divBdr>
        <w:top w:val="none" w:sz="0" w:space="0" w:color="auto"/>
        <w:left w:val="none" w:sz="0" w:space="0" w:color="auto"/>
        <w:bottom w:val="none" w:sz="0" w:space="0" w:color="auto"/>
        <w:right w:val="none" w:sz="0" w:space="0" w:color="auto"/>
      </w:divBdr>
    </w:div>
    <w:div w:id="109084303">
      <w:bodyDiv w:val="1"/>
      <w:marLeft w:val="0"/>
      <w:marRight w:val="0"/>
      <w:marTop w:val="0"/>
      <w:marBottom w:val="0"/>
      <w:divBdr>
        <w:top w:val="none" w:sz="0" w:space="0" w:color="auto"/>
        <w:left w:val="none" w:sz="0" w:space="0" w:color="auto"/>
        <w:bottom w:val="none" w:sz="0" w:space="0" w:color="auto"/>
        <w:right w:val="none" w:sz="0" w:space="0" w:color="auto"/>
      </w:divBdr>
    </w:div>
    <w:div w:id="206525875">
      <w:bodyDiv w:val="1"/>
      <w:marLeft w:val="0"/>
      <w:marRight w:val="0"/>
      <w:marTop w:val="0"/>
      <w:marBottom w:val="0"/>
      <w:divBdr>
        <w:top w:val="none" w:sz="0" w:space="0" w:color="auto"/>
        <w:left w:val="none" w:sz="0" w:space="0" w:color="auto"/>
        <w:bottom w:val="none" w:sz="0" w:space="0" w:color="auto"/>
        <w:right w:val="none" w:sz="0" w:space="0" w:color="auto"/>
      </w:divBdr>
    </w:div>
    <w:div w:id="344794344">
      <w:bodyDiv w:val="1"/>
      <w:marLeft w:val="0"/>
      <w:marRight w:val="0"/>
      <w:marTop w:val="0"/>
      <w:marBottom w:val="0"/>
      <w:divBdr>
        <w:top w:val="none" w:sz="0" w:space="0" w:color="auto"/>
        <w:left w:val="none" w:sz="0" w:space="0" w:color="auto"/>
        <w:bottom w:val="none" w:sz="0" w:space="0" w:color="auto"/>
        <w:right w:val="none" w:sz="0" w:space="0" w:color="auto"/>
      </w:divBdr>
    </w:div>
    <w:div w:id="461534829">
      <w:bodyDiv w:val="1"/>
      <w:marLeft w:val="0"/>
      <w:marRight w:val="0"/>
      <w:marTop w:val="0"/>
      <w:marBottom w:val="0"/>
      <w:divBdr>
        <w:top w:val="none" w:sz="0" w:space="0" w:color="auto"/>
        <w:left w:val="none" w:sz="0" w:space="0" w:color="auto"/>
        <w:bottom w:val="none" w:sz="0" w:space="0" w:color="auto"/>
        <w:right w:val="none" w:sz="0" w:space="0" w:color="auto"/>
      </w:divBdr>
    </w:div>
    <w:div w:id="596907456">
      <w:bodyDiv w:val="1"/>
      <w:marLeft w:val="0"/>
      <w:marRight w:val="0"/>
      <w:marTop w:val="0"/>
      <w:marBottom w:val="0"/>
      <w:divBdr>
        <w:top w:val="none" w:sz="0" w:space="0" w:color="auto"/>
        <w:left w:val="none" w:sz="0" w:space="0" w:color="auto"/>
        <w:bottom w:val="none" w:sz="0" w:space="0" w:color="auto"/>
        <w:right w:val="none" w:sz="0" w:space="0" w:color="auto"/>
      </w:divBdr>
    </w:div>
    <w:div w:id="721903237">
      <w:bodyDiv w:val="1"/>
      <w:marLeft w:val="0"/>
      <w:marRight w:val="0"/>
      <w:marTop w:val="0"/>
      <w:marBottom w:val="0"/>
      <w:divBdr>
        <w:top w:val="none" w:sz="0" w:space="0" w:color="auto"/>
        <w:left w:val="none" w:sz="0" w:space="0" w:color="auto"/>
        <w:bottom w:val="none" w:sz="0" w:space="0" w:color="auto"/>
        <w:right w:val="none" w:sz="0" w:space="0" w:color="auto"/>
      </w:divBdr>
    </w:div>
    <w:div w:id="852768412">
      <w:bodyDiv w:val="1"/>
      <w:marLeft w:val="0"/>
      <w:marRight w:val="0"/>
      <w:marTop w:val="0"/>
      <w:marBottom w:val="0"/>
      <w:divBdr>
        <w:top w:val="none" w:sz="0" w:space="0" w:color="auto"/>
        <w:left w:val="none" w:sz="0" w:space="0" w:color="auto"/>
        <w:bottom w:val="none" w:sz="0" w:space="0" w:color="auto"/>
        <w:right w:val="none" w:sz="0" w:space="0" w:color="auto"/>
      </w:divBdr>
    </w:div>
    <w:div w:id="934945994">
      <w:bodyDiv w:val="1"/>
      <w:marLeft w:val="0"/>
      <w:marRight w:val="0"/>
      <w:marTop w:val="0"/>
      <w:marBottom w:val="0"/>
      <w:divBdr>
        <w:top w:val="none" w:sz="0" w:space="0" w:color="auto"/>
        <w:left w:val="none" w:sz="0" w:space="0" w:color="auto"/>
        <w:bottom w:val="none" w:sz="0" w:space="0" w:color="auto"/>
        <w:right w:val="none" w:sz="0" w:space="0" w:color="auto"/>
      </w:divBdr>
    </w:div>
    <w:div w:id="959145668">
      <w:bodyDiv w:val="1"/>
      <w:marLeft w:val="0"/>
      <w:marRight w:val="0"/>
      <w:marTop w:val="0"/>
      <w:marBottom w:val="0"/>
      <w:divBdr>
        <w:top w:val="none" w:sz="0" w:space="0" w:color="auto"/>
        <w:left w:val="none" w:sz="0" w:space="0" w:color="auto"/>
        <w:bottom w:val="none" w:sz="0" w:space="0" w:color="auto"/>
        <w:right w:val="none" w:sz="0" w:space="0" w:color="auto"/>
      </w:divBdr>
    </w:div>
    <w:div w:id="1023558449">
      <w:bodyDiv w:val="1"/>
      <w:marLeft w:val="0"/>
      <w:marRight w:val="0"/>
      <w:marTop w:val="0"/>
      <w:marBottom w:val="0"/>
      <w:divBdr>
        <w:top w:val="none" w:sz="0" w:space="0" w:color="auto"/>
        <w:left w:val="none" w:sz="0" w:space="0" w:color="auto"/>
        <w:bottom w:val="none" w:sz="0" w:space="0" w:color="auto"/>
        <w:right w:val="none" w:sz="0" w:space="0" w:color="auto"/>
      </w:divBdr>
    </w:div>
    <w:div w:id="1213734529">
      <w:bodyDiv w:val="1"/>
      <w:marLeft w:val="0"/>
      <w:marRight w:val="0"/>
      <w:marTop w:val="0"/>
      <w:marBottom w:val="0"/>
      <w:divBdr>
        <w:top w:val="none" w:sz="0" w:space="0" w:color="auto"/>
        <w:left w:val="none" w:sz="0" w:space="0" w:color="auto"/>
        <w:bottom w:val="none" w:sz="0" w:space="0" w:color="auto"/>
        <w:right w:val="none" w:sz="0" w:space="0" w:color="auto"/>
      </w:divBdr>
    </w:div>
    <w:div w:id="1226065512">
      <w:bodyDiv w:val="1"/>
      <w:marLeft w:val="0"/>
      <w:marRight w:val="0"/>
      <w:marTop w:val="0"/>
      <w:marBottom w:val="0"/>
      <w:divBdr>
        <w:top w:val="none" w:sz="0" w:space="0" w:color="auto"/>
        <w:left w:val="none" w:sz="0" w:space="0" w:color="auto"/>
        <w:bottom w:val="none" w:sz="0" w:space="0" w:color="auto"/>
        <w:right w:val="none" w:sz="0" w:space="0" w:color="auto"/>
      </w:divBdr>
    </w:div>
    <w:div w:id="1427380625">
      <w:bodyDiv w:val="1"/>
      <w:marLeft w:val="0"/>
      <w:marRight w:val="0"/>
      <w:marTop w:val="0"/>
      <w:marBottom w:val="0"/>
      <w:divBdr>
        <w:top w:val="none" w:sz="0" w:space="0" w:color="auto"/>
        <w:left w:val="none" w:sz="0" w:space="0" w:color="auto"/>
        <w:bottom w:val="none" w:sz="0" w:space="0" w:color="auto"/>
        <w:right w:val="none" w:sz="0" w:space="0" w:color="auto"/>
      </w:divBdr>
    </w:div>
    <w:div w:id="1771315654">
      <w:bodyDiv w:val="1"/>
      <w:marLeft w:val="0"/>
      <w:marRight w:val="0"/>
      <w:marTop w:val="0"/>
      <w:marBottom w:val="0"/>
      <w:divBdr>
        <w:top w:val="none" w:sz="0" w:space="0" w:color="auto"/>
        <w:left w:val="none" w:sz="0" w:space="0" w:color="auto"/>
        <w:bottom w:val="none" w:sz="0" w:space="0" w:color="auto"/>
        <w:right w:val="none" w:sz="0" w:space="0" w:color="auto"/>
      </w:divBdr>
    </w:div>
    <w:div w:id="1897937609">
      <w:bodyDiv w:val="1"/>
      <w:marLeft w:val="0"/>
      <w:marRight w:val="0"/>
      <w:marTop w:val="0"/>
      <w:marBottom w:val="0"/>
      <w:divBdr>
        <w:top w:val="none" w:sz="0" w:space="0" w:color="auto"/>
        <w:left w:val="none" w:sz="0" w:space="0" w:color="auto"/>
        <w:bottom w:val="none" w:sz="0" w:space="0" w:color="auto"/>
        <w:right w:val="none" w:sz="0" w:space="0" w:color="auto"/>
      </w:divBdr>
    </w:div>
    <w:div w:id="2086100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ankofengland.co.uk/report/2024/artificial-intelligence-in-uk-financial-services-2024" TargetMode="External"/><Relationship Id="rId18" Type="http://schemas.openxmlformats.org/officeDocument/2006/relationships/hyperlink" Target="https://www.eba.europa.eu/sites/default/files/2025-11/d8b999ce-a1d9-4964-9606-971bbc2aaf89/AI%20Act%20implications%20for%20the%20EU%20banking%20sector.pdf" TargetMode="External"/><Relationship Id="rId26" Type="http://schemas.openxmlformats.org/officeDocument/2006/relationships/hyperlink" Target="https://www.fca.org.uk/publications/calls-input/review-long-term-impact-ai-retail-financial-services-mills-review" TargetMode="External"/><Relationship Id="rId39" Type="http://schemas.openxmlformats.org/officeDocument/2006/relationships/hyperlink" Target="https://www.oecd.org/en/publications/ai-data-governance-and-privacy-synergies-and-areas-for-international-co-operation_94b432bd-en.html" TargetMode="External"/><Relationship Id="rId21" Type="http://schemas.openxmlformats.org/officeDocument/2006/relationships/hyperlink" Target="https://www.ecb.europa.eu/press/pr/date/2026/html/ecb.mp260319~3057739775.en.html" TargetMode="External"/><Relationship Id="rId34" Type="http://schemas.openxmlformats.org/officeDocument/2006/relationships/hyperlink" Target="https://ico.org.uk/for-organisations/uk-gdpr-guidance-and-resources/individual-rights/individual-rights/rights-related-to-automated-decision-making-including-profiling/" TargetMode="External"/><Relationship Id="rId42" Type="http://schemas.openxmlformats.org/officeDocument/2006/relationships/hyperlink" Target="https://oecd.ai/en/" TargetMode="External"/><Relationship Id="rId47" Type="http://schemas.openxmlformats.org/officeDocument/2006/relationships/hyperlink" Target="https://www.reuters.com/business/finance/hsbc-appoints-david-rice-first-chief-ai-officer-2026-03-23/" TargetMode="External"/><Relationship Id="rId50" Type="http://schemas.openxmlformats.org/officeDocument/2006/relationships/hyperlink" Target="https://www.gov.uk/government/consultations/ai-regulation-a-pro-innovation-approach-policy-proposals/outcome/a-pro-innovation-approach-to-ai-regulation-government-response" TargetMode="External"/><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bankofengland.co.uk/monetary-policy/the-interest-rate-bank-rate" TargetMode="External"/><Relationship Id="rId29" Type="http://schemas.openxmlformats.org/officeDocument/2006/relationships/hyperlink" Target="https://www.hsbc.com/news-and-views/news/media-releases/2025/hsbc-and-mistral-ai-join-forces-to-accelerate-ai-adoption-across-global-bank" TargetMode="External"/><Relationship Id="rId11" Type="http://schemas.openxmlformats.org/officeDocument/2006/relationships/hyperlink" Target="https://www.bis.org/fsi/publ/insights63.htm" TargetMode="External"/><Relationship Id="rId24" Type="http://schemas.openxmlformats.org/officeDocument/2006/relationships/hyperlink" Target="https://eur-lex.europa.eu/eli/reg/2024/1689/oj/eng" TargetMode="External"/><Relationship Id="rId32" Type="http://schemas.openxmlformats.org/officeDocument/2006/relationships/hyperlink" Target="https://ico.org.uk/for-organisations/uk-gdpr-guidance-and-resources/artificial-intelligence/explaining-decisions-made-with-artificial-intelligence/part-2-explaining-ai-in-practice/task-3-build/" TargetMode="External"/><Relationship Id="rId37" Type="http://schemas.openxmlformats.org/officeDocument/2006/relationships/hyperlink" Target="https://www.ncsc.gov.uk/report/impact-ai-cyber-threat-now-2027" TargetMode="External"/><Relationship Id="rId40" Type="http://schemas.openxmlformats.org/officeDocument/2006/relationships/hyperlink" Target="https://oecd.ai/en/ai-principles" TargetMode="External"/><Relationship Id="rId45" Type="http://schemas.openxmlformats.org/officeDocument/2006/relationships/hyperlink" Target="https://www.oecd.org/en/publications/supervision-of-artificial-intelligence-in-finance_92743dc1-en.html" TargetMode="External"/><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www.ecb.europa.eu/press/financial-stability-publications/fsr/special/html/ecb.fsrart202405_02~58c3ce5246.en.html" TargetMode="External"/><Relationship Id="rId31" Type="http://schemas.openxmlformats.org/officeDocument/2006/relationships/hyperlink" Target="https://ico.org.uk/for-organisations/uk-gdpr-guidance-and-resources/artificial-intelligence/guidance-on-ai-and-data-protection/what-are-the-accountability-and-governance-implications-of-ai/" TargetMode="External"/><Relationship Id="rId44" Type="http://schemas.openxmlformats.org/officeDocument/2006/relationships/hyperlink" Target="https://www.oecd.org/en/publications/oecd-due-diligence-guidance-for-responsible-ai_41671712-en.html" TargetMode="External"/><Relationship Id="rId52" Type="http://schemas.openxmlformats.org/officeDocument/2006/relationships/hyperlink" Target="https://www.weforum.org/publications/global-risks-report-202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ankofengland.co.uk/report/2025/the-boes-approach-to-innovation-in-ai-dlt-quantum-computing" TargetMode="External"/><Relationship Id="rId22" Type="http://schemas.openxmlformats.org/officeDocument/2006/relationships/hyperlink" Target="https://ai-act-service-desk.ec.europa.eu/en/ai-act/timeline/timeline-implementation-eu-ai-act" TargetMode="External"/><Relationship Id="rId27" Type="http://schemas.openxmlformats.org/officeDocument/2006/relationships/hyperlink" Target="https://www.fsb.org/2024/11/the-financial-stability-implications-of-artificial-intelligence/" TargetMode="External"/><Relationship Id="rId30" Type="http://schemas.openxmlformats.org/officeDocument/2006/relationships/hyperlink" Target="https://www.hsbc.com/news-and-views/news/media-releases/2026/david-rice-announced-as-chief-ai-officer" TargetMode="External"/><Relationship Id="rId35" Type="http://schemas.openxmlformats.org/officeDocument/2006/relationships/hyperlink" Target="https://www.theiia.org/en/content/position-papers/2020/the-iias-three-lines-model-an-update-of-the-three-lines-of-defense/" TargetMode="External"/><Relationship Id="rId43" Type="http://schemas.openxmlformats.org/officeDocument/2006/relationships/hyperlink" Target="https://oecd.ai/en/wonk/ai-in-finance-balancing-innovation-and-stability" TargetMode="External"/><Relationship Id="rId48" Type="http://schemas.openxmlformats.org/officeDocument/2006/relationships/hyperlink" Target="https://www.reuters.com/sustainability/boards-policy-regulation/britain-needs-ai-stress-tests-financial-services-lawmakers-say-2026-01-20/" TargetMode="External"/><Relationship Id="rId8" Type="http://schemas.openxmlformats.org/officeDocument/2006/relationships/endnotes" Target="endnotes.xml"/><Relationship Id="rId51" Type="http://schemas.openxmlformats.org/officeDocument/2006/relationships/hyperlink" Target="https://www.gov.uk/guidance/data-use-and-access-act-2025-data-protection-and-privacy-changes" TargetMode="External"/><Relationship Id="rId3" Type="http://schemas.openxmlformats.org/officeDocument/2006/relationships/customXml" Target="../customXml/item3.xml"/><Relationship Id="rId12" Type="http://schemas.openxmlformats.org/officeDocument/2006/relationships/hyperlink" Target="https://www.bis.org/publ/othp90.htm" TargetMode="External"/><Relationship Id="rId17" Type="http://schemas.openxmlformats.org/officeDocument/2006/relationships/hyperlink" Target="https://www.coso.org/enterprise-risk-management" TargetMode="External"/><Relationship Id="rId25" Type="http://schemas.openxmlformats.org/officeDocument/2006/relationships/hyperlink" Target="https://www.fca.org.uk/news/press-releases/fca-helps-firms-test-ai-safely" TargetMode="External"/><Relationship Id="rId33" Type="http://schemas.openxmlformats.org/officeDocument/2006/relationships/hyperlink" Target="https://ico.org.uk/about-the-ico/ico-and-stakeholder-consultations/2026/03/ico-consultation-on-the-draft-guidance-about-automated-decision-making-including-profiling/" TargetMode="External"/><Relationship Id="rId38" Type="http://schemas.openxmlformats.org/officeDocument/2006/relationships/hyperlink" Target="https://www.nist.gov/itl/ai-risk-management-framework" TargetMode="External"/><Relationship Id="rId46" Type="http://schemas.openxmlformats.org/officeDocument/2006/relationships/hyperlink" Target="https://www.reuters.com/business/finance/hsbc-taps-french-start-up-mistral-supercharge-generative-ai-rollout-2025-12-01/" TargetMode="External"/><Relationship Id="rId20" Type="http://schemas.openxmlformats.org/officeDocument/2006/relationships/hyperlink" Target="https://www.ecb.europa.eu/pub/pdf/scpops/ecb.op351~c46b57f061.en.pdf" TargetMode="External"/><Relationship Id="rId41" Type="http://schemas.openxmlformats.org/officeDocument/2006/relationships/hyperlink" Target="https://www.oecd.org/digital/oecd-digital-economy-outlook-2024.htm"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bankofengland.co.uk/monetary-policy-summary-and-minutes/2026/march-2026" TargetMode="External"/><Relationship Id="rId23" Type="http://schemas.openxmlformats.org/officeDocument/2006/relationships/hyperlink" Target="https://digital-strategy.ec.europa.eu/en/policies/ai-pact" TargetMode="External"/><Relationship Id="rId28" Type="http://schemas.openxmlformats.org/officeDocument/2006/relationships/hyperlink" Target="https://www.hsbc.com/investors/results-and-announcements/annual-report" TargetMode="External"/><Relationship Id="rId36" Type="http://schemas.openxmlformats.org/officeDocument/2006/relationships/hyperlink" Target="https://www.ncsc.gov.uk/guidance/ai-and-cyber-security-what-you-need-to-know" TargetMode="External"/><Relationship Id="rId49" Type="http://schemas.openxmlformats.org/officeDocument/2006/relationships/hyperlink" Target="https://publications.parliament.uk/pa/cm5901/cmselect/cmtreasy/684/report.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221CFE" w:rsidRDefault="00000000">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275C2" w:rsidRDefault="00F275C2">
      <w:pPr>
        <w:spacing w:line="240" w:lineRule="auto"/>
      </w:pPr>
      <w:r>
        <w:separator/>
      </w:r>
    </w:p>
  </w:endnote>
  <w:endnote w:type="continuationSeparator" w:id="0">
    <w:p w:rsidR="00F275C2" w:rsidRDefault="00F275C2">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275C2" w:rsidRDefault="00F275C2">
      <w:pPr>
        <w:spacing w:after="0"/>
      </w:pPr>
      <w:r>
        <w:separator/>
      </w:r>
    </w:p>
  </w:footnote>
  <w:footnote w:type="continuationSeparator" w:id="0">
    <w:p w:rsidR="00F275C2" w:rsidRDefault="00F275C2">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2C58"/>
    <w:rsid w:val="00145AD8"/>
    <w:rsid w:val="001556D1"/>
    <w:rsid w:val="00221CFE"/>
    <w:rsid w:val="00242260"/>
    <w:rsid w:val="002450A7"/>
    <w:rsid w:val="003203C2"/>
    <w:rsid w:val="004D25D2"/>
    <w:rsid w:val="009C5059"/>
    <w:rsid w:val="00A34C42"/>
    <w:rsid w:val="00BA72F8"/>
    <w:rsid w:val="00BC1251"/>
    <w:rsid w:val="00C67429"/>
    <w:rsid w:val="00C67870"/>
    <w:rsid w:val="00CD501E"/>
    <w:rsid w:val="00EA5C17"/>
    <w:rsid w:val="00EF15B4"/>
    <w:rsid w:val="00F275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gu-IN"/>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qFormat/>
    <w:pPr>
      <w:spacing w:after="160" w:line="259" w:lineRule="auto"/>
    </w:pPr>
    <w:rPr>
      <w:sz w:val="22"/>
      <w:szCs w:val="22"/>
      <w:lang w:bidi="ar-S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2026-04-26T00:00:00</PublishDate>
  <Abstract/>
  <CompanyAddress/>
  <CompanyPhone/>
  <CompanyFax/>
  <CompanyEmail/>
</CoverPageProperties>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HarvardAnglia.XSL" StyleName="Harvard - Anglia*" Version="1">
  <b:Source>
    <b:Tag>Ban24</b:Tag>
    <b:SourceType>Report</b:SourceType>
    <b:Guid>{B1D4FA73-6827-4EB6-8DF7-BFD52C72A3E4}</b:Guid>
    <b:Title>Artificial intelligence in UK financial services - 2024</b:Title>
    <b:Year>2024</b:Year>
    <b:Author>
      <b:Author>
        <b:Corporate>Bank of England and FCA</b:Corporate>
      </b:Author>
    </b:Author>
    <b:Institution>Bank of England and Financial Conduct Authority</b:Institution>
    <b:Publisher>Bank of England</b:Publisher>
    <b:City>London</b:City>
    <b:ThesisType>Report</b:ThesisType>
    <b:RefOrder>2</b:RefOrder>
  </b:Source>
  <b:Source>
    <b:Tag>Amn25</b:Tag>
    <b:SourceType>JournalArticle</b:SourceType>
    <b:Guid>{AB22B27E-7031-4F49-84A0-DA9649AF5B1C}</b:Guid>
    <b:Title>AI governance: a systematic literature review</b:Title>
    <b:Year>2025</b:Year>
    <b:Author>
      <b:Author>
        <b:NameList>
          <b:Person>
            <b:Last>Batool</b:Last>
            <b:First>Amna</b:First>
          </b:Person>
          <b:Person>
            <b:Last>Zowghi</b:Last>
            <b:First>Didar</b:First>
          </b:Person>
          <b:Person>
            <b:Last>Bano</b:Last>
            <b:First>Muneera</b:First>
          </b:Person>
        </b:NameList>
      </b:Author>
    </b:Author>
    <b:JournalName>AI and Ethics</b:JournalName>
    <b:Pages>3265–3279</b:Pages>
    <b:Volume>5</b:Volume>
    <b:Issue>3</b:Issue>
    <b:RefOrder>10</b:RefOrder>
  </b:Source>
  <b:Source>
    <b:Tag>Ini20</b:Tag>
    <b:SourceType>JournalArticle</b:SourceType>
    <b:Guid>{9C2D5202-9B01-4D55-BACD-DD4BD47F85E0}</b:Guid>
    <b:Author>
      <b:Author>
        <b:NameList>
          <b:Person>
            <b:Last>Raji</b:Last>
            <b:First>Inioluwa</b:First>
            <b:Middle>Deborah</b:Middle>
          </b:Person>
          <b:Person>
            <b:Last>Smart</b:Last>
            <b:First>Andrew</b:First>
          </b:Person>
          <b:Person>
            <b:Last>White</b:Last>
            <b:First>Rebecca</b:First>
            <b:Middle>N.</b:Middle>
          </b:Person>
          <b:Person>
            <b:Last>Mitchell</b:Last>
            <b:First>Margaret</b:First>
          </b:Person>
          <b:Person>
            <b:Last>Gebru</b:Last>
            <b:First>Timnit</b:First>
          </b:Person>
          <b:Person>
            <b:Last>Hutchinson</b:Last>
            <b:First>Ben</b:First>
          </b:Person>
          <b:Person>
            <b:Last>Smith-Loud</b:Last>
            <b:First>Jamila</b:First>
          </b:Person>
          <b:Person>
            <b:Last>Theron</b:Last>
            <b:First>Daniel</b:First>
          </b:Person>
          <b:Person>
            <b:Last>Barnes</b:Last>
            <b:First>Parker</b:First>
          </b:Person>
        </b:NameList>
      </b:Author>
    </b:Author>
    <b:Title>Closing the AI Accountability Gap: Defining an End-to-End Framework for Internal Algorithmic Auditing</b:Title>
    <b:JournalName>Proceedings of the 2020 Conference on Fairness, Accountability, and Transparency</b:JournalName>
    <b:Year>2020</b:Year>
    <b:Pages>33–44</b:Pages>
    <b:RefOrder>9</b:RefOrder>
  </b:Source>
  <b:Source>
    <b:Tag>Ede25</b:Tag>
    <b:SourceType>Report</b:SourceType>
    <b:Guid>{56B07A3A-3697-44C8-A721-A6CEAEDF8299}</b:Guid>
    <b:Title>2025 Edelman Trust Barometer</b:Title>
    <b:Year>2025</b:Year>
    <b:Author>
      <b:Author>
        <b:NameList>
          <b:Person>
            <b:Last>Edelman</b:Last>
          </b:Person>
        </b:NameList>
      </b:Author>
    </b:Author>
    <b:Publisher>Edelman</b:Publisher>
    <b:City>Chicago</b:City>
    <b:ThesisType>Institutional report</b:ThesisType>
    <b:RefOrder>11</b:RefOrder>
  </b:Source>
  <b:Source>
    <b:Tag>Ell20</b:Tag>
    <b:SourceType>JournalArticle</b:SourceType>
    <b:Guid>{7A5EB1CD-6949-4AE2-AA23-1C5D002BFDC9}</b:Guid>
    <b:Title>Human trust in artificial intelligence: Review of empirical research</b:Title>
    <b:Year>2020</b:Year>
    <b:Author>
      <b:Author>
        <b:NameList>
          <b:Person>
            <b:Last>Glikson</b:Last>
            <b:First>Ella</b:First>
          </b:Person>
          <b:Person>
            <b:Last>Woolley</b:Last>
            <b:First>Anita</b:First>
            <b:Middle>Williams</b:Middle>
          </b:Person>
        </b:NameList>
      </b:Author>
    </b:Author>
    <b:JournalName>Academy of Management Annals</b:JournalName>
    <b:Pages>627–660</b:Pages>
    <b:Volume>14</b:Volume>
    <b:Issue>2</b:Issue>
    <b:RefOrder>12</b:RefOrder>
  </b:Source>
  <b:Source>
    <b:Tag>Int26</b:Tag>
    <b:SourceType>Report</b:SourceType>
    <b:Guid>{2EA90A55-2B57-403C-9346-95F235529548}</b:Guid>
    <b:Title>World Economic Outlook Update, January 2026: Global Economy: Steady amid Divergent Forces</b:Title>
    <b:Year>2026</b:Year>
    <b:Author>
      <b:Author>
        <b:Corporate>International Monetary Fund</b:Corporate>
      </b:Author>
    </b:Author>
    <b:Institution>International Monetary Fund</b:Institution>
    <b:Publisher>International Monetary Fund</b:Publisher>
    <b:City>Washington, DC</b:City>
    <b:ThesisType>Report</b:ThesisType>
    <b:RefOrder>13</b:RefOrder>
  </b:Source>
  <b:Source>
    <b:Tag>OEC24</b:Tag>
    <b:SourceType>Report</b:SourceType>
    <b:Guid>{1D1F3CA9-251E-4389-8EA2-F8C9EF90CA7C}</b:Guid>
    <b:Author>
      <b:Author>
        <b:Corporate>OECO</b:Corporate>
      </b:Author>
    </b:Author>
    <b:Title>OECD Digital Economy Outlook 2024 (Volume 1): Embracing the Technology Frontier</b:Title>
    <b:Year>2024c</b:Year>
    <b:Institution>OECO</b:Institution>
    <b:Publisher>OECD Publishing</b:Publisher>
    <b:City>Paris</b:City>
    <b:ThesisType>Report</b:ThesisType>
    <b:RefOrder>14</b:RefOrder>
  </b:Source>
  <b:Source>
    <b:Tag>Ban261</b:Tag>
    <b:SourceType>Report</b:SourceType>
    <b:Guid>{84178BE0-45FA-40E8-A027-C86940BFF4DA}</b:Guid>
    <b:Author>
      <b:Author>
        <b:Corporate>Bank of England</b:Corporate>
      </b:Author>
    </b:Author>
    <b:Title>Bank Rate maintained at 3.75% - March 2026 Monetary Policy Summary and Minutes</b:Title>
    <b:Year>2026a</b:Year>
    <b:Publisher>Bank of England</b:Publisher>
    <b:City>London</b:City>
    <b:ThesisType>Institutional report</b:ThesisType>
    <b:RefOrder>15</b:RefOrder>
  </b:Source>
  <b:Source>
    <b:Tag>Ban6b</b:Tag>
    <b:SourceType>InternetSite</b:SourceType>
    <b:Guid>{47303D5C-624C-4F5B-8749-6AC05F5F5B15}</b:Guid>
    <b:Author>
      <b:Author>
        <b:Corporate>Bank of England</b:Corporate>
      </b:Author>
    </b:Author>
    <b:Title>Interest rates and Bank Rate: our latest decision</b:Title>
    <b:Year>2026b</b:Year>
    <b:Publisher>Bank of England</b:Publisher>
    <b:City>London</b:City>
    <b:YearAccessed>2026</b:YearAccessed>
    <b:MonthAccessed>April</b:MonthAccessed>
    <b:DayAccessed>15</b:DayAccessed>
    <b:URL>https://www.bankofengland.co.uk/monetary-policy/the-interest-rate-bank-rate</b:URL>
    <b:RefOrder>16</b:RefOrder>
  </b:Source>
  <b:Source>
    <b:Tag>ECB26</b:Tag>
    <b:SourceType>InternetSite</b:SourceType>
    <b:Guid>{ACD658DC-137E-4E0A-A6AF-7A9020D16272}</b:Guid>
    <b:Author>
      <b:Author>
        <b:Corporate>ECB</b:Corporate>
      </b:Author>
    </b:Author>
    <b:Title>Monetary policy decisions</b:Title>
    <b:Year>2026</b:Year>
    <b:YearAccessed>2026</b:YearAccessed>
    <b:MonthAccessed>April</b:MonthAccessed>
    <b:DayAccessed>15</b:DayAccessed>
    <b:URL>https://www.ecb.europa.eu/press/pr/date/2026/html/ecb.mp260319~3057739775.en.html</b:URL>
    <b:RefOrder>17</b:RefOrder>
  </b:Source>
  <b:Source>
    <b:Tag>plc5a</b:Tag>
    <b:SourceType>InternetSite</b:SourceType>
    <b:Guid>{EB807121-786B-48F7-90E4-8591491B5E9D}</b:Guid>
    <b:Author>
      <b:Author>
        <b:Corporate>HSBC Holding plc</b:Corporate>
      </b:Author>
    </b:Author>
    <b:Title>Annual Report and Accounts 2025</b:Title>
    <b:Year>2025a</b:Year>
    <b:City>London</b:City>
    <b:YearAccessed>2026</b:YearAccessed>
    <b:MonthAccessed>April</b:MonthAccessed>
    <b:DayAccessed>15</b:DayAccessed>
    <b:URL>https://www.hsbc.com/investors/results-and-announcements/annual-report</b:URL>
    <b:RefOrder>3</b:RefOrder>
  </b:Source>
  <b:Source>
    <b:Tag>HSB5b</b:Tag>
    <b:SourceType>InternetSite</b:SourceType>
    <b:Guid>{2DE598AB-B733-4477-A209-11E0F449DDD4}</b:Guid>
    <b:Author>
      <b:Author>
        <b:Corporate>HSBC Holding plc</b:Corporate>
      </b:Author>
    </b:Author>
    <b:Title>HSBC and Mistral AI join forces to accelerate AI adoption across global bank</b:Title>
    <b:Year>2025b</b:Year>
    <b:YearAccessed>2026</b:YearAccessed>
    <b:MonthAccessed>April</b:MonthAccessed>
    <b:DayAccessed>15</b:DayAccessed>
    <b:URL>https://www.hsbc.com/news-and-views/news/media-releases/2025/hsbc-and-mistral-ai-join-forces-to-accelerate-ai-adoption-across-global-bank</b:URL>
    <b:RefOrder>6</b:RefOrder>
  </b:Source>
  <b:Source>
    <b:Tag>HSB261</b:Tag>
    <b:SourceType>InternetSite</b:SourceType>
    <b:Guid>{4FA6F330-95D5-4B80-AE14-11DCBF652A00}</b:Guid>
    <b:Author>
      <b:Author>
        <b:Corporate>HSBC Holding plc</b:Corporate>
      </b:Author>
    </b:Author>
    <b:Title>HSBC announces David Rice as its first Chief AI Officer</b:Title>
    <b:Year>2026</b:Year>
    <b:YearAccessed>2026a</b:YearAccessed>
    <b:MonthAccessed>April</b:MonthAccessed>
    <b:DayAccessed>15</b:DayAccessed>
    <b:URL>https://www.hsbc.com/news-and-views/news/media-releases/2026/david-rice-announced-as-chief-ai-officer</b:URL>
    <b:RefOrder>7</b:RefOrder>
  </b:Source>
  <b:Source>
    <b:Tag>Reu6a</b:Tag>
    <b:SourceType>InternetSite</b:SourceType>
    <b:Guid>{40060469-AD73-41CF-91B6-6ED14228D808}</b:Guid>
    <b:Author>
      <b:Author>
        <b:Corporate>Reuters</b:Corporate>
      </b:Author>
    </b:Author>
    <b:Title>HSBC appoints first chief AI officer as it seeks cost cuts</b:Title>
    <b:Year>2026a</b:Year>
    <b:YearAccessed>2026</b:YearAccessed>
    <b:MonthAccessed>April</b:MonthAccessed>
    <b:DayAccessed>15</b:DayAccessed>
    <b:URL>https://www.reuters.com/business/finance/hsbc-appoints-david-rice-first-chief-ai-officer-2026-03-23/</b:URL>
    <b:RefOrder>8</b:RefOrder>
  </b:Source>
  <b:Source>
    <b:Tag>Jay91</b:Tag>
    <b:SourceType>JournalArticle</b:SourceType>
    <b:Guid>{D1386205-8F52-4FA5-949A-9F075621BAF1}</b:Guid>
    <b:Title>Firm Resources and Sustained Competitive Advantage</b:Title>
    <b:Year>1991</b:Year>
    <b:Author>
      <b:Author>
        <b:NameList>
          <b:Person>
            <b:Last>Barney</b:Last>
            <b:First>Jay</b:First>
          </b:Person>
        </b:NameList>
      </b:Author>
    </b:Author>
    <b:JournalName>Journal of Management</b:JournalName>
    <b:Pages>99-120</b:Pages>
    <b:Volume>17</b:Volume>
    <b:Issue>1</b:Issue>
    <b:RefOrder>18</b:RefOrder>
  </b:Source>
  <b:Source>
    <b:Tag>McK25</b:Tag>
    <b:SourceType>Report</b:SourceType>
    <b:Guid>{721CD4B0-DD43-44A9-A49A-13EC1D3F8BC7}</b:Guid>
    <b:Author>
      <b:Author>
        <b:Corporate>McKinsey &amp; Company</b:Corporate>
      </b:Author>
    </b:Author>
    <b:Title>The state of AI in 2025: Agents, innovation, and transformation</b:Title>
    <b:Year>2025</b:Year>
    <b:Publisher>McKinsey &amp; Company</b:Publisher>
    <b:City>New York</b:City>
    <b:ThesisType>Survey report</b:ThesisType>
    <b:RefOrder>19</b:RefOrder>
  </b:Source>
  <b:Source>
    <b:Tag>Wor25</b:Tag>
    <b:SourceType>Report</b:SourceType>
    <b:Guid>{E74BB990-D519-4EC6-9D41-01B4400B786E}</b:Guid>
    <b:Author>
      <b:Author>
        <b:Corporate>World Economic Forum</b:Corporate>
      </b:Author>
    </b:Author>
    <b:Title>Global Risks Report 2025</b:Title>
    <b:Year>2025</b:Year>
    <b:Publisher>World Economic Forum</b:Publisher>
    <b:City>Geneva</b:City>
    <b:ThesisType>Institutional report</b:ThesisType>
    <b:RefOrder>20</b:RefOrder>
  </b:Source>
  <b:Source>
    <b:Tag>OEC4a</b:Tag>
    <b:SourceType>Report</b:SourceType>
    <b:Guid>{36E7CF41-6C69-48F5-8EAA-2667635B2579}</b:Guid>
    <b:Author>
      <b:Author>
        <b:Corporate>OECD</b:Corporate>
      </b:Author>
    </b:Author>
    <b:Title>AI, data governance and privacy: Synergies and areas of international co-operation</b:Title>
    <b:Year>2024a</b:Year>
    <b:Publisher>OECD Publishing</b:Publisher>
    <b:City>Paris</b:City>
    <b:RefOrder>21</b:RefOrder>
  </b:Source>
  <b:Source>
    <b:Tag>Ren19</b:Tag>
    <b:SourceType>JournalArticle</b:SourceType>
    <b:Guid>{20062A5A-EEA0-40B7-A973-EF7DFFB20CA6}</b:Guid>
    <b:Title>Data governance: A conceptual framework, structured review, and research agenda</b:Title>
    <b:Year>2019</b:Year>
    <b:Author>
      <b:Author>
        <b:NameList>
          <b:Person>
            <b:Last>Abraham</b:Last>
            <b:First>Rene</b:First>
          </b:Person>
          <b:Person>
            <b:Last>Schneider</b:Last>
            <b:First>Johannes</b:First>
          </b:Person>
          <b:Person>
            <b:Last>Brocke</b:Last>
            <b:First>Jan</b:First>
            <b:Middle>vom</b:Middle>
          </b:Person>
        </b:NameList>
      </b:Author>
    </b:Author>
    <b:JournalName>International Journal of Information Management</b:JournalName>
    <b:Pages>424–438</b:Pages>
    <b:Volume>49</b:Volume>
    <b:RefOrder>22</b:RefOrder>
  </b:Source>
  <b:Source>
    <b:Tag>ICO26</b:Tag>
    <b:SourceType>InternetSite</b:SourceType>
    <b:Guid>{7796E748-69F9-4FE8-B33B-FE33A652EE1C}</b:Guid>
    <b:Author>
      <b:Author>
        <b:Corporate>ICO</b:Corporate>
      </b:Author>
    </b:Author>
    <b:Title>Rights related to automated decision making including profiling</b:Title>
    <b:YearAccessed>2026</b:YearAccessed>
    <b:MonthAccessed>April</b:MonthAccessed>
    <b:DayAccessed>15</b:DayAccessed>
    <b:URL>https://ico.org.uk/for-organisations/uk-gdpr-guidance-and-resources/individual-rights/individual-rights/rights-related-to-automated-decision-making-including-profiling/</b:URL>
    <b:RefOrder>23</b:RefOrder>
  </b:Source>
  <b:Source>
    <b:Tag>ICO261</b:Tag>
    <b:SourceType>InternetSite</b:SourceType>
    <b:Guid>{0A6CCC74-DB5C-4744-8CA6-6CB4AE37D8AA}</b:Guid>
    <b:Author>
      <b:Author>
        <b:Corporate>ICO</b:Corporate>
      </b:Author>
    </b:Author>
    <b:Title>ICO consultation on the draft guidance about automated decision-making, including profiling</b:Title>
    <b:Year>2026</b:Year>
    <b:YearAccessed>2026</b:YearAccessed>
    <b:MonthAccessed>April</b:MonthAccessed>
    <b:DayAccessed>15</b:DayAccessed>
    <b:URL>https://ico.org.uk/about-the-ico/ico-and-stakeholder-consultations/2026/03/ico-consultation-on-the-draft-guidance-about-automated-decision-making-including-profiling/</b:URL>
    <b:RefOrder>24</b:RefOrder>
  </b:Source>
  <b:Source>
    <b:Tag>UKG25</b:Tag>
    <b:SourceType>InternetSite</b:SourceType>
    <b:Guid>{61A1C7A0-55E6-40DD-97A0-E63B58F6594F}</b:Guid>
    <b:Author>
      <b:Author>
        <b:Corporate>UK Government</b:Corporate>
      </b:Author>
    </b:Author>
    <b:Title>Data (Use and Access) Act 2025: data protection and privacy changes</b:Title>
    <b:Year>2025</b:Year>
    <b:YearAccessed>2026</b:YearAccessed>
    <b:MonthAccessed>April</b:MonthAccessed>
    <b:DayAccessed>15</b:DayAccessed>
    <b:URL>https://www.gov.uk/guidance/data-use-and-access-act-2025-data-protection-and-privacy-changes</b:URL>
    <b:RefOrder>25</b:RefOrder>
  </b:Source>
  <b:Source>
    <b:Tag>Nat23</b:Tag>
    <b:SourceType>Report</b:SourceType>
    <b:Guid>{0E3B459F-4A6D-4C95-A0AB-F358008FD956}</b:Guid>
    <b:Author>
      <b:Author>
        <b:Corporate>National Institute of Standards and Technology</b:Corporate>
      </b:Author>
    </b:Author>
    <b:Title>Artificial Intelligence Risk Management Framework (AI RMF 1.0)</b:Title>
    <b:Year>2023</b:Year>
    <b:Publisher>National Institute of Standards and Technology / NIST</b:Publisher>
    <b:City>Gaithersburg, MD</b:City>
    <b:ThesisType>Technical Report</b:ThesisType>
    <b:RefOrder>26</b:RefOrder>
  </b:Source>
  <b:Source>
    <b:Tag>Reu252</b:Tag>
    <b:SourceType>InternetSite</b:SourceType>
    <b:Guid>{862632E7-AEB2-43E8-8689-517FB0B6F562}</b:Guid>
    <b:Title>HSBC taps French start-up Mistral to supercharge generative-AI rollout</b:Title>
    <b:Year>2025</b:Year>
    <b:YearAccessed>2026</b:YearAccessed>
    <b:MonthAccessed>April</b:MonthAccessed>
    <b:DayAccessed>15</b:DayAccessed>
    <b:URL>https://www.reuters.com/business/finance/hsbc-taps-french-start-up-mistral-supercharge-generative-ai-rollout-2025-12-01/</b:URL>
    <b:Author>
      <b:Author>
        <b:Corporate>Reuters</b:Corporate>
      </b:Author>
    </b:Author>
    <b:RefOrder>27</b:RefOrder>
  </b:Source>
  <b:Source>
    <b:Tag>OEC6b</b:Tag>
    <b:SourceType>InternetSite</b:SourceType>
    <b:Guid>{44671291-0257-4F8A-892B-CFB089D78D08}</b:Guid>
    <b:Author>
      <b:Author>
        <b:Corporate>OECD</b:Corporate>
      </b:Author>
    </b:Author>
    <b:Title>AI in finance: Balancing innovation and stability</b:Title>
    <b:Year>2026b</b:Year>
    <b:YearAccessed>2026</b:YearAccessed>
    <b:MonthAccessed>April</b:MonthAccessed>
    <b:DayAccessed>15</b:DayAccessed>
    <b:URL>https://oecd.ai/en/wonk/ai-in-finance-balancing-innovation-and-stability</b:URL>
    <b:RefOrder>28</b:RefOrder>
  </b:Source>
  <b:Source>
    <b:Tag>Luc181</b:Tag>
    <b:SourceType>JournalArticle</b:SourceType>
    <b:Guid>{38339488-8EC5-4E47-86A8-AE323A8F88D0}</b:Guid>
    <b:Title>AI4People - An ethical framework for a good AI society: opportunities, risks, principles, and recommendations</b:Title>
    <b:Year>2018</b:Year>
    <b:Author>
      <b:Author>
        <b:NameList>
          <b:Person>
            <b:Last>Floridi</b:Last>
            <b:First>Luciano</b:First>
          </b:Person>
          <b:Person>
            <b:Last>Cowls</b:Last>
            <b:First>Josh</b:First>
          </b:Person>
          <b:Person>
            <b:Last>Beltrametti</b:Last>
            <b:First>Monica</b:First>
          </b:Person>
          <b:Person>
            <b:Last>Chatila</b:Last>
            <b:First>Raja</b:First>
          </b:Person>
          <b:Person>
            <b:Last>Chazerand</b:Last>
            <b:First>Patrice</b:First>
          </b:Person>
          <b:Person>
            <b:Last>Dignum</b:Last>
            <b:First>Virginia</b:First>
          </b:Person>
          <b:Person>
            <b:Last>Lütge</b:Last>
            <b:First>Christoph</b:First>
          </b:Person>
          <b:Person>
            <b:Last>Madelin</b:Last>
            <b:First>Robert</b:First>
          </b:Person>
          <b:Person>
            <b:Last>Pagallo</b:Last>
            <b:First>Ugo</b:First>
          </b:Person>
          <b:Person>
            <b:Last>Rossi</b:Last>
            <b:First>Francesca</b:First>
          </b:Person>
          <b:Person>
            <b:Last>Schafer</b:Last>
            <b:First>Burkhard</b:First>
          </b:Person>
          <b:Person>
            <b:Last>Valcke</b:Last>
            <b:First>Peggy</b:First>
          </b:Person>
          <b:Person>
            <b:Last>Vayena</b:Last>
            <b:First>Effy</b:First>
          </b:Person>
        </b:NameList>
      </b:Author>
    </b:Author>
    <b:JournalName>Minds and Machines</b:JournalName>
    <b:Pages>689–707</b:Pages>
    <b:Volume>28</b:Volume>
    <b:Issue>4</b:Issue>
    <b:RefOrder>29</b:RefOrder>
  </b:Source>
  <b:Source>
    <b:Tag>Ann19</b:Tag>
    <b:SourceType>JournalArticle</b:SourceType>
    <b:Guid>{62CAF2FA-9788-4E56-A583-C46519BB197B}</b:Guid>
    <b:Author>
      <b:Author>
        <b:NameList>
          <b:Person>
            <b:Last>Jobin</b:Last>
            <b:First>Anna</b:First>
          </b:Person>
          <b:Person>
            <b:Last>Ienca</b:Last>
            <b:First>Marcello</b:First>
          </b:Person>
          <b:Person>
            <b:Last>Vayena</b:Last>
            <b:First>Effy</b:First>
          </b:Person>
        </b:NameList>
      </b:Author>
    </b:Author>
    <b:Title>The global landscape of AI ethics guidelines</b:Title>
    <b:JournalName>Nature Machine Intelligence</b:JournalName>
    <b:Year>2019</b:Year>
    <b:Pages>389–399</b:Pages>
    <b:Volume>1</b:Volume>
    <b:Issue>9</b:Issue>
    <b:RefOrder>30</b:RefOrder>
  </b:Source>
  <b:Source>
    <b:Tag>Bre19</b:Tag>
    <b:SourceType>JournalArticle</b:SourceType>
    <b:Guid>{C8D90E8D-9DBC-4EEE-BC4E-FDEE79F01F96}</b:Guid>
    <b:Author>
      <b:Author>
        <b:NameList>
          <b:Person>
            <b:Last>Mittelstadt</b:Last>
            <b:First>Brent</b:First>
            <b:Middle>Daniel</b:Middle>
          </b:Person>
        </b:NameList>
      </b:Author>
    </b:Author>
    <b:Title>Principles alone cannot guarantee ethical AI</b:Title>
    <b:JournalName>Nature Machine Intelligence</b:JournalName>
    <b:Year>2019</b:Year>
    <b:Pages>501–507</b:Pages>
    <b:Volume>1</b:Volume>
    <b:Issue>11</b:Issue>
    <b:RefOrder>31</b:RefOrder>
  </b:Source>
  <b:Source>
    <b:Tag>REd84</b:Tag>
    <b:SourceType>Book</b:SourceType>
    <b:Guid>{65005154-9F02-4C06-B645-E0E28C0746E4}</b:Guid>
    <b:Title>Strategic Management: A Stakeholder Approach</b:Title>
    <b:Year>1984</b:Year>
    <b:Author>
      <b:Author>
        <b:NameList>
          <b:Person>
            <b:Last>Freeman</b:Last>
            <b:First>R.</b:First>
            <b:Middle>Edward</b:Middle>
          </b:Person>
        </b:NameList>
      </b:Author>
    </b:Author>
    <b:City>Boston, MA</b:City>
    <b:Publisher>Pitman</b:Publisher>
    <b:RefOrder>33</b:RefOrder>
  </b:Source>
  <b:Source>
    <b:Tag>Fin261</b:Tag>
    <b:SourceType>InternetSite</b:SourceType>
    <b:Guid>{8C0B9425-97E3-421B-B579-C40346B6445F}</b:Guid>
    <b:Title>Review into the long-term impact of AI on retail financial services (The Mills Review)</b:Title>
    <b:Year>2026</b:Year>
    <b:Author>
      <b:Author>
        <b:Corporate>Financial Conduct Authority</b:Corporate>
      </b:Author>
    </b:Author>
    <b:YearAccessed>2026a</b:YearAccessed>
    <b:MonthAccessed>April</b:MonthAccessed>
    <b:DayAccessed>16</b:DayAccessed>
    <b:URL>https://www.fca.org.uk/publications/calls-input/review-long-term-impact-ai-retail-financial-services-mills-review</b:URL>
    <b:RefOrder>32</b:RefOrder>
  </b:Source>
  <b:Source>
    <b:Tag>Reu18</b:Tag>
    <b:SourceType>JournalArticle</b:SourceType>
    <b:Guid>{F0CD0547-4E19-4F7C-8DE1-0CA8038CB12F}</b:Guid>
    <b:Title>Fairness in Machine Learning: Lessons from Political Philosophy</b:Title>
    <b:Year>2018</b:Year>
    <b:Author>
      <b:Author>
        <b:NameList>
          <b:Person>
            <b:Last>Binns</b:Last>
            <b:First>Reuben</b:First>
          </b:Person>
        </b:NameList>
      </b:Author>
    </b:Author>
    <b:JournalName>Proceedings of the 1st Conference on Fairness, Accountability and Transparency</b:JournalName>
    <b:Pages>149–159</b:Pages>
    <b:Volume>81</b:Volume>
    <b:RefOrder>34</b:RefOrder>
  </b:Source>
  <b:Source>
    <b:Tag>Aru20</b:Tag>
    <b:SourceType>JournalArticle</b:SourceType>
    <b:Guid>{3250879D-540F-4BE5-BED7-D766166914DE}</b:Guid>
    <b:Author>
      <b:Author>
        <b:NameList>
          <b:Person>
            <b:Last>Rai</b:Last>
            <b:First>Arun</b:First>
          </b:Person>
        </b:NameList>
      </b:Author>
    </b:Author>
    <b:Title>Explainable AI: from black box to glass box</b:Title>
    <b:JournalName>Journal of the Academy of Marketing Science</b:JournalName>
    <b:Year>2020</b:Year>
    <b:Pages>137–141</b:Pages>
    <b:Volume>48</b:Volume>
    <b:Issue>1</b:Issue>
    <b:RefOrder>35</b:RefOrder>
  </b:Source>
  <b:Source>
    <b:Tag>And19</b:Tag>
    <b:SourceType>JournalArticle</b:SourceType>
    <b:Guid>{B8FCC84C-C3EF-4C01-AD44-9A0D6B3C2702}</b:Guid>
    <b:Author>
      <b:Author>
        <b:NameList>
          <b:Person>
            <b:Last>Selbst</b:Last>
            <b:First>Andrew</b:First>
            <b:Middle>D.</b:Middle>
          </b:Person>
          <b:Person>
            <b:Last>boyd</b:Last>
            <b:First>danah</b:First>
          </b:Person>
          <b:Person>
            <b:Last>Friedler</b:Last>
            <b:First>Sorelle</b:First>
            <b:Middle>A.</b:Middle>
          </b:Person>
          <b:Person>
            <b:Last>Venkatasubramanian</b:Last>
            <b:First>Suresh</b:First>
          </b:Person>
          <b:Person>
            <b:Last>Vertesi</b:Last>
            <b:First>Janet</b:First>
          </b:Person>
        </b:NameList>
      </b:Author>
    </b:Author>
    <b:Title>Fairness and abstraction in sociotechnical systems</b:Title>
    <b:JournalName>Proceedings of the 2019 Conference on Fairness, Accountability, and Transparency</b:JournalName>
    <b:Year>2019</b:Year>
    <b:Pages>59–68</b:Pages>
    <b:RefOrder>36</b:RefOrder>
  </b:Source>
  <b:Source>
    <b:Tag>Ins24</b:Tag>
    <b:SourceType>InternetSite</b:SourceType>
    <b:Guid>{FFDF02DE-4B6B-4F64-A76D-58D314010B03}</b:Guid>
    <b:Author>
      <b:Author>
        <b:Corporate>Institute of Internal Auditors</b:Corporate>
      </b:Author>
    </b:Author>
    <b:Title>The IIA’s Three Lines Model: An update of the Three Lines of Defense</b:Title>
    <b:Year>2024</b:Year>
    <b:YearAccessed>2026</b:YearAccessed>
    <b:MonthAccessed>April</b:MonthAccessed>
    <b:DayAccessed>16</b:DayAccessed>
    <b:URL>https://www.theiia.org/en/content/position-papers/2020/the-iias-three-lines-model-an-update-of-the-three-lines-of-defense/</b:URL>
    <b:RefOrder>37</b:RefOrder>
  </b:Source>
  <b:Source>
    <b:Tag>OEC26</b:Tag>
    <b:SourceType>InternetSite</b:SourceType>
    <b:Guid>{4D24F28B-9EC7-4434-BD18-050476E8F218}</b:Guid>
    <b:Author>
      <b:Author>
        <b:Corporate>OECD</b:Corporate>
      </b:Author>
    </b:Author>
    <b:Title>OECD Due Diligence Guidance for Responsible AI</b:Title>
    <b:Year>2026c</b:Year>
    <b:YearAccessed>2026</b:YearAccessed>
    <b:MonthAccessed>April</b:MonthAccessed>
    <b:DayAccessed>16</b:DayAccessed>
    <b:URL>https://www.oecd.org/en/publications/oecd-due-diligence-guidance-for-responsible-ai_41671712-en.html</b:URL>
    <b:RefOrder>38</b:RefOrder>
  </b:Source>
  <b:Source>
    <b:Tag>Nat4a</b:Tag>
    <b:SourceType>InternetSite</b:SourceType>
    <b:Guid>{3BB43B72-6A0A-41FE-AD76-8303C5066ADC}</b:Guid>
    <b:Author>
      <b:Author>
        <b:Corporate>National Cyber Security Centre</b:Corporate>
      </b:Author>
    </b:Author>
    <b:Title>AI and cyber security: what you need to know</b:Title>
    <b:Year>2024a</b:Year>
    <b:YearAccessed>2026</b:YearAccessed>
    <b:MonthAccessed>April</b:MonthAccessed>
    <b:DayAccessed>16</b:DayAccessed>
    <b:URL>https://www.ncsc.gov.uk/guidance/ai-and-cyber-security-what-you-need-to-know</b:URL>
    <b:RefOrder>39</b:RefOrder>
  </b:Source>
  <b:Source>
    <b:Tag>Nat251</b:Tag>
    <b:SourceType>InternetSite</b:SourceType>
    <b:Guid>{B19260A9-45CF-446A-8C97-AECD57008391}</b:Guid>
    <b:Author>
      <b:Author>
        <b:Corporate>National Cyber Security Centre</b:Corporate>
      </b:Author>
    </b:Author>
    <b:Title>Impact of AI on cyber threat from now to 2027</b:Title>
    <b:Year>2025</b:Year>
    <b:YearAccessed>2026</b:YearAccessed>
    <b:MonthAccessed>April</b:MonthAccessed>
    <b:DayAccessed>16</b:DayAccessed>
    <b:URL>https://www.ncsc.gov.uk/report/impact-ai-cyber-threat-now-2027</b:URL>
    <b:RefOrder>40</b:RefOrder>
  </b:Source>
  <b:Source>
    <b:Tag>Tre26</b:Tag>
    <b:SourceType>InternetSite</b:SourceType>
    <b:Guid>{930739C3-F229-4C51-AEA0-5F1E8ED3CA24}</b:Guid>
    <b:Author>
      <b:Author>
        <b:Corporate>Treasury Committee</b:Corporate>
      </b:Author>
    </b:Author>
    <b:Title>Artificial intelligence in financial services</b:Title>
    <b:Year>2026</b:Year>
    <b:YearAccessed>2026</b:YearAccessed>
    <b:MonthAccessed>April</b:MonthAccessed>
    <b:DayAccessed>16</b:DayAccessed>
    <b:URL>https://publications.parliament.uk/pa/cm5901/cmselect/cmtreasy/684/report.html</b:URL>
    <b:RefOrder>41</b:RefOrder>
  </b:Source>
  <b:Source>
    <b:Tag>UKG24</b:Tag>
    <b:SourceType>InternetSite</b:SourceType>
    <b:Guid>{375447AA-A2A0-4886-9220-372D02B1ED5A}</b:Guid>
    <b:Author>
      <b:Author>
        <b:Corporate>UK Government</b:Corporate>
      </b:Author>
    </b:Author>
    <b:Title>A pro-innovation approach to AI regulation: government response</b:Title>
    <b:Year>2024</b:Year>
    <b:YearAccessed>2026</b:YearAccessed>
    <b:MonthAccessed>April</b:MonthAccessed>
    <b:DayAccessed>16</b:DayAccessed>
    <b:URL>https://www.gov.uk/government/consultations/ai-regulation-a-pro-innovation-approach-policy-proposals/outcome/a-pro-innovation-approach-to-ai-regulation-government-response</b:URL>
    <b:RefOrder>42</b:RefOrder>
  </b:Source>
  <b:Source>
    <b:Tag>Fin25</b:Tag>
    <b:SourceType>InternetSite</b:SourceType>
    <b:Guid>{E87B2980-34C9-494B-9775-24DCA648C2A7}</b:Guid>
    <b:Author>
      <b:Author>
        <b:Corporate>Financial Conduct Authority</b:Corporate>
      </b:Author>
    </b:Author>
    <b:Title>FCA helps firms to test AI safely</b:Title>
    <b:Year>2025</b:Year>
    <b:YearAccessed>2026</b:YearAccessed>
    <b:MonthAccessed>April</b:MonthAccessed>
    <b:DayAccessed>16</b:DayAccessed>
    <b:URL>https://www.fca.org.uk/news/press-releases/fca-helps-firms-test-ai-safely</b:URL>
    <b:RefOrder>43</b:RefOrder>
  </b:Source>
  <b:Source>
    <b:Tag>Reu6b</b:Tag>
    <b:SourceType>InternetSite</b:SourceType>
    <b:Guid>{2A6149A4-2349-44AC-92E1-21FEB25B0115}</b:Guid>
    <b:Author>
      <b:Author>
        <b:Corporate>Reuters</b:Corporate>
      </b:Author>
    </b:Author>
    <b:Title>Britain needs 'AI stress tests' for financial services, lawmakers say</b:Title>
    <b:Year>2026b</b:Year>
    <b:YearAccessed>2026</b:YearAccessed>
    <b:MonthAccessed>April</b:MonthAccessed>
    <b:DayAccessed>17</b:DayAccessed>
    <b:URL>https://www.reuters.com/sustainability/boards-policy-regulation/britain-needs-ai-stress-tests-financial-services-lawmakers-say-2026-01-20/</b:URL>
    <b:RefOrder>44</b:RefOrder>
  </b:Source>
  <b:Source>
    <b:Tag>Eur242</b:Tag>
    <b:SourceType>InternetSite</b:SourceType>
    <b:Guid>{7ED55C8F-33CA-49F2-8966-80A48A44766E}</b:Guid>
    <b:Title>Regulation (EU) 2024/1689 of the European Parliament and of the Council of 13 June 2024 laying down harmonised rules on artificial intelligence and amending Regulations (EC) No 300/2008, (EU) No 167/2013, (EU) No 168/2013, (EU) 2018/858, (EU) 2018/1139 an</b:Title>
    <b:Year>2024</b:Year>
    <b:YearAccessed>2026</b:YearAccessed>
    <b:MonthAccessed>April</b:MonthAccessed>
    <b:DayAccessed>21</b:DayAccessed>
    <b:URL>https://eur-lex.europa.eu/eli/reg/2024/1689/oj/eng</b:URL>
    <b:Author>
      <b:Author>
        <b:Corporate>European Union</b:Corporate>
      </b:Author>
    </b:Author>
    <b:RefOrder>45</b:RefOrder>
  </b:Source>
  <b:Source>
    <b:Tag>Eur6a</b:Tag>
    <b:SourceType>InternetSite</b:SourceType>
    <b:Guid>{1243A304-41FE-4AF5-8921-1CC80A6E4D5E}</b:Guid>
    <b:Author>
      <b:Author>
        <b:Corporate>European Commission</b:Corporate>
      </b:Author>
    </b:Author>
    <b:Title>Timeline for the Implementation of the EU AI Act</b:Title>
    <b:Year>2026a</b:Year>
    <b:YearAccessed>2026</b:YearAccessed>
    <b:MonthAccessed>April</b:MonthAccessed>
    <b:DayAccessed>21</b:DayAccessed>
    <b:URL>https://ai-act-service-desk.ec.europa.eu/en/ai-act/timeline/timeline-implementation-eu-ai-act</b:URL>
    <b:RefOrder>46</b:RefOrder>
  </b:Source>
  <b:Source>
    <b:Tag>Eur25</b:Tag>
    <b:SourceType>InternetSite</b:SourceType>
    <b:Guid>{FEF59CE9-E18E-431A-B852-AB98DB6175C4}</b:Guid>
    <b:Author>
      <b:Author>
        <b:Corporate>European Banking Authority</b:Corporate>
      </b:Author>
    </b:Author>
    <b:Title>AI Act: implications for the EU banking and payments sector</b:Title>
    <b:Year>2025</b:Year>
    <b:YearAccessed>2026</b:YearAccessed>
    <b:MonthAccessed>April</b:MonthAccessed>
    <b:DayAccessed>21</b:DayAccessed>
    <b:URL>https://www.eba.europa.eu/sites/default/files/2025-11/d8b999ce-a1d9-4964-9606-971bbc2aaf89/AI%20Act%20implications%20for%20the%20EU%20banking%20sector.pdf</b:URL>
    <b:RefOrder>47</b:RefOrder>
  </b:Source>
  <b:Source>
    <b:Tag>Eur6b</b:Tag>
    <b:SourceType>InternetSite</b:SourceType>
    <b:Guid>{90805EF2-50F2-4BC1-B43F-1B81312541DF}</b:Guid>
    <b:Author>
      <b:Author>
        <b:Corporate>European Commission</b:Corporate>
      </b:Author>
    </b:Author>
    <b:Title>What is the AI Pact?</b:Title>
    <b:Year>2026b</b:Year>
    <b:YearAccessed>2026</b:YearAccessed>
    <b:MonthAccessed>April</b:MonthAccessed>
    <b:DayAccessed>21</b:DayAccessed>
    <b:URL>https://digital-strategy.ec.europa.eu/en/policies/ai-pact</b:URL>
    <b:RefOrder>48</b:RefOrder>
  </b:Source>
  <b:Source>
    <b:Tag>Pau83</b:Tag>
    <b:SourceType>JournalArticle</b:SourceType>
    <b:Guid>{E9727B6B-3574-4613-BB04-F8A01F133D4E}</b:Guid>
    <b:Title>The iron cage revisited: Institutional isomorphism and collective rationality in organizational fields</b:Title>
    <b:Year>1983</b:Year>
    <b:Author>
      <b:Author>
        <b:NameList>
          <b:Person>
            <b:Last>DiMaggio</b:Last>
            <b:First>Paul</b:First>
            <b:Middle>J.</b:Middle>
          </b:Person>
          <b:Person>
            <b:Last>Powell</b:Last>
            <b:First>Walter</b:First>
            <b:Middle>W.</b:Middle>
          </b:Person>
        </b:NameList>
      </b:Author>
    </b:Author>
    <b:JournalName>American Sociological Review</b:JournalName>
    <b:Pages>147–160</b:Pages>
    <b:Volume>48</b:Volume>
    <b:Issue>2</b:Issue>
    <b:RefOrder>49</b:RefOrder>
  </b:Source>
  <b:Source>
    <b:Tag>Anu20</b:Tag>
    <b:SourceType>Book</b:SourceType>
    <b:Guid>{7DF0D6C7-9AB9-4941-95C5-DE17AF34676F}</b:Guid>
    <b:Title>The Brussels Effect: How the European Union Rules the World</b:Title>
    <b:Year>2020</b:Year>
    <b:Author>
      <b:Author>
        <b:NameList>
          <b:Person>
            <b:Last>Bradford</b:Last>
            <b:First>Anu</b:First>
          </b:Person>
        </b:NameList>
      </b:Author>
    </b:Author>
    <b:City>New York, NY</b:City>
    <b:Publisher>Oxford University Press</b:Publisher>
    <b:RefOrder>50</b:RefOrder>
  </b:Source>
  <b:Source>
    <b:Tag>OEC6d</b:Tag>
    <b:SourceType>InternetSite</b:SourceType>
    <b:Guid>{9D40A71F-E835-42FD-8E10-612D205C6432}</b:Guid>
    <b:Title>Supervision of artificial intelligence in finance</b:Title>
    <b:Year>2026d</b:Year>
    <b:Author>
      <b:Author>
        <b:Corporate>OECD</b:Corporate>
      </b:Author>
    </b:Author>
    <b:YearAccessed>2026</b:YearAccessed>
    <b:MonthAccessed>April</b:MonthAccessed>
    <b:DayAccessed>21</b:DayAccessed>
    <b:URL>https://www.oecd.org/en/publications/supervision-of-artificial-intelligence-in-finance_92743dc1-en.html</b:URL>
    <b:RefOrder>51</b:RefOrder>
  </b:Source>
  <b:Source>
    <b:Tag>Jay911</b:Tag>
    <b:SourceType>JournalArticle</b:SourceType>
    <b:Guid>{02D6B814-849F-4A21-97C9-AE1D7ED56D96}</b:Guid>
    <b:Title>Firm Resources and Sustained Competitive Advantage</b:Title>
    <b:Year>1991</b:Year>
    <b:Author>
      <b:Author>
        <b:NameList>
          <b:Person>
            <b:Last>Barney</b:Last>
            <b:First>Jay</b:First>
            <b:Middle>B.</b:Middle>
          </b:Person>
        </b:NameList>
      </b:Author>
    </b:Author>
    <b:JournalName>Journal of Management</b:JournalName>
    <b:Pages>99–120</b:Pages>
    <b:Volume>17</b:Volume>
    <b:Issue>1</b:Issue>
    <b:RefOrder>52</b:RefOrder>
  </b:Source>
  <b:Source>
    <b:Tag>COS17</b:Tag>
    <b:SourceType>InternetSite</b:SourceType>
    <b:Guid>{92AFE961-D694-4D81-95C5-1E255BE6AB52}</b:Guid>
    <b:Title>Enterprise Risk Management: Integrating with Strategy and Performance</b:Title>
    <b:Year>2017</b:Year>
    <b:YearAccessed>2026</b:YearAccessed>
    <b:MonthAccessed>April</b:MonthAccessed>
    <b:DayAccessed>21</b:DayAccessed>
    <b:URL>https://www.coso.org/enterprise-risk-management</b:URL>
    <b:Author>
      <b:Author>
        <b:Corporate>COSO</b:Corporate>
      </b:Author>
    </b:Author>
    <b:RefOrder>53</b:RefOrder>
  </b:Source>
  <b:Source>
    <b:Tag>Emm25</b:Tag>
    <b:SourceType>JournalArticle</b:SourceType>
    <b:Guid>{FE377277-2909-4AA2-B49B-B01BCECC42EC}</b:Guid>
    <b:Title>Responsible artificial intelligence governance: A review and research framework</b:Title>
    <b:Year>2025</b:Year>
    <b:Pages>101885</b:Pages>
    <b:Author>
      <b:Author>
        <b:NameList>
          <b:Person>
            <b:Last>Papagiannidis</b:Last>
            <b:First>Emmanouil</b:First>
          </b:Person>
          <b:Person>
            <b:Last>Mikalef</b:Last>
            <b:First>Patrick</b:First>
          </b:Person>
          <b:Person>
            <b:Last>Conboy</b:Last>
            <b:First>Kieran</b:First>
          </b:Person>
        </b:NameList>
      </b:Author>
    </b:Author>
    <b:JournalName>The Journal of Strategic Information Systems</b:JournalName>
    <b:Volume>34</b:Volume>
    <b:Issue>2</b:Issue>
    <b:RefOrder>54</b:RefOrder>
  </b:Source>
  <b:Source>
    <b:Tag>Nat231</b:Tag>
    <b:SourceType>InternetSite</b:SourceType>
    <b:Guid>{86E64ADD-80EC-452F-891A-8E09D601B9FC}</b:Guid>
    <b:Title>Artificial Intelligence Risk Management Framework (AI RMF 1.0)</b:Title>
    <b:Year>2023</b:Year>
    <b:Author>
      <b:Author>
        <b:Corporate>National Institute of Standards and Technology</b:Corporate>
      </b:Author>
    </b:Author>
    <b:YearAccessed>2026</b:YearAccessed>
    <b:MonthAccessed>April</b:MonthAccessed>
    <b:DayAccessed>21</b:DayAccessed>
    <b:URL>https://www.nist.gov/itl/ai-risk-management-framework</b:URL>
    <b:RefOrder>55</b:RefOrder>
  </b:Source>
  <b:Source>
    <b:Tag>OEC6c</b:Tag>
    <b:SourceType>InternetSite</b:SourceType>
    <b:Guid>{2000A27C-FE4D-4CEB-936D-7D5C23ADE575}</b:Guid>
    <b:Author>
      <b:Author>
        <b:Corporate>OECD</b:Corporate>
      </b:Author>
    </b:Author>
    <b:Title>OECD Due Diligence Guidance for Responsible AI</b:Title>
    <b:Year>2026c</b:Year>
    <b:YearAccessed>2026</b:YearAccessed>
    <b:MonthAccessed>April</b:MonthAccessed>
    <b:DayAccessed>21</b:DayAccessed>
    <b:URL>https://www.oecd.org/en/publications/oecd-due-diligence-guidance-for-responsible-ai_41671712-en.html</b:URL>
    <b:RefOrder>56</b:RefOrder>
  </b:Source>
  <b:Source>
    <b:Tag>Ban241</b:Tag>
    <b:SourceType>InternetSite</b:SourceType>
    <b:Guid>{603DE4EB-0CF0-4954-B71E-4AD7DD8B54EA}</b:Guid>
    <b:Author>
      <b:Author>
        <b:Corporate>Bank for International Settlements</b:Corporate>
      </b:Author>
    </b:Author>
    <b:Title>Regulating AI in the financial sector: recent developments and main challenges</b:Title>
    <b:Year>2024</b:Year>
    <b:YearAccessed>2026</b:YearAccessed>
    <b:MonthAccessed>April</b:MonthAccessed>
    <b:DayAccessed>23</b:DayAccessed>
    <b:URL>https://www.bis.org/fsi/publ/insights63.htm</b:URL>
    <b:RefOrder>57</b:RefOrder>
  </b:Source>
  <b:Source>
    <b:Tag>Eur4a</b:Tag>
    <b:SourceType>InternetSite</b:SourceType>
    <b:Guid>{56447D49-5988-4079-9578-24593998F58A}</b:Guid>
    <b:Author>
      <b:Author>
        <b:Corporate>European Central Bank</b:Corporate>
      </b:Author>
    </b:Author>
    <b:Title>The rise of artificial intelligence: benefits and risks for financial stability</b:Title>
    <b:Year>2024a</b:Year>
    <b:YearAccessed>2026</b:YearAccessed>
    <b:MonthAccessed>April</b:MonthAccessed>
    <b:DayAccessed>23</b:DayAccessed>
    <b:URL>https://www.ecb.europa.eu/press/financial-stability-publications/fsr/special/html/ecb.fsrart202405_02~58c3ce5246.en.html</b:URL>
    <b:RefOrder>58</b:RefOrder>
  </b:Source>
  <b:Source>
    <b:Tag>Fin24</b:Tag>
    <b:SourceType>InternetSite</b:SourceType>
    <b:Guid>{E481C149-AF4D-40F2-93A3-B96A86CA31AF}</b:Guid>
    <b:Author>
      <b:Author>
        <b:Corporate>Financial Stability Board</b:Corporate>
      </b:Author>
    </b:Author>
    <b:Title>The financial stability implications of artificial intelligence</b:Title>
    <b:Year>2024</b:Year>
    <b:YearAccessed>2026</b:YearAccessed>
    <b:MonthAccessed>April</b:MonthAccessed>
    <b:DayAccessed>23</b:DayAccessed>
    <b:URL>https://www.fsb.org/2024/11/the-financial-stability-implications-of-artificial-intelligence/</b:URL>
    <b:RefOrder>59</b:RefOrder>
  </b:Source>
  <b:Source>
    <b:Tag>Inf3a</b:Tag>
    <b:SourceType>InternetSite</b:SourceType>
    <b:Guid>{9755963C-A4DB-4B48-923C-BBDAEA3ECF38}</b:Guid>
    <b:Author>
      <b:Author>
        <b:Corporate>Information Commissioner’s Office</b:Corporate>
      </b:Author>
    </b:Author>
    <b:Title>What are the accountability and governance implications of AI?</b:Title>
    <b:Year>2023a</b:Year>
    <b:YearAccessed>2026</b:YearAccessed>
    <b:MonthAccessed>April</b:MonthAccessed>
    <b:DayAccessed>23</b:DayAccessed>
    <b:URL>https://ico.org.uk/for-organisations/uk-gdpr-guidance-and-resources/artificial-intelligence/guidance-on-ai-and-data-protection/what-are-the-accountability-and-governance-implications-of-ai/</b:URL>
    <b:RefOrder>60</b:RefOrder>
  </b:Source>
  <b:Source>
    <b:Tag>Ban25</b:Tag>
    <b:SourceType>InternetSite</b:SourceType>
    <b:Guid>{8D99DB4E-0871-4E6C-BF69-847B98083072}</b:Guid>
    <b:Author>
      <b:Author>
        <b:Corporate>Bank for International Settlements</b:Corporate>
      </b:Author>
    </b:Author>
    <b:Title>Governance of AI adoption in central banks</b:Title>
    <b:Year>2025</b:Year>
    <b:YearAccessed>2026</b:YearAccessed>
    <b:MonthAccessed>April</b:MonthAccessed>
    <b:DayAccessed>23</b:DayAccessed>
    <b:URL>https://www.bis.org/publ/othp90.htm</b:URL>
    <b:RefOrder>61</b:RefOrder>
  </b:Source>
  <b:Source>
    <b:Tag>Eur4b</b:Tag>
    <b:SourceType>InternetSite</b:SourceType>
    <b:Guid>{D81FB5B5-6F6D-4B74-A299-2F4A488A133F}</b:Guid>
    <b:Author>
      <b:Author>
        <b:Corporate>European Central Bank</b:Corporate>
      </b:Author>
    </b:Author>
    <b:Title>Digital innovation and banking regulation</b:Title>
    <b:Year>2024b</b:Year>
    <b:YearAccessed>2026</b:YearAccessed>
    <b:MonthAccessed>April</b:MonthAccessed>
    <b:DayAccessed>23</b:DayAccessed>
    <b:URL>https://www.ecb.europa.eu/pub/pdf/scpops/ecb.op351~c46b57f061.en.pdf</b:URL>
    <b:RefOrder>62</b:RefOrder>
  </b:Source>
  <b:Source>
    <b:Tag>Inf3b</b:Tag>
    <b:SourceType>InternetSite</b:SourceType>
    <b:Guid>{2FD2CC82-9DCF-4A53-957F-1CE709148840}</b:Guid>
    <b:Author>
      <b:Author>
        <b:Corporate>Information Commissioner’s Office</b:Corporate>
      </b:Author>
    </b:Author>
    <b:Title>Task 3: Build your system to ensure you are able to extract relevant information for a range of explanation types</b:Title>
    <b:Year>2023b</b:Year>
    <b:YearAccessed>2026</b:YearAccessed>
    <b:MonthAccessed>April</b:MonthAccessed>
    <b:DayAccessed>23</b:DayAccessed>
    <b:URL>https://ico.org.uk/for-organisations/uk-gdpr-guidance-and-resources/artificial-intelligence/explaining-decisions-made-with-artificial-intelligence/part-2-explaining-ai-in-practice/task-3-build/</b:URL>
    <b:RefOrder>63</b:RefOrder>
  </b:Source>
  <b:Source>
    <b:Tag>HSB254</b:Tag>
    <b:SourceType>InternetSite</b:SourceType>
    <b:Guid>{34564277-18B8-4AA3-951C-C79507228FE7}</b:Guid>
    <b:Author>
      <b:Author>
        <b:Corporate>HSBC</b:Corporate>
      </b:Author>
    </b:Author>
    <b:Title>Our strategy and values, Opening up a world of opportunity</b:Title>
    <b:Year> 2025</b:Year>
    <b:YearAccessed>2026</b:YearAccessed>
    <b:MonthAccessed>April</b:MonthAccessed>
    <b:DayAccessed>23</b:DayAccessed>
    <b:URL>https://www.hsbc.com/who-we-are/our-strategy-and-values</b:URL>
    <b:RefOrder>1</b:RefOrder>
  </b:Source>
  <b:Source>
    <b:Tag>Ban251</b:Tag>
    <b:SourceType>InternetSite</b:SourceType>
    <b:Guid>{BD26B63B-DE3C-4851-A6D3-AB38492F1485}</b:Guid>
    <b:Author>
      <b:Author>
        <b:Corporate>Bank of England</b:Corporate>
      </b:Author>
    </b:Author>
    <b:Title>The Bank of England’s approach to innovation in artificial intelligence, distributed ledger technology, and quantum computing</b:Title>
    <b:Year>2025</b:Year>
    <b:YearAccessed>2026</b:YearAccessed>
    <b:MonthAccessed>April</b:MonthAccessed>
    <b:DayAccessed>23</b:DayAccessed>
    <b:URL>https://www.bankofengland.co.uk/report/2025/the-boes-approach-to-innovation-in-ai-dlt-quantum-computing</b:URL>
    <b:RefOrder>5</b:RefOrder>
  </b:Source>
  <b:Source>
    <b:Tag>Ban262</b:Tag>
    <b:SourceType>InternetSite</b:SourceType>
    <b:Guid>{BDF18DE0-EB45-498E-965C-1370739677B5}</b:Guid>
    <b:Author>
      <b:Author>
        <b:Corporate>Bank of England</b:Corporate>
      </b:Author>
    </b:Author>
    <b:Title>Response to TSC inquiry report on AI in financial services</b:Title>
    <b:Year>2026</b:Year>
    <b:YearAccessed>2026</b:YearAccessed>
    <b:MonthAccessed>April</b:MonthAccessed>
    <b:DayAccessed>23</b:DayAccessed>
    <b:URL>https://www.bankofengland.co.uk/-/media/boe/files/letter/2026/response-to-tsc-inquiry-report-on-ai-in-financial-services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EA1AC6D9-92CF-4E05-A6A3-ECF8FF254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3245</TotalTime>
  <Pages>21</Pages>
  <Words>9021</Words>
  <Characters>51424</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HSBC plc Holding</vt:lpstr>
    </vt:vector>
  </TitlesOfParts>
  <Company>University of Wales Trinity Saint David</Company>
  <LinksUpToDate>false</LinksUpToDate>
  <CharactersWithSpaces>60325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HSBC plc Holding</dc:title>
  <dc:subject>Global Business Challenges (BMMB7006)                                                       Meet Sachinkumar Macwan (2510986)</dc:subject>
  <dc:creator>Marie Pitson</dc:creator>
  <cp:lastModifiedBy>MEET MACWAN</cp:lastModifiedBy>
  <cp:revision>3</cp:revision>
  <dcterms:created xsi:type="dcterms:W3CDTF">2026-04-23T16:35:00Z</dcterms:created>
  <dcterms:modified xsi:type="dcterms:W3CDTF">2026-04-26T17:33:00Z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066d0667-0320-4b3a-87f9-7cb7e7b8d704</vt:lpwstr>
  </property>
  <property fmtid="{D5CDD505-2E9C-101B-9397-08002B2CF9AE}" pid="3" name="KSOTemplateDocerSaveRecord">
    <vt:lpwstr>eyJoZGlkIjoiMzQ5MjI2YmI1OWM1MzAyNDhjOTE5NWQ2ZGZkMzRjNDgifQ==</vt:lpwstr>
  </property>
  <property fmtid="{D5CDD505-2E9C-101B-9397-08002B2CF9AE}" pid="4" name="KSOProductBuildVer">
    <vt:lpwstr>1033-12.1.0.25862</vt:lpwstr>
  </property>
  <property fmtid="{D5CDD505-2E9C-101B-9397-08002B2CF9AE}" pid="5" name="ICV">
    <vt:lpwstr>EE2CC9241A1D426F8F63817DA469A4E8_12</vt:lpwstr>
  </property>
</Properties>
</file>