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825AE" w14:textId="77777777" w:rsidR="00EA31F9" w:rsidRDefault="00EA31F9" w:rsidP="00EA31F9">
      <w:pPr>
        <w:ind w:right="1082"/>
        <w:outlineLvl w:val="0"/>
        <w:rPr>
          <w:b/>
          <w:sz w:val="22"/>
        </w:rPr>
      </w:pPr>
    </w:p>
    <w:p w14:paraId="29D42762" w14:textId="77777777" w:rsidR="00EA31F9" w:rsidRDefault="00EA31F9" w:rsidP="00EA31F9">
      <w:pPr>
        <w:ind w:right="1082"/>
        <w:outlineLvl w:val="0"/>
        <w:rPr>
          <w:b/>
          <w:sz w:val="22"/>
        </w:rPr>
      </w:pPr>
    </w:p>
    <w:p w14:paraId="13E88E85" w14:textId="5BAA282D" w:rsidR="00EA31F9" w:rsidRPr="0090099B" w:rsidRDefault="00EA31F9" w:rsidP="00EA31F9">
      <w:pPr>
        <w:ind w:right="1082"/>
        <w:outlineLvl w:val="0"/>
        <w:rPr>
          <w:b/>
          <w:sz w:val="22"/>
        </w:rPr>
      </w:pPr>
      <w:r w:rsidRPr="0090099B">
        <w:rPr>
          <w:b/>
          <w:sz w:val="22"/>
        </w:rPr>
        <w:t>Ch. 8: CULTURAL APPROPRIATION AND ARTISTIC FREEDOM</w:t>
      </w:r>
    </w:p>
    <w:p w14:paraId="5BB030E6" w14:textId="77777777" w:rsidR="00EA31F9" w:rsidRPr="0090099B" w:rsidRDefault="00EA31F9" w:rsidP="00EA31F9">
      <w:pPr>
        <w:shd w:val="clear" w:color="auto" w:fill="FFFFFF"/>
        <w:ind w:right="1082"/>
        <w:textAlignment w:val="baseline"/>
        <w:rPr>
          <w:sz w:val="22"/>
        </w:rPr>
      </w:pPr>
    </w:p>
    <w:p w14:paraId="1150C452" w14:textId="77777777" w:rsidR="00EA31F9" w:rsidRPr="0090099B" w:rsidRDefault="00EA31F9" w:rsidP="00EA31F9">
      <w:pPr>
        <w:shd w:val="clear" w:color="auto" w:fill="FFFFFF"/>
        <w:ind w:right="1082"/>
        <w:textAlignment w:val="baseline"/>
        <w:rPr>
          <w:sz w:val="22"/>
        </w:rPr>
      </w:pPr>
      <w:r w:rsidRPr="0090099B">
        <w:rPr>
          <w:sz w:val="22"/>
        </w:rPr>
        <w:t>"Hound Dog"</w:t>
      </w:r>
      <w:r w:rsidRPr="0090099B">
        <w:rPr>
          <w:color w:val="201F1E"/>
          <w:sz w:val="22"/>
          <w:szCs w:val="23"/>
        </w:rPr>
        <w:t xml:space="preserve"> was written by two white composers, Jerry Lieber and Mike Stoller, for </w:t>
      </w:r>
      <w:r w:rsidRPr="0090099B">
        <w:rPr>
          <w:sz w:val="22"/>
        </w:rPr>
        <w:t xml:space="preserve">African-American blues singer Big Mama Thornton, whose recording of it was a hit. Twenty cover versions followed before Elvis Presley's, which created a much bigger hit. Apparently, Thornton was </w:t>
      </w:r>
      <w:r w:rsidRPr="0090099B">
        <w:rPr>
          <w:color w:val="1B1B1B"/>
          <w:sz w:val="22"/>
          <w:szCs w:val="30"/>
        </w:rPr>
        <w:t>philosophical about the disparity in earnings</w:t>
      </w:r>
      <w:r w:rsidRPr="0090099B">
        <w:rPr>
          <w:sz w:val="22"/>
        </w:rPr>
        <w:t xml:space="preserve">: </w:t>
      </w:r>
    </w:p>
    <w:p w14:paraId="62882C51" w14:textId="77777777" w:rsidR="00EA31F9" w:rsidRPr="0090099B" w:rsidRDefault="00EA31F9" w:rsidP="00EA31F9">
      <w:pPr>
        <w:ind w:right="1082"/>
        <w:rPr>
          <w:sz w:val="22"/>
        </w:rPr>
      </w:pPr>
    </w:p>
    <w:p w14:paraId="1D1917EA" w14:textId="77777777" w:rsidR="00EA31F9" w:rsidRPr="0090099B" w:rsidRDefault="00EA31F9" w:rsidP="00EA31F9">
      <w:pPr>
        <w:ind w:left="720" w:right="1082"/>
        <w:rPr>
          <w:sz w:val="22"/>
        </w:rPr>
      </w:pPr>
      <w:r w:rsidRPr="0090099B">
        <w:rPr>
          <w:sz w:val="22"/>
        </w:rPr>
        <w:t>...in '77 when Elvis died, [a reporter] asked her how she felt about him having made millions and her only $100 for this song. Her comment, which was pure Winnie Mae Thornton, was "I'm still here to spend my hundred bucks".</w:t>
      </w:r>
      <w:r w:rsidRPr="0090099B">
        <w:rPr>
          <w:rStyle w:val="FootnoteReference"/>
          <w:sz w:val="22"/>
        </w:rPr>
        <w:footnoteReference w:id="1"/>
      </w:r>
    </w:p>
    <w:p w14:paraId="66B7227B" w14:textId="77777777" w:rsidR="00EA31F9" w:rsidRPr="0090099B" w:rsidRDefault="00EA31F9" w:rsidP="00EA31F9">
      <w:pPr>
        <w:ind w:right="1082"/>
        <w:rPr>
          <w:sz w:val="22"/>
        </w:rPr>
      </w:pPr>
    </w:p>
    <w:p w14:paraId="1AB2A48C" w14:textId="77777777" w:rsidR="00EA31F9" w:rsidRPr="0090099B" w:rsidRDefault="00EA31F9" w:rsidP="00EA31F9">
      <w:pPr>
        <w:ind w:right="1082"/>
        <w:outlineLvl w:val="0"/>
        <w:rPr>
          <w:color w:val="202020"/>
          <w:sz w:val="22"/>
          <w:szCs w:val="27"/>
          <w:bdr w:val="none" w:sz="0" w:space="0" w:color="auto" w:frame="1"/>
          <w:shd w:val="clear" w:color="auto" w:fill="FFFFFF"/>
        </w:rPr>
      </w:pPr>
      <w:r w:rsidRPr="0090099B">
        <w:rPr>
          <w:color w:val="121212"/>
          <w:sz w:val="22"/>
        </w:rPr>
        <w:t xml:space="preserve">The way that Presley profited from Thornton's model is what is commonly meant by cultural appropriation. Hence what I call </w:t>
      </w:r>
      <w:r w:rsidRPr="0090099B">
        <w:rPr>
          <w:i/>
          <w:color w:val="121212"/>
          <w:sz w:val="22"/>
        </w:rPr>
        <w:t xml:space="preserve">cultural appropriation critique, </w:t>
      </w:r>
      <w:r w:rsidRPr="0090099B">
        <w:rPr>
          <w:color w:val="121212"/>
          <w:sz w:val="22"/>
        </w:rPr>
        <w:t xml:space="preserve">which conflicts with </w:t>
      </w:r>
      <w:r w:rsidRPr="0090099B">
        <w:rPr>
          <w:i/>
          <w:color w:val="121212"/>
          <w:sz w:val="22"/>
        </w:rPr>
        <w:t>liberal concepts of artistic freedom</w:t>
      </w:r>
      <w:r w:rsidRPr="0090099B">
        <w:rPr>
          <w:color w:val="121212"/>
          <w:sz w:val="22"/>
        </w:rPr>
        <w:t xml:space="preserve">. The latter holds that the </w:t>
      </w:r>
      <w:r w:rsidRPr="0090099B">
        <w:rPr>
          <w:sz w:val="22"/>
        </w:rPr>
        <w:t xml:space="preserve">artist is free to take whatever they need, from wherever. Cultural appropriation critique denies this. My claim will be that </w:t>
      </w:r>
      <w:r w:rsidRPr="0090099B">
        <w:rPr>
          <w:color w:val="202020"/>
          <w:sz w:val="22"/>
          <w:szCs w:val="27"/>
          <w:bdr w:val="none" w:sz="0" w:space="0" w:color="auto" w:frame="1"/>
          <w:shd w:val="clear" w:color="auto" w:fill="FFFFFF"/>
        </w:rPr>
        <w:t>Presley as a representative of global capitalism can culturally appropriate – but as an individual, he was influenced by Thornton and did not appropriate.</w:t>
      </w:r>
    </w:p>
    <w:p w14:paraId="525F5CDC" w14:textId="77777777" w:rsidR="00EA31F9" w:rsidRPr="0090099B" w:rsidRDefault="00EA31F9" w:rsidP="00EA31F9">
      <w:pPr>
        <w:ind w:right="1082"/>
        <w:rPr>
          <w:sz w:val="22"/>
        </w:rPr>
      </w:pPr>
    </w:p>
    <w:p w14:paraId="2F7A4122" w14:textId="77777777" w:rsidR="00EA31F9" w:rsidRPr="0090099B" w:rsidRDefault="00EA31F9" w:rsidP="00EA31F9">
      <w:pPr>
        <w:ind w:right="1082"/>
        <w:rPr>
          <w:sz w:val="22"/>
        </w:rPr>
      </w:pPr>
      <w:r w:rsidRPr="0090099B">
        <w:rPr>
          <w:sz w:val="22"/>
        </w:rPr>
        <w:t xml:space="preserve">Baz Luhrmann's wonderful biopic </w:t>
      </w:r>
      <w:r w:rsidRPr="0090099B">
        <w:rPr>
          <w:i/>
          <w:iCs/>
          <w:sz w:val="22"/>
        </w:rPr>
        <w:t xml:space="preserve">Elvis </w:t>
      </w:r>
      <w:r w:rsidRPr="0090099B">
        <w:rPr>
          <w:sz w:val="22"/>
        </w:rPr>
        <w:t>(2022) implicitly criticises appropriation critique</w:t>
      </w:r>
      <w:r w:rsidRPr="0090099B">
        <w:rPr>
          <w:i/>
          <w:iCs/>
          <w:sz w:val="22"/>
        </w:rPr>
        <w:t xml:space="preserve">. </w:t>
      </w:r>
      <w:r w:rsidRPr="0090099B">
        <w:rPr>
          <w:sz w:val="22"/>
        </w:rPr>
        <w:t xml:space="preserve">Its message – and that is the right word – is that Presley loved, respected and understood the African-American genres that saturated his style. It denies that Elvis was a cultural appropriator. The film's message is a socio-political one, and to that extent it is political art. Luhrmann is a great film-maker, but treads a fine line between showing and telling. His portrayal of Big Mama Thornton shows an inspired, belting performance: </w:t>
      </w:r>
    </w:p>
    <w:p w14:paraId="00218DB2" w14:textId="77777777" w:rsidR="00EA31F9" w:rsidRPr="0090099B" w:rsidRDefault="00EA31F9" w:rsidP="00EA31F9">
      <w:pPr>
        <w:ind w:right="1082"/>
        <w:rPr>
          <w:sz w:val="22"/>
        </w:rPr>
      </w:pPr>
    </w:p>
    <w:p w14:paraId="22459F10" w14:textId="77777777" w:rsidR="00EA31F9" w:rsidRPr="0090099B" w:rsidRDefault="00EA31F9" w:rsidP="00EA31F9">
      <w:pPr>
        <w:ind w:left="720" w:right="1082"/>
        <w:rPr>
          <w:sz w:val="22"/>
        </w:rPr>
      </w:pPr>
      <w:r w:rsidRPr="0090099B">
        <w:rPr>
          <w:sz w:val="22"/>
        </w:rPr>
        <w:t>The lyrics, directly inspired by Big Mama’s appearance and personality, told the story of a woman kicking a worthless gigolo out of her home – and her life, Thornton growling while the band – Pete ‘Guitar’ Lewis, Mario Delagarde on bass and Johnny Otis...on drums – barked and howled in the background.</w:t>
      </w:r>
      <w:r w:rsidRPr="0090099B">
        <w:rPr>
          <w:rStyle w:val="FootnoteReference"/>
          <w:sz w:val="22"/>
        </w:rPr>
        <w:footnoteReference w:id="2"/>
      </w:r>
    </w:p>
    <w:p w14:paraId="63F3E188" w14:textId="77777777" w:rsidR="00EA31F9" w:rsidRPr="0090099B" w:rsidRDefault="00EA31F9" w:rsidP="00EA31F9">
      <w:pPr>
        <w:ind w:right="1082"/>
        <w:rPr>
          <w:sz w:val="22"/>
        </w:rPr>
      </w:pPr>
    </w:p>
    <w:p w14:paraId="1E2019E4" w14:textId="77777777" w:rsidR="00EA31F9" w:rsidRPr="0090099B" w:rsidRDefault="00EA31F9" w:rsidP="00EA31F9">
      <w:pPr>
        <w:ind w:right="1082"/>
        <w:rPr>
          <w:sz w:val="22"/>
        </w:rPr>
      </w:pPr>
      <w:r w:rsidRPr="0090099B">
        <w:rPr>
          <w:sz w:val="22"/>
        </w:rPr>
        <w:t>If the film makes viewers listen to her recording, they may conclude that though Presley was a great artist – with a huge influence on popular music – Thornton's version of "Hound Dog" is richer and more expressive.</w:t>
      </w:r>
      <w:r w:rsidRPr="0090099B">
        <w:rPr>
          <w:rStyle w:val="FootnoteReference"/>
          <w:sz w:val="22"/>
        </w:rPr>
        <w:footnoteReference w:id="3"/>
      </w:r>
    </w:p>
    <w:p w14:paraId="508E007E" w14:textId="77777777" w:rsidR="00EA31F9" w:rsidRPr="0090099B" w:rsidRDefault="00EA31F9" w:rsidP="00EA31F9">
      <w:pPr>
        <w:ind w:right="1082"/>
        <w:rPr>
          <w:b/>
          <w:bCs/>
          <w:sz w:val="22"/>
        </w:rPr>
      </w:pPr>
    </w:p>
    <w:p w14:paraId="72B5B23E" w14:textId="77777777" w:rsidR="00EA31F9" w:rsidRPr="0090099B" w:rsidRDefault="00EA31F9" w:rsidP="00EA31F9">
      <w:pPr>
        <w:pStyle w:val="CommentText"/>
        <w:ind w:right="1082"/>
        <w:rPr>
          <w:color w:val="1B1B1B"/>
          <w:sz w:val="22"/>
          <w:szCs w:val="26"/>
          <w:shd w:val="clear" w:color="auto" w:fill="FFFFFF"/>
        </w:rPr>
      </w:pPr>
      <w:r w:rsidRPr="0090099B">
        <w:rPr>
          <w:color w:val="1B1B1B"/>
          <w:sz w:val="22"/>
          <w:szCs w:val="30"/>
        </w:rPr>
        <w:t xml:space="preserve">The charge of cultural appropriation involves culture in a broad sense, not just art. Thus </w:t>
      </w:r>
      <w:r w:rsidRPr="0090099B">
        <w:rPr>
          <w:sz w:val="22"/>
        </w:rPr>
        <w:t>British influencer Oli London, who had a facial operation to make his appearance more Korean in conformity with his declared identity, has been criticised for it.</w:t>
      </w:r>
      <w:r w:rsidRPr="0090099B">
        <w:rPr>
          <w:rStyle w:val="FootnoteReference"/>
          <w:sz w:val="22"/>
        </w:rPr>
        <w:footnoteReference w:id="4"/>
      </w:r>
      <w:r w:rsidRPr="0090099B">
        <w:rPr>
          <w:sz w:val="22"/>
        </w:rPr>
        <w:t xml:space="preserve"> </w:t>
      </w:r>
      <w:r w:rsidRPr="0090099B">
        <w:rPr>
          <w:color w:val="202124"/>
          <w:sz w:val="22"/>
          <w:szCs w:val="21"/>
          <w:shd w:val="clear" w:color="auto" w:fill="FFFFFF"/>
        </w:rPr>
        <w:t xml:space="preserve">But my present focus is on artistic cases. For instance, the Western public has allegedly stolen </w:t>
      </w:r>
      <w:r w:rsidRPr="0090099B">
        <w:rPr>
          <w:sz w:val="22"/>
        </w:rPr>
        <w:t>Māori tattoos, "</w:t>
      </w:r>
      <w:r w:rsidRPr="0090099B">
        <w:rPr>
          <w:color w:val="1B1B1B"/>
          <w:sz w:val="22"/>
          <w:szCs w:val="26"/>
          <w:shd w:val="clear" w:color="auto" w:fill="FFFFFF"/>
        </w:rPr>
        <w:t>an art form native to Polynesia and appropriated it for their own use", exploiting a power difference:</w:t>
      </w:r>
    </w:p>
    <w:p w14:paraId="3F83F7E0" w14:textId="77777777" w:rsidR="00EA31F9" w:rsidRPr="0090099B" w:rsidRDefault="00EA31F9" w:rsidP="00EA31F9">
      <w:pPr>
        <w:ind w:right="1082"/>
        <w:rPr>
          <w:color w:val="1B1B1B"/>
          <w:sz w:val="22"/>
          <w:szCs w:val="26"/>
          <w:shd w:val="clear" w:color="auto" w:fill="FFFFFF"/>
        </w:rPr>
      </w:pPr>
    </w:p>
    <w:p w14:paraId="44C90FE3" w14:textId="77777777" w:rsidR="00EA31F9" w:rsidRPr="0090099B" w:rsidRDefault="00EA31F9" w:rsidP="00EA31F9">
      <w:pPr>
        <w:ind w:left="720" w:right="1082"/>
        <w:rPr>
          <w:rStyle w:val="apple-converted-space"/>
          <w:color w:val="1B1B1B"/>
          <w:sz w:val="22"/>
          <w:szCs w:val="26"/>
          <w:shd w:val="clear" w:color="auto" w:fill="FFFFFF"/>
        </w:rPr>
      </w:pPr>
      <w:r w:rsidRPr="0090099B">
        <w:rPr>
          <w:color w:val="1B1B1B"/>
          <w:sz w:val="22"/>
          <w:szCs w:val="26"/>
          <w:shd w:val="clear" w:color="auto" w:fill="FFFFFF"/>
        </w:rPr>
        <w:lastRenderedPageBreak/>
        <w:t>every global citizen [should try] to gain a deeper understanding of cultures that seem "exotic", but [ultimately] those cultures [should] decide whether or not outsiders are allowed to partake in such sacred traditions as </w:t>
      </w:r>
      <w:r w:rsidRPr="0090099B">
        <w:rPr>
          <w:rStyle w:val="Emphasis"/>
          <w:color w:val="1B1B1B"/>
          <w:sz w:val="22"/>
          <w:szCs w:val="26"/>
        </w:rPr>
        <w:t>ta tatau</w:t>
      </w:r>
      <w:r w:rsidRPr="0090099B">
        <w:rPr>
          <w:color w:val="1B1B1B"/>
          <w:sz w:val="22"/>
          <w:szCs w:val="26"/>
          <w:shd w:val="clear" w:color="auto" w:fill="FFFFFF"/>
        </w:rPr>
        <w:t>.</w:t>
      </w:r>
      <w:r w:rsidRPr="0090099B">
        <w:rPr>
          <w:rStyle w:val="FootnoteReference"/>
          <w:sz w:val="22"/>
        </w:rPr>
        <w:footnoteReference w:id="5"/>
      </w:r>
    </w:p>
    <w:p w14:paraId="70734430" w14:textId="77777777" w:rsidR="00EA31F9" w:rsidRPr="0090099B" w:rsidRDefault="00EA31F9" w:rsidP="00EA31F9">
      <w:pPr>
        <w:ind w:right="1082"/>
        <w:rPr>
          <w:rStyle w:val="apple-converted-space"/>
          <w:color w:val="1B1B1B"/>
          <w:sz w:val="22"/>
          <w:szCs w:val="26"/>
          <w:shd w:val="clear" w:color="auto" w:fill="FFFFFF"/>
        </w:rPr>
      </w:pPr>
    </w:p>
    <w:p w14:paraId="110BE5A5" w14:textId="77777777" w:rsidR="00EA31F9" w:rsidRPr="0090099B" w:rsidRDefault="00EA31F9" w:rsidP="00EA31F9">
      <w:pPr>
        <w:pStyle w:val="NormalWeb"/>
        <w:spacing w:before="0" w:after="0"/>
        <w:ind w:right="1082"/>
        <w:rPr>
          <w:sz w:val="22"/>
        </w:rPr>
      </w:pPr>
      <w:r w:rsidRPr="0090099B">
        <w:rPr>
          <w:bCs/>
          <w:color w:val="202122"/>
          <w:sz w:val="22"/>
          <w:szCs w:val="21"/>
        </w:rPr>
        <w:t>The critique was also deployed against</w:t>
      </w:r>
      <w:r w:rsidRPr="0090099B">
        <w:rPr>
          <w:color w:val="202122"/>
          <w:sz w:val="22"/>
          <w:szCs w:val="21"/>
        </w:rPr>
        <w:t xml:space="preserve"> American experimental vocal ensemble </w:t>
      </w:r>
      <w:r w:rsidRPr="0090099B">
        <w:rPr>
          <w:bCs/>
          <w:color w:val="202122"/>
          <w:sz w:val="22"/>
          <w:szCs w:val="21"/>
        </w:rPr>
        <w:t>Roomful of Teeth, who</w:t>
      </w:r>
      <w:r w:rsidRPr="0090099B">
        <w:rPr>
          <w:color w:val="202122"/>
          <w:sz w:val="22"/>
          <w:szCs w:val="21"/>
        </w:rPr>
        <w:t xml:space="preserve"> explore Tuvan and Inuit throat singing, yodelling, Hindustani music, and vocal styles from Korea, Georgia, Sardinia and Iran. Although the Ensemble runs outreach workshops and educational concerts, in 2019 members of </w:t>
      </w:r>
      <w:r w:rsidRPr="0090099B">
        <w:rPr>
          <w:color w:val="1B1B1B"/>
          <w:sz w:val="22"/>
          <w:szCs w:val="26"/>
        </w:rPr>
        <w:t>the Inuit community objected to their use of indigenous styles.</w:t>
      </w:r>
      <w:r w:rsidRPr="0090099B">
        <w:rPr>
          <w:rStyle w:val="FootnoteReference"/>
          <w:color w:val="1B1B1B"/>
          <w:sz w:val="22"/>
          <w:szCs w:val="26"/>
        </w:rPr>
        <w:footnoteReference w:id="6"/>
      </w:r>
      <w:r w:rsidRPr="0090099B">
        <w:rPr>
          <w:color w:val="1B1B1B"/>
          <w:sz w:val="22"/>
          <w:szCs w:val="26"/>
        </w:rPr>
        <w:t xml:space="preserve"> Similar objections were made against Canadian Cree performer </w:t>
      </w:r>
      <w:r w:rsidRPr="0090099B">
        <w:rPr>
          <w:color w:val="000000"/>
          <w:sz w:val="22"/>
        </w:rPr>
        <w:t>Cikwes, and composer Steve Reich. For Inuit throat singer Tanya Tagaq, her artform is not a "pan-Indigenous free for all"; t</w:t>
      </w:r>
      <w:r w:rsidRPr="0090099B">
        <w:rPr>
          <w:color w:val="1B1B1B"/>
          <w:sz w:val="22"/>
          <w:szCs w:val="26"/>
        </w:rPr>
        <w:t>he indigenous group has a right to a style, not just a song.</w:t>
      </w:r>
      <w:r w:rsidRPr="0090099B">
        <w:rPr>
          <w:rStyle w:val="FootnoteReference"/>
          <w:color w:val="1B1B1B"/>
          <w:sz w:val="22"/>
          <w:szCs w:val="26"/>
        </w:rPr>
        <w:footnoteReference w:id="7"/>
      </w:r>
      <w:r w:rsidRPr="0090099B">
        <w:rPr>
          <w:color w:val="1B1B1B"/>
          <w:sz w:val="22"/>
          <w:szCs w:val="26"/>
        </w:rPr>
        <w:t xml:space="preserve"> Composer </w:t>
      </w:r>
      <w:r w:rsidRPr="0090099B">
        <w:rPr>
          <w:color w:val="auto"/>
          <w:sz w:val="22"/>
        </w:rPr>
        <w:t>Steve Reich did not respond</w:t>
      </w:r>
      <w:r w:rsidRPr="0090099B">
        <w:rPr>
          <w:color w:val="auto"/>
          <w:sz w:val="22"/>
          <w:szCs w:val="26"/>
        </w:rPr>
        <w:t xml:space="preserve">, </w:t>
      </w:r>
      <w:r w:rsidRPr="0090099B">
        <w:rPr>
          <w:color w:val="1B1B1B"/>
          <w:sz w:val="22"/>
          <w:szCs w:val="26"/>
        </w:rPr>
        <w:t>but Roomful of Teeth apologised</w:t>
      </w:r>
      <w:r w:rsidRPr="0090099B">
        <w:rPr>
          <w:sz w:val="22"/>
        </w:rPr>
        <w:t>:</w:t>
      </w:r>
    </w:p>
    <w:p w14:paraId="10759654" w14:textId="77777777" w:rsidR="00EA31F9" w:rsidRPr="0090099B" w:rsidRDefault="00EA31F9" w:rsidP="00EA31F9">
      <w:pPr>
        <w:pStyle w:val="NormalWeb"/>
        <w:spacing w:before="0" w:after="0"/>
        <w:ind w:right="1082"/>
        <w:textAlignment w:val="baseline"/>
        <w:rPr>
          <w:color w:val="1B1B1B"/>
          <w:sz w:val="22"/>
          <w:szCs w:val="26"/>
        </w:rPr>
      </w:pPr>
    </w:p>
    <w:p w14:paraId="0A14CE84" w14:textId="77777777" w:rsidR="00EA31F9" w:rsidRPr="0090099B" w:rsidRDefault="00EA31F9" w:rsidP="00EA31F9">
      <w:pPr>
        <w:pStyle w:val="NormalWeb"/>
        <w:spacing w:before="0" w:after="0"/>
        <w:ind w:left="720" w:right="1082"/>
        <w:textAlignment w:val="baseline"/>
        <w:rPr>
          <w:color w:val="1B1B1B"/>
          <w:sz w:val="22"/>
          <w:szCs w:val="26"/>
        </w:rPr>
      </w:pPr>
      <w:r w:rsidRPr="0090099B">
        <w:rPr>
          <w:color w:val="1B1B1B"/>
          <w:sz w:val="22"/>
          <w:szCs w:val="26"/>
        </w:rPr>
        <w:t xml:space="preserve">we understood our music nested in these patterns to be sufficiently distinct from </w:t>
      </w:r>
      <w:r w:rsidRPr="0090099B">
        <w:rPr>
          <w:i/>
          <w:color w:val="1B1B1B"/>
          <w:sz w:val="22"/>
          <w:szCs w:val="26"/>
        </w:rPr>
        <w:t>katajjaq </w:t>
      </w:r>
      <w:r w:rsidRPr="0090099B">
        <w:rPr>
          <w:color w:val="1B1B1B"/>
          <w:sz w:val="22"/>
          <w:szCs w:val="26"/>
        </w:rPr>
        <w:t>to constitute something new. But we cannot be the arbiters of that distinction. We have work to do.</w:t>
      </w:r>
      <w:r w:rsidRPr="0090099B">
        <w:rPr>
          <w:rStyle w:val="FootnoteReference"/>
          <w:color w:val="1B1B1B"/>
          <w:sz w:val="22"/>
          <w:szCs w:val="26"/>
        </w:rPr>
        <w:footnoteReference w:id="8"/>
      </w:r>
    </w:p>
    <w:p w14:paraId="5B4341B1" w14:textId="77777777" w:rsidR="00EA31F9" w:rsidRPr="0090099B" w:rsidRDefault="00EA31F9" w:rsidP="00EA31F9">
      <w:pPr>
        <w:pStyle w:val="NormalWeb"/>
        <w:spacing w:before="0" w:after="0"/>
        <w:ind w:right="1082"/>
        <w:textAlignment w:val="baseline"/>
        <w:rPr>
          <w:color w:val="1B1B1B"/>
          <w:sz w:val="22"/>
          <w:szCs w:val="26"/>
        </w:rPr>
      </w:pPr>
    </w:p>
    <w:p w14:paraId="3E3C15CB" w14:textId="77777777" w:rsidR="00EA31F9" w:rsidRPr="0090099B" w:rsidRDefault="00EA31F9" w:rsidP="00EA31F9">
      <w:pPr>
        <w:pStyle w:val="NormalWeb"/>
        <w:spacing w:before="0" w:after="0"/>
        <w:ind w:right="1082"/>
        <w:rPr>
          <w:color w:val="202122"/>
          <w:sz w:val="22"/>
          <w:szCs w:val="21"/>
        </w:rPr>
      </w:pPr>
      <w:r w:rsidRPr="0090099B">
        <w:rPr>
          <w:color w:val="202122"/>
          <w:sz w:val="22"/>
          <w:szCs w:val="21"/>
        </w:rPr>
        <w:t xml:space="preserve">The ensemble agreed to make changes in their approach to source materials, crediting teachers more prominently, and supporting indigenous musicians. </w:t>
      </w:r>
    </w:p>
    <w:p w14:paraId="221CD534" w14:textId="77777777" w:rsidR="00EA31F9" w:rsidRPr="0090099B" w:rsidRDefault="00EA31F9" w:rsidP="00EA31F9">
      <w:pPr>
        <w:pStyle w:val="NormalWeb"/>
        <w:spacing w:before="0" w:after="0"/>
        <w:ind w:right="1082"/>
        <w:rPr>
          <w:color w:val="202122"/>
          <w:sz w:val="22"/>
          <w:szCs w:val="21"/>
        </w:rPr>
      </w:pPr>
    </w:p>
    <w:p w14:paraId="472BF82B" w14:textId="77777777" w:rsidR="00EA31F9" w:rsidRPr="0090099B" w:rsidRDefault="00EA31F9" w:rsidP="00EA31F9">
      <w:pPr>
        <w:ind w:right="1082"/>
        <w:outlineLvl w:val="0"/>
        <w:rPr>
          <w:sz w:val="22"/>
        </w:rPr>
      </w:pPr>
      <w:r w:rsidRPr="0090099B">
        <w:rPr>
          <w:sz w:val="22"/>
        </w:rPr>
        <w:t>This chapter focuses on the conflict between cultural appropriation critique and artistic freedom</w:t>
      </w:r>
      <w:r w:rsidRPr="0090099B">
        <w:rPr>
          <w:color w:val="121212"/>
          <w:sz w:val="22"/>
        </w:rPr>
        <w:t>, a topic which lies</w:t>
      </w:r>
      <w:r w:rsidRPr="0090099B">
        <w:rPr>
          <w:color w:val="1B1B1B"/>
          <w:sz w:val="22"/>
          <w:szCs w:val="30"/>
        </w:rPr>
        <w:t xml:space="preserve"> at the intersection of aesthetics and political philosophy. It </w:t>
      </w:r>
      <w:r w:rsidRPr="0090099B">
        <w:rPr>
          <w:sz w:val="22"/>
        </w:rPr>
        <w:t>is with some trepidation that I venture into such a politically contentious area of debate</w:t>
      </w:r>
      <w:r w:rsidRPr="0090099B">
        <w:rPr>
          <w:color w:val="1B1B1B"/>
          <w:sz w:val="22"/>
          <w:szCs w:val="30"/>
        </w:rPr>
        <w:t xml:space="preserve">. </w:t>
      </w:r>
      <w:r w:rsidRPr="0090099B">
        <w:rPr>
          <w:sz w:val="22"/>
        </w:rPr>
        <w:t>The</w:t>
      </w:r>
      <w:r w:rsidRPr="0090099B">
        <w:rPr>
          <w:color w:val="1B1B1B"/>
          <w:sz w:val="22"/>
          <w:szCs w:val="30"/>
        </w:rPr>
        <w:t xml:space="preserve"> chapter begins by discussing the nature of artistic freedom (section 1), which in political philosophy falls under the heading of liberal defence of free speech. Suppression of artistic freedom may count as censorship, which in the modern era has generally become less restrictive. Today, however, artistic freedom faces two new challenges: </w:t>
      </w:r>
    </w:p>
    <w:p w14:paraId="7CDC6003" w14:textId="77777777" w:rsidR="00EA31F9" w:rsidRPr="0090099B" w:rsidRDefault="00EA31F9" w:rsidP="00EA31F9">
      <w:pPr>
        <w:tabs>
          <w:tab w:val="left" w:pos="7655"/>
        </w:tabs>
        <w:ind w:right="1082"/>
        <w:rPr>
          <w:color w:val="1B1B1B"/>
          <w:sz w:val="22"/>
          <w:szCs w:val="30"/>
        </w:rPr>
      </w:pPr>
      <w:r w:rsidRPr="0090099B">
        <w:rPr>
          <w:color w:val="1B1B1B"/>
          <w:sz w:val="22"/>
          <w:szCs w:val="30"/>
        </w:rPr>
        <w:t xml:space="preserve">(a) from an illiberal </w:t>
      </w:r>
      <w:r w:rsidRPr="0090099B">
        <w:rPr>
          <w:i/>
          <w:color w:val="1B1B1B"/>
          <w:sz w:val="22"/>
          <w:szCs w:val="30"/>
        </w:rPr>
        <w:t>offence condition</w:t>
      </w:r>
      <w:r w:rsidRPr="0090099B">
        <w:rPr>
          <w:color w:val="1B1B1B"/>
          <w:sz w:val="22"/>
          <w:szCs w:val="30"/>
        </w:rPr>
        <w:t xml:space="preserve"> of intervention, an expression of identity politics illustrated by </w:t>
      </w:r>
      <w:r w:rsidRPr="0090099B">
        <w:rPr>
          <w:color w:val="201F1E"/>
          <w:sz w:val="22"/>
          <w:szCs w:val="23"/>
        </w:rPr>
        <w:t xml:space="preserve">cancel culture, </w:t>
      </w:r>
      <w:r w:rsidRPr="0090099B">
        <w:rPr>
          <w:color w:val="1B1B1B"/>
          <w:sz w:val="22"/>
          <w:szCs w:val="30"/>
        </w:rPr>
        <w:t xml:space="preserve">and </w:t>
      </w:r>
    </w:p>
    <w:p w14:paraId="2D5C3D7D" w14:textId="77777777" w:rsidR="00EA31F9" w:rsidRPr="0090099B" w:rsidRDefault="00EA31F9" w:rsidP="00EA31F9">
      <w:pPr>
        <w:tabs>
          <w:tab w:val="left" w:pos="7655"/>
        </w:tabs>
        <w:ind w:right="1082"/>
        <w:rPr>
          <w:sz w:val="22"/>
        </w:rPr>
      </w:pPr>
      <w:r w:rsidRPr="0090099B">
        <w:rPr>
          <w:color w:val="1B1B1B"/>
          <w:sz w:val="22"/>
          <w:szCs w:val="30"/>
        </w:rPr>
        <w:t xml:space="preserve">(b) from the charge of </w:t>
      </w:r>
      <w:r w:rsidRPr="0090099B">
        <w:rPr>
          <w:i/>
          <w:color w:val="1B1B1B"/>
          <w:sz w:val="22"/>
          <w:szCs w:val="30"/>
        </w:rPr>
        <w:t>cultural appropriation</w:t>
      </w:r>
      <w:r w:rsidRPr="0090099B">
        <w:rPr>
          <w:color w:val="1B1B1B"/>
          <w:sz w:val="22"/>
          <w:szCs w:val="30"/>
        </w:rPr>
        <w:t xml:space="preserve">, which targets </w:t>
      </w:r>
      <w:r w:rsidRPr="0090099B">
        <w:rPr>
          <w:color w:val="121212"/>
          <w:sz w:val="22"/>
        </w:rPr>
        <w:t>Western cultural hegemony – as when African-American musicians have their work appropriated by white musicians.</w:t>
      </w:r>
      <w:r w:rsidRPr="0090099B">
        <w:rPr>
          <w:sz w:val="22"/>
        </w:rPr>
        <w:t xml:space="preserve"> </w:t>
      </w:r>
    </w:p>
    <w:p w14:paraId="46AFBB8D" w14:textId="77777777" w:rsidR="00EA31F9" w:rsidRPr="0090099B" w:rsidRDefault="00EA31F9" w:rsidP="00EA31F9">
      <w:pPr>
        <w:tabs>
          <w:tab w:val="left" w:pos="7655"/>
        </w:tabs>
        <w:ind w:right="1082"/>
        <w:rPr>
          <w:sz w:val="22"/>
        </w:rPr>
      </w:pPr>
      <w:r w:rsidRPr="0090099B">
        <w:rPr>
          <w:sz w:val="22"/>
        </w:rPr>
        <w:t xml:space="preserve">Cultural appropriation is characterised in terms of two interconnected senses of culture, anthropological and aesthetic or artistic (section 2). Cultural appropriation operates through a power imbalance involving hegemony or soft power. </w:t>
      </w:r>
    </w:p>
    <w:p w14:paraId="5EBAF393" w14:textId="77777777" w:rsidR="00EA31F9" w:rsidRPr="0090099B" w:rsidRDefault="00EA31F9" w:rsidP="00EA31F9">
      <w:pPr>
        <w:tabs>
          <w:tab w:val="left" w:pos="7655"/>
        </w:tabs>
        <w:ind w:right="1082"/>
        <w:rPr>
          <w:sz w:val="22"/>
        </w:rPr>
      </w:pPr>
    </w:p>
    <w:p w14:paraId="451F490F" w14:textId="77777777" w:rsidR="00EA31F9" w:rsidRPr="0090099B" w:rsidRDefault="00EA31F9" w:rsidP="00EA31F9">
      <w:pPr>
        <w:tabs>
          <w:tab w:val="left" w:pos="7655"/>
        </w:tabs>
        <w:ind w:right="1082"/>
        <w:rPr>
          <w:sz w:val="22"/>
        </w:rPr>
      </w:pPr>
      <w:r w:rsidRPr="0090099B">
        <w:rPr>
          <w:sz w:val="22"/>
        </w:rPr>
        <w:t>The chapter argues that there is a qualified truth in cultural appropriation critique (section 3). I argue that the critique is mistaken in assuming a neo-liberal model of cultural ownership. Multicultural models correctly recognise that globalisation can have benign effects. Cultural appropriation critique fails to separate moral and aesthetic criticism. But as Kaitlyn Greenidge comments, artists have the right to borrow, if their borrowing is artistically successful. T</w:t>
      </w:r>
      <w:r w:rsidRPr="0090099B">
        <w:rPr>
          <w:sz w:val="22"/>
          <w:szCs w:val="21"/>
        </w:rPr>
        <w:t xml:space="preserve">here are no "arbiters" who decide when something is novel artistic creation as opposed to mere cultural appropriation; that would be to adopt the elitist, verdictive and deferential model of criticism argued against in Ch. 4. </w:t>
      </w:r>
      <w:r w:rsidRPr="0090099B">
        <w:rPr>
          <w:sz w:val="22"/>
        </w:rPr>
        <w:t xml:space="preserve">There are just the critics – ordinary artlovers included – who engage in critical debate on the question. It is critics who consider how far an artist who borrows suffers from an </w:t>
      </w:r>
      <w:r w:rsidRPr="0090099B">
        <w:rPr>
          <w:i/>
          <w:sz w:val="22"/>
        </w:rPr>
        <w:t>aesthetic handicap</w:t>
      </w:r>
      <w:r w:rsidRPr="0090099B">
        <w:rPr>
          <w:sz w:val="22"/>
        </w:rPr>
        <w:t xml:space="preserve">. There is no general answer to this question, which must be decided in each individual case. </w:t>
      </w:r>
    </w:p>
    <w:p w14:paraId="5C42AB8D" w14:textId="77777777" w:rsidR="00EA31F9" w:rsidRPr="0090099B" w:rsidRDefault="00EA31F9" w:rsidP="00EA31F9">
      <w:pPr>
        <w:tabs>
          <w:tab w:val="left" w:pos="7655"/>
        </w:tabs>
        <w:ind w:right="1082"/>
        <w:rPr>
          <w:sz w:val="22"/>
        </w:rPr>
      </w:pPr>
    </w:p>
    <w:p w14:paraId="04BC17AB" w14:textId="77777777" w:rsidR="00EA31F9" w:rsidRPr="0090099B" w:rsidRDefault="00EA31F9" w:rsidP="00EA31F9">
      <w:pPr>
        <w:ind w:right="1082"/>
        <w:rPr>
          <w:sz w:val="22"/>
        </w:rPr>
      </w:pPr>
      <w:r w:rsidRPr="0090099B">
        <w:rPr>
          <w:sz w:val="22"/>
          <w:szCs w:val="30"/>
        </w:rPr>
        <w:lastRenderedPageBreak/>
        <w:t>I</w:t>
      </w:r>
      <w:r w:rsidRPr="0090099B">
        <w:rPr>
          <w:sz w:val="22"/>
        </w:rPr>
        <w:t xml:space="preserve"> argue that the principal issue</w:t>
      </w:r>
      <w:r w:rsidRPr="0090099B">
        <w:rPr>
          <w:b/>
          <w:sz w:val="22"/>
        </w:rPr>
        <w:t xml:space="preserve"> </w:t>
      </w:r>
      <w:r w:rsidRPr="0090099B">
        <w:rPr>
          <w:sz w:val="22"/>
        </w:rPr>
        <w:t xml:space="preserve">is </w:t>
      </w:r>
      <w:r w:rsidRPr="0090099B">
        <w:rPr>
          <w:i/>
          <w:sz w:val="22"/>
        </w:rPr>
        <w:t>cultural exploitation</w:t>
      </w:r>
      <w:r w:rsidRPr="0090099B">
        <w:rPr>
          <w:sz w:val="22"/>
        </w:rPr>
        <w:t xml:space="preserve">, not appropriation, and that it </w:t>
      </w:r>
      <w:r w:rsidRPr="0090099B">
        <w:rPr>
          <w:sz w:val="22"/>
          <w:szCs w:val="30"/>
        </w:rPr>
        <w:t xml:space="preserve">is primarily economic, though cultural concerns are implicated. </w:t>
      </w:r>
      <w:r w:rsidRPr="0090099B">
        <w:rPr>
          <w:sz w:val="22"/>
        </w:rPr>
        <w:t>The question is, did the artist create something new and beautiful, based on indigenous practices that they credit? Or did they steal ideas, exploiting them for profit at the expense of a marginalised community? It is common for</w:t>
      </w:r>
      <w:r w:rsidRPr="0090099B">
        <w:rPr>
          <w:sz w:val="22"/>
          <w:szCs w:val="23"/>
          <w:shd w:val="clear" w:color="auto" w:fill="FFFFFF"/>
        </w:rPr>
        <w:t xml:space="preserve"> members of economically privileged groups to mimic cultural practices from marginalised groups and profit from them without crediting them. </w:t>
      </w:r>
      <w:r w:rsidRPr="0090099B">
        <w:rPr>
          <w:sz w:val="22"/>
        </w:rPr>
        <w:t>One can deny that a culture "owns" throat singing, or any other style, while still holding that those who use it in their work should learn more about the genre, and credit the marginalised cultures from which it originated. C</w:t>
      </w:r>
      <w:r w:rsidRPr="0090099B">
        <w:rPr>
          <w:color w:val="242424"/>
          <w:sz w:val="22"/>
          <w:szCs w:val="23"/>
          <w:shd w:val="clear" w:color="auto" w:fill="FFFFFF"/>
        </w:rPr>
        <w:t>ultural appropriation critique seems to advocate the ghettoization of polarising cultural groups. However, both art and everyday culture need the melting pot, an open trade in ideas and concepts, and mutual inspiration.</w:t>
      </w:r>
    </w:p>
    <w:p w14:paraId="3EE4ADA0" w14:textId="77777777" w:rsidR="00EA31F9" w:rsidRPr="0090099B" w:rsidRDefault="00EA31F9" w:rsidP="00EA31F9">
      <w:pPr>
        <w:tabs>
          <w:tab w:val="left" w:pos="7655"/>
        </w:tabs>
        <w:ind w:right="1082"/>
        <w:rPr>
          <w:sz w:val="22"/>
        </w:rPr>
      </w:pPr>
    </w:p>
    <w:p w14:paraId="65E596EF" w14:textId="77777777" w:rsidR="00EA31F9" w:rsidRPr="0090099B" w:rsidRDefault="00EA31F9" w:rsidP="00EA31F9">
      <w:pPr>
        <w:pStyle w:val="dcr-eu20cu"/>
        <w:shd w:val="clear" w:color="auto" w:fill="FFFFFF"/>
        <w:spacing w:before="0" w:beforeAutospacing="0" w:after="0" w:afterAutospacing="0"/>
        <w:ind w:right="1082"/>
        <w:textAlignment w:val="baseline"/>
        <w:rPr>
          <w:sz w:val="22"/>
          <w:szCs w:val="30"/>
        </w:rPr>
      </w:pPr>
      <w:r w:rsidRPr="0090099B">
        <w:rPr>
          <w:sz w:val="22"/>
          <w:szCs w:val="30"/>
        </w:rPr>
        <w:t xml:space="preserve">We begin with a characterisation of artistic freedom. </w:t>
      </w:r>
    </w:p>
    <w:p w14:paraId="33DC376D" w14:textId="77777777" w:rsidR="00EA31F9" w:rsidRPr="0090099B" w:rsidRDefault="00EA31F9" w:rsidP="00EA31F9">
      <w:pPr>
        <w:pStyle w:val="dcr-eu20cu"/>
        <w:shd w:val="clear" w:color="auto" w:fill="FFFFFF"/>
        <w:spacing w:before="0" w:beforeAutospacing="0" w:after="0" w:afterAutospacing="0"/>
        <w:ind w:right="1082"/>
        <w:textAlignment w:val="baseline"/>
        <w:rPr>
          <w:sz w:val="22"/>
          <w:szCs w:val="30"/>
        </w:rPr>
      </w:pPr>
    </w:p>
    <w:p w14:paraId="224719F4" w14:textId="77777777" w:rsidR="00EA31F9" w:rsidRPr="0090099B" w:rsidRDefault="00EA31F9" w:rsidP="00EA31F9">
      <w:pPr>
        <w:pStyle w:val="dcr-eu20cu"/>
        <w:shd w:val="clear" w:color="auto" w:fill="FFFFFF"/>
        <w:spacing w:before="0" w:beforeAutospacing="0" w:after="0" w:afterAutospacing="0"/>
        <w:ind w:right="1082"/>
        <w:textAlignment w:val="baseline"/>
        <w:rPr>
          <w:sz w:val="22"/>
          <w:szCs w:val="30"/>
        </w:rPr>
      </w:pPr>
    </w:p>
    <w:p w14:paraId="1CBB78D0" w14:textId="77777777" w:rsidR="00EA31F9" w:rsidRPr="0090099B" w:rsidRDefault="00EA31F9" w:rsidP="00EA31F9">
      <w:pPr>
        <w:ind w:right="1082"/>
        <w:rPr>
          <w:b/>
          <w:sz w:val="22"/>
        </w:rPr>
      </w:pPr>
    </w:p>
    <w:p w14:paraId="5F168EDD" w14:textId="77777777" w:rsidR="00EA31F9" w:rsidRPr="0090099B" w:rsidRDefault="00EA31F9" w:rsidP="00EA31F9">
      <w:pPr>
        <w:ind w:right="1082"/>
        <w:rPr>
          <w:b/>
          <w:color w:val="000000" w:themeColor="text1"/>
          <w:sz w:val="22"/>
          <w:shd w:val="clear" w:color="auto" w:fill="FFFFFF"/>
        </w:rPr>
      </w:pPr>
    </w:p>
    <w:p w14:paraId="7F73A32D" w14:textId="77777777" w:rsidR="00EA31F9" w:rsidRPr="0090099B" w:rsidRDefault="00EA31F9" w:rsidP="00EA31F9">
      <w:pPr>
        <w:ind w:right="1082"/>
        <w:rPr>
          <w:b/>
          <w:color w:val="000000" w:themeColor="text1"/>
          <w:sz w:val="22"/>
          <w:shd w:val="clear" w:color="auto" w:fill="FFFFFF"/>
        </w:rPr>
      </w:pPr>
      <w:r w:rsidRPr="0090099B">
        <w:rPr>
          <w:b/>
          <w:color w:val="000000" w:themeColor="text1"/>
          <w:sz w:val="22"/>
          <w:shd w:val="clear" w:color="auto" w:fill="FFFFFF"/>
        </w:rPr>
        <w:t>8.1. Artistic freedom within liberal theory</w:t>
      </w:r>
    </w:p>
    <w:p w14:paraId="1247EEF6" w14:textId="77777777" w:rsidR="00EA31F9" w:rsidRPr="0090099B" w:rsidRDefault="00EA31F9" w:rsidP="00EA31F9">
      <w:pPr>
        <w:ind w:right="1082"/>
        <w:rPr>
          <w:sz w:val="22"/>
        </w:rPr>
      </w:pPr>
    </w:p>
    <w:p w14:paraId="6CA6FF59" w14:textId="77777777" w:rsidR="00EA31F9" w:rsidRPr="0090099B" w:rsidRDefault="00EA31F9" w:rsidP="00EA31F9">
      <w:pPr>
        <w:ind w:right="1082"/>
        <w:rPr>
          <w:color w:val="1B1B1B"/>
          <w:sz w:val="22"/>
          <w:szCs w:val="30"/>
        </w:rPr>
      </w:pPr>
      <w:r w:rsidRPr="0090099B">
        <w:rPr>
          <w:sz w:val="22"/>
        </w:rPr>
        <w:t xml:space="preserve">Artistic freedom remains little-discussed in the philosophical literature. A rare example is </w:t>
      </w:r>
      <w:r w:rsidRPr="0090099B">
        <w:rPr>
          <w:color w:val="1B1B1B"/>
          <w:sz w:val="22"/>
          <w:szCs w:val="30"/>
        </w:rPr>
        <w:t>Young, who presents it as "acts of self-realization", arguing that we should always be reluctant to say that a person acts wrongly who is engaged in such an act.</w:t>
      </w:r>
      <w:r w:rsidRPr="0090099B">
        <w:rPr>
          <w:rStyle w:val="FootnoteReference"/>
          <w:color w:val="1B1B1B"/>
          <w:sz w:val="22"/>
          <w:szCs w:val="30"/>
        </w:rPr>
        <w:footnoteReference w:id="9"/>
      </w:r>
      <w:r w:rsidRPr="0090099B">
        <w:rPr>
          <w:color w:val="1B1B1B"/>
          <w:sz w:val="22"/>
          <w:szCs w:val="30"/>
        </w:rPr>
        <w:t xml:space="preserve"> Young holds that profoundly offensive art can be valuable, both as inquiry, and as part of self-realisation; even where there is stereotypically derogatory presentation, the interest in self-realisation is overriding, he holds. I agree that offensive art can be valuable; an example might be the work of</w:t>
      </w:r>
      <w:r w:rsidRPr="0090099B">
        <w:rPr>
          <w:sz w:val="22"/>
        </w:rPr>
        <w:t xml:space="preserve"> Salman Rushdie. </w:t>
      </w:r>
      <w:r w:rsidRPr="0090099B">
        <w:rPr>
          <w:color w:val="1B1B1B"/>
          <w:sz w:val="22"/>
          <w:szCs w:val="30"/>
        </w:rPr>
        <w:t xml:space="preserve">On my view, self-realisation – or perhaps better, artistic self-expression – is a value, but derogatory presentation is still a criticism. </w:t>
      </w:r>
    </w:p>
    <w:p w14:paraId="5D9EEB12" w14:textId="77777777" w:rsidR="00EA31F9" w:rsidRPr="0090099B" w:rsidRDefault="00EA31F9" w:rsidP="00EA31F9">
      <w:pPr>
        <w:ind w:right="1082"/>
        <w:rPr>
          <w:sz w:val="22"/>
        </w:rPr>
      </w:pPr>
    </w:p>
    <w:p w14:paraId="34AD078D" w14:textId="77777777" w:rsidR="00EA31F9" w:rsidRPr="0090099B" w:rsidRDefault="00EA31F9" w:rsidP="00EA31F9">
      <w:pPr>
        <w:tabs>
          <w:tab w:val="left" w:pos="7655"/>
        </w:tabs>
        <w:ind w:right="1082"/>
        <w:rPr>
          <w:sz w:val="22"/>
        </w:rPr>
      </w:pPr>
      <w:r w:rsidRPr="0090099B">
        <w:rPr>
          <w:color w:val="000000" w:themeColor="text1"/>
          <w:sz w:val="22"/>
          <w:shd w:val="clear" w:color="auto" w:fill="FFFFFF"/>
        </w:rPr>
        <w:t xml:space="preserve">A defence of </w:t>
      </w:r>
      <w:r w:rsidRPr="0090099B">
        <w:rPr>
          <w:i/>
          <w:color w:val="000000" w:themeColor="text1"/>
          <w:sz w:val="22"/>
          <w:shd w:val="clear" w:color="auto" w:fill="FFFFFF"/>
        </w:rPr>
        <w:t xml:space="preserve">artistic freedom </w:t>
      </w:r>
      <w:r w:rsidRPr="0090099B">
        <w:rPr>
          <w:color w:val="000000" w:themeColor="text1"/>
          <w:sz w:val="22"/>
          <w:shd w:val="clear" w:color="auto" w:fill="FFFFFF"/>
        </w:rPr>
        <w:t>falls under the general heading of freedom of expression, and is thus part of liberal political theory. As</w:t>
      </w:r>
      <w:r w:rsidRPr="0090099B">
        <w:rPr>
          <w:color w:val="1B1B1B"/>
          <w:sz w:val="22"/>
          <w:szCs w:val="30"/>
        </w:rPr>
        <w:t xml:space="preserve"> </w:t>
      </w:r>
      <w:r w:rsidRPr="0090099B">
        <w:rPr>
          <w:sz w:val="22"/>
        </w:rPr>
        <w:t>Skorupski argues, liberalism is both a moral and political philosophy, and a political framework for policy.</w:t>
      </w:r>
      <w:r w:rsidRPr="0090099B">
        <w:rPr>
          <w:rStyle w:val="FootnoteReference"/>
          <w:sz w:val="22"/>
        </w:rPr>
        <w:footnoteReference w:id="10"/>
      </w:r>
      <w:r w:rsidRPr="0090099B">
        <w:rPr>
          <w:sz w:val="22"/>
        </w:rPr>
        <w:t xml:space="preserve"> </w:t>
      </w:r>
      <w:r w:rsidRPr="0090099B">
        <w:rPr>
          <w:i/>
          <w:sz w:val="22"/>
        </w:rPr>
        <w:t xml:space="preserve">Philosophical liberalism </w:t>
      </w:r>
      <w:r w:rsidRPr="0090099B">
        <w:rPr>
          <w:sz w:val="22"/>
        </w:rPr>
        <w:t xml:space="preserve">comprises several strands: </w:t>
      </w:r>
    </w:p>
    <w:p w14:paraId="6D078948" w14:textId="77777777" w:rsidR="00EA31F9" w:rsidRPr="0090099B" w:rsidRDefault="00EA31F9" w:rsidP="00EA31F9">
      <w:pPr>
        <w:pStyle w:val="xmsonormal"/>
        <w:shd w:val="clear" w:color="auto" w:fill="FFFFFF"/>
        <w:spacing w:before="0" w:beforeAutospacing="0" w:after="0" w:afterAutospacing="0"/>
        <w:ind w:right="1082"/>
        <w:rPr>
          <w:b/>
          <w:sz w:val="22"/>
        </w:rPr>
      </w:pPr>
      <w:r w:rsidRPr="0090099B">
        <w:rPr>
          <w:sz w:val="22"/>
        </w:rPr>
        <w:t xml:space="preserve">(i) individualism in ethics – the view that all values and rights reduce to value of or for individuals; </w:t>
      </w:r>
    </w:p>
    <w:p w14:paraId="552A7FEC" w14:textId="77777777" w:rsidR="00EA31F9" w:rsidRPr="0090099B" w:rsidRDefault="00EA31F9" w:rsidP="00EA31F9">
      <w:pPr>
        <w:tabs>
          <w:tab w:val="left" w:pos="7655"/>
        </w:tabs>
        <w:ind w:right="1082"/>
        <w:rPr>
          <w:sz w:val="22"/>
        </w:rPr>
      </w:pPr>
      <w:r w:rsidRPr="0090099B">
        <w:rPr>
          <w:sz w:val="22"/>
        </w:rPr>
        <w:t xml:space="preserve">(ii) equal respect for all, who are assumed to be equally capable of self-governance; and </w:t>
      </w:r>
    </w:p>
    <w:p w14:paraId="5A7A68CF" w14:textId="77777777" w:rsidR="00EA31F9" w:rsidRPr="0090099B" w:rsidRDefault="00EA31F9" w:rsidP="00EA31F9">
      <w:pPr>
        <w:tabs>
          <w:tab w:val="left" w:pos="7655"/>
        </w:tabs>
        <w:ind w:right="1082"/>
        <w:rPr>
          <w:sz w:val="22"/>
        </w:rPr>
      </w:pPr>
      <w:r w:rsidRPr="0090099B">
        <w:rPr>
          <w:sz w:val="22"/>
        </w:rPr>
        <w:t xml:space="preserve">(iii) liberty of thought and discussion, which rejects </w:t>
      </w:r>
      <w:r w:rsidRPr="0090099B">
        <w:rPr>
          <w:iCs/>
          <w:sz w:val="22"/>
        </w:rPr>
        <w:t>religious and other traditionalist restrictions</w:t>
      </w:r>
      <w:r w:rsidRPr="0090099B">
        <w:rPr>
          <w:sz w:val="22"/>
        </w:rPr>
        <w:t xml:space="preserve">. </w:t>
      </w:r>
    </w:p>
    <w:p w14:paraId="2513B281" w14:textId="77777777" w:rsidR="00EA31F9" w:rsidRPr="0090099B" w:rsidRDefault="00EA31F9" w:rsidP="00EA31F9">
      <w:pPr>
        <w:ind w:right="1082"/>
        <w:rPr>
          <w:b/>
          <w:bCs/>
          <w:color w:val="000000"/>
          <w:sz w:val="22"/>
          <w:shd w:val="clear" w:color="auto" w:fill="FFFFFF"/>
        </w:rPr>
      </w:pPr>
      <w:r w:rsidRPr="0090099B">
        <w:rPr>
          <w:color w:val="000000"/>
          <w:sz w:val="22"/>
          <w:szCs w:val="22"/>
          <w:bdr w:val="none" w:sz="0" w:space="0" w:color="auto" w:frame="1"/>
        </w:rPr>
        <w:t>Individualism in ethics is sometimes termed </w:t>
      </w:r>
      <w:r w:rsidRPr="0090099B">
        <w:rPr>
          <w:i/>
          <w:iCs/>
          <w:color w:val="000000"/>
          <w:sz w:val="22"/>
          <w:szCs w:val="22"/>
          <w:bdr w:val="none" w:sz="0" w:space="0" w:color="auto" w:frame="1"/>
        </w:rPr>
        <w:t>atomism</w:t>
      </w:r>
      <w:r w:rsidRPr="0090099B">
        <w:rPr>
          <w:color w:val="000000"/>
          <w:sz w:val="22"/>
          <w:szCs w:val="22"/>
          <w:bdr w:val="none" w:sz="0" w:space="0" w:color="auto" w:frame="1"/>
        </w:rPr>
        <w:t>, hence the common but misguided criticism of liberalism as "atomistic" – Margaret Thatcher's view that "there is no such thing [as society]".</w:t>
      </w:r>
      <w:r w:rsidRPr="0090099B">
        <w:rPr>
          <w:rStyle w:val="FootnoteReference"/>
          <w:sz w:val="22"/>
        </w:rPr>
        <w:footnoteReference w:id="11"/>
      </w:r>
      <w:r w:rsidRPr="0090099B">
        <w:rPr>
          <w:b/>
          <w:sz w:val="22"/>
        </w:rPr>
        <w:t xml:space="preserve"> </w:t>
      </w:r>
      <w:r w:rsidRPr="0090099B">
        <w:rPr>
          <w:sz w:val="22"/>
        </w:rPr>
        <w:t>The criticism</w:t>
      </w:r>
      <w:r w:rsidRPr="0090099B">
        <w:rPr>
          <w:color w:val="000000"/>
          <w:sz w:val="22"/>
          <w:szCs w:val="22"/>
          <w:bdr w:val="none" w:sz="0" w:space="0" w:color="auto" w:frame="1"/>
        </w:rPr>
        <w:t xml:space="preserve"> is misguided because it fails to recognise that the true opposition to individualism is </w:t>
      </w:r>
      <w:r w:rsidRPr="0090099B">
        <w:rPr>
          <w:i/>
          <w:iCs/>
          <w:color w:val="000000"/>
          <w:sz w:val="22"/>
          <w:szCs w:val="22"/>
          <w:bdr w:val="none" w:sz="0" w:space="0" w:color="auto" w:frame="1"/>
        </w:rPr>
        <w:t>holism, </w:t>
      </w:r>
      <w:r w:rsidRPr="0090099B">
        <w:rPr>
          <w:color w:val="000000"/>
          <w:sz w:val="22"/>
          <w:szCs w:val="22"/>
          <w:bdr w:val="none" w:sz="0" w:space="0" w:color="auto" w:frame="1"/>
        </w:rPr>
        <w:t>not communitarianism or some other social viewpoint.</w:t>
      </w:r>
      <w:r w:rsidRPr="0090099B">
        <w:rPr>
          <w:i/>
          <w:iCs/>
          <w:color w:val="000000"/>
          <w:sz w:val="22"/>
          <w:szCs w:val="22"/>
          <w:bdr w:val="none" w:sz="0" w:space="0" w:color="auto" w:frame="1"/>
        </w:rPr>
        <w:t> </w:t>
      </w:r>
      <w:r w:rsidRPr="0090099B">
        <w:rPr>
          <w:color w:val="000000"/>
          <w:sz w:val="22"/>
          <w:szCs w:val="22"/>
          <w:bdr w:val="none" w:sz="0" w:space="0" w:color="auto" w:frame="1"/>
        </w:rPr>
        <w:t xml:space="preserve">Feudalism is holist; in contemporary politics, the only holists are authoritarians like Putin who reject individual rights. The criticism of liberalism as atomistic thus wrongly conflates it with right-wing </w:t>
      </w:r>
      <w:r w:rsidRPr="0090099B">
        <w:rPr>
          <w:sz w:val="22"/>
        </w:rPr>
        <w:t xml:space="preserve">neo-liberalism and neo-conservatism. It is important to stress that liberalism is compatible with social democracy. As Alan </w:t>
      </w:r>
      <w:r w:rsidRPr="0090099B">
        <w:rPr>
          <w:sz w:val="22"/>
        </w:rPr>
        <w:lastRenderedPageBreak/>
        <w:t>Ryan comments, "a 'political' liberal may be a cultural conservative and an economic socialist" – as indeed sociologist Daniel Bell describes himself.</w:t>
      </w:r>
      <w:r w:rsidRPr="0090099B">
        <w:rPr>
          <w:rStyle w:val="FootnoteReference"/>
          <w:sz w:val="22"/>
        </w:rPr>
        <w:footnoteReference w:id="12"/>
      </w:r>
    </w:p>
    <w:p w14:paraId="7FB3C884" w14:textId="77777777" w:rsidR="00EA31F9" w:rsidRPr="0090099B" w:rsidRDefault="00EA31F9" w:rsidP="00EA31F9">
      <w:pPr>
        <w:pStyle w:val="xmsonormal"/>
        <w:shd w:val="clear" w:color="auto" w:fill="FFFFFF"/>
        <w:spacing w:before="0" w:beforeAutospacing="0" w:after="0" w:afterAutospacing="0"/>
        <w:ind w:right="1082"/>
        <w:rPr>
          <w:color w:val="000000"/>
          <w:sz w:val="22"/>
          <w:szCs w:val="22"/>
          <w:bdr w:val="none" w:sz="0" w:space="0" w:color="auto" w:frame="1"/>
        </w:rPr>
      </w:pPr>
    </w:p>
    <w:p w14:paraId="2F205F00" w14:textId="77777777" w:rsidR="00EA31F9" w:rsidRPr="0090099B" w:rsidRDefault="00EA31F9" w:rsidP="00EA31F9">
      <w:pPr>
        <w:ind w:right="1082"/>
        <w:rPr>
          <w:sz w:val="22"/>
        </w:rPr>
      </w:pPr>
      <w:r w:rsidRPr="0090099B">
        <w:rPr>
          <w:sz w:val="22"/>
        </w:rPr>
        <w:t>Focusing on the issue of liberty of thought and discussion, we can agree with Skorupski that "the deepest justification for [freedom of expression] is that it gives a hearing to the communal voice".</w:t>
      </w:r>
      <w:r w:rsidRPr="0090099B">
        <w:rPr>
          <w:rStyle w:val="FootnoteReference"/>
          <w:sz w:val="22"/>
        </w:rPr>
        <w:footnoteReference w:id="13"/>
      </w:r>
      <w:r w:rsidRPr="0090099B">
        <w:rPr>
          <w:sz w:val="22"/>
        </w:rPr>
        <w:t xml:space="preserve"> On his interpretation, Mill is concerned to encourage </w:t>
      </w:r>
      <w:r w:rsidRPr="0090099B">
        <w:rPr>
          <w:i/>
          <w:sz w:val="22"/>
        </w:rPr>
        <w:t>honest or rational dialogue</w:t>
      </w:r>
      <w:r w:rsidRPr="0090099B">
        <w:rPr>
          <w:sz w:val="22"/>
        </w:rPr>
        <w:t xml:space="preserve"> – dialogue between rational people that aims at discovery of right action and right belief.</w:t>
      </w:r>
      <w:r w:rsidRPr="0090099B">
        <w:rPr>
          <w:rStyle w:val="FootnoteReference"/>
          <w:sz w:val="22"/>
        </w:rPr>
        <w:footnoteReference w:id="14"/>
      </w:r>
      <w:r w:rsidRPr="0090099B">
        <w:rPr>
          <w:sz w:val="22"/>
        </w:rPr>
        <w:t xml:space="preserve"> However, Mill's main concerns in </w:t>
      </w:r>
      <w:r w:rsidRPr="0090099B">
        <w:rPr>
          <w:i/>
          <w:sz w:val="22"/>
        </w:rPr>
        <w:t>On Liberty</w:t>
      </w:r>
      <w:r w:rsidRPr="0090099B">
        <w:rPr>
          <w:sz w:val="22"/>
        </w:rPr>
        <w:t xml:space="preserve"> were religious and political truth; he did not address artistic freedom.</w:t>
      </w:r>
      <w:r w:rsidRPr="0090099B">
        <w:rPr>
          <w:rStyle w:val="FootnoteReference"/>
          <w:sz w:val="22"/>
        </w:rPr>
        <w:footnoteReference w:id="15"/>
      </w:r>
      <w:r w:rsidRPr="0090099B">
        <w:rPr>
          <w:sz w:val="22"/>
        </w:rPr>
        <w:t xml:space="preserve"> For him, any artistic activity designed for a public – which, as we saw, art essentially is – is "eloquent", that is, expresses feeling without aiming at truth. Cejudo, offering an interpretation of Mill, comments that</w:t>
      </w:r>
    </w:p>
    <w:p w14:paraId="07E93DF9" w14:textId="77777777" w:rsidR="00EA31F9" w:rsidRPr="0090099B" w:rsidRDefault="00EA31F9" w:rsidP="00EA31F9">
      <w:pPr>
        <w:ind w:right="1082"/>
        <w:rPr>
          <w:sz w:val="22"/>
        </w:rPr>
      </w:pPr>
    </w:p>
    <w:p w14:paraId="19FB2B10" w14:textId="77777777" w:rsidR="00EA31F9" w:rsidRPr="0090099B" w:rsidRDefault="00EA31F9" w:rsidP="00EA31F9">
      <w:pPr>
        <w:ind w:left="720" w:right="1082"/>
        <w:rPr>
          <w:sz w:val="22"/>
        </w:rPr>
      </w:pPr>
      <w:r w:rsidRPr="0090099B">
        <w:rPr>
          <w:sz w:val="22"/>
        </w:rPr>
        <w:t>A piece of art cannot be considered a special kind of "speech" able to express a doctrine, given that artistic discourse, both poetry and narrative, is not assertoric.</w:t>
      </w:r>
      <w:r w:rsidRPr="0090099B">
        <w:rPr>
          <w:rStyle w:val="FootnoteReference"/>
          <w:sz w:val="22"/>
        </w:rPr>
        <w:footnoteReference w:id="16"/>
      </w:r>
    </w:p>
    <w:p w14:paraId="53AFC1BA" w14:textId="77777777" w:rsidR="00EA31F9" w:rsidRPr="0090099B" w:rsidRDefault="00EA31F9" w:rsidP="00EA31F9">
      <w:pPr>
        <w:ind w:right="1082"/>
        <w:rPr>
          <w:sz w:val="22"/>
        </w:rPr>
      </w:pPr>
    </w:p>
    <w:p w14:paraId="18A7F043" w14:textId="77777777" w:rsidR="00EA31F9" w:rsidRPr="0090099B" w:rsidRDefault="00EA31F9" w:rsidP="00EA31F9">
      <w:pPr>
        <w:ind w:right="1082"/>
        <w:rPr>
          <w:sz w:val="22"/>
        </w:rPr>
      </w:pPr>
      <w:r w:rsidRPr="0090099B">
        <w:rPr>
          <w:sz w:val="22"/>
        </w:rPr>
        <w:t>However, I have argued, art can aim at truth without being a kind of speech. And in Mill's time, art was often assumed to aim at truth.</w:t>
      </w:r>
      <w:r w:rsidRPr="0090099B">
        <w:rPr>
          <w:rStyle w:val="FootnoteReference"/>
          <w:sz w:val="22"/>
        </w:rPr>
        <w:footnoteReference w:id="17"/>
      </w:r>
      <w:r w:rsidRPr="0090099B">
        <w:rPr>
          <w:sz w:val="22"/>
        </w:rPr>
        <w:t xml:space="preserve"> Thus Dr. Johnson held that poets had truths to impart, while Hegel insisted that "In art we have to do not with any agreeable or useful child's play, but with an unfolding of the truth".</w:t>
      </w:r>
      <w:r w:rsidRPr="0090099B">
        <w:rPr>
          <w:rStyle w:val="FootnoteReference"/>
          <w:sz w:val="22"/>
        </w:rPr>
        <w:footnoteReference w:id="18"/>
      </w:r>
      <w:r w:rsidRPr="0090099B">
        <w:rPr>
          <w:sz w:val="22"/>
        </w:rPr>
        <w:t xml:space="preserve"> The concept of artistic truth has since come under attack from modernist aestheticism, which seeks to divorce art from reality, and from postmodern subjectivism about truth. According to Wittgenstein </w:t>
      </w:r>
    </w:p>
    <w:p w14:paraId="7DB8FF32" w14:textId="77777777" w:rsidR="00EA31F9" w:rsidRPr="0090099B" w:rsidRDefault="00EA31F9" w:rsidP="00EA31F9">
      <w:pPr>
        <w:ind w:right="1082"/>
        <w:rPr>
          <w:sz w:val="22"/>
        </w:rPr>
      </w:pPr>
    </w:p>
    <w:p w14:paraId="3D231E98" w14:textId="77777777" w:rsidR="00EA31F9" w:rsidRPr="0090099B" w:rsidRDefault="00EA31F9" w:rsidP="00EA31F9">
      <w:pPr>
        <w:ind w:left="720" w:right="1082"/>
        <w:rPr>
          <w:sz w:val="22"/>
        </w:rPr>
      </w:pPr>
      <w:r w:rsidRPr="0090099B">
        <w:rPr>
          <w:sz w:val="22"/>
        </w:rPr>
        <w:t>People nowadays think, scientists are there to instruct them, poets, musicians etc. to entertain them. That the latter have something to teach them; that never occurs to them.</w:t>
      </w:r>
      <w:r w:rsidRPr="0090099B">
        <w:rPr>
          <w:rStyle w:val="FootnoteReference"/>
          <w:sz w:val="22"/>
        </w:rPr>
        <w:footnoteReference w:id="19"/>
      </w:r>
      <w:r w:rsidRPr="0090099B">
        <w:rPr>
          <w:sz w:val="22"/>
        </w:rPr>
        <w:t xml:space="preserve"> </w:t>
      </w:r>
    </w:p>
    <w:p w14:paraId="075989C2" w14:textId="77777777" w:rsidR="00EA31F9" w:rsidRPr="0090099B" w:rsidRDefault="00EA31F9" w:rsidP="00EA31F9">
      <w:pPr>
        <w:ind w:right="1082"/>
        <w:rPr>
          <w:sz w:val="22"/>
        </w:rPr>
      </w:pPr>
    </w:p>
    <w:p w14:paraId="11069778" w14:textId="77777777" w:rsidR="00EA31F9" w:rsidRPr="0090099B" w:rsidRDefault="00EA31F9" w:rsidP="00EA31F9">
      <w:pPr>
        <w:ind w:right="1082"/>
        <w:rPr>
          <w:sz w:val="22"/>
        </w:rPr>
      </w:pPr>
      <w:r w:rsidRPr="0090099B">
        <w:rPr>
          <w:sz w:val="22"/>
        </w:rPr>
        <w:t xml:space="preserve">These attacks on artistic truth are misguided. </w:t>
      </w:r>
    </w:p>
    <w:p w14:paraId="44ED8EB7" w14:textId="77777777" w:rsidR="00EA31F9" w:rsidRPr="0090099B" w:rsidRDefault="00EA31F9" w:rsidP="00EA31F9">
      <w:pPr>
        <w:ind w:right="1082"/>
        <w:rPr>
          <w:sz w:val="22"/>
        </w:rPr>
      </w:pPr>
    </w:p>
    <w:p w14:paraId="6888DE31" w14:textId="77777777" w:rsidR="00EA31F9" w:rsidRPr="0090099B" w:rsidRDefault="00EA31F9" w:rsidP="00EA31F9">
      <w:pPr>
        <w:ind w:right="1082"/>
        <w:rPr>
          <w:sz w:val="22"/>
        </w:rPr>
      </w:pPr>
      <w:r w:rsidRPr="0090099B">
        <w:rPr>
          <w:sz w:val="22"/>
        </w:rPr>
        <w:t>On this modest interpretation of artistic truth, art raises possibilities for consideration by the audience; artists do not tell people what to think, but rather present possibilities for consideration.</w:t>
      </w:r>
      <w:r w:rsidRPr="0090099B">
        <w:rPr>
          <w:rStyle w:val="FootnoteReference"/>
          <w:sz w:val="22"/>
        </w:rPr>
        <w:footnoteReference w:id="20"/>
      </w:r>
      <w:r w:rsidRPr="0090099B">
        <w:rPr>
          <w:sz w:val="22"/>
        </w:rPr>
        <w:t xml:space="preserve"> Thus Rembrandt in his portraits aimed at truth in his portrayal of human frailty, while his contemporaries wanted more flattery. This position occupies a middle way between Dr. Johnson's didactic concept, and the modernist and postmodernist divorce of art from reality. (Political and religious art can be didactic, though as discussed in Ch. 3, there is a range of cases.) Each artform aims at truth in its own way. In modernity and especially in the era of modernism, art tends to be socially critical, but while the artist raises questions, they do not make recommendations. Artistic freedom includes the artist's freedom to shock and outrage, though for most artists, freedom to shock seems limited to conservative values. The audience's freedom of interpretation – the freedom to interpret a work in one's own way – parallels artistic freedom. It is part of the post-Romantic conception of art that the greatest art can be interpreted inexhaustibly.</w:t>
      </w:r>
    </w:p>
    <w:p w14:paraId="65C0E43A" w14:textId="77777777" w:rsidR="00EA31F9" w:rsidRPr="0090099B" w:rsidRDefault="00EA31F9" w:rsidP="00EA31F9">
      <w:pPr>
        <w:ind w:right="1082"/>
        <w:rPr>
          <w:sz w:val="22"/>
        </w:rPr>
      </w:pPr>
    </w:p>
    <w:p w14:paraId="34006A86" w14:textId="77777777" w:rsidR="00EA31F9" w:rsidRPr="0090099B" w:rsidRDefault="00EA31F9" w:rsidP="00EA31F9">
      <w:pPr>
        <w:ind w:right="1082"/>
        <w:outlineLvl w:val="0"/>
        <w:rPr>
          <w:sz w:val="22"/>
        </w:rPr>
      </w:pPr>
      <w:r w:rsidRPr="0090099B">
        <w:rPr>
          <w:color w:val="201F1E"/>
          <w:sz w:val="22"/>
          <w:szCs w:val="23"/>
        </w:rPr>
        <w:t xml:space="preserve">Suppression of artistic freedom can fall under the broader heading of censorship, but that also includes purely political dimensions such as suppression of political journalism. </w:t>
      </w:r>
      <w:r w:rsidRPr="0090099B">
        <w:rPr>
          <w:sz w:val="22"/>
        </w:rPr>
        <w:t xml:space="preserve">In </w:t>
      </w:r>
      <w:r w:rsidRPr="0090099B">
        <w:rPr>
          <w:sz w:val="22"/>
        </w:rPr>
        <w:lastRenderedPageBreak/>
        <w:t xml:space="preserve">the West during the 19th and 20th centuries, artistic freedom was increasingly recognised. A landmark case in the early 1890s was Hauptmann's </w:t>
      </w:r>
      <w:r w:rsidRPr="0090099B">
        <w:rPr>
          <w:i/>
          <w:sz w:val="22"/>
        </w:rPr>
        <w:t>Die Weber</w:t>
      </w:r>
      <w:r w:rsidRPr="0090099B">
        <w:rPr>
          <w:sz w:val="22"/>
        </w:rPr>
        <w:t xml:space="preserve"> (</w:t>
      </w:r>
      <w:r w:rsidRPr="0090099B">
        <w:rPr>
          <w:i/>
          <w:sz w:val="22"/>
        </w:rPr>
        <w:t>The Weavers</w:t>
      </w:r>
      <w:r w:rsidRPr="0090099B">
        <w:rPr>
          <w:sz w:val="22"/>
        </w:rPr>
        <w:t>), a portrayal of the Silesian weavers' revolt of 1844, often regarded as the first revolutionary proletarian play in German literature. Berlin's interior ministry banned public performances, but could not prevent private ones.</w:t>
      </w:r>
      <w:r w:rsidRPr="0090099B">
        <w:rPr>
          <w:rStyle w:val="FootnoteReference"/>
          <w:sz w:val="22"/>
        </w:rPr>
        <w:footnoteReference w:id="21"/>
      </w:r>
      <w:r w:rsidRPr="0090099B">
        <w:rPr>
          <w:sz w:val="22"/>
        </w:rPr>
        <w:t xml:space="preserve"> Similar problems confronted other European productions of the play. In liberal democracies, following notorious applications of blasphemy and obscenity laws to works such as James Joyce's </w:t>
      </w:r>
      <w:r w:rsidRPr="0090099B">
        <w:rPr>
          <w:i/>
          <w:sz w:val="22"/>
        </w:rPr>
        <w:t>Ulysses</w:t>
      </w:r>
      <w:r w:rsidRPr="0090099B">
        <w:rPr>
          <w:sz w:val="22"/>
        </w:rPr>
        <w:t xml:space="preserve"> and D.H. Lawrence's </w:t>
      </w:r>
      <w:r w:rsidRPr="0090099B">
        <w:rPr>
          <w:i/>
          <w:sz w:val="22"/>
        </w:rPr>
        <w:t>Lady Chatterley's Lover</w:t>
      </w:r>
      <w:r w:rsidRPr="0090099B">
        <w:rPr>
          <w:sz w:val="22"/>
        </w:rPr>
        <w:t xml:space="preserve">, restrictions were removed. Artistic freedom remained under attack in 20th century totalitarian regimes; the Nazis repressed </w:t>
      </w:r>
      <w:r w:rsidRPr="0090099B">
        <w:rPr>
          <w:i/>
          <w:sz w:val="22"/>
        </w:rPr>
        <w:t>Entartete Kunst</w:t>
      </w:r>
      <w:r w:rsidRPr="0090099B">
        <w:rPr>
          <w:sz w:val="22"/>
        </w:rPr>
        <w:t xml:space="preserve">, and Stalin imprisoned or attacked figures such as Mandelstam and Shostakovich. </w:t>
      </w:r>
    </w:p>
    <w:p w14:paraId="0F036E46" w14:textId="77777777" w:rsidR="00EA31F9" w:rsidRPr="0090099B" w:rsidRDefault="00EA31F9" w:rsidP="00EA31F9">
      <w:pPr>
        <w:ind w:right="1082"/>
        <w:outlineLvl w:val="0"/>
        <w:rPr>
          <w:sz w:val="22"/>
        </w:rPr>
      </w:pPr>
    </w:p>
    <w:p w14:paraId="11AA33DF" w14:textId="77777777" w:rsidR="00EA31F9" w:rsidRPr="0090099B" w:rsidRDefault="00EA31F9" w:rsidP="00EA31F9">
      <w:pPr>
        <w:ind w:right="1082"/>
        <w:outlineLvl w:val="0"/>
        <w:rPr>
          <w:b/>
          <w:sz w:val="22"/>
        </w:rPr>
      </w:pPr>
      <w:r w:rsidRPr="0090099B">
        <w:rPr>
          <w:sz w:val="22"/>
        </w:rPr>
        <w:t xml:space="preserve">Artistic freedom remains under assault by authoritarian regimes. A passionate defence of it is found in Ai Weiwei's </w:t>
      </w:r>
      <w:r w:rsidRPr="0090099B">
        <w:rPr>
          <w:i/>
          <w:sz w:val="22"/>
        </w:rPr>
        <w:t>1000 Years of Joys and Sorrows.</w:t>
      </w:r>
      <w:r w:rsidRPr="0090099B">
        <w:rPr>
          <w:rStyle w:val="FootnoteReference"/>
          <w:i/>
          <w:sz w:val="22"/>
        </w:rPr>
        <w:footnoteReference w:id="22"/>
      </w:r>
      <w:r w:rsidRPr="0090099B">
        <w:rPr>
          <w:i/>
          <w:sz w:val="22"/>
        </w:rPr>
        <w:t xml:space="preserve"> </w:t>
      </w:r>
      <w:r w:rsidRPr="0090099B">
        <w:rPr>
          <w:sz w:val="22"/>
        </w:rPr>
        <w:t xml:space="preserve">Ai Weiwei is a political activist as well as an artist who demands artistic freedom, a campaigner of immense courage and resourcefulness, prepared to take on the might of the Chinese Communist Party and state. His book is an account of his father's resistance to the regime as a poet, during the Cultural Revolution, as well as his own. Eugene Marlow's documentary </w:t>
      </w:r>
      <w:r w:rsidRPr="0090099B">
        <w:rPr>
          <w:i/>
          <w:color w:val="1A2E3B"/>
          <w:sz w:val="22"/>
        </w:rPr>
        <w:t>Jazz in China</w:t>
      </w:r>
      <w:r w:rsidRPr="0090099B">
        <w:rPr>
          <w:sz w:val="22"/>
        </w:rPr>
        <w:t xml:space="preserve"> argues more optimistically that jazz, an essentially democratic artform,</w:t>
      </w:r>
      <w:r w:rsidRPr="0090099B">
        <w:rPr>
          <w:color w:val="1A2E3B"/>
          <w:sz w:val="22"/>
        </w:rPr>
        <w:t xml:space="preserve"> thrives in China despite the latter's tradition of authoritarianism.</w:t>
      </w:r>
      <w:r w:rsidRPr="0090099B">
        <w:rPr>
          <w:rStyle w:val="FootnoteReference"/>
          <w:color w:val="0F1111"/>
          <w:sz w:val="22"/>
          <w:szCs w:val="42"/>
        </w:rPr>
        <w:footnoteReference w:id="23"/>
      </w:r>
      <w:r w:rsidRPr="0090099B">
        <w:rPr>
          <w:color w:val="1A2E3B"/>
          <w:sz w:val="22"/>
        </w:rPr>
        <w:t xml:space="preserve"> But </w:t>
      </w:r>
      <w:r w:rsidRPr="0090099B">
        <w:rPr>
          <w:sz w:val="22"/>
        </w:rPr>
        <w:t>the authorities keep a tight rein; at festivals, musicians must provide set lists to the authorities in advance.</w:t>
      </w:r>
    </w:p>
    <w:p w14:paraId="4994AD94" w14:textId="77777777" w:rsidR="00EA31F9" w:rsidRPr="0090099B" w:rsidRDefault="00EA31F9" w:rsidP="00EA31F9">
      <w:pPr>
        <w:ind w:right="1082"/>
        <w:rPr>
          <w:sz w:val="22"/>
        </w:rPr>
      </w:pPr>
    </w:p>
    <w:p w14:paraId="67D3F01D" w14:textId="77777777" w:rsidR="00EA31F9" w:rsidRPr="0090099B" w:rsidRDefault="00EA31F9" w:rsidP="00EA31F9">
      <w:pPr>
        <w:ind w:right="1082"/>
        <w:rPr>
          <w:sz w:val="22"/>
        </w:rPr>
      </w:pPr>
      <w:r w:rsidRPr="0090099B">
        <w:rPr>
          <w:sz w:val="22"/>
        </w:rPr>
        <w:t xml:space="preserve">Enduring liberal commitment to artistic freedom is shown by the muted police response to Edward Barton's exhibition </w:t>
      </w:r>
      <w:r w:rsidRPr="0090099B">
        <w:rPr>
          <w:i/>
          <w:sz w:val="22"/>
        </w:rPr>
        <w:t>Stolen</w:t>
      </w:r>
      <w:r w:rsidRPr="0090099B">
        <w:rPr>
          <w:sz w:val="22"/>
        </w:rPr>
        <w:t xml:space="preserve"> at Manchester's Oblong Art Gallery in 1992.</w:t>
      </w:r>
      <w:r w:rsidRPr="0090099B">
        <w:rPr>
          <w:b/>
          <w:sz w:val="22"/>
        </w:rPr>
        <w:t xml:space="preserve"> </w:t>
      </w:r>
      <w:r w:rsidRPr="0090099B">
        <w:rPr>
          <w:sz w:val="22"/>
        </w:rPr>
        <w:t xml:space="preserve">A newspaper report explained that </w:t>
      </w:r>
    </w:p>
    <w:p w14:paraId="48AF7136" w14:textId="77777777" w:rsidR="00EA31F9" w:rsidRPr="0090099B" w:rsidRDefault="00EA31F9" w:rsidP="00EA31F9">
      <w:pPr>
        <w:ind w:right="1082"/>
        <w:rPr>
          <w:sz w:val="22"/>
        </w:rPr>
      </w:pPr>
    </w:p>
    <w:p w14:paraId="0D96F4F2" w14:textId="77777777" w:rsidR="00EA31F9" w:rsidRPr="0090099B" w:rsidRDefault="00EA31F9" w:rsidP="00EA31F9">
      <w:pPr>
        <w:ind w:left="720" w:right="1082"/>
        <w:rPr>
          <w:sz w:val="22"/>
        </w:rPr>
      </w:pPr>
      <w:r w:rsidRPr="0090099B">
        <w:rPr>
          <w:sz w:val="22"/>
        </w:rPr>
        <w:t xml:space="preserve">nappies, washing powder, toys and cans of lager and dog food had been stolen [and] displayed inside a metal cage…the items had been taken from Manchester supermarkets by shoplifters at the request of Mr Barton, 34. </w:t>
      </w:r>
    </w:p>
    <w:p w14:paraId="733F9099" w14:textId="77777777" w:rsidR="00EA31F9" w:rsidRPr="0090099B" w:rsidRDefault="00EA31F9" w:rsidP="00EA31F9">
      <w:pPr>
        <w:ind w:right="1082"/>
        <w:rPr>
          <w:sz w:val="22"/>
        </w:rPr>
      </w:pPr>
    </w:p>
    <w:p w14:paraId="689B2F9F" w14:textId="77777777" w:rsidR="00EA31F9" w:rsidRPr="0090099B" w:rsidRDefault="00EA31F9" w:rsidP="00EA31F9">
      <w:pPr>
        <w:ind w:right="1082"/>
        <w:rPr>
          <w:sz w:val="22"/>
        </w:rPr>
      </w:pPr>
      <w:r w:rsidRPr="0090099B">
        <w:rPr>
          <w:sz w:val="22"/>
        </w:rPr>
        <w:t xml:space="preserve">Steve Murphy, chair of Greater Manchester Police Authority, commented that "Only lunatics would call this art…this bloke is openly promoting crime". Barton responded that "I am not interested in the spurious glamour that stealing bequeaths, I am interested in the meaning of </w:t>
      </w:r>
      <w:r w:rsidRPr="0090099B">
        <w:rPr>
          <w:i/>
          <w:sz w:val="22"/>
        </w:rPr>
        <w:t>Stolen</w:t>
      </w:r>
      <w:r w:rsidRPr="0090099B">
        <w:rPr>
          <w:sz w:val="22"/>
        </w:rPr>
        <w:t>". He declined to elaborate, presumably because interpretation is the viewer's prerogative – for the post-Romantic conception, the artist raises questions without giving answers.</w:t>
      </w:r>
      <w:r w:rsidRPr="0090099B">
        <w:rPr>
          <w:rStyle w:val="FootnoteReference"/>
          <w:sz w:val="22"/>
        </w:rPr>
        <w:footnoteReference w:id="24"/>
      </w:r>
    </w:p>
    <w:p w14:paraId="247ED249" w14:textId="77777777" w:rsidR="00EA31F9" w:rsidRPr="0090099B" w:rsidRDefault="00EA31F9" w:rsidP="00EA31F9">
      <w:pPr>
        <w:ind w:right="1082"/>
        <w:rPr>
          <w:sz w:val="22"/>
        </w:rPr>
      </w:pPr>
    </w:p>
    <w:p w14:paraId="30560719" w14:textId="77777777" w:rsidR="00EA31F9" w:rsidRPr="0090099B" w:rsidRDefault="00EA31F9" w:rsidP="00EA31F9">
      <w:pPr>
        <w:ind w:right="1082"/>
        <w:rPr>
          <w:sz w:val="22"/>
        </w:rPr>
      </w:pPr>
      <w:r w:rsidRPr="0090099B">
        <w:rPr>
          <w:sz w:val="22"/>
        </w:rPr>
        <w:t xml:space="preserve">Today, however, artistic freedom faces threats due to the contemporary confusion of harm and offence. In order to defend freedom of speech, including artistic free speech, the two must be separated, as Mill's harm condition insists. Mill's condition says that the state, and public opinion, should intervene in individual actions only when these cause harm. So despite what is often assumed, </w:t>
      </w:r>
      <w:r w:rsidRPr="0090099B">
        <w:rPr>
          <w:i/>
          <w:sz w:val="22"/>
        </w:rPr>
        <w:t>o</w:t>
      </w:r>
      <w:r w:rsidRPr="0090099B">
        <w:rPr>
          <w:bCs/>
          <w:i/>
          <w:sz w:val="22"/>
        </w:rPr>
        <w:t>ffence as such is not sufficient reason to limit free speech</w:t>
      </w:r>
      <w:r w:rsidRPr="0090099B">
        <w:rPr>
          <w:bCs/>
          <w:sz w:val="22"/>
        </w:rPr>
        <w:t xml:space="preserve">. Profound offence may fall under </w:t>
      </w:r>
      <w:r w:rsidRPr="0090099B">
        <w:rPr>
          <w:sz w:val="22"/>
        </w:rPr>
        <w:t>the "harm in hate speech" that Jeremy Waldron convincingly argues should be proscribed.</w:t>
      </w:r>
      <w:r w:rsidRPr="0090099B">
        <w:rPr>
          <w:rStyle w:val="FootnoteReference"/>
          <w:sz w:val="22"/>
        </w:rPr>
        <w:footnoteReference w:id="25"/>
      </w:r>
      <w:r w:rsidRPr="0090099B">
        <w:rPr>
          <w:sz w:val="22"/>
        </w:rPr>
        <w:t xml:space="preserve"> But notorious artistic cases of recent years do not generally involve such profound offence.</w:t>
      </w:r>
    </w:p>
    <w:p w14:paraId="6F5B15FB" w14:textId="77777777" w:rsidR="00EA31F9" w:rsidRPr="0090099B" w:rsidRDefault="00EA31F9" w:rsidP="00EA31F9">
      <w:pPr>
        <w:ind w:right="1082"/>
        <w:rPr>
          <w:sz w:val="22"/>
        </w:rPr>
      </w:pPr>
    </w:p>
    <w:p w14:paraId="14673E77" w14:textId="77777777" w:rsidR="00EA31F9" w:rsidRPr="0090099B" w:rsidRDefault="00EA31F9" w:rsidP="00EA31F9">
      <w:pPr>
        <w:ind w:right="1082"/>
        <w:rPr>
          <w:sz w:val="22"/>
        </w:rPr>
      </w:pPr>
      <w:r w:rsidRPr="0090099B">
        <w:rPr>
          <w:sz w:val="22"/>
        </w:rPr>
        <w:lastRenderedPageBreak/>
        <w:t>Art and entertainment that cause o</w:t>
      </w:r>
      <w:r w:rsidRPr="0090099B">
        <w:rPr>
          <w:bCs/>
          <w:sz w:val="22"/>
        </w:rPr>
        <w:t xml:space="preserve">ffence to religious believers includes such cases as </w:t>
      </w:r>
      <w:r w:rsidRPr="0090099B">
        <w:rPr>
          <w:i/>
          <w:color w:val="121212"/>
          <w:sz w:val="22"/>
          <w:szCs w:val="26"/>
          <w:shd w:val="clear" w:color="auto" w:fill="FFFFFF"/>
        </w:rPr>
        <w:t xml:space="preserve">Piss Christ </w:t>
      </w:r>
      <w:r w:rsidRPr="0090099B">
        <w:rPr>
          <w:color w:val="121212"/>
          <w:sz w:val="22"/>
          <w:szCs w:val="26"/>
          <w:shd w:val="clear" w:color="auto" w:fill="FFFFFF"/>
        </w:rPr>
        <w:t xml:space="preserve">by Andres Serrano, </w:t>
      </w:r>
      <w:r w:rsidRPr="0090099B">
        <w:rPr>
          <w:bCs/>
          <w:sz w:val="22"/>
        </w:rPr>
        <w:t xml:space="preserve">Mel Gibson's </w:t>
      </w:r>
      <w:r w:rsidRPr="0090099B">
        <w:rPr>
          <w:bCs/>
          <w:i/>
          <w:sz w:val="22"/>
        </w:rPr>
        <w:t>The Passion of the Christ</w:t>
      </w:r>
      <w:r w:rsidRPr="0090099B">
        <w:rPr>
          <w:bCs/>
          <w:sz w:val="22"/>
        </w:rPr>
        <w:t xml:space="preserve">, Monty Python's </w:t>
      </w:r>
      <w:r w:rsidRPr="0090099B">
        <w:rPr>
          <w:bCs/>
          <w:i/>
          <w:sz w:val="22"/>
        </w:rPr>
        <w:t>The Life of Brian</w:t>
      </w:r>
      <w:r w:rsidRPr="0090099B">
        <w:rPr>
          <w:bCs/>
          <w:sz w:val="22"/>
        </w:rPr>
        <w:t xml:space="preserve">, and most notoriously Salman Rushdie's </w:t>
      </w:r>
      <w:r w:rsidRPr="0090099B">
        <w:rPr>
          <w:bCs/>
          <w:i/>
          <w:sz w:val="22"/>
        </w:rPr>
        <w:t>Satanic Verses</w:t>
      </w:r>
      <w:r w:rsidRPr="0090099B">
        <w:rPr>
          <w:bCs/>
          <w:sz w:val="22"/>
        </w:rPr>
        <w:t xml:space="preserve">, a case which had a deadening effect on </w:t>
      </w:r>
      <w:r w:rsidRPr="0090099B">
        <w:rPr>
          <w:sz w:val="22"/>
        </w:rPr>
        <w:t>publishers' willingness to publish.</w:t>
      </w:r>
      <w:r w:rsidRPr="0090099B">
        <w:rPr>
          <w:b/>
          <w:sz w:val="22"/>
        </w:rPr>
        <w:t xml:space="preserve"> </w:t>
      </w:r>
      <w:r w:rsidRPr="0090099B">
        <w:rPr>
          <w:bCs/>
          <w:sz w:val="22"/>
        </w:rPr>
        <w:t xml:space="preserve">Monty Python's film is probably pure entertainment, while the Danish cartoons of the Prophet from 2006 is political craft or perhaps functional art. </w:t>
      </w:r>
      <w:r w:rsidRPr="0090099B">
        <w:rPr>
          <w:i/>
          <w:color w:val="121212"/>
          <w:sz w:val="22"/>
          <w:szCs w:val="26"/>
          <w:shd w:val="clear" w:color="auto" w:fill="FFFFFF"/>
        </w:rPr>
        <w:t>Piss Christ</w:t>
      </w:r>
      <w:r w:rsidRPr="0090099B">
        <w:rPr>
          <w:color w:val="121212"/>
          <w:sz w:val="22"/>
          <w:szCs w:val="26"/>
          <w:shd w:val="clear" w:color="auto" w:fill="FFFFFF"/>
        </w:rPr>
        <w:t xml:space="preserve"> by Andres Serrano – a 60 x 40 inch photograph of a crucifix plunged in a vat of artist's urine – seems more like sensationalist attention-seeking than anti-Christian art.</w:t>
      </w:r>
      <w:r w:rsidRPr="0090099B">
        <w:rPr>
          <w:rStyle w:val="FootnoteReference"/>
          <w:color w:val="121212"/>
          <w:sz w:val="22"/>
          <w:szCs w:val="26"/>
          <w:shd w:val="clear" w:color="auto" w:fill="FFFFFF"/>
        </w:rPr>
        <w:footnoteReference w:id="26"/>
      </w:r>
      <w:r w:rsidRPr="0090099B">
        <w:rPr>
          <w:color w:val="121212"/>
          <w:sz w:val="22"/>
          <w:szCs w:val="26"/>
          <w:shd w:val="clear" w:color="auto" w:fill="FFFFFF"/>
        </w:rPr>
        <w:t xml:space="preserve"> In other cases, c</w:t>
      </w:r>
      <w:r w:rsidRPr="0090099B">
        <w:rPr>
          <w:sz w:val="22"/>
        </w:rPr>
        <w:t>ritics confuse mention with use; Philip Guston's Ku Klux Klan paintings do not advocate racist attitudes, yet his mere depiction has been condemned.</w:t>
      </w:r>
      <w:r w:rsidRPr="0090099B">
        <w:rPr>
          <w:rStyle w:val="FootnoteReference"/>
          <w:sz w:val="22"/>
        </w:rPr>
        <w:footnoteReference w:id="27"/>
      </w:r>
      <w:r w:rsidRPr="0090099B">
        <w:rPr>
          <w:sz w:val="22"/>
        </w:rPr>
        <w:t xml:space="preserve"> </w:t>
      </w:r>
      <w:r w:rsidRPr="0090099B">
        <w:rPr>
          <w:color w:val="121212"/>
          <w:sz w:val="22"/>
          <w:szCs w:val="26"/>
          <w:shd w:val="clear" w:color="auto" w:fill="FFFFFF"/>
        </w:rPr>
        <w:t xml:space="preserve">In contrast to the preceding cases, which at most had harmful consequences, Confederate statues in the Southern United States may be intrinsically harmful. These </w:t>
      </w:r>
      <w:r w:rsidRPr="0090099B">
        <w:rPr>
          <w:bCs/>
          <w:sz w:val="22"/>
        </w:rPr>
        <w:t xml:space="preserve">were erected in the late 19th century, at the time of Jim Crow laws that disenfranchised the African-American population. They were therefore not a spontaneous memorial of the Civil War, but fall under the heading of the harm in hate speech that Waldron identifies. </w:t>
      </w:r>
    </w:p>
    <w:p w14:paraId="57D40D82" w14:textId="77777777" w:rsidR="00EA31F9" w:rsidRPr="0090099B" w:rsidRDefault="00EA31F9" w:rsidP="00EA31F9">
      <w:pPr>
        <w:ind w:right="1082"/>
        <w:rPr>
          <w:color w:val="121212"/>
          <w:sz w:val="22"/>
          <w:szCs w:val="26"/>
          <w:shd w:val="clear" w:color="auto" w:fill="FFFFFF"/>
        </w:rPr>
      </w:pPr>
    </w:p>
    <w:p w14:paraId="7D17097E" w14:textId="77777777" w:rsidR="00EA31F9" w:rsidRPr="0090099B" w:rsidRDefault="00EA31F9" w:rsidP="00EA31F9">
      <w:pPr>
        <w:ind w:right="1082"/>
        <w:rPr>
          <w:sz w:val="22"/>
        </w:rPr>
      </w:pPr>
      <w:r w:rsidRPr="0090099B">
        <w:rPr>
          <w:bCs/>
          <w:sz w:val="22"/>
        </w:rPr>
        <w:t>Offence is not always bad – it may be homophobes or racists who are offended, for instance. Offence does not justify banning, though artists should consider potential or indirectly harmful consequences of their actions. While the state may not censor, public opinion may force removal or closure of a work – which may effectively amount to censorship.</w:t>
      </w:r>
      <w:r w:rsidRPr="0090099B">
        <w:rPr>
          <w:rStyle w:val="FootnoteReference"/>
          <w:sz w:val="22"/>
        </w:rPr>
        <w:footnoteReference w:id="28"/>
      </w:r>
      <w:r w:rsidRPr="0090099B">
        <w:rPr>
          <w:sz w:val="22"/>
        </w:rPr>
        <w:t xml:space="preserve"> Thus in 2004, protesters from the Sikh community, who had demonstrated outside Birmingham Rep for several days, tried to disrupt a performance of Gurpreet Kaur Bhatti's play </w:t>
      </w:r>
      <w:r w:rsidRPr="0090099B">
        <w:rPr>
          <w:i/>
          <w:sz w:val="22"/>
        </w:rPr>
        <w:t>Behzti</w:t>
      </w:r>
      <w:r w:rsidRPr="0090099B">
        <w:rPr>
          <w:sz w:val="22"/>
        </w:rPr>
        <w:t xml:space="preserve">, about abuse and corruption in a Sikh Gurdwara. Police advised the theatre to cancel. </w:t>
      </w:r>
      <w:r w:rsidRPr="0090099B">
        <w:rPr>
          <w:i/>
          <w:sz w:val="22"/>
        </w:rPr>
        <w:t>The Guardian</w:t>
      </w:r>
      <w:r w:rsidRPr="0090099B">
        <w:rPr>
          <w:sz w:val="22"/>
        </w:rPr>
        <w:t>'s writer commented that</w:t>
      </w:r>
    </w:p>
    <w:p w14:paraId="77D41BBC" w14:textId="77777777" w:rsidR="00EA31F9" w:rsidRPr="0090099B" w:rsidRDefault="00EA31F9" w:rsidP="00EA31F9">
      <w:pPr>
        <w:ind w:right="1082"/>
        <w:rPr>
          <w:sz w:val="22"/>
        </w:rPr>
      </w:pPr>
    </w:p>
    <w:p w14:paraId="1F38E9F8" w14:textId="77777777" w:rsidR="00EA31F9" w:rsidRPr="0090099B" w:rsidRDefault="00EA31F9" w:rsidP="00EA31F9">
      <w:pPr>
        <w:ind w:left="720" w:right="1082"/>
        <w:rPr>
          <w:sz w:val="22"/>
        </w:rPr>
      </w:pPr>
      <w:r w:rsidRPr="0090099B">
        <w:rPr>
          <w:sz w:val="22"/>
        </w:rPr>
        <w:t>[when] faced with a noisy demonstration, [police] advise closure…The right to protest is trumping the right to freedom of artistic expression. [Ideally] we would have access to both the artwork and the protest it provokes. This is when art really works for society, when it encourages debate.</w:t>
      </w:r>
      <w:r w:rsidRPr="0090099B">
        <w:rPr>
          <w:rStyle w:val="FootnoteReference"/>
          <w:sz w:val="22"/>
        </w:rPr>
        <w:footnoteReference w:id="29"/>
      </w:r>
    </w:p>
    <w:p w14:paraId="65748D82" w14:textId="77777777" w:rsidR="00EA31F9" w:rsidRPr="0090099B" w:rsidRDefault="00EA31F9" w:rsidP="00EA31F9">
      <w:pPr>
        <w:ind w:right="1082"/>
        <w:rPr>
          <w:sz w:val="22"/>
        </w:rPr>
      </w:pPr>
    </w:p>
    <w:p w14:paraId="436599D4" w14:textId="77777777" w:rsidR="00EA31F9" w:rsidRPr="0090099B" w:rsidRDefault="00EA31F9" w:rsidP="00EA31F9">
      <w:pPr>
        <w:ind w:right="1082"/>
        <w:rPr>
          <w:sz w:val="22"/>
        </w:rPr>
      </w:pPr>
      <w:r w:rsidRPr="0090099B">
        <w:rPr>
          <w:sz w:val="22"/>
        </w:rPr>
        <w:t>Another example is the closure in 2014 of white South African artist Brett Bailey's </w:t>
      </w:r>
      <w:r w:rsidRPr="0090099B">
        <w:rPr>
          <w:i/>
          <w:iCs/>
          <w:sz w:val="22"/>
        </w:rPr>
        <w:t>Exhibit B</w:t>
      </w:r>
      <w:r w:rsidRPr="0090099B">
        <w:rPr>
          <w:sz w:val="22"/>
        </w:rPr>
        <w:t> exhibition at London's Barbican. Live actors in tableaux mimicked 19th century anthropological exhibits, in which living indigenous people were treated as curiosities for amused Europeans. Bailey presented his show as antiracist and anticolonial, a view supported by liberal opinion. But on the opening night, protesters picketed it, police advised that it should be closed, and the venue complied.</w:t>
      </w:r>
      <w:r w:rsidRPr="0090099B">
        <w:rPr>
          <w:rStyle w:val="FootnoteReference"/>
          <w:sz w:val="22"/>
        </w:rPr>
        <w:footnoteReference w:id="30"/>
      </w:r>
    </w:p>
    <w:p w14:paraId="2BCB3F8C" w14:textId="77777777" w:rsidR="00EA31F9" w:rsidRPr="0090099B" w:rsidRDefault="00EA31F9" w:rsidP="00EA31F9">
      <w:pPr>
        <w:ind w:right="1082"/>
        <w:rPr>
          <w:sz w:val="22"/>
        </w:rPr>
      </w:pPr>
    </w:p>
    <w:p w14:paraId="2F51960F" w14:textId="77777777" w:rsidR="00EA31F9" w:rsidRPr="0090099B" w:rsidRDefault="00EA31F9" w:rsidP="00EA31F9">
      <w:pPr>
        <w:ind w:right="1082"/>
        <w:rPr>
          <w:sz w:val="22"/>
        </w:rPr>
      </w:pPr>
      <w:r w:rsidRPr="0090099B">
        <w:rPr>
          <w:sz w:val="22"/>
        </w:rPr>
        <w:t>These attitudes by the police may be criticised. But even the most ardent libertarian recognises that some censorship is justified. For instance,</w:t>
      </w:r>
      <w:r w:rsidRPr="0090099B">
        <w:rPr>
          <w:b/>
          <w:sz w:val="22"/>
        </w:rPr>
        <w:t xml:space="preserve"> </w:t>
      </w:r>
      <w:r w:rsidRPr="0090099B">
        <w:rPr>
          <w:sz w:val="22"/>
        </w:rPr>
        <w:t xml:space="preserve">Richard Prince's </w:t>
      </w:r>
      <w:r w:rsidRPr="0090099B">
        <w:rPr>
          <w:i/>
          <w:sz w:val="22"/>
        </w:rPr>
        <w:t>Spiritual America</w:t>
      </w:r>
      <w:r w:rsidRPr="0090099B">
        <w:rPr>
          <w:sz w:val="22"/>
        </w:rPr>
        <w:t>, a nude image of actress Brooke Shields at age ten, was rightly censored by the Tate in 2009: "Prince made the public metaphorically complicit in [her] exploitation".</w:t>
      </w:r>
      <w:r w:rsidRPr="0090099B">
        <w:rPr>
          <w:rStyle w:val="FootnoteReference"/>
          <w:sz w:val="22"/>
        </w:rPr>
        <w:footnoteReference w:id="31"/>
      </w:r>
      <w:r w:rsidRPr="0090099B">
        <w:rPr>
          <w:sz w:val="22"/>
        </w:rPr>
        <w:t xml:space="preserve"> Heavy metal with white supremacist lyrics, and misogynistic rap, are more contentious cases.</w:t>
      </w:r>
    </w:p>
    <w:p w14:paraId="67F679C4" w14:textId="77777777" w:rsidR="00EA31F9" w:rsidRPr="0090099B" w:rsidRDefault="00EA31F9" w:rsidP="00EA31F9">
      <w:pPr>
        <w:ind w:right="1082"/>
        <w:rPr>
          <w:sz w:val="22"/>
        </w:rPr>
      </w:pPr>
    </w:p>
    <w:p w14:paraId="75AA3682" w14:textId="77777777" w:rsidR="00EA31F9" w:rsidRPr="0090099B" w:rsidRDefault="00EA31F9" w:rsidP="00EA31F9">
      <w:pPr>
        <w:ind w:right="1082"/>
        <w:rPr>
          <w:b/>
          <w:sz w:val="22"/>
        </w:rPr>
      </w:pPr>
      <w:r w:rsidRPr="0090099B">
        <w:rPr>
          <w:sz w:val="22"/>
        </w:rPr>
        <w:t xml:space="preserve">Historically, it is the right that has challenged the freedom of the artist on the grounds of obscenity, blasphemy and political radicalism, while the authoritarians and totalitarians have rejected artistic individualism in any form. But in recent decades, artistic freedom has come under attack from the left, in the form of cultural appropriation critique, and it is to this that we now turn. </w:t>
      </w:r>
    </w:p>
    <w:p w14:paraId="1DF9FF0E" w14:textId="77777777" w:rsidR="00EA31F9" w:rsidRPr="0090099B" w:rsidRDefault="00EA31F9" w:rsidP="00EA31F9">
      <w:pPr>
        <w:ind w:right="1082"/>
        <w:rPr>
          <w:b/>
          <w:sz w:val="22"/>
        </w:rPr>
      </w:pPr>
    </w:p>
    <w:p w14:paraId="1ABA903C" w14:textId="77777777" w:rsidR="00EA31F9" w:rsidRPr="0090099B" w:rsidRDefault="00EA31F9" w:rsidP="00EA31F9">
      <w:pPr>
        <w:ind w:right="1082"/>
        <w:rPr>
          <w:b/>
          <w:sz w:val="22"/>
        </w:rPr>
      </w:pPr>
    </w:p>
    <w:p w14:paraId="023C009A" w14:textId="77777777" w:rsidR="00EA31F9" w:rsidRPr="0090099B" w:rsidRDefault="00EA31F9" w:rsidP="00EA31F9">
      <w:pPr>
        <w:ind w:right="1082"/>
        <w:rPr>
          <w:b/>
          <w:sz w:val="22"/>
        </w:rPr>
      </w:pPr>
    </w:p>
    <w:p w14:paraId="52EFCD44" w14:textId="77777777" w:rsidR="00EA31F9" w:rsidRPr="0090099B" w:rsidRDefault="00EA31F9" w:rsidP="00EA31F9">
      <w:pPr>
        <w:ind w:right="1082"/>
        <w:rPr>
          <w:b/>
          <w:sz w:val="22"/>
        </w:rPr>
      </w:pPr>
    </w:p>
    <w:p w14:paraId="54A281D2" w14:textId="77777777" w:rsidR="00EA31F9" w:rsidRPr="0090099B" w:rsidRDefault="00EA31F9" w:rsidP="00EA31F9">
      <w:pPr>
        <w:ind w:right="1082"/>
        <w:rPr>
          <w:b/>
          <w:sz w:val="22"/>
        </w:rPr>
      </w:pPr>
      <w:r w:rsidRPr="0090099B">
        <w:rPr>
          <w:b/>
          <w:sz w:val="22"/>
        </w:rPr>
        <w:t>8.2. Characterising cultural appropriation</w:t>
      </w:r>
    </w:p>
    <w:p w14:paraId="795B3724" w14:textId="77777777" w:rsidR="00EA31F9" w:rsidRPr="0090099B" w:rsidRDefault="00EA31F9" w:rsidP="00EA31F9">
      <w:pPr>
        <w:ind w:right="1082"/>
        <w:rPr>
          <w:b/>
          <w:sz w:val="22"/>
        </w:rPr>
      </w:pPr>
    </w:p>
    <w:p w14:paraId="3B5F68D3" w14:textId="77777777" w:rsidR="00EA31F9" w:rsidRPr="0090099B" w:rsidRDefault="00EA31F9" w:rsidP="00EA31F9">
      <w:pPr>
        <w:tabs>
          <w:tab w:val="left" w:pos="7655"/>
        </w:tabs>
        <w:ind w:right="1082"/>
        <w:rPr>
          <w:color w:val="000000"/>
          <w:sz w:val="22"/>
          <w:szCs w:val="20"/>
          <w:bdr w:val="none" w:sz="0" w:space="0" w:color="auto" w:frame="1"/>
        </w:rPr>
      </w:pPr>
      <w:r w:rsidRPr="0090099B">
        <w:rPr>
          <w:sz w:val="22"/>
        </w:rPr>
        <w:t xml:space="preserve">A major fault-line in contemporary cultural politics is that </w:t>
      </w:r>
      <w:r w:rsidRPr="0090099B">
        <w:rPr>
          <w:color w:val="1B1B1B"/>
          <w:sz w:val="22"/>
          <w:szCs w:val="30"/>
        </w:rPr>
        <w:t>between</w:t>
      </w:r>
      <w:r w:rsidRPr="0090099B">
        <w:rPr>
          <w:sz w:val="22"/>
        </w:rPr>
        <w:t xml:space="preserve"> identity politics and liberalism</w:t>
      </w:r>
      <w:r w:rsidRPr="0090099B">
        <w:rPr>
          <w:color w:val="1B1B1B"/>
          <w:sz w:val="22"/>
          <w:szCs w:val="30"/>
        </w:rPr>
        <w:t>.</w:t>
      </w:r>
      <w:r w:rsidRPr="0090099B">
        <w:rPr>
          <w:rStyle w:val="FootnoteReference"/>
          <w:color w:val="1B1B1B"/>
          <w:sz w:val="22"/>
          <w:szCs w:val="30"/>
        </w:rPr>
        <w:footnoteReference w:id="32"/>
      </w:r>
      <w:r w:rsidRPr="0090099B">
        <w:rPr>
          <w:color w:val="1B1B1B"/>
          <w:sz w:val="22"/>
          <w:szCs w:val="30"/>
        </w:rPr>
        <w:t xml:space="preserve"> </w:t>
      </w:r>
      <w:r w:rsidRPr="0090099B">
        <w:rPr>
          <w:i/>
          <w:sz w:val="22"/>
        </w:rPr>
        <w:t>Identity politics</w:t>
      </w:r>
      <w:r w:rsidRPr="0090099B">
        <w:rPr>
          <w:color w:val="1B1B1B"/>
          <w:sz w:val="22"/>
          <w:szCs w:val="30"/>
        </w:rPr>
        <w:t xml:space="preserve"> is</w:t>
      </w:r>
      <w:r w:rsidRPr="0090099B">
        <w:rPr>
          <w:color w:val="121212"/>
          <w:sz w:val="22"/>
        </w:rPr>
        <w:t xml:space="preserve"> defined in contrast to </w:t>
      </w:r>
      <w:r w:rsidRPr="0090099B">
        <w:rPr>
          <w:i/>
          <w:color w:val="121212"/>
          <w:sz w:val="22"/>
        </w:rPr>
        <w:t xml:space="preserve">liberal cosmopolitanism. </w:t>
      </w:r>
      <w:r w:rsidRPr="0090099B">
        <w:rPr>
          <w:color w:val="121212"/>
          <w:sz w:val="22"/>
        </w:rPr>
        <w:t xml:space="preserve">It holds that one's identity as a white person, an African-American, a transgender or disabled person, transcends cosmopolitan liberal values; individual identity is reduced to group identity. </w:t>
      </w:r>
      <w:r w:rsidRPr="0090099B">
        <w:rPr>
          <w:i/>
          <w:color w:val="121212"/>
          <w:sz w:val="22"/>
        </w:rPr>
        <w:t>Woke</w:t>
      </w:r>
      <w:r w:rsidRPr="0090099B">
        <w:rPr>
          <w:color w:val="000000"/>
          <w:sz w:val="22"/>
          <w:shd w:val="clear" w:color="auto" w:fill="FFFFFF"/>
        </w:rPr>
        <w:t xml:space="preserve"> refers to an adherent of identity politics, who stresses the importance of racial, gender and sexual identity. The traditional </w:t>
      </w:r>
      <w:r w:rsidRPr="0090099B">
        <w:rPr>
          <w:color w:val="201F1E"/>
          <w:sz w:val="22"/>
          <w:szCs w:val="23"/>
        </w:rPr>
        <w:t>left, in contrast, regards these identities issues as subservient to class and economics</w:t>
      </w:r>
      <w:r w:rsidRPr="0090099B">
        <w:rPr>
          <w:color w:val="000000"/>
          <w:sz w:val="22"/>
          <w:shd w:val="clear" w:color="auto" w:fill="FFFFFF"/>
        </w:rPr>
        <w:t xml:space="preserve">. </w:t>
      </w:r>
      <w:r w:rsidRPr="0090099B">
        <w:rPr>
          <w:color w:val="000000"/>
          <w:sz w:val="22"/>
          <w:szCs w:val="28"/>
          <w:bdr w:val="none" w:sz="0" w:space="0" w:color="auto" w:frame="1"/>
        </w:rPr>
        <w:t>Woke thought is an intensification of postmodernism, and its</w:t>
      </w:r>
      <w:r w:rsidRPr="0090099B">
        <w:rPr>
          <w:color w:val="000000"/>
          <w:sz w:val="22"/>
          <w:szCs w:val="20"/>
          <w:bdr w:val="none" w:sz="0" w:space="0" w:color="auto" w:frame="1"/>
        </w:rPr>
        <w:t xml:space="preserve"> characteristic features include:</w:t>
      </w:r>
    </w:p>
    <w:p w14:paraId="56452D29" w14:textId="77777777" w:rsidR="00EA31F9" w:rsidRPr="0090099B" w:rsidRDefault="00EA31F9" w:rsidP="00EA31F9">
      <w:pPr>
        <w:ind w:right="1082"/>
        <w:rPr>
          <w:color w:val="000000"/>
          <w:sz w:val="22"/>
          <w:szCs w:val="20"/>
          <w:bdr w:val="none" w:sz="0" w:space="0" w:color="auto" w:frame="1"/>
        </w:rPr>
      </w:pPr>
      <w:r w:rsidRPr="0090099B">
        <w:rPr>
          <w:color w:val="000000"/>
          <w:sz w:val="22"/>
          <w:szCs w:val="20"/>
          <w:bdr w:val="none" w:sz="0" w:space="0" w:color="auto" w:frame="1"/>
        </w:rPr>
        <w:t>1. Presentism: a failure of historical imagination that results in unreasonable criticism of historical figures unable to escape the dominant mode of thought of their time</w:t>
      </w:r>
      <w:r w:rsidRPr="0090099B">
        <w:rPr>
          <w:color w:val="201F1E"/>
          <w:sz w:val="22"/>
          <w:szCs w:val="20"/>
        </w:rPr>
        <w:t>.</w:t>
      </w:r>
    </w:p>
    <w:p w14:paraId="36E254D0" w14:textId="77777777" w:rsidR="00EA31F9" w:rsidRPr="0090099B" w:rsidRDefault="00EA31F9" w:rsidP="00EA31F9">
      <w:pPr>
        <w:ind w:right="1082"/>
        <w:rPr>
          <w:color w:val="000000"/>
          <w:sz w:val="22"/>
          <w:szCs w:val="20"/>
          <w:bdr w:val="none" w:sz="0" w:space="0" w:color="auto" w:frame="1"/>
        </w:rPr>
      </w:pPr>
      <w:r w:rsidRPr="0090099B">
        <w:rPr>
          <w:color w:val="000000"/>
          <w:sz w:val="22"/>
          <w:szCs w:val="20"/>
          <w:bdr w:val="none" w:sz="0" w:space="0" w:color="auto" w:frame="1"/>
        </w:rPr>
        <w:t xml:space="preserve">2. Totalising moralism: rejection of dominant cultures as evil, thus the British Empire becomes as evil as the Third Reich. </w:t>
      </w:r>
    </w:p>
    <w:p w14:paraId="23DC7E04" w14:textId="77777777" w:rsidR="00EA31F9" w:rsidRPr="0090099B" w:rsidRDefault="00EA31F9" w:rsidP="00EA31F9">
      <w:pPr>
        <w:ind w:right="1082"/>
        <w:rPr>
          <w:color w:val="000000"/>
          <w:sz w:val="22"/>
          <w:szCs w:val="20"/>
          <w:bdr w:val="none" w:sz="0" w:space="0" w:color="auto" w:frame="1"/>
        </w:rPr>
      </w:pPr>
      <w:r w:rsidRPr="0090099B">
        <w:rPr>
          <w:color w:val="000000"/>
          <w:sz w:val="22"/>
          <w:szCs w:val="20"/>
          <w:bdr w:val="none" w:sz="0" w:space="0" w:color="auto" w:frame="1"/>
        </w:rPr>
        <w:t xml:space="preserve">3. Woke authoritarianism: cancel culture and </w:t>
      </w:r>
      <w:r w:rsidRPr="0090099B">
        <w:rPr>
          <w:color w:val="000000"/>
          <w:sz w:val="22"/>
          <w:szCs w:val="20"/>
        </w:rPr>
        <w:t>v</w:t>
      </w:r>
      <w:r w:rsidRPr="0090099B">
        <w:rPr>
          <w:color w:val="000000"/>
          <w:sz w:val="22"/>
          <w:szCs w:val="20"/>
          <w:bdr w:val="none" w:sz="0" w:space="0" w:color="auto" w:frame="1"/>
        </w:rPr>
        <w:t xml:space="preserve">irtue signalling. </w:t>
      </w:r>
    </w:p>
    <w:p w14:paraId="5CDB19BF" w14:textId="77777777" w:rsidR="00EA31F9" w:rsidRPr="0090099B" w:rsidRDefault="00EA31F9" w:rsidP="00EA31F9">
      <w:pPr>
        <w:tabs>
          <w:tab w:val="left" w:pos="7655"/>
        </w:tabs>
        <w:ind w:right="1082"/>
        <w:rPr>
          <w:color w:val="000000"/>
          <w:sz w:val="22"/>
          <w:szCs w:val="20"/>
          <w:bdr w:val="none" w:sz="0" w:space="0" w:color="auto" w:frame="1"/>
        </w:rPr>
      </w:pPr>
      <w:r w:rsidRPr="0090099B">
        <w:rPr>
          <w:color w:val="000000"/>
          <w:sz w:val="22"/>
          <w:szCs w:val="20"/>
          <w:bdr w:val="none" w:sz="0" w:space="0" w:color="auto" w:frame="1"/>
        </w:rPr>
        <w:t xml:space="preserve">4. Ideological philistinism: art is always at the service of ideology, whether political or religious. </w:t>
      </w:r>
    </w:p>
    <w:p w14:paraId="5C779A5D" w14:textId="77777777" w:rsidR="00EA31F9" w:rsidRPr="00210EE5" w:rsidRDefault="00EA31F9" w:rsidP="00EA31F9">
      <w:pPr>
        <w:ind w:right="1082"/>
        <w:rPr>
          <w:b/>
          <w:color w:val="201F1E"/>
          <w:sz w:val="22"/>
          <w:szCs w:val="23"/>
        </w:rPr>
      </w:pPr>
      <w:r w:rsidRPr="0090099B">
        <w:rPr>
          <w:color w:val="000000"/>
          <w:sz w:val="22"/>
          <w:szCs w:val="20"/>
          <w:bdr w:val="none" w:sz="0" w:space="0" w:color="auto" w:frame="1"/>
        </w:rPr>
        <w:t xml:space="preserve">I am not rejecting woke thought completely, but argue that liberal values are often right as against woke ones. </w:t>
      </w:r>
      <w:r>
        <w:rPr>
          <w:color w:val="000000"/>
          <w:sz w:val="22"/>
          <w:szCs w:val="20"/>
          <w:bdr w:val="none" w:sz="0" w:space="0" w:color="auto" w:frame="1"/>
        </w:rPr>
        <w:t>As Chris Ballantine comments, "</w:t>
      </w:r>
      <w:proofErr w:type="spellStart"/>
      <w:r w:rsidRPr="00210EE5">
        <w:rPr>
          <w:color w:val="242424"/>
          <w:sz w:val="22"/>
          <w:szCs w:val="23"/>
          <w:shd w:val="clear" w:color="auto" w:fill="FFFFFF"/>
        </w:rPr>
        <w:t>wokeism</w:t>
      </w:r>
      <w:proofErr w:type="spellEnd"/>
      <w:r w:rsidRPr="00210EE5">
        <w:rPr>
          <w:color w:val="242424"/>
          <w:sz w:val="22"/>
          <w:szCs w:val="23"/>
          <w:shd w:val="clear" w:color="auto" w:fill="FFFFFF"/>
        </w:rPr>
        <w:t xml:space="preserve"> has more to do with privilege and a highly fashionable sort of identity politics than with any real concern for justice and equality</w:t>
      </w:r>
      <w:r>
        <w:rPr>
          <w:color w:val="242424"/>
          <w:sz w:val="22"/>
          <w:szCs w:val="23"/>
          <w:shd w:val="clear" w:color="auto" w:fill="FFFFFF"/>
        </w:rPr>
        <w:t>"</w:t>
      </w:r>
      <w:r w:rsidRPr="00210EE5">
        <w:rPr>
          <w:color w:val="242424"/>
          <w:sz w:val="22"/>
          <w:szCs w:val="23"/>
          <w:shd w:val="clear" w:color="auto" w:fill="FFFFFF"/>
        </w:rPr>
        <w:t>.</w:t>
      </w:r>
      <w:r>
        <w:rPr>
          <w:rStyle w:val="FootnoteReference"/>
          <w:color w:val="242424"/>
          <w:sz w:val="22"/>
          <w:szCs w:val="23"/>
          <w:shd w:val="clear" w:color="auto" w:fill="FFFFFF"/>
        </w:rPr>
        <w:footnoteReference w:id="33"/>
      </w:r>
    </w:p>
    <w:p w14:paraId="7369C3CA" w14:textId="77777777" w:rsidR="00EA31F9" w:rsidRPr="0090099B" w:rsidRDefault="00EA31F9" w:rsidP="00EA31F9">
      <w:pPr>
        <w:pStyle w:val="NormalWeb"/>
        <w:spacing w:before="0" w:after="0"/>
        <w:ind w:right="1082"/>
        <w:rPr>
          <w:sz w:val="22"/>
        </w:rPr>
      </w:pPr>
    </w:p>
    <w:p w14:paraId="3B890CB3" w14:textId="77777777" w:rsidR="00EA31F9" w:rsidRPr="0090099B" w:rsidRDefault="00EA31F9" w:rsidP="00EA31F9">
      <w:pPr>
        <w:ind w:right="1082"/>
        <w:rPr>
          <w:sz w:val="22"/>
        </w:rPr>
      </w:pPr>
      <w:r w:rsidRPr="0090099B">
        <w:rPr>
          <w:sz w:val="22"/>
        </w:rPr>
        <w:t xml:space="preserve">It is from identity politics that a new challenge to artistic freedom arises – not from charges of blasphemy, obscenity or offence, but from what I call </w:t>
      </w:r>
      <w:r w:rsidRPr="0090099B">
        <w:rPr>
          <w:i/>
          <w:sz w:val="22"/>
        </w:rPr>
        <w:t>cultural appropriation critique</w:t>
      </w:r>
      <w:r w:rsidRPr="0090099B">
        <w:rPr>
          <w:sz w:val="22"/>
        </w:rPr>
        <w:t xml:space="preserve">. </w:t>
      </w:r>
      <w:r w:rsidRPr="0090099B">
        <w:rPr>
          <w:sz w:val="22"/>
          <w:szCs w:val="21"/>
        </w:rPr>
        <w:t>"The courtroom for cultural appropriation is social media, not the law", Bayley Moreton comments. "Sentences include professional cancellation or ostracism."</w:t>
      </w:r>
      <w:r w:rsidRPr="0090099B">
        <w:rPr>
          <w:rStyle w:val="FootnoteReference"/>
          <w:sz w:val="22"/>
          <w:szCs w:val="21"/>
        </w:rPr>
        <w:footnoteReference w:id="34"/>
      </w:r>
      <w:r w:rsidRPr="0090099B">
        <w:rPr>
          <w:sz w:val="22"/>
          <w:szCs w:val="21"/>
        </w:rPr>
        <w:t xml:space="preserve"> </w:t>
      </w:r>
      <w:r w:rsidRPr="0090099B">
        <w:rPr>
          <w:color w:val="000000" w:themeColor="text1"/>
          <w:sz w:val="22"/>
          <w:u w:color="000000"/>
        </w:rPr>
        <w:t>The most developed analysis of the critique is by James Young, who discusses three types:</w:t>
      </w:r>
    </w:p>
    <w:p w14:paraId="13B913A9" w14:textId="77777777" w:rsidR="00EA31F9" w:rsidRPr="0090099B" w:rsidRDefault="00EA31F9" w:rsidP="00EA31F9">
      <w:pPr>
        <w:autoSpaceDE w:val="0"/>
        <w:autoSpaceDN w:val="0"/>
        <w:adjustRightInd w:val="0"/>
        <w:ind w:right="1082"/>
        <w:rPr>
          <w:color w:val="000000" w:themeColor="text1"/>
          <w:sz w:val="22"/>
          <w:u w:color="000000"/>
        </w:rPr>
      </w:pPr>
      <w:r w:rsidRPr="0090099B">
        <w:rPr>
          <w:color w:val="000000" w:themeColor="text1"/>
          <w:sz w:val="22"/>
          <w:u w:color="000000"/>
        </w:rPr>
        <w:t xml:space="preserve">(1) </w:t>
      </w:r>
      <w:r w:rsidRPr="0090099B">
        <w:rPr>
          <w:i/>
          <w:color w:val="000000" w:themeColor="text1"/>
          <w:sz w:val="22"/>
          <w:u w:color="000000"/>
        </w:rPr>
        <w:t>Content appropriation</w:t>
      </w:r>
      <w:r w:rsidRPr="0090099B">
        <w:rPr>
          <w:color w:val="000000" w:themeColor="text1"/>
          <w:sz w:val="22"/>
          <w:u w:color="000000"/>
        </w:rPr>
        <w:t>: "an artist has made significant reuse of an idea first expressed in the work of an artist from another culture".</w:t>
      </w:r>
      <w:r w:rsidRPr="0090099B">
        <w:rPr>
          <w:rStyle w:val="FootnoteReference"/>
          <w:color w:val="000000" w:themeColor="text1"/>
          <w:sz w:val="22"/>
          <w:u w:color="000000"/>
        </w:rPr>
        <w:footnoteReference w:id="35"/>
      </w:r>
      <w:r w:rsidRPr="0090099B">
        <w:rPr>
          <w:color w:val="000000" w:themeColor="text1"/>
          <w:sz w:val="22"/>
          <w:u w:color="000000"/>
        </w:rPr>
        <w:t xml:space="preserve"> This can be an </w:t>
      </w:r>
      <w:r w:rsidRPr="0090099B">
        <w:rPr>
          <w:iCs/>
          <w:color w:val="000000" w:themeColor="text1"/>
          <w:sz w:val="22"/>
          <w:u w:color="000000"/>
        </w:rPr>
        <w:t>artistic element</w:t>
      </w:r>
      <w:r w:rsidRPr="0090099B">
        <w:rPr>
          <w:color w:val="000000" w:themeColor="text1"/>
          <w:sz w:val="22"/>
          <w:u w:color="000000"/>
        </w:rPr>
        <w:t xml:space="preserve"> such as style, plot, theme, motif, subject matter, genre – such as Picasso's inspiration by African masks in </w:t>
      </w:r>
      <w:r w:rsidRPr="0090099B">
        <w:rPr>
          <w:i/>
          <w:iCs/>
          <w:color w:val="000000" w:themeColor="text1"/>
          <w:sz w:val="22"/>
          <w:u w:color="000000"/>
        </w:rPr>
        <w:t>Les Demoiselles d'Avignon</w:t>
      </w:r>
      <w:r w:rsidRPr="0090099B">
        <w:rPr>
          <w:color w:val="000000" w:themeColor="text1"/>
          <w:sz w:val="22"/>
          <w:u w:color="000000"/>
        </w:rPr>
        <w:t xml:space="preserve"> (1907), or </w:t>
      </w:r>
      <w:r w:rsidRPr="0090099B">
        <w:rPr>
          <w:color w:val="1B1B1B"/>
          <w:sz w:val="22"/>
          <w:szCs w:val="30"/>
        </w:rPr>
        <w:t>Kurosawa's appropriation of Shakespearean plots</w:t>
      </w:r>
      <w:r w:rsidRPr="0090099B">
        <w:rPr>
          <w:color w:val="000000" w:themeColor="text1"/>
          <w:sz w:val="22"/>
          <w:u w:color="000000"/>
        </w:rPr>
        <w:t>.</w:t>
      </w:r>
    </w:p>
    <w:p w14:paraId="3E33EBB3" w14:textId="77777777" w:rsidR="00EA31F9" w:rsidRPr="0090099B" w:rsidRDefault="00EA31F9" w:rsidP="00EA31F9">
      <w:pPr>
        <w:autoSpaceDE w:val="0"/>
        <w:autoSpaceDN w:val="0"/>
        <w:adjustRightInd w:val="0"/>
        <w:ind w:right="1082"/>
        <w:rPr>
          <w:color w:val="000000" w:themeColor="text1"/>
          <w:sz w:val="22"/>
          <w:u w:color="000000"/>
        </w:rPr>
      </w:pPr>
      <w:r w:rsidRPr="0090099B">
        <w:rPr>
          <w:color w:val="000000" w:themeColor="text1"/>
          <w:sz w:val="22"/>
          <w:u w:color="000000"/>
        </w:rPr>
        <w:t xml:space="preserve">(2) </w:t>
      </w:r>
      <w:r w:rsidRPr="0090099B">
        <w:rPr>
          <w:i/>
          <w:color w:val="000000" w:themeColor="text1"/>
          <w:sz w:val="22"/>
          <w:u w:color="000000"/>
        </w:rPr>
        <w:t>Object appropriation</w:t>
      </w:r>
      <w:r w:rsidRPr="0090099B">
        <w:rPr>
          <w:color w:val="000000" w:themeColor="text1"/>
          <w:sz w:val="22"/>
          <w:u w:color="000000"/>
        </w:rPr>
        <w:t xml:space="preserve">: tangible works of art are taken from an insider culture, such as the Elgin Marbles now in the British Museum. </w:t>
      </w:r>
    </w:p>
    <w:p w14:paraId="68E5F96F" w14:textId="77777777" w:rsidR="00EA31F9" w:rsidRPr="0090099B" w:rsidRDefault="00EA31F9" w:rsidP="00EA31F9">
      <w:pPr>
        <w:autoSpaceDE w:val="0"/>
        <w:autoSpaceDN w:val="0"/>
        <w:adjustRightInd w:val="0"/>
        <w:ind w:right="1082"/>
        <w:rPr>
          <w:color w:val="000000" w:themeColor="text1"/>
          <w:sz w:val="22"/>
          <w:u w:color="000000"/>
        </w:rPr>
      </w:pPr>
      <w:r w:rsidRPr="0090099B">
        <w:rPr>
          <w:color w:val="000000" w:themeColor="text1"/>
          <w:sz w:val="22"/>
          <w:u w:color="000000"/>
        </w:rPr>
        <w:t xml:space="preserve">(3) </w:t>
      </w:r>
      <w:r w:rsidRPr="0090099B">
        <w:rPr>
          <w:i/>
          <w:color w:val="000000" w:themeColor="text1"/>
          <w:sz w:val="22"/>
          <w:u w:color="000000"/>
        </w:rPr>
        <w:t>Subject appropriation</w:t>
      </w:r>
      <w:r w:rsidRPr="0090099B">
        <w:rPr>
          <w:color w:val="000000" w:themeColor="text1"/>
          <w:sz w:val="22"/>
          <w:u w:color="000000"/>
        </w:rPr>
        <w:t>: an insider group is treated as subject matter by an outsider group. Young sometimes regards this as voice appropriation – the voice of a culture is used as though it belongs to the outsider group. It occurs mostly in narrative arts such as film and literature, as in McCall Smith's novels about Precious Ramotswe's Botswanan detective agency.</w:t>
      </w:r>
      <w:r w:rsidRPr="0090099B">
        <w:rPr>
          <w:rStyle w:val="FootnoteReference"/>
          <w:color w:val="000000" w:themeColor="text1"/>
          <w:sz w:val="22"/>
          <w:u w:color="000000"/>
        </w:rPr>
        <w:footnoteReference w:id="36"/>
      </w:r>
    </w:p>
    <w:p w14:paraId="599EF522" w14:textId="77777777" w:rsidR="00EA31F9" w:rsidRPr="0090099B" w:rsidRDefault="00EA31F9" w:rsidP="00EA31F9">
      <w:pPr>
        <w:ind w:right="1082"/>
        <w:rPr>
          <w:color w:val="1B1B1B"/>
          <w:sz w:val="22"/>
          <w:szCs w:val="30"/>
        </w:rPr>
      </w:pPr>
    </w:p>
    <w:p w14:paraId="422F0313" w14:textId="77777777" w:rsidR="00EA31F9" w:rsidRPr="0090099B" w:rsidRDefault="00EA31F9" w:rsidP="00EA31F9">
      <w:pPr>
        <w:pStyle w:val="NormalWeb"/>
        <w:spacing w:before="0" w:after="0"/>
        <w:ind w:right="1082"/>
        <w:rPr>
          <w:b/>
          <w:color w:val="auto"/>
          <w:sz w:val="22"/>
          <w:szCs w:val="30"/>
        </w:rPr>
      </w:pPr>
      <w:r w:rsidRPr="0090099B">
        <w:rPr>
          <w:color w:val="auto"/>
          <w:sz w:val="22"/>
        </w:rPr>
        <w:t xml:space="preserve">Both "culture" and "appropriation" should be analysed. The OED's new entry on </w:t>
      </w:r>
      <w:r w:rsidRPr="0090099B">
        <w:rPr>
          <w:i/>
          <w:color w:val="auto"/>
          <w:sz w:val="22"/>
          <w:szCs w:val="30"/>
        </w:rPr>
        <w:t xml:space="preserve">cultural appropriation </w:t>
      </w:r>
      <w:r w:rsidRPr="0090099B">
        <w:rPr>
          <w:color w:val="auto"/>
          <w:sz w:val="22"/>
        </w:rPr>
        <w:t>defines it as "unacknowledged or inappropriate adoption of the practices, customs, or aesthetics of one social or ethnic group by members of another (typically dominant) community or society." The OED’s first citation comes from a 1945 essay by Arthur E. Christy, discussing "European cultural appropriation from the Orient". A key issue is the extent to which cultural appropriation critique assumes</w:t>
      </w:r>
      <w:r w:rsidRPr="0090099B">
        <w:rPr>
          <w:color w:val="auto"/>
          <w:sz w:val="22"/>
          <w:szCs w:val="30"/>
        </w:rPr>
        <w:t xml:space="preserve"> </w:t>
      </w:r>
      <w:r w:rsidRPr="0090099B">
        <w:rPr>
          <w:i/>
          <w:color w:val="auto"/>
          <w:sz w:val="22"/>
          <w:szCs w:val="30"/>
        </w:rPr>
        <w:t>cultural essentialism</w:t>
      </w:r>
      <w:r w:rsidRPr="0090099B">
        <w:rPr>
          <w:color w:val="auto"/>
          <w:sz w:val="22"/>
          <w:szCs w:val="30"/>
        </w:rPr>
        <w:t xml:space="preserve">, according to which </w:t>
      </w:r>
      <w:r w:rsidRPr="0090099B">
        <w:rPr>
          <w:color w:val="auto"/>
          <w:sz w:val="22"/>
          <w:szCs w:val="26"/>
        </w:rPr>
        <w:t>cultural groups have an underlying essence "as bearers of a culture...which differentiates them from others".</w:t>
      </w:r>
      <w:r w:rsidRPr="0090099B">
        <w:rPr>
          <w:rStyle w:val="FootnoteReference"/>
          <w:color w:val="auto"/>
          <w:sz w:val="22"/>
          <w:szCs w:val="26"/>
        </w:rPr>
        <w:footnoteReference w:id="37"/>
      </w:r>
      <w:r w:rsidRPr="0090099B">
        <w:rPr>
          <w:color w:val="auto"/>
          <w:sz w:val="22"/>
          <w:szCs w:val="26"/>
        </w:rPr>
        <w:t xml:space="preserve"> </w:t>
      </w:r>
      <w:r w:rsidRPr="0090099B">
        <w:rPr>
          <w:color w:val="auto"/>
          <w:sz w:val="22"/>
          <w:szCs w:val="22"/>
          <w:shd w:val="clear" w:color="auto" w:fill="FFFFFF"/>
        </w:rPr>
        <w:t>On this view, each individual belongs essentially to one culture – divided allegiances are not possible – which is not a matter of choice for them. Heidegger assumes a</w:t>
      </w:r>
      <w:r w:rsidRPr="0090099B">
        <w:rPr>
          <w:color w:val="auto"/>
          <w:sz w:val="22"/>
          <w:szCs w:val="30"/>
        </w:rPr>
        <w:t>n extreme version of essentialism when he holds that</w:t>
      </w:r>
      <w:r w:rsidRPr="0090099B">
        <w:rPr>
          <w:color w:val="auto"/>
          <w:sz w:val="22"/>
        </w:rPr>
        <w:t xml:space="preserve"> people can fully engage only with art of their own culture – "German art for the Germans". </w:t>
      </w:r>
      <w:r w:rsidRPr="0090099B">
        <w:rPr>
          <w:color w:val="auto"/>
          <w:sz w:val="22"/>
          <w:szCs w:val="30"/>
        </w:rPr>
        <w:t>Erich Matthes denies that cultural appropriation rests on essentialism, which seems correct.</w:t>
      </w:r>
      <w:r w:rsidRPr="0090099B">
        <w:rPr>
          <w:rStyle w:val="FootnoteReference"/>
          <w:color w:val="auto"/>
          <w:sz w:val="22"/>
          <w:szCs w:val="30"/>
        </w:rPr>
        <w:footnoteReference w:id="38"/>
      </w:r>
      <w:r w:rsidRPr="0090099B">
        <w:rPr>
          <w:color w:val="auto"/>
          <w:sz w:val="22"/>
          <w:szCs w:val="30"/>
        </w:rPr>
        <w:t xml:space="preserve"> However, the critique must assume a notion of cultural ownership, discussed below.</w:t>
      </w:r>
      <w:r w:rsidRPr="0090099B">
        <w:rPr>
          <w:b/>
          <w:color w:val="auto"/>
          <w:sz w:val="22"/>
          <w:szCs w:val="30"/>
        </w:rPr>
        <w:t xml:space="preserve"> </w:t>
      </w:r>
    </w:p>
    <w:p w14:paraId="2095D50F" w14:textId="77777777" w:rsidR="00EA31F9" w:rsidRPr="0090099B" w:rsidRDefault="00EA31F9" w:rsidP="00EA31F9">
      <w:pPr>
        <w:pStyle w:val="NormalWeb"/>
        <w:spacing w:before="0" w:after="0"/>
        <w:ind w:right="1082"/>
        <w:rPr>
          <w:b/>
          <w:sz w:val="22"/>
          <w:szCs w:val="30"/>
        </w:rPr>
      </w:pPr>
    </w:p>
    <w:p w14:paraId="2F1B5C2B" w14:textId="77777777" w:rsidR="00EA31F9" w:rsidRPr="0090099B" w:rsidRDefault="00EA31F9" w:rsidP="00EA31F9">
      <w:pPr>
        <w:ind w:right="1082"/>
        <w:rPr>
          <w:sz w:val="22"/>
        </w:rPr>
      </w:pPr>
      <w:r w:rsidRPr="0090099B">
        <w:rPr>
          <w:sz w:val="22"/>
        </w:rPr>
        <w:t xml:space="preserve">Cultural essentialism concerns the anthropological concept of culture, which should be distinguished from the aesthetic concept. The </w:t>
      </w:r>
      <w:r w:rsidRPr="0090099B">
        <w:rPr>
          <w:i/>
          <w:sz w:val="22"/>
        </w:rPr>
        <w:t>anthropological concept</w:t>
      </w:r>
      <w:r w:rsidRPr="0090099B">
        <w:rPr>
          <w:sz w:val="22"/>
        </w:rPr>
        <w:t xml:space="preserve"> concerns morality, religious practices and social organisation. As Boas writes</w:t>
      </w:r>
    </w:p>
    <w:p w14:paraId="47ABAE8B" w14:textId="77777777" w:rsidR="00EA31F9" w:rsidRPr="0090099B" w:rsidRDefault="00EA31F9" w:rsidP="00EA31F9">
      <w:pPr>
        <w:ind w:right="1082"/>
        <w:rPr>
          <w:sz w:val="22"/>
        </w:rPr>
      </w:pPr>
    </w:p>
    <w:p w14:paraId="2053EAEE" w14:textId="77777777" w:rsidR="00EA31F9" w:rsidRPr="0090099B" w:rsidRDefault="00EA31F9" w:rsidP="00EA31F9">
      <w:pPr>
        <w:ind w:left="720" w:right="1082"/>
        <w:rPr>
          <w:color w:val="000000"/>
          <w:sz w:val="22"/>
          <w:shd w:val="clear" w:color="auto" w:fill="FFFFFF"/>
        </w:rPr>
      </w:pPr>
      <w:r w:rsidRPr="0090099B">
        <w:rPr>
          <w:color w:val="000000"/>
          <w:sz w:val="22"/>
          <w:shd w:val="clear" w:color="auto" w:fill="FFFFFF"/>
        </w:rPr>
        <w:t>Culture embraces all the manifestations of social habits of a community, the reactions of the individual as affected by the habits of the group in which [they live], and the products of human activities as determined by these habits.</w:t>
      </w:r>
      <w:r w:rsidRPr="0090099B">
        <w:rPr>
          <w:rStyle w:val="FootnoteReference"/>
          <w:color w:val="000000"/>
          <w:sz w:val="22"/>
          <w:shd w:val="clear" w:color="auto" w:fill="FFFFFF"/>
        </w:rPr>
        <w:footnoteReference w:id="39"/>
      </w:r>
    </w:p>
    <w:p w14:paraId="4E687D88" w14:textId="77777777" w:rsidR="00EA31F9" w:rsidRPr="0090099B" w:rsidRDefault="00EA31F9" w:rsidP="00EA31F9">
      <w:pPr>
        <w:ind w:left="720" w:right="1082"/>
        <w:rPr>
          <w:sz w:val="22"/>
        </w:rPr>
      </w:pPr>
    </w:p>
    <w:p w14:paraId="19A4B8C7" w14:textId="77777777" w:rsidR="00EA31F9" w:rsidRPr="0090099B" w:rsidRDefault="00EA31F9" w:rsidP="00EA31F9">
      <w:pPr>
        <w:ind w:right="1082"/>
        <w:rPr>
          <w:sz w:val="22"/>
        </w:rPr>
      </w:pPr>
      <w:r w:rsidRPr="0090099B">
        <w:rPr>
          <w:sz w:val="22"/>
        </w:rPr>
        <w:t xml:space="preserve">We could add "customs and social behaviour". Scruton narrows the anthropological concept when he refers to "common culture" – "the practices and beliefs which form the self-identity of a [people]" – which he traces to Herder and the German Romantics, for whom </w:t>
      </w:r>
      <w:r w:rsidRPr="0090099B">
        <w:rPr>
          <w:i/>
          <w:sz w:val="22"/>
        </w:rPr>
        <w:t>Kultur</w:t>
      </w:r>
      <w:r w:rsidRPr="0090099B">
        <w:rPr>
          <w:sz w:val="22"/>
        </w:rPr>
        <w:t xml:space="preserve"> is the essence of a nation. He</w:t>
      </w:r>
      <w:r w:rsidRPr="0090099B">
        <w:rPr>
          <w:b/>
          <w:sz w:val="22"/>
        </w:rPr>
        <w:t xml:space="preserve"> </w:t>
      </w:r>
      <w:r w:rsidRPr="0090099B">
        <w:rPr>
          <w:sz w:val="22"/>
        </w:rPr>
        <w:t xml:space="preserve">contrasts it with the predominantly </w:t>
      </w:r>
      <w:r w:rsidRPr="0090099B">
        <w:rPr>
          <w:i/>
          <w:sz w:val="22"/>
        </w:rPr>
        <w:t>aesthetic or artistic concept</w:t>
      </w:r>
      <w:r w:rsidRPr="0090099B">
        <w:rPr>
          <w:sz w:val="22"/>
        </w:rPr>
        <w:t xml:space="preserve"> of "high culture", what Matthew Arnold called "the best that has been thought and said" – a concept drawn also from Humboldt and T.S. Eliot. (High culture may include science, so the claim that the concept is aesthetic needs qualifying or developing.) The OED regards culture in this sense as "the arts and other manifestations of human intellectual achievement regarded collectively" (OED 2022). Common culture is particular, high culture is universal – for Scruton, the cultivated person "sees mankind as a whole, knows the art and literature of other peoples, and sympathises with human life in all its higher forms and aspirations".</w:t>
      </w:r>
      <w:r w:rsidRPr="0090099B">
        <w:rPr>
          <w:rStyle w:val="FootnoteReference"/>
          <w:sz w:val="22"/>
        </w:rPr>
        <w:footnoteReference w:id="40"/>
      </w:r>
      <w:r w:rsidRPr="0090099B">
        <w:rPr>
          <w:sz w:val="22"/>
        </w:rPr>
        <w:t xml:space="preserve"> The aesthetic sense is normative, because "high culture" refers to "the best", and so implies a</w:t>
      </w:r>
      <w:r w:rsidRPr="0090099B">
        <w:rPr>
          <w:b/>
          <w:sz w:val="22"/>
        </w:rPr>
        <w:t xml:space="preserve"> </w:t>
      </w:r>
      <w:r w:rsidRPr="0090099B">
        <w:rPr>
          <w:sz w:val="22"/>
        </w:rPr>
        <w:t xml:space="preserve">more universalist account of the canon as defended in Ch. 6. This </w:t>
      </w:r>
      <w:r w:rsidRPr="0090099B">
        <w:rPr>
          <w:i/>
          <w:sz w:val="22"/>
        </w:rPr>
        <w:t>cosmopolitan concept of culture</w:t>
      </w:r>
      <w:r w:rsidRPr="0090099B">
        <w:rPr>
          <w:sz w:val="22"/>
        </w:rPr>
        <w:t xml:space="preserve"> is rejected by </w:t>
      </w:r>
      <w:r w:rsidRPr="0090099B">
        <w:rPr>
          <w:i/>
          <w:sz w:val="22"/>
        </w:rPr>
        <w:t>proponents of identity politics, for whom culture is always owned by a particular group</w:t>
      </w:r>
      <w:r w:rsidRPr="0090099B">
        <w:rPr>
          <w:sz w:val="22"/>
        </w:rPr>
        <w:t>, whether dominant or marginalised</w:t>
      </w:r>
      <w:r w:rsidRPr="0090099B">
        <w:rPr>
          <w:i/>
          <w:sz w:val="22"/>
        </w:rPr>
        <w:t>.</w:t>
      </w:r>
    </w:p>
    <w:p w14:paraId="5F51731F" w14:textId="77777777" w:rsidR="00EA31F9" w:rsidRPr="0090099B" w:rsidRDefault="00EA31F9" w:rsidP="00EA31F9">
      <w:pPr>
        <w:ind w:right="1082"/>
        <w:rPr>
          <w:sz w:val="22"/>
        </w:rPr>
      </w:pPr>
    </w:p>
    <w:p w14:paraId="52BA5B61" w14:textId="77777777" w:rsidR="00EA31F9" w:rsidRPr="0090099B" w:rsidRDefault="00EA31F9" w:rsidP="00EA31F9">
      <w:pPr>
        <w:ind w:right="1082"/>
        <w:rPr>
          <w:sz w:val="22"/>
        </w:rPr>
      </w:pPr>
      <w:r w:rsidRPr="0090099B">
        <w:rPr>
          <w:sz w:val="22"/>
        </w:rPr>
        <w:t>Scruton is right that the term "culture" is not simply ambiguous – anthropological and aesthetic concepts are connected. He is also right to contest the contemporary dominance of the anthropological use, according to which "cultural politics" refers to art only indirectly, through such questions as minority access. Identity politics tends to define culture anthropologically, because it does not take the aesthetic or artistic sense of culture in a cosmopolitan sense. One must consider both concepts of culture together. However, Scruton is wrong in distinguishing a third concept, "popular culture", the culture of "cultural studies", the "identity-forming products of social interaction".</w:t>
      </w:r>
      <w:r w:rsidRPr="0090099B">
        <w:rPr>
          <w:rStyle w:val="FootnoteReference"/>
          <w:sz w:val="22"/>
        </w:rPr>
        <w:footnoteReference w:id="41"/>
      </w:r>
      <w:r w:rsidRPr="0090099B">
        <w:rPr>
          <w:sz w:val="22"/>
        </w:rPr>
        <w:t xml:space="preserve"> Popular culture is an instance, not a concept, of culture – an aesthetic rival to high culture, or the aestheticisation of common culture in an era of mass-commercialised</w:t>
      </w:r>
      <w:r w:rsidRPr="0090099B">
        <w:rPr>
          <w:b/>
          <w:sz w:val="22"/>
        </w:rPr>
        <w:t xml:space="preserve"> </w:t>
      </w:r>
      <w:r w:rsidRPr="0090099B">
        <w:rPr>
          <w:sz w:val="22"/>
        </w:rPr>
        <w:t>technology. (The pre-existing common culture is then termed "folk culture".) As we saw in the chapter on criticism, to assert a polarity of high and popular culture is to ignore popular classics, and avantgarde genres arising from popular culture.</w:t>
      </w:r>
      <w:r w:rsidRPr="0090099B">
        <w:rPr>
          <w:b/>
          <w:sz w:val="22"/>
        </w:rPr>
        <w:t xml:space="preserve"> </w:t>
      </w:r>
      <w:r w:rsidRPr="0090099B">
        <w:rPr>
          <w:sz w:val="22"/>
        </w:rPr>
        <w:t>The key contrast is between anthropological and aesthetic senses of "culture".</w:t>
      </w:r>
      <w:r w:rsidRPr="0090099B">
        <w:rPr>
          <w:rStyle w:val="FootnoteReference"/>
          <w:sz w:val="22"/>
        </w:rPr>
        <w:footnoteReference w:id="42"/>
      </w:r>
      <w:r w:rsidRPr="0090099B">
        <w:rPr>
          <w:sz w:val="22"/>
        </w:rPr>
        <w:t xml:space="preserve"> </w:t>
      </w:r>
    </w:p>
    <w:p w14:paraId="52508063" w14:textId="77777777" w:rsidR="00EA31F9" w:rsidRPr="0090099B" w:rsidRDefault="00EA31F9" w:rsidP="00EA31F9">
      <w:pPr>
        <w:ind w:right="1082"/>
        <w:rPr>
          <w:sz w:val="22"/>
        </w:rPr>
      </w:pPr>
    </w:p>
    <w:p w14:paraId="755A423C" w14:textId="77777777" w:rsidR="00EA31F9" w:rsidRPr="0090099B" w:rsidRDefault="00EA31F9" w:rsidP="00EA31F9">
      <w:pPr>
        <w:pStyle w:val="NormalWeb"/>
        <w:tabs>
          <w:tab w:val="left" w:pos="8222"/>
        </w:tabs>
        <w:spacing w:before="0" w:after="0"/>
        <w:ind w:right="1082"/>
        <w:rPr>
          <w:rStyle w:val="xxxxeop"/>
          <w:bCs/>
          <w:color w:val="201F1E"/>
          <w:sz w:val="22"/>
          <w:bdr w:val="none" w:sz="0" w:space="0" w:color="auto" w:frame="1"/>
        </w:rPr>
      </w:pPr>
      <w:r w:rsidRPr="0090099B">
        <w:rPr>
          <w:color w:val="000000" w:themeColor="text1"/>
          <w:sz w:val="22"/>
          <w:u w:color="000000"/>
        </w:rPr>
        <w:t>Cultures in both senses</w:t>
      </w:r>
      <w:r w:rsidRPr="0090099B">
        <w:rPr>
          <w:b/>
          <w:color w:val="000000" w:themeColor="text1"/>
          <w:sz w:val="22"/>
          <w:u w:color="000000"/>
        </w:rPr>
        <w:t xml:space="preserve"> </w:t>
      </w:r>
      <w:r w:rsidRPr="0090099B">
        <w:rPr>
          <w:color w:val="000000" w:themeColor="text1"/>
          <w:sz w:val="22"/>
          <w:u w:color="000000"/>
        </w:rPr>
        <w:t xml:space="preserve">are mixed or </w:t>
      </w:r>
      <w:r w:rsidRPr="0090099B">
        <w:rPr>
          <w:rStyle w:val="xxxxeop"/>
          <w:bCs/>
          <w:color w:val="201F1E"/>
          <w:sz w:val="22"/>
          <w:bdr w:val="none" w:sz="0" w:space="0" w:color="auto" w:frame="1"/>
        </w:rPr>
        <w:t>plural in nature, even though – for the liberal – culture in an aesthetic sense aims at universality. In the anthropological sense, an individual</w:t>
      </w:r>
      <w:r w:rsidRPr="0090099B">
        <w:rPr>
          <w:color w:val="1B1B1B"/>
          <w:sz w:val="22"/>
          <w:szCs w:val="30"/>
        </w:rPr>
        <w:t xml:space="preserve"> can be bi- or multi-cultural; cultural groups overlap and have vague boundaries. </w:t>
      </w:r>
      <w:r w:rsidRPr="0090099B">
        <w:rPr>
          <w:rStyle w:val="xxxxeop"/>
          <w:bCs/>
          <w:color w:val="201F1E"/>
          <w:sz w:val="22"/>
          <w:bdr w:val="none" w:sz="0" w:space="0" w:color="auto" w:frame="1"/>
        </w:rPr>
        <w:t>British culture has appropriated elements of South Asian culture, among others, as shown in cuisine, and in many word-borrowings including loot, thug, veranda and pyjamas. As Appiah comments</w:t>
      </w:r>
    </w:p>
    <w:p w14:paraId="22ABE3B2" w14:textId="77777777" w:rsidR="00EA31F9" w:rsidRPr="0090099B" w:rsidRDefault="00EA31F9" w:rsidP="00EA31F9">
      <w:pPr>
        <w:pStyle w:val="xxxxparagraph"/>
        <w:spacing w:before="0" w:beforeAutospacing="0" w:after="0" w:afterAutospacing="0"/>
        <w:ind w:right="1082"/>
        <w:textAlignment w:val="baseline"/>
        <w:rPr>
          <w:rStyle w:val="xxxxeop"/>
          <w:bCs/>
          <w:color w:val="201F1E"/>
          <w:sz w:val="22"/>
          <w:bdr w:val="none" w:sz="0" w:space="0" w:color="auto" w:frame="1"/>
        </w:rPr>
      </w:pPr>
    </w:p>
    <w:p w14:paraId="374AECB8" w14:textId="77777777" w:rsidR="00EA31F9" w:rsidRPr="0090099B" w:rsidRDefault="00EA31F9" w:rsidP="00EA31F9">
      <w:pPr>
        <w:pStyle w:val="xxxxparagraph"/>
        <w:spacing w:before="0" w:beforeAutospacing="0" w:after="0" w:afterAutospacing="0"/>
        <w:ind w:left="720" w:right="1082"/>
        <w:textAlignment w:val="baseline"/>
        <w:rPr>
          <w:color w:val="1B1B1B"/>
          <w:sz w:val="22"/>
          <w:szCs w:val="27"/>
        </w:rPr>
      </w:pPr>
      <w:r w:rsidRPr="0090099B">
        <w:rPr>
          <w:color w:val="1B1B1B"/>
          <w:sz w:val="22"/>
          <w:szCs w:val="27"/>
        </w:rPr>
        <w:t>All cultural practices and objects are mobile; they like to spread, and almost all are themselves creations of intermixture. Kente [cloth] in Asante [southern Ghana] was first made with dyed silk thread, imported from the East…Putative owners may be previous appropriators.</w:t>
      </w:r>
      <w:r w:rsidRPr="0090099B">
        <w:rPr>
          <w:rStyle w:val="FootnoteReference"/>
          <w:color w:val="1B1B1B"/>
          <w:sz w:val="22"/>
          <w:szCs w:val="27"/>
        </w:rPr>
        <w:footnoteReference w:id="43"/>
      </w:r>
    </w:p>
    <w:p w14:paraId="50682C81" w14:textId="77777777" w:rsidR="00EA31F9" w:rsidRPr="0090099B" w:rsidRDefault="00EA31F9" w:rsidP="00EA31F9">
      <w:pPr>
        <w:pStyle w:val="xxxxparagraph"/>
        <w:spacing w:before="0" w:beforeAutospacing="0" w:after="0" w:afterAutospacing="0"/>
        <w:ind w:right="1082"/>
        <w:textAlignment w:val="baseline"/>
        <w:rPr>
          <w:color w:val="1B1B1B"/>
          <w:sz w:val="22"/>
          <w:szCs w:val="27"/>
        </w:rPr>
      </w:pPr>
    </w:p>
    <w:p w14:paraId="47802CA6" w14:textId="77777777" w:rsidR="00EA31F9" w:rsidRPr="0090099B" w:rsidRDefault="00EA31F9" w:rsidP="00EA31F9">
      <w:pPr>
        <w:ind w:right="1082"/>
        <w:rPr>
          <w:color w:val="000000" w:themeColor="text1"/>
          <w:sz w:val="22"/>
          <w:u w:color="000000"/>
        </w:rPr>
      </w:pPr>
      <w:r w:rsidRPr="0090099B">
        <w:rPr>
          <w:color w:val="000000" w:themeColor="text1"/>
          <w:sz w:val="22"/>
          <w:u w:color="000000"/>
        </w:rPr>
        <w:t xml:space="preserve">This spreading has accelerated in the era of global capitalism. </w:t>
      </w:r>
    </w:p>
    <w:p w14:paraId="1B3DC9B4" w14:textId="77777777" w:rsidR="00EA31F9" w:rsidRPr="0090099B" w:rsidRDefault="00EA31F9" w:rsidP="00EA31F9">
      <w:pPr>
        <w:ind w:right="1082"/>
        <w:rPr>
          <w:color w:val="000000" w:themeColor="text1"/>
          <w:sz w:val="22"/>
          <w:u w:color="000000"/>
        </w:rPr>
      </w:pPr>
    </w:p>
    <w:p w14:paraId="2C6FB95C" w14:textId="77777777" w:rsidR="00EA31F9" w:rsidRPr="0090099B" w:rsidRDefault="00EA31F9" w:rsidP="00EA31F9">
      <w:pPr>
        <w:ind w:right="1082"/>
        <w:rPr>
          <w:b/>
          <w:color w:val="1B1B1B"/>
          <w:sz w:val="22"/>
          <w:szCs w:val="30"/>
        </w:rPr>
      </w:pPr>
      <w:r w:rsidRPr="0090099B">
        <w:rPr>
          <w:sz w:val="22"/>
        </w:rPr>
        <w:t>Turning now from "culture" to "appropriation", this chapter discusses cultural appropriation in its artistic sense, involving the aesthetic sense of "culture". But in both cases the senses are hard to separate, and individuals can be criticised for "appropriating" culture in an anthropological sense – an example is influencer Oli London mentioned earlier.</w:t>
      </w:r>
      <w:r w:rsidRPr="0090099B">
        <w:rPr>
          <w:rStyle w:val="FootnoteReference"/>
          <w:sz w:val="22"/>
        </w:rPr>
        <w:footnoteReference w:id="44"/>
      </w:r>
      <w:r w:rsidRPr="0090099B">
        <w:rPr>
          <w:sz w:val="22"/>
        </w:rPr>
        <w:t xml:space="preserve"> </w:t>
      </w:r>
      <w:r w:rsidRPr="0090099B">
        <w:rPr>
          <w:color w:val="1B1B1B"/>
          <w:sz w:val="22"/>
          <w:szCs w:val="30"/>
        </w:rPr>
        <w:t>"Appropriate" means "take", without the implication of theft – the OED has "taking something for one's own use, typically without the owner's permission" (OED 2022). I</w:t>
      </w:r>
      <w:r w:rsidRPr="0090099B">
        <w:rPr>
          <w:sz w:val="22"/>
        </w:rPr>
        <w:t xml:space="preserve">t may come from Locke's "appropriation from nature", where it is neutral; Marx talks of </w:t>
      </w:r>
      <w:r w:rsidRPr="0090099B">
        <w:rPr>
          <w:color w:val="000000" w:themeColor="text1"/>
          <w:sz w:val="22"/>
        </w:rPr>
        <w:t>"expropriation". Appropriation refers to intangible as well as tangible items, whereas what is expropriated must be tangible. There is a continuum between tangible and intangible, and t</w:t>
      </w:r>
      <w:r w:rsidRPr="0090099B">
        <w:rPr>
          <w:color w:val="1B1B1B"/>
          <w:sz w:val="22"/>
          <w:szCs w:val="30"/>
        </w:rPr>
        <w:t>he most celebrated musical cases involve theft of something close to a tangible property</w:t>
      </w:r>
      <w:r w:rsidRPr="0090099B">
        <w:rPr>
          <w:b/>
          <w:color w:val="1B1B1B"/>
          <w:sz w:val="22"/>
          <w:szCs w:val="30"/>
        </w:rPr>
        <w:t xml:space="preserve"> – </w:t>
      </w:r>
      <w:r w:rsidRPr="0090099B">
        <w:rPr>
          <w:color w:val="1B1B1B"/>
          <w:sz w:val="22"/>
          <w:szCs w:val="30"/>
        </w:rPr>
        <w:t xml:space="preserve">a melody or groove. The thief takes at least some of the profit that should have gone to the original creator. </w:t>
      </w:r>
    </w:p>
    <w:p w14:paraId="5526D663" w14:textId="77777777" w:rsidR="00EA31F9" w:rsidRPr="0090099B" w:rsidRDefault="00EA31F9" w:rsidP="00EA31F9">
      <w:pPr>
        <w:ind w:right="1082"/>
        <w:rPr>
          <w:color w:val="1B1B1B"/>
          <w:sz w:val="22"/>
          <w:szCs w:val="30"/>
        </w:rPr>
      </w:pPr>
    </w:p>
    <w:p w14:paraId="4DFB773F" w14:textId="77777777" w:rsidR="00EA31F9" w:rsidRPr="0090099B" w:rsidRDefault="00EA31F9" w:rsidP="00EA31F9">
      <w:pPr>
        <w:pStyle w:val="CommentText"/>
        <w:ind w:right="1082"/>
        <w:rPr>
          <w:color w:val="1B1B1B"/>
          <w:sz w:val="22"/>
          <w:szCs w:val="30"/>
        </w:rPr>
      </w:pPr>
      <w:r w:rsidRPr="0090099B">
        <w:rPr>
          <w:sz w:val="22"/>
        </w:rPr>
        <w:t xml:space="preserve">Cultural appropriation critique thus </w:t>
      </w:r>
      <w:r w:rsidRPr="0090099B">
        <w:rPr>
          <w:sz w:val="22"/>
          <w:szCs w:val="30"/>
        </w:rPr>
        <w:t xml:space="preserve">assumes </w:t>
      </w:r>
      <w:r w:rsidRPr="0090099B">
        <w:rPr>
          <w:i/>
          <w:sz w:val="22"/>
          <w:szCs w:val="30"/>
        </w:rPr>
        <w:t>cultural ownership</w:t>
      </w:r>
      <w:r w:rsidRPr="0090099B">
        <w:rPr>
          <w:sz w:val="22"/>
          <w:szCs w:val="30"/>
        </w:rPr>
        <w:t xml:space="preserve"> – the claim that members of a culture own elements of that culture in the way that they own material things or intellectual property. </w:t>
      </w:r>
      <w:r w:rsidRPr="0090099B">
        <w:rPr>
          <w:color w:val="121212"/>
          <w:sz w:val="22"/>
        </w:rPr>
        <w:t xml:space="preserve">Artistic traditions are held to be the property of the cultures from which they arise, and not of a common humanity. </w:t>
      </w:r>
      <w:r w:rsidRPr="0090099B">
        <w:rPr>
          <w:sz w:val="22"/>
        </w:rPr>
        <w:t xml:space="preserve">Cultural appropriation is held to occur when members of a dominant culture use materials from the less powerful one that "owns" </w:t>
      </w:r>
      <w:r w:rsidRPr="0090099B">
        <w:rPr>
          <w:color w:val="1B1B1B"/>
          <w:sz w:val="22"/>
          <w:szCs w:val="30"/>
        </w:rPr>
        <w:t xml:space="preserve">those materials. </w:t>
      </w:r>
      <w:r w:rsidRPr="0090099B">
        <w:rPr>
          <w:sz w:val="22"/>
          <w:szCs w:val="30"/>
        </w:rPr>
        <w:t>As Appiah argues, t</w:t>
      </w:r>
      <w:r w:rsidRPr="0090099B">
        <w:rPr>
          <w:color w:val="1B1B1B"/>
          <w:sz w:val="22"/>
          <w:szCs w:val="27"/>
        </w:rPr>
        <w:t>o accept the notion of cultural appropriation is to accept a regime where corporate entities, acting as cultural guardians, "own" a treasury of intellectual property and charge others for making use of it.</w:t>
      </w:r>
      <w:r w:rsidRPr="0090099B">
        <w:rPr>
          <w:rStyle w:val="FootnoteReference"/>
          <w:color w:val="1B1B1B"/>
          <w:sz w:val="22"/>
          <w:szCs w:val="27"/>
        </w:rPr>
        <w:footnoteReference w:id="45"/>
      </w:r>
    </w:p>
    <w:p w14:paraId="431A7936" w14:textId="77777777" w:rsidR="00EA31F9" w:rsidRPr="0090099B" w:rsidRDefault="00EA31F9" w:rsidP="00EA31F9">
      <w:pPr>
        <w:ind w:right="1082"/>
        <w:rPr>
          <w:color w:val="000000" w:themeColor="text1"/>
          <w:sz w:val="22"/>
        </w:rPr>
      </w:pPr>
    </w:p>
    <w:p w14:paraId="69A8F7D6" w14:textId="77777777" w:rsidR="00EA31F9" w:rsidRPr="0090099B" w:rsidRDefault="00EA31F9" w:rsidP="00EA31F9">
      <w:pPr>
        <w:ind w:right="1082"/>
        <w:rPr>
          <w:sz w:val="22"/>
        </w:rPr>
      </w:pPr>
      <w:r w:rsidRPr="0090099B">
        <w:rPr>
          <w:color w:val="000000" w:themeColor="text1"/>
          <w:sz w:val="22"/>
        </w:rPr>
        <w:t>Furthermore, cultural a</w:t>
      </w:r>
      <w:r w:rsidRPr="0090099B">
        <w:rPr>
          <w:sz w:val="22"/>
        </w:rPr>
        <w:t>ppropriation implies a power imbalance; a</w:t>
      </w:r>
      <w:r w:rsidRPr="0090099B">
        <w:rPr>
          <w:rStyle w:val="xxxxeop"/>
          <w:bCs/>
          <w:color w:val="201F1E"/>
          <w:sz w:val="22"/>
          <w:bdr w:val="none" w:sz="0" w:space="0" w:color="auto" w:frame="1"/>
        </w:rPr>
        <w:t xml:space="preserve"> non-dominant or marginalised culture </w:t>
      </w:r>
      <w:r w:rsidRPr="0090099B">
        <w:rPr>
          <w:sz w:val="22"/>
        </w:rPr>
        <w:t>cannot</w:t>
      </w:r>
      <w:r w:rsidRPr="0090099B">
        <w:rPr>
          <w:rStyle w:val="xxxxeop"/>
          <w:bCs/>
          <w:color w:val="201F1E"/>
          <w:sz w:val="22"/>
          <w:bdr w:val="none" w:sz="0" w:space="0" w:color="auto" w:frame="1"/>
        </w:rPr>
        <w:t xml:space="preserve"> appropriate. A</w:t>
      </w:r>
      <w:r w:rsidRPr="0090099B">
        <w:rPr>
          <w:color w:val="000000" w:themeColor="text1"/>
          <w:sz w:val="22"/>
        </w:rPr>
        <w:t xml:space="preserve">n insider group copying a dominant outsider group engages in </w:t>
      </w:r>
      <w:r w:rsidRPr="0090099B">
        <w:rPr>
          <w:i/>
          <w:color w:val="000000" w:themeColor="text1"/>
          <w:sz w:val="22"/>
        </w:rPr>
        <w:t>cultural assimilation</w:t>
      </w:r>
      <w:r w:rsidRPr="0090099B">
        <w:rPr>
          <w:color w:val="000000" w:themeColor="text1"/>
          <w:sz w:val="22"/>
        </w:rPr>
        <w:t>, not appropriation. S</w:t>
      </w:r>
      <w:r w:rsidRPr="0090099B">
        <w:rPr>
          <w:rStyle w:val="xxxxeop"/>
          <w:bCs/>
          <w:color w:val="201F1E"/>
          <w:sz w:val="22"/>
          <w:bdr w:val="none" w:sz="0" w:space="0" w:color="auto" w:frame="1"/>
        </w:rPr>
        <w:t>o</w:t>
      </w:r>
      <w:r w:rsidRPr="0090099B">
        <w:rPr>
          <w:sz w:val="22"/>
        </w:rPr>
        <w:t xml:space="preserve"> one cannot talk of cultural appropriation of European artefacts by African-American artists, or of an English folk-song by Debussy. A culture can be </w:t>
      </w:r>
      <w:r w:rsidRPr="0090099B">
        <w:rPr>
          <w:rStyle w:val="xxxxeop"/>
          <w:bCs/>
          <w:color w:val="201F1E"/>
          <w:sz w:val="22"/>
          <w:bdr w:val="none" w:sz="0" w:space="0" w:color="auto" w:frame="1"/>
        </w:rPr>
        <w:t>non-dominant without being marginalised – for example, French culture in the UK and US. (Perhaps one could allow that a</w:t>
      </w:r>
      <w:r w:rsidRPr="0090099B">
        <w:rPr>
          <w:sz w:val="22"/>
        </w:rPr>
        <w:t xml:space="preserve"> non-dominant culture can appropriate from a dominant one, but that the appropriation is not criticisable as it is when done in reverse.)</w:t>
      </w:r>
      <w:r w:rsidRPr="0090099B">
        <w:rPr>
          <w:b/>
          <w:sz w:val="22"/>
        </w:rPr>
        <w:t xml:space="preserve"> </w:t>
      </w:r>
      <w:r w:rsidRPr="0090099B">
        <w:rPr>
          <w:sz w:val="22"/>
        </w:rPr>
        <w:t xml:space="preserve">Cultural appropriation, </w:t>
      </w:r>
      <w:r w:rsidRPr="0090099B">
        <w:rPr>
          <w:color w:val="000000" w:themeColor="text1"/>
          <w:sz w:val="22"/>
        </w:rPr>
        <w:t>whether in cuisine and music,</w:t>
      </w:r>
      <w:r w:rsidRPr="0090099B">
        <w:rPr>
          <w:rStyle w:val="xxxxeop"/>
          <w:bCs/>
          <w:color w:val="201F1E"/>
          <w:sz w:val="22"/>
          <w:bdr w:val="none" w:sz="0" w:space="0" w:color="auto" w:frame="1"/>
        </w:rPr>
        <w:t xml:space="preserve"> </w:t>
      </w:r>
      <w:r w:rsidRPr="0090099B">
        <w:rPr>
          <w:color w:val="000000" w:themeColor="text1"/>
          <w:sz w:val="22"/>
        </w:rPr>
        <w:t>usually results in dilution; for instance, Thai food in Britain is a pale imitation of the original article</w:t>
      </w:r>
      <w:r w:rsidRPr="0090099B">
        <w:rPr>
          <w:sz w:val="22"/>
        </w:rPr>
        <w:t xml:space="preserve">. Mozart's </w:t>
      </w:r>
      <w:r w:rsidRPr="0090099B">
        <w:rPr>
          <w:i/>
          <w:sz w:val="22"/>
        </w:rPr>
        <w:t>alla turca</w:t>
      </w:r>
      <w:r w:rsidRPr="0090099B">
        <w:rPr>
          <w:sz w:val="22"/>
        </w:rPr>
        <w:t xml:space="preserve"> style, as in his "Turkish Rondo", draws on a "Turkish" style popular in 18th century Western art music. This was not a complete fabrication, but mixed features picked up through the limited contact between the Viennese and the Ottoman Turks, plus stereotypical musical devices associated with the Eastern Other:</w:t>
      </w:r>
    </w:p>
    <w:p w14:paraId="1238CA2D" w14:textId="77777777" w:rsidR="00EA31F9" w:rsidRPr="0090099B" w:rsidRDefault="00EA31F9" w:rsidP="00EA31F9">
      <w:pPr>
        <w:pStyle w:val="Body"/>
        <w:pBdr>
          <w:top w:val="none" w:sz="0" w:space="0" w:color="auto"/>
          <w:left w:val="none" w:sz="0" w:space="0" w:color="auto"/>
          <w:bottom w:val="none" w:sz="0" w:space="0" w:color="auto"/>
          <w:right w:val="none" w:sz="0" w:space="0" w:color="auto"/>
          <w:between w:val="none" w:sz="0" w:space="0" w:color="auto"/>
          <w:bar w:val="none" w:sz="0" w:color="auto"/>
        </w:pBdr>
        <w:ind w:right="1082"/>
        <w:rPr>
          <w:rFonts w:cs="Times New Roman"/>
          <w:sz w:val="22"/>
          <w:lang w:val="en-GB"/>
        </w:rPr>
      </w:pPr>
    </w:p>
    <w:p w14:paraId="27B0D65F" w14:textId="77777777" w:rsidR="00EA31F9" w:rsidRPr="0090099B" w:rsidRDefault="00EA31F9" w:rsidP="00EA31F9">
      <w:pPr>
        <w:pStyle w:val="Body"/>
        <w:pBdr>
          <w:top w:val="none" w:sz="0" w:space="0" w:color="auto"/>
          <w:left w:val="none" w:sz="0" w:space="0" w:color="auto"/>
          <w:bottom w:val="none" w:sz="0" w:space="0" w:color="auto"/>
          <w:right w:val="none" w:sz="0" w:space="0" w:color="auto"/>
          <w:between w:val="none" w:sz="0" w:space="0" w:color="auto"/>
          <w:bar w:val="none" w:sz="0" w:color="auto"/>
        </w:pBdr>
        <w:ind w:left="720" w:right="1082"/>
        <w:rPr>
          <w:rFonts w:cs="Times New Roman"/>
          <w:sz w:val="22"/>
          <w:lang w:val="en-GB"/>
        </w:rPr>
      </w:pPr>
      <w:r w:rsidRPr="0090099B">
        <w:rPr>
          <w:rFonts w:cs="Times New Roman"/>
          <w:sz w:val="22"/>
          <w:lang w:val="en-GB"/>
        </w:rPr>
        <w:t>a complex of generally noisy sonic materials derived, in large part, from the military music of Janissary troops or, rather, from Western impressions and distant memories thereof.</w:t>
      </w:r>
      <w:r w:rsidRPr="0090099B">
        <w:rPr>
          <w:rStyle w:val="FootnoteReference"/>
          <w:rFonts w:cs="Times New Roman"/>
          <w:sz w:val="22"/>
          <w:lang w:val="en-GB"/>
        </w:rPr>
        <w:footnoteReference w:id="46"/>
      </w:r>
    </w:p>
    <w:p w14:paraId="461CD2ED" w14:textId="77777777" w:rsidR="00EA31F9" w:rsidRPr="0090099B" w:rsidRDefault="00EA31F9" w:rsidP="00EA31F9">
      <w:pPr>
        <w:pStyle w:val="Body"/>
        <w:pBdr>
          <w:top w:val="none" w:sz="0" w:space="0" w:color="auto"/>
          <w:left w:val="none" w:sz="0" w:space="0" w:color="auto"/>
          <w:bottom w:val="none" w:sz="0" w:space="0" w:color="auto"/>
          <w:right w:val="none" w:sz="0" w:space="0" w:color="auto"/>
          <w:between w:val="none" w:sz="0" w:space="0" w:color="auto"/>
          <w:bar w:val="none" w:sz="0" w:color="auto"/>
        </w:pBdr>
        <w:ind w:right="1082"/>
        <w:rPr>
          <w:rFonts w:cs="Times New Roman"/>
          <w:sz w:val="22"/>
          <w:lang w:val="en-GB"/>
        </w:rPr>
      </w:pPr>
    </w:p>
    <w:p w14:paraId="5AD4B4D3" w14:textId="77777777" w:rsidR="00EA31F9" w:rsidRPr="0090099B" w:rsidRDefault="00EA31F9" w:rsidP="00EA31F9">
      <w:pPr>
        <w:ind w:right="1082"/>
        <w:rPr>
          <w:sz w:val="22"/>
        </w:rPr>
      </w:pPr>
      <w:r w:rsidRPr="0090099B">
        <w:rPr>
          <w:sz w:val="22"/>
        </w:rPr>
        <w:t>Thus it is a translation of a widely held perception of Turkish music.</w:t>
      </w:r>
    </w:p>
    <w:p w14:paraId="2D29DD9E" w14:textId="77777777" w:rsidR="00EA31F9" w:rsidRPr="0090099B" w:rsidRDefault="00EA31F9" w:rsidP="00EA31F9">
      <w:pPr>
        <w:ind w:right="1082"/>
        <w:rPr>
          <w:sz w:val="22"/>
        </w:rPr>
      </w:pPr>
    </w:p>
    <w:p w14:paraId="3A27BD82" w14:textId="77777777" w:rsidR="00EA31F9" w:rsidRPr="0090099B" w:rsidRDefault="00EA31F9" w:rsidP="00EA31F9">
      <w:pPr>
        <w:ind w:right="1082"/>
        <w:outlineLvl w:val="0"/>
        <w:rPr>
          <w:b/>
          <w:i/>
          <w:sz w:val="22"/>
        </w:rPr>
      </w:pPr>
      <w:r w:rsidRPr="0090099B">
        <w:rPr>
          <w:color w:val="000000" w:themeColor="text1"/>
          <w:sz w:val="22"/>
          <w:u w:color="000000"/>
        </w:rPr>
        <w:t xml:space="preserve">Cultural appropriation is held to operate through a power imbalance therefore. This involves </w:t>
      </w:r>
      <w:r w:rsidRPr="0090099B">
        <w:rPr>
          <w:i/>
          <w:color w:val="000000" w:themeColor="text1"/>
          <w:sz w:val="22"/>
          <w:u w:color="000000"/>
        </w:rPr>
        <w:t>hegemony</w:t>
      </w:r>
      <w:r w:rsidRPr="0090099B">
        <w:rPr>
          <w:color w:val="000000" w:themeColor="text1"/>
          <w:sz w:val="22"/>
          <w:u w:color="000000"/>
        </w:rPr>
        <w:t xml:space="preserve"> or soft power – </w:t>
      </w:r>
      <w:r w:rsidRPr="0090099B">
        <w:rPr>
          <w:rFonts w:eastAsia="Times-Roman"/>
          <w:sz w:val="22"/>
        </w:rPr>
        <w:t>non-coercive or non-state power</w:t>
      </w:r>
      <w:r w:rsidRPr="0090099B">
        <w:rPr>
          <w:color w:val="000000" w:themeColor="text1"/>
          <w:sz w:val="22"/>
          <w:u w:color="000000"/>
        </w:rPr>
        <w:t xml:space="preserve">, not hard power, arising principally from the West's unique global dominance. The concept of hegemony, </w:t>
      </w:r>
      <w:r w:rsidRPr="0090099B">
        <w:rPr>
          <w:sz w:val="22"/>
        </w:rPr>
        <w:t>developed by Marxist theorist Antonio Gramsci,</w:t>
      </w:r>
      <w:r w:rsidRPr="0090099B">
        <w:rPr>
          <w:color w:val="000000" w:themeColor="text1"/>
          <w:sz w:val="22"/>
          <w:u w:color="000000"/>
        </w:rPr>
        <w:t xml:space="preserve"> involves manipulation of a society's worldview to reflect the interests of the dominant culture</w:t>
      </w:r>
      <w:r w:rsidRPr="0090099B">
        <w:rPr>
          <w:sz w:val="22"/>
        </w:rPr>
        <w:t>. A</w:t>
      </w:r>
      <w:r w:rsidRPr="0090099B">
        <w:rPr>
          <w:color w:val="000000" w:themeColor="text1"/>
          <w:sz w:val="22"/>
          <w:u w:color="000000"/>
        </w:rPr>
        <w:t xml:space="preserve">s Edward Said (1979) and Stuart Hall (1992) argued, the West is the norm and deviations are </w:t>
      </w:r>
      <w:r w:rsidRPr="0090099B">
        <w:rPr>
          <w:i/>
          <w:iCs/>
          <w:color w:val="000000" w:themeColor="text1"/>
          <w:sz w:val="22"/>
          <w:u w:color="000000"/>
        </w:rPr>
        <w:t>Othered</w:t>
      </w:r>
      <w:r w:rsidRPr="0090099B">
        <w:rPr>
          <w:color w:val="000000" w:themeColor="text1"/>
          <w:sz w:val="22"/>
          <w:u w:color="000000"/>
        </w:rPr>
        <w:t>.</w:t>
      </w:r>
      <w:r w:rsidRPr="0090099B">
        <w:rPr>
          <w:sz w:val="22"/>
        </w:rPr>
        <w:t xml:space="preserve"> The effects of hegemony contrast with </w:t>
      </w:r>
      <w:r w:rsidRPr="0090099B">
        <w:rPr>
          <w:i/>
          <w:color w:val="000000" w:themeColor="text1"/>
          <w:sz w:val="22"/>
        </w:rPr>
        <w:t xml:space="preserve">cultural theft </w:t>
      </w:r>
      <w:r w:rsidRPr="0090099B">
        <w:rPr>
          <w:color w:val="000000" w:themeColor="text1"/>
          <w:sz w:val="22"/>
        </w:rPr>
        <w:t xml:space="preserve">– what Napoleon, the Nazis and perhaps Lord Elgin engaged in – which manifests hard power or </w:t>
      </w:r>
      <w:r w:rsidRPr="0090099B">
        <w:rPr>
          <w:color w:val="000000" w:themeColor="text1"/>
          <w:sz w:val="22"/>
          <w:u w:color="000000"/>
        </w:rPr>
        <w:t>direct cultural domination based on force</w:t>
      </w:r>
      <w:r w:rsidRPr="0090099B">
        <w:rPr>
          <w:color w:val="1B1B1B"/>
          <w:sz w:val="22"/>
          <w:szCs w:val="30"/>
        </w:rPr>
        <w:t xml:space="preserve">. </w:t>
      </w:r>
      <w:r w:rsidRPr="0090099B">
        <w:rPr>
          <w:rFonts w:eastAsia="Times-Roman"/>
          <w:sz w:val="22"/>
        </w:rPr>
        <w:t xml:space="preserve">Thus the supremacy of a social group manifests itself as "domination", and as "intellectual and moral leadership": </w:t>
      </w:r>
      <w:r w:rsidRPr="0090099B">
        <w:rPr>
          <w:sz w:val="22"/>
        </w:rPr>
        <w:t>"the power of coercion and the power to produce consent are intertwined".</w:t>
      </w:r>
      <w:r w:rsidRPr="0090099B">
        <w:rPr>
          <w:rStyle w:val="FootnoteReference"/>
          <w:sz w:val="22"/>
        </w:rPr>
        <w:footnoteReference w:id="47"/>
      </w:r>
      <w:r w:rsidRPr="0090099B">
        <w:rPr>
          <w:sz w:val="22"/>
        </w:rPr>
        <w:t xml:space="preserve"> In ideological critique generally, as</w:t>
      </w:r>
      <w:r w:rsidRPr="0090099B">
        <w:rPr>
          <w:color w:val="000000" w:themeColor="text1"/>
          <w:sz w:val="22"/>
          <w:u w:color="000000"/>
        </w:rPr>
        <w:t xml:space="preserve"> we saw in Ch. 6,</w:t>
      </w:r>
      <w:r w:rsidRPr="0090099B">
        <w:rPr>
          <w:sz w:val="22"/>
        </w:rPr>
        <w:t xml:space="preserve"> the assumption is that </w:t>
      </w:r>
      <w:r w:rsidRPr="0090099B">
        <w:rPr>
          <w:color w:val="000000" w:themeColor="text1"/>
          <w:sz w:val="22"/>
          <w:u w:color="000000"/>
        </w:rPr>
        <w:t>concepts are owned – "ideas express power relations". However – to reiterate – "canon-ownership" becomes less plausible, as the canon has broadened in recent years.</w:t>
      </w:r>
    </w:p>
    <w:p w14:paraId="219DE62A" w14:textId="77777777" w:rsidR="00EA31F9" w:rsidRPr="0090099B" w:rsidRDefault="00EA31F9" w:rsidP="00EA31F9">
      <w:pPr>
        <w:ind w:right="1082"/>
        <w:rPr>
          <w:color w:val="000000" w:themeColor="text1"/>
          <w:sz w:val="22"/>
          <w:u w:color="000000"/>
        </w:rPr>
      </w:pPr>
    </w:p>
    <w:p w14:paraId="4193AD1A" w14:textId="77777777" w:rsidR="00EA31F9" w:rsidRPr="0090099B" w:rsidRDefault="00EA31F9" w:rsidP="00EA31F9">
      <w:pPr>
        <w:ind w:right="1082"/>
        <w:rPr>
          <w:color w:val="1B1B1B"/>
          <w:sz w:val="22"/>
          <w:szCs w:val="30"/>
        </w:rPr>
      </w:pPr>
      <w:r w:rsidRPr="0090099B">
        <w:rPr>
          <w:color w:val="000000" w:themeColor="text1"/>
          <w:sz w:val="22"/>
          <w:u w:color="000000"/>
        </w:rPr>
        <w:t xml:space="preserve">Hegemony implies what </w:t>
      </w:r>
      <w:r w:rsidRPr="0090099B">
        <w:rPr>
          <w:color w:val="000000" w:themeColor="text1"/>
          <w:sz w:val="22"/>
        </w:rPr>
        <w:t>Miranda Fricker calls</w:t>
      </w:r>
      <w:r w:rsidRPr="0090099B">
        <w:rPr>
          <w:i/>
          <w:color w:val="000000" w:themeColor="text1"/>
          <w:sz w:val="22"/>
        </w:rPr>
        <w:t xml:space="preserve"> epistemic injustice</w:t>
      </w:r>
      <w:r w:rsidRPr="0090099B">
        <w:rPr>
          <w:sz w:val="22"/>
        </w:rPr>
        <w:t>;</w:t>
      </w:r>
      <w:r w:rsidRPr="0090099B">
        <w:rPr>
          <w:b/>
          <w:color w:val="000000" w:themeColor="text1"/>
          <w:sz w:val="22"/>
        </w:rPr>
        <w:t xml:space="preserve"> </w:t>
      </w:r>
      <w:r w:rsidRPr="0090099B">
        <w:rPr>
          <w:color w:val="000000" w:themeColor="text1"/>
          <w:sz w:val="22"/>
        </w:rPr>
        <w:t xml:space="preserve">the dominant group is privileged over the marginalised, denying them </w:t>
      </w:r>
      <w:r w:rsidRPr="0090099B">
        <w:rPr>
          <w:sz w:val="22"/>
        </w:rPr>
        <w:t>a critical voice</w:t>
      </w:r>
      <w:r w:rsidRPr="0090099B">
        <w:rPr>
          <w:color w:val="000000" w:themeColor="text1"/>
          <w:sz w:val="22"/>
        </w:rPr>
        <w:t>.</w:t>
      </w:r>
      <w:r w:rsidRPr="0090099B">
        <w:rPr>
          <w:rStyle w:val="FootnoteReference"/>
          <w:sz w:val="22"/>
        </w:rPr>
        <w:footnoteReference w:id="48"/>
      </w:r>
      <w:r w:rsidRPr="0090099B">
        <w:rPr>
          <w:sz w:val="22"/>
        </w:rPr>
        <w:t xml:space="preserve"> Epistemic injustice includes </w:t>
      </w:r>
      <w:r w:rsidRPr="0090099B">
        <w:rPr>
          <w:i/>
          <w:color w:val="000000" w:themeColor="text1"/>
          <w:sz w:val="22"/>
          <w:u w:color="000000"/>
        </w:rPr>
        <w:t>testimonial injustice</w:t>
      </w:r>
      <w:r w:rsidRPr="0090099B">
        <w:rPr>
          <w:color w:val="000000" w:themeColor="text1"/>
          <w:sz w:val="22"/>
          <w:u w:color="000000"/>
        </w:rPr>
        <w:t>: not being believed due to race, gender or class</w:t>
      </w:r>
      <w:r w:rsidRPr="0090099B">
        <w:rPr>
          <w:sz w:val="22"/>
        </w:rPr>
        <w:t xml:space="preserve">. Thus in the trial of </w:t>
      </w:r>
      <w:r w:rsidRPr="0090099B">
        <w:rPr>
          <w:i/>
          <w:iCs/>
          <w:sz w:val="22"/>
        </w:rPr>
        <w:t>To Kill a Mockingbird</w:t>
      </w:r>
      <w:r w:rsidRPr="0090099B">
        <w:rPr>
          <w:sz w:val="22"/>
        </w:rPr>
        <w:t xml:space="preserve">, honest testimony by the African-American Tom Robinson is rejected, in favour of non-credible testimony from white witnesses; similarly the testimony of Dr Aziz in </w:t>
      </w:r>
      <w:r w:rsidRPr="0090099B">
        <w:rPr>
          <w:i/>
          <w:sz w:val="22"/>
        </w:rPr>
        <w:t>A Passage To India</w:t>
      </w:r>
      <w:r w:rsidRPr="0090099B">
        <w:rPr>
          <w:sz w:val="22"/>
        </w:rPr>
        <w:t xml:space="preserve">. </w:t>
      </w:r>
      <w:r w:rsidRPr="0090099B">
        <w:rPr>
          <w:i/>
          <w:color w:val="000000" w:themeColor="text1"/>
          <w:sz w:val="22"/>
          <w:u w:color="000000"/>
        </w:rPr>
        <w:t>Hermeneutical injustice</w:t>
      </w:r>
      <w:r w:rsidRPr="0090099B">
        <w:rPr>
          <w:color w:val="000000" w:themeColor="text1"/>
          <w:sz w:val="22"/>
          <w:u w:color="000000"/>
        </w:rPr>
        <w:t xml:space="preserve"> disregards one's experience through lack of collective understanding – marginalised groups are underrepresented in journalism and academia, so cannot shape discourse. </w:t>
      </w:r>
      <w:r w:rsidRPr="0090099B">
        <w:rPr>
          <w:sz w:val="22"/>
        </w:rPr>
        <w:t>The notion of epistemic injustice in social and artistic criticism can be seen as a development of Fricker's notion, and it is addressed by the notion of democracy of taste in Ch. 4 above.</w:t>
      </w:r>
    </w:p>
    <w:p w14:paraId="5964A219" w14:textId="77777777" w:rsidR="00EA31F9" w:rsidRPr="0090099B" w:rsidRDefault="00EA31F9" w:rsidP="00EA31F9">
      <w:pPr>
        <w:pStyle w:val="CommentText"/>
        <w:ind w:right="1082"/>
        <w:rPr>
          <w:b/>
          <w:sz w:val="22"/>
          <w:szCs w:val="30"/>
        </w:rPr>
      </w:pPr>
    </w:p>
    <w:p w14:paraId="04AB8941" w14:textId="77777777" w:rsidR="00EA31F9" w:rsidRPr="0090099B" w:rsidRDefault="00EA31F9" w:rsidP="00EA31F9">
      <w:pPr>
        <w:pStyle w:val="CommentText"/>
        <w:ind w:right="1082"/>
        <w:rPr>
          <w:sz w:val="22"/>
          <w:szCs w:val="30"/>
        </w:rPr>
      </w:pPr>
      <w:r w:rsidRPr="0090099B">
        <w:rPr>
          <w:sz w:val="22"/>
          <w:szCs w:val="30"/>
        </w:rPr>
        <w:t xml:space="preserve">We begin the appraisal of cultural appropriation critique by looking at the assumption of cultural ownership, before moving on to liberal conceptions of the artist as appropriator, and the distinction between aesthetic and moral criticism of an artwork or artist. </w:t>
      </w:r>
    </w:p>
    <w:p w14:paraId="43BD32DE" w14:textId="77777777" w:rsidR="00EA31F9" w:rsidRPr="0090099B" w:rsidRDefault="00EA31F9" w:rsidP="00EA31F9">
      <w:pPr>
        <w:pStyle w:val="CommentText"/>
        <w:ind w:right="1082"/>
        <w:rPr>
          <w:sz w:val="22"/>
          <w:szCs w:val="30"/>
        </w:rPr>
      </w:pPr>
    </w:p>
    <w:p w14:paraId="4C554797" w14:textId="77777777" w:rsidR="00EA31F9" w:rsidRPr="0090099B" w:rsidRDefault="00EA31F9" w:rsidP="00EA31F9">
      <w:pPr>
        <w:pStyle w:val="NormalWeb"/>
        <w:shd w:val="clear" w:color="auto" w:fill="FFFFFF"/>
        <w:spacing w:before="0" w:after="0"/>
        <w:ind w:right="1082"/>
        <w:rPr>
          <w:sz w:val="22"/>
        </w:rPr>
      </w:pPr>
    </w:p>
    <w:p w14:paraId="7EA836A1" w14:textId="77777777" w:rsidR="00EA31F9" w:rsidRPr="0090099B" w:rsidRDefault="00EA31F9" w:rsidP="00EA31F9">
      <w:pPr>
        <w:ind w:right="1082"/>
        <w:rPr>
          <w:b/>
          <w:color w:val="FF0000"/>
          <w:sz w:val="22"/>
        </w:rPr>
      </w:pPr>
    </w:p>
    <w:p w14:paraId="1644C955" w14:textId="77777777" w:rsidR="00EA31F9" w:rsidRPr="0090099B" w:rsidRDefault="00EA31F9" w:rsidP="00EA31F9">
      <w:pPr>
        <w:ind w:right="1082"/>
        <w:rPr>
          <w:sz w:val="22"/>
        </w:rPr>
      </w:pPr>
    </w:p>
    <w:p w14:paraId="67EC8BAE" w14:textId="77777777" w:rsidR="00EA31F9" w:rsidRPr="0090099B" w:rsidRDefault="00EA31F9" w:rsidP="00EA31F9">
      <w:pPr>
        <w:ind w:right="1082"/>
        <w:outlineLvl w:val="0"/>
        <w:rPr>
          <w:b/>
          <w:sz w:val="22"/>
        </w:rPr>
      </w:pPr>
      <w:r w:rsidRPr="0090099B">
        <w:rPr>
          <w:b/>
          <w:sz w:val="22"/>
        </w:rPr>
        <w:t>8.3. Ownership, the artist as appropriator, and aesthetic versus moral criticism of art</w:t>
      </w:r>
    </w:p>
    <w:p w14:paraId="78B78F30" w14:textId="77777777" w:rsidR="00EA31F9" w:rsidRPr="0090099B" w:rsidRDefault="00EA31F9" w:rsidP="00EA31F9">
      <w:pPr>
        <w:pStyle w:val="CommentText"/>
        <w:ind w:right="1082"/>
        <w:rPr>
          <w:b/>
          <w:i/>
          <w:sz w:val="22"/>
          <w:szCs w:val="30"/>
        </w:rPr>
      </w:pPr>
    </w:p>
    <w:p w14:paraId="34FD23BE" w14:textId="77777777" w:rsidR="00EA31F9" w:rsidRPr="0090099B" w:rsidRDefault="00EA31F9" w:rsidP="00EA31F9">
      <w:pPr>
        <w:pStyle w:val="CommentText"/>
        <w:ind w:right="1082"/>
        <w:rPr>
          <w:sz w:val="22"/>
          <w:szCs w:val="30"/>
        </w:rPr>
      </w:pPr>
      <w:r w:rsidRPr="0090099B">
        <w:rPr>
          <w:sz w:val="22"/>
          <w:szCs w:val="30"/>
        </w:rPr>
        <w:t xml:space="preserve">Cultural ownership, to reiterate, is the claim that members of a culture own elements of that culture in the way that they own material things or intellectual property. This is the first point on which one can criticise cultural appropriation critique. Claims of cultural ownership are difficult to judge, and tracing the true cultural origin of a tradition or practice is difficult – critics would say pointless – in a globalised capitalist world. </w:t>
      </w:r>
      <w:r w:rsidRPr="0090099B">
        <w:rPr>
          <w:color w:val="1B1B1B"/>
          <w:sz w:val="22"/>
          <w:szCs w:val="27"/>
        </w:rPr>
        <w:t xml:space="preserve">For Appiah, ownership is the wrong model: </w:t>
      </w:r>
    </w:p>
    <w:p w14:paraId="6E50FAE0" w14:textId="77777777" w:rsidR="00EA31F9" w:rsidRPr="0090099B" w:rsidRDefault="00EA31F9" w:rsidP="00EA31F9">
      <w:pPr>
        <w:ind w:right="1082"/>
        <w:rPr>
          <w:color w:val="1B1B1B"/>
          <w:sz w:val="22"/>
          <w:szCs w:val="27"/>
        </w:rPr>
      </w:pPr>
    </w:p>
    <w:p w14:paraId="33B54ED3" w14:textId="77777777" w:rsidR="00EA31F9" w:rsidRPr="0090099B" w:rsidRDefault="00EA31F9" w:rsidP="00EA31F9">
      <w:pPr>
        <w:ind w:left="720" w:right="1082"/>
        <w:rPr>
          <w:color w:val="1B1B1B"/>
          <w:sz w:val="22"/>
          <w:szCs w:val="27"/>
        </w:rPr>
      </w:pPr>
      <w:r w:rsidRPr="0090099B">
        <w:rPr>
          <w:color w:val="1B1B1B"/>
          <w:sz w:val="22"/>
          <w:szCs w:val="27"/>
        </w:rPr>
        <w:t xml:space="preserve">The arts flourished in the world's traditional cultures without being conceptualized as "intellectual property"...But vigorous corporate lobbying has helped the idea of intellectual property to conquer the world. </w:t>
      </w:r>
    </w:p>
    <w:p w14:paraId="4D9DBA69" w14:textId="77777777" w:rsidR="00EA31F9" w:rsidRPr="0090099B" w:rsidRDefault="00EA31F9" w:rsidP="00EA31F9">
      <w:pPr>
        <w:ind w:right="1082"/>
        <w:rPr>
          <w:color w:val="1B1B1B"/>
          <w:sz w:val="22"/>
          <w:szCs w:val="27"/>
        </w:rPr>
      </w:pPr>
    </w:p>
    <w:p w14:paraId="37052C1B" w14:textId="77777777" w:rsidR="00EA31F9" w:rsidRPr="0090099B" w:rsidRDefault="00EA31F9" w:rsidP="00EA31F9">
      <w:pPr>
        <w:pStyle w:val="dcr-eu20cu"/>
        <w:shd w:val="clear" w:color="auto" w:fill="FFFFFF"/>
        <w:spacing w:before="0" w:beforeAutospacing="0" w:after="0" w:afterAutospacing="0"/>
        <w:ind w:right="1082"/>
        <w:textAlignment w:val="baseline"/>
        <w:rPr>
          <w:rFonts w:eastAsia="Times New Roman"/>
          <w:color w:val="1B1B1B"/>
          <w:sz w:val="22"/>
          <w:szCs w:val="30"/>
          <w:shd w:val="clear" w:color="auto" w:fill="FFFFFF"/>
        </w:rPr>
      </w:pPr>
      <w:r w:rsidRPr="0090099B">
        <w:rPr>
          <w:color w:val="1B1B1B"/>
          <w:sz w:val="22"/>
          <w:szCs w:val="27"/>
        </w:rPr>
        <w:t xml:space="preserve">To regard </w:t>
      </w:r>
      <w:r w:rsidRPr="0090099B">
        <w:rPr>
          <w:rFonts w:eastAsia="Times New Roman"/>
          <w:color w:val="1B1B1B"/>
          <w:sz w:val="22"/>
          <w:szCs w:val="30"/>
          <w:shd w:val="clear" w:color="auto" w:fill="FFFFFF"/>
        </w:rPr>
        <w:t>culture as intellectual property is neoliberalism, Appiah argues</w:t>
      </w:r>
      <w:r w:rsidRPr="0090099B">
        <w:rPr>
          <w:rFonts w:eastAsia="Times New Roman"/>
          <w:sz w:val="22"/>
        </w:rPr>
        <w:t>: "</w:t>
      </w:r>
      <w:r w:rsidRPr="0090099B">
        <w:rPr>
          <w:rFonts w:eastAsia="Times New Roman"/>
          <w:color w:val="1B1B1B"/>
          <w:sz w:val="22"/>
          <w:szCs w:val="30"/>
          <w:shd w:val="clear" w:color="auto" w:fill="FFFFFF"/>
        </w:rPr>
        <w:t>The key question in the use of symbols or regalia associated with another identity group is not: What are my rights of ownership? Rather it's: Are my actions disrespectful?"</w:t>
      </w:r>
      <w:r w:rsidRPr="0090099B">
        <w:rPr>
          <w:rStyle w:val="FootnoteReference"/>
          <w:rFonts w:eastAsia="Times New Roman"/>
          <w:color w:val="1B1B1B"/>
          <w:sz w:val="22"/>
          <w:szCs w:val="30"/>
          <w:shd w:val="clear" w:color="auto" w:fill="FFFFFF"/>
        </w:rPr>
        <w:footnoteReference w:id="49"/>
      </w:r>
      <w:r w:rsidRPr="0090099B">
        <w:rPr>
          <w:rFonts w:eastAsia="Times New Roman"/>
          <w:color w:val="1B1B1B"/>
          <w:sz w:val="22"/>
          <w:szCs w:val="30"/>
          <w:shd w:val="clear" w:color="auto" w:fill="FFFFFF"/>
        </w:rPr>
        <w:t xml:space="preserve"> Jeremy Waldron argues against cultural rights as human rights. A cosmopolitan life can be fulfilling, he writes:</w:t>
      </w:r>
    </w:p>
    <w:p w14:paraId="5C79D91B" w14:textId="77777777" w:rsidR="00EA31F9" w:rsidRPr="0090099B" w:rsidRDefault="00EA31F9" w:rsidP="00EA31F9">
      <w:pPr>
        <w:ind w:right="1082"/>
        <w:rPr>
          <w:color w:val="1B1B1B"/>
          <w:sz w:val="22"/>
          <w:szCs w:val="30"/>
          <w:shd w:val="clear" w:color="auto" w:fill="FFFFFF"/>
        </w:rPr>
      </w:pPr>
    </w:p>
    <w:p w14:paraId="498ABDB8" w14:textId="77777777" w:rsidR="00EA31F9" w:rsidRPr="0090099B" w:rsidRDefault="00EA31F9" w:rsidP="00EA31F9">
      <w:pPr>
        <w:ind w:left="720" w:right="1082"/>
        <w:rPr>
          <w:color w:val="1B1B1B"/>
          <w:sz w:val="22"/>
          <w:szCs w:val="30"/>
          <w:shd w:val="clear" w:color="auto" w:fill="FFFFFF"/>
        </w:rPr>
      </w:pPr>
      <w:r w:rsidRPr="0090099B">
        <w:rPr>
          <w:color w:val="1B1B1B"/>
          <w:sz w:val="22"/>
          <w:szCs w:val="30"/>
          <w:shd w:val="clear" w:color="auto" w:fill="FFFFFF"/>
        </w:rPr>
        <w:t xml:space="preserve">It can no longer be said that all people </w:t>
      </w:r>
      <w:r w:rsidRPr="0090099B">
        <w:rPr>
          <w:i/>
          <w:color w:val="1B1B1B"/>
          <w:sz w:val="22"/>
          <w:szCs w:val="30"/>
          <w:shd w:val="clear" w:color="auto" w:fill="FFFFFF"/>
        </w:rPr>
        <w:t>need</w:t>
      </w:r>
      <w:r w:rsidRPr="0090099B">
        <w:rPr>
          <w:color w:val="1B1B1B"/>
          <w:sz w:val="22"/>
          <w:szCs w:val="30"/>
          <w:shd w:val="clear" w:color="auto" w:fill="FFFFFF"/>
        </w:rPr>
        <w:t xml:space="preserve"> their rootedness in the particular culture in which they and their ancestors were reared in the way that they need food, clothing and shelter.</w:t>
      </w:r>
      <w:r w:rsidRPr="0090099B">
        <w:rPr>
          <w:rStyle w:val="FootnoteReference"/>
          <w:color w:val="1B1B1B"/>
          <w:sz w:val="22"/>
          <w:szCs w:val="30"/>
          <w:shd w:val="clear" w:color="auto" w:fill="FFFFFF"/>
        </w:rPr>
        <w:footnoteReference w:id="50"/>
      </w:r>
    </w:p>
    <w:p w14:paraId="6A9D1EAC" w14:textId="77777777" w:rsidR="00EA31F9" w:rsidRPr="0090099B" w:rsidRDefault="00EA31F9" w:rsidP="00EA31F9">
      <w:pPr>
        <w:ind w:left="720" w:right="1082"/>
        <w:rPr>
          <w:color w:val="1B1B1B"/>
          <w:sz w:val="22"/>
          <w:szCs w:val="30"/>
          <w:shd w:val="clear" w:color="auto" w:fill="FFFFFF"/>
        </w:rPr>
      </w:pPr>
    </w:p>
    <w:p w14:paraId="28AE9CBB" w14:textId="77777777" w:rsidR="00EA31F9" w:rsidRPr="0090099B" w:rsidRDefault="00EA31F9" w:rsidP="00EA31F9">
      <w:pPr>
        <w:ind w:right="1082"/>
        <w:rPr>
          <w:rStyle w:val="xxxxeop"/>
          <w:bCs/>
          <w:color w:val="201F1E"/>
          <w:sz w:val="22"/>
          <w:bdr w:val="none" w:sz="0" w:space="0" w:color="auto" w:frame="1"/>
        </w:rPr>
      </w:pPr>
      <w:r w:rsidRPr="0090099B">
        <w:rPr>
          <w:color w:val="1B1B1B"/>
          <w:sz w:val="22"/>
          <w:szCs w:val="27"/>
        </w:rPr>
        <w:t>To the cosmopolitan artist, stylistic borrowing is a key</w:t>
      </w:r>
      <w:r w:rsidRPr="0090099B">
        <w:rPr>
          <w:sz w:val="22"/>
        </w:rPr>
        <w:t xml:space="preserve"> inspiration.</w:t>
      </w:r>
      <w:r w:rsidRPr="0090099B">
        <w:rPr>
          <w:rStyle w:val="xxxxeop"/>
          <w:bCs/>
          <w:color w:val="201F1E"/>
          <w:sz w:val="22"/>
          <w:bdr w:val="none" w:sz="0" w:space="0" w:color="auto" w:frame="1"/>
        </w:rPr>
        <w:t xml:space="preserve"> On the liberal view, trying to stop cultures from influencing each other is like trying to stop history. </w:t>
      </w:r>
    </w:p>
    <w:p w14:paraId="4DBF6928" w14:textId="77777777" w:rsidR="00EA31F9" w:rsidRPr="0090099B" w:rsidRDefault="00EA31F9" w:rsidP="00EA31F9">
      <w:pPr>
        <w:ind w:right="1082"/>
        <w:rPr>
          <w:rStyle w:val="xxxxeop"/>
          <w:bCs/>
          <w:color w:val="201F1E"/>
          <w:sz w:val="22"/>
          <w:bdr w:val="none" w:sz="0" w:space="0" w:color="auto" w:frame="1"/>
        </w:rPr>
      </w:pPr>
    </w:p>
    <w:p w14:paraId="4331F85A" w14:textId="77777777" w:rsidR="00EA31F9" w:rsidRPr="0090099B" w:rsidRDefault="00EA31F9" w:rsidP="00EA31F9">
      <w:pPr>
        <w:ind w:right="1082"/>
        <w:rPr>
          <w:b/>
          <w:i/>
          <w:sz w:val="22"/>
          <w:szCs w:val="30"/>
        </w:rPr>
      </w:pPr>
      <w:r w:rsidRPr="0090099B">
        <w:rPr>
          <w:color w:val="1B1B1B"/>
          <w:sz w:val="22"/>
          <w:szCs w:val="30"/>
        </w:rPr>
        <w:t>As we have seen, Appiah regards cultures as essentially mixed. He regards cultural appropriation – or rather, borrowing – positively, as leading to multiculturalism, holding that the right of cultures to a certain artistic style is redundant in an age of globalisation. Young agrees, treating</w:t>
      </w:r>
      <w:r w:rsidRPr="0090099B">
        <w:rPr>
          <w:color w:val="000000" w:themeColor="text1"/>
          <w:sz w:val="22"/>
          <w:u w:color="000000"/>
        </w:rPr>
        <w:t xml:space="preserve"> cultural appropriation as neutral in terms of power relations – as sharing between cultures, and generally positive – and holding that </w:t>
      </w:r>
      <w:r w:rsidRPr="0090099B">
        <w:rPr>
          <w:color w:val="1B1B1B"/>
          <w:sz w:val="22"/>
          <w:szCs w:val="30"/>
        </w:rPr>
        <w:t>artists should do what they have always done, stealing as their expressive needs require. Appiah thus endorses the cultural universalism of Matthew Arnold, arguing that he can appreciate what is best in anyone's traditions, while sharing it with others: "what is best in Arnoldian culture cuts across color, place and time"</w:t>
      </w:r>
      <w:r w:rsidRPr="0090099B">
        <w:rPr>
          <w:color w:val="1B1B1B"/>
          <w:sz w:val="22"/>
          <w:szCs w:val="27"/>
        </w:rPr>
        <w:t>.</w:t>
      </w:r>
      <w:r w:rsidRPr="0090099B">
        <w:rPr>
          <w:rStyle w:val="FootnoteReference"/>
          <w:color w:val="1B1B1B"/>
          <w:sz w:val="22"/>
          <w:szCs w:val="27"/>
        </w:rPr>
        <w:footnoteReference w:id="51"/>
      </w:r>
      <w:r w:rsidRPr="0090099B">
        <w:rPr>
          <w:color w:val="1B1B1B"/>
          <w:sz w:val="22"/>
          <w:szCs w:val="27"/>
        </w:rPr>
        <w:t xml:space="preserve"> </w:t>
      </w:r>
      <w:r w:rsidRPr="0090099B">
        <w:rPr>
          <w:color w:val="1B1B1B"/>
          <w:sz w:val="22"/>
          <w:szCs w:val="30"/>
        </w:rPr>
        <w:t>Even trenchant critics of Western imperialism such as Edward Said recognise the essentially complex, mixed histories of cultures.</w:t>
      </w:r>
      <w:r w:rsidRPr="0090099B">
        <w:rPr>
          <w:rStyle w:val="FootnoteReference"/>
          <w:color w:val="1B1B1B"/>
          <w:sz w:val="22"/>
          <w:szCs w:val="30"/>
        </w:rPr>
        <w:footnoteReference w:id="52"/>
      </w:r>
      <w:r w:rsidRPr="0090099B">
        <w:rPr>
          <w:color w:val="1B1B1B"/>
          <w:sz w:val="22"/>
          <w:szCs w:val="30"/>
        </w:rPr>
        <w:t xml:space="preserve"> All are porous and non-monolithic – they fracture and commingle. One must also recognise that</w:t>
      </w:r>
      <w:r w:rsidRPr="0090099B">
        <w:rPr>
          <w:sz w:val="22"/>
        </w:rPr>
        <w:t xml:space="preserve"> globalisation leads to much artistic damage; almost all cultural developments have their pros and cons.</w:t>
      </w:r>
    </w:p>
    <w:p w14:paraId="6F115FD9" w14:textId="77777777" w:rsidR="00EA31F9" w:rsidRPr="0090099B" w:rsidRDefault="00EA31F9" w:rsidP="00EA31F9">
      <w:pPr>
        <w:ind w:right="1082"/>
        <w:textAlignment w:val="baseline"/>
        <w:rPr>
          <w:color w:val="1B1B1B"/>
          <w:sz w:val="22"/>
          <w:szCs w:val="30"/>
        </w:rPr>
      </w:pPr>
    </w:p>
    <w:p w14:paraId="0896E8CB" w14:textId="77777777" w:rsidR="00EA31F9" w:rsidRPr="0090099B" w:rsidRDefault="00EA31F9" w:rsidP="00EA31F9">
      <w:pPr>
        <w:autoSpaceDE w:val="0"/>
        <w:autoSpaceDN w:val="0"/>
        <w:adjustRightInd w:val="0"/>
        <w:ind w:right="1082"/>
        <w:rPr>
          <w:sz w:val="22"/>
        </w:rPr>
      </w:pPr>
      <w:r w:rsidRPr="0090099B">
        <w:rPr>
          <w:color w:val="000000" w:themeColor="text1"/>
          <w:sz w:val="22"/>
          <w:u w:color="000000"/>
        </w:rPr>
        <w:t>Artistic borrowing occurred long before the era of globalisation, however. Most artists recognise that respectful and considered borrowing from other cultures has always been an essential and valuable part of artistic creation. S</w:t>
      </w:r>
      <w:r w:rsidRPr="0090099B">
        <w:rPr>
          <w:color w:val="1B1B1B"/>
          <w:sz w:val="22"/>
          <w:szCs w:val="26"/>
        </w:rPr>
        <w:t>ome of the most valuable and interesting artistic developments have arisen through synthesis of different traditions. 18th century Rococo decoration is indebted to Chinese decorative arts, while French Impressionism – and the work of Van Gogh in particular – was influenced by Japanese woodcuts. We have already discussed the widely influential forms created from African-American musical traditions.</w:t>
      </w:r>
      <w:r w:rsidRPr="0090099B">
        <w:rPr>
          <w:rStyle w:val="FootnoteReference"/>
          <w:color w:val="1B1B1B"/>
          <w:sz w:val="22"/>
          <w:szCs w:val="26"/>
        </w:rPr>
        <w:footnoteReference w:id="53"/>
      </w:r>
      <w:r w:rsidRPr="0090099B">
        <w:rPr>
          <w:color w:val="1B1B1B"/>
          <w:sz w:val="22"/>
          <w:szCs w:val="26"/>
        </w:rPr>
        <w:t xml:space="preserve"> </w:t>
      </w:r>
      <w:r w:rsidRPr="0090099B">
        <w:rPr>
          <w:rStyle w:val="xxxxeop"/>
          <w:bCs/>
          <w:color w:val="201F1E"/>
          <w:sz w:val="22"/>
          <w:bdr w:val="none" w:sz="0" w:space="0" w:color="auto" w:frame="1"/>
        </w:rPr>
        <w:t xml:space="preserve">The work of Debussy and Picasso – or Coltrane and Reich, both synthesisers influenced by Indian music – exemplifies artistically successful cross-cultural influence, as do the </w:t>
      </w:r>
      <w:r w:rsidRPr="0090099B">
        <w:rPr>
          <w:bCs/>
          <w:color w:val="000000"/>
          <w:sz w:val="22"/>
          <w:szCs w:val="22"/>
          <w:bdr w:val="none" w:sz="0" w:space="0" w:color="auto" w:frame="1"/>
        </w:rPr>
        <w:t xml:space="preserve">Japanese-British ceramics of </w:t>
      </w:r>
      <w:r w:rsidRPr="0090099B">
        <w:rPr>
          <w:sz w:val="22"/>
        </w:rPr>
        <w:t>Bernard Leach and Shoji Hamada.</w:t>
      </w:r>
      <w:r w:rsidRPr="0090099B">
        <w:rPr>
          <w:rStyle w:val="FootnoteReference"/>
          <w:sz w:val="22"/>
        </w:rPr>
        <w:footnoteReference w:id="54"/>
      </w:r>
      <w:r w:rsidRPr="0090099B">
        <w:rPr>
          <w:sz w:val="22"/>
        </w:rPr>
        <w:t xml:space="preserve"> M</w:t>
      </w:r>
      <w:r w:rsidRPr="0090099B">
        <w:rPr>
          <w:color w:val="1B1B1B"/>
          <w:sz w:val="22"/>
          <w:szCs w:val="30"/>
        </w:rPr>
        <w:t>any artists remain anxious on the issue, however. M</w:t>
      </w:r>
      <w:r w:rsidRPr="0090099B">
        <w:rPr>
          <w:color w:val="000000" w:themeColor="text1"/>
          <w:sz w:val="22"/>
          <w:shd w:val="clear" w:color="auto" w:fill="FFFFFF"/>
        </w:rPr>
        <w:t>inimalist c</w:t>
      </w:r>
      <w:r w:rsidRPr="0090099B">
        <w:rPr>
          <w:sz w:val="22"/>
        </w:rPr>
        <w:t>omposer Michael Nyman is "aware of the interconnections between what we're doing and various non-Western musics, but I've tried not to use them – partly because Ghanaian clothes are not my clothes, my clothes are Mozart, and I just feel the whole exploitative cultural-imperialism aspect of it rather severely".</w:t>
      </w:r>
      <w:r w:rsidRPr="0090099B">
        <w:rPr>
          <w:rStyle w:val="FootnoteReference"/>
          <w:sz w:val="22"/>
        </w:rPr>
        <w:footnoteReference w:id="55"/>
      </w:r>
      <w:r w:rsidRPr="0090099B">
        <w:rPr>
          <w:sz w:val="22"/>
        </w:rPr>
        <w:t xml:space="preserve"> Novelist Margaret Drabble feels "some anxiety about the way in which I have appropriated this strange material". However, she adds, "appropriation is what novelists do. Whatever we write is, knowingly or unknowingly, a borrowing".</w:t>
      </w:r>
      <w:r w:rsidRPr="0090099B">
        <w:rPr>
          <w:rStyle w:val="FootnoteReference"/>
          <w:sz w:val="22"/>
        </w:rPr>
        <w:footnoteReference w:id="56"/>
      </w:r>
      <w:r w:rsidRPr="0090099B">
        <w:rPr>
          <w:sz w:val="22"/>
        </w:rPr>
        <w:t xml:space="preserve"> Indeed, artists often do not know their influences. Borrowing is often, perhaps usually, unconscious, and often adventitious. The influence of gamelan on Debussy may have been a chance encounter that had major repercussions on his work. Influence can involve misunderstanding – think of the influence of Wittgenstein's </w:t>
      </w:r>
      <w:r w:rsidRPr="0090099B">
        <w:rPr>
          <w:i/>
          <w:sz w:val="22"/>
        </w:rPr>
        <w:t xml:space="preserve">Tractatus </w:t>
      </w:r>
      <w:r w:rsidRPr="0090099B">
        <w:rPr>
          <w:sz w:val="22"/>
        </w:rPr>
        <w:t>on the Vienna Circle. They misunderstood it as a phenomenalist work, but it was a major influence all the same.</w:t>
      </w:r>
    </w:p>
    <w:p w14:paraId="206D6906" w14:textId="77777777" w:rsidR="00EA31F9" w:rsidRPr="0090099B" w:rsidRDefault="00EA31F9" w:rsidP="00EA31F9">
      <w:pPr>
        <w:ind w:right="1082"/>
        <w:rPr>
          <w:sz w:val="22"/>
        </w:rPr>
      </w:pPr>
    </w:p>
    <w:p w14:paraId="2062C447" w14:textId="77777777" w:rsidR="00EA31F9" w:rsidRPr="0090099B" w:rsidRDefault="00EA31F9" w:rsidP="00EA31F9">
      <w:pPr>
        <w:ind w:right="1082"/>
        <w:rPr>
          <w:sz w:val="22"/>
        </w:rPr>
      </w:pPr>
      <w:r w:rsidRPr="0090099B">
        <w:rPr>
          <w:sz w:val="22"/>
        </w:rPr>
        <w:t xml:space="preserve">The borrowing is also from other artists in one's own culture. Thus the concept of the artist as omnivorous appropriator – as portrayed by Young, and expressed in </w:t>
      </w:r>
      <w:r w:rsidRPr="0090099B">
        <w:rPr>
          <w:color w:val="121212"/>
          <w:sz w:val="22"/>
        </w:rPr>
        <w:t>Picasso's famous remark that art is theft</w:t>
      </w:r>
      <w:r w:rsidRPr="0090099B">
        <w:rPr>
          <w:sz w:val="22"/>
        </w:rPr>
        <w:t xml:space="preserve"> – is a common one</w:t>
      </w:r>
      <w:r w:rsidRPr="0090099B">
        <w:rPr>
          <w:color w:val="121212"/>
          <w:sz w:val="22"/>
        </w:rPr>
        <w:t>.</w:t>
      </w:r>
      <w:r w:rsidRPr="0090099B">
        <w:rPr>
          <w:sz w:val="22"/>
        </w:rPr>
        <w:t xml:space="preserve"> So while artists like Nyman and Drabble are cautious, others respond to cultural appropriation critique by asserting traditional artistic freedom. Thus folklorist </w:t>
      </w:r>
      <w:r w:rsidRPr="0090099B">
        <w:rPr>
          <w:color w:val="121212"/>
          <w:sz w:val="22"/>
        </w:rPr>
        <w:t>Jake Xerxes Fussell</w:t>
      </w:r>
      <w:r w:rsidRPr="0090099B">
        <w:rPr>
          <w:b/>
          <w:color w:val="121212"/>
          <w:sz w:val="22"/>
        </w:rPr>
        <w:t xml:space="preserve"> </w:t>
      </w:r>
      <w:r w:rsidRPr="0090099B">
        <w:rPr>
          <w:color w:val="121212"/>
          <w:sz w:val="22"/>
        </w:rPr>
        <w:t>comments that "Appropriation is a heavy consideration in my work, and it's hard to know where to draw the line...Art is appropriation. But I don't feel like I'm doing anybody any justice by trying to sound like anybody else."</w:t>
      </w:r>
      <w:r w:rsidRPr="0090099B">
        <w:rPr>
          <w:rStyle w:val="FootnoteReference"/>
          <w:color w:val="121212"/>
          <w:sz w:val="22"/>
        </w:rPr>
        <w:footnoteReference w:id="57"/>
      </w:r>
      <w:r w:rsidRPr="0090099B">
        <w:rPr>
          <w:b/>
          <w:color w:val="121212"/>
          <w:sz w:val="22"/>
        </w:rPr>
        <w:t xml:space="preserve"> </w:t>
      </w:r>
      <w:r w:rsidRPr="0090099B">
        <w:rPr>
          <w:color w:val="121212"/>
          <w:sz w:val="22"/>
        </w:rPr>
        <w:t>Here Fussell is defending the right of the artist with a strong personal vision to borrow.</w:t>
      </w:r>
      <w:r w:rsidRPr="0090099B">
        <w:rPr>
          <w:b/>
          <w:color w:val="121212"/>
          <w:sz w:val="22"/>
        </w:rPr>
        <w:t xml:space="preserve"> </w:t>
      </w:r>
      <w:r w:rsidRPr="0090099B">
        <w:rPr>
          <w:color w:val="121212"/>
          <w:sz w:val="22"/>
        </w:rPr>
        <w:t xml:space="preserve">In this view he is supported by </w:t>
      </w:r>
      <w:r w:rsidRPr="0090099B">
        <w:rPr>
          <w:sz w:val="22"/>
        </w:rPr>
        <w:t xml:space="preserve">the strong post-internet pull to freedom of information. Music sampling originated in the era of mechanical reproduction, and expanded exponentially in the digital age, which seems to regard paying for music as eccentric. </w:t>
      </w:r>
      <w:r w:rsidRPr="0090099B">
        <w:rPr>
          <w:color w:val="000000"/>
          <w:sz w:val="22"/>
          <w:szCs w:val="22"/>
          <w:shd w:val="clear" w:color="auto" w:fill="FFFFFF"/>
        </w:rPr>
        <w:t>1980s plunderphonics</w:t>
      </w:r>
      <w:r w:rsidRPr="0090099B">
        <w:rPr>
          <w:sz w:val="22"/>
        </w:rPr>
        <w:t xml:space="preserve"> band Negativland comment that appropriation does not imply attempting to profit: "Artists [may use] elements, fragments, or pieces of someone else's created artifact in the creation of a new one for artistic reasons".</w:t>
      </w:r>
      <w:r w:rsidRPr="0090099B">
        <w:rPr>
          <w:rStyle w:val="FootnoteReference"/>
          <w:sz w:val="22"/>
        </w:rPr>
        <w:footnoteReference w:id="58"/>
      </w:r>
    </w:p>
    <w:p w14:paraId="08109B02" w14:textId="77777777" w:rsidR="00EA31F9" w:rsidRPr="0090099B" w:rsidRDefault="00EA31F9" w:rsidP="00EA31F9">
      <w:pPr>
        <w:pStyle w:val="dcr-eu20cu"/>
        <w:shd w:val="clear" w:color="auto" w:fill="FFFFFF"/>
        <w:spacing w:before="0" w:beforeAutospacing="0" w:after="0" w:afterAutospacing="0"/>
        <w:ind w:right="1082"/>
        <w:textAlignment w:val="baseline"/>
        <w:rPr>
          <w:rFonts w:eastAsia="Times New Roman"/>
          <w:color w:val="202124"/>
          <w:sz w:val="22"/>
          <w:szCs w:val="21"/>
          <w:shd w:val="clear" w:color="auto" w:fill="FFFFFF"/>
        </w:rPr>
      </w:pPr>
    </w:p>
    <w:p w14:paraId="00174C96" w14:textId="77777777" w:rsidR="00EA31F9" w:rsidRPr="0090099B" w:rsidRDefault="00EA31F9" w:rsidP="00EA31F9">
      <w:pPr>
        <w:ind w:right="1082"/>
        <w:rPr>
          <w:sz w:val="22"/>
        </w:rPr>
      </w:pPr>
      <w:r w:rsidRPr="0090099B">
        <w:rPr>
          <w:sz w:val="22"/>
        </w:rPr>
        <w:t xml:space="preserve">Novelist </w:t>
      </w:r>
      <w:r w:rsidRPr="0090099B">
        <w:rPr>
          <w:color w:val="202124"/>
          <w:sz w:val="22"/>
          <w:szCs w:val="21"/>
          <w:shd w:val="clear" w:color="auto" w:fill="FFFFFF"/>
        </w:rPr>
        <w:t>Lionel Shriver is a forthright defender of artistic freedom. W</w:t>
      </w:r>
      <w:r w:rsidRPr="0090099B">
        <w:rPr>
          <w:sz w:val="22"/>
        </w:rPr>
        <w:t>earing a sombrero, she delivered an address a</w:t>
      </w:r>
      <w:r w:rsidRPr="0090099B">
        <w:rPr>
          <w:color w:val="202124"/>
          <w:sz w:val="22"/>
          <w:szCs w:val="21"/>
          <w:shd w:val="clear" w:color="auto" w:fill="FFFFFF"/>
        </w:rPr>
        <w:t xml:space="preserve">t </w:t>
      </w:r>
      <w:r w:rsidRPr="0090099B">
        <w:rPr>
          <w:sz w:val="22"/>
        </w:rPr>
        <w:t>Brisbane Writer's Festival titled "Fiction and Identity Politics", which argued that cultural appropriation censored her work. She claimed the freedom fully to imagine others' perspectives and widen her world of characters.</w:t>
      </w:r>
      <w:r w:rsidRPr="0090099B">
        <w:rPr>
          <w:rStyle w:val="FootnoteReference"/>
          <w:sz w:val="22"/>
        </w:rPr>
        <w:footnoteReference w:id="59"/>
      </w:r>
      <w:r w:rsidRPr="0090099B">
        <w:rPr>
          <w:sz w:val="22"/>
        </w:rPr>
        <w:t xml:space="preserve"> But few artists advocate artistic freedom as forcefully as Shriver; publishers may not support them, and other writers may self-censor.</w:t>
      </w:r>
      <w:r w:rsidRPr="0090099B">
        <w:rPr>
          <w:rStyle w:val="FootnoteReference"/>
          <w:sz w:val="22"/>
        </w:rPr>
        <w:footnoteReference w:id="60"/>
      </w:r>
      <w:r w:rsidRPr="0090099B">
        <w:rPr>
          <w:sz w:val="22"/>
        </w:rPr>
        <w:t xml:space="preserve"> </w:t>
      </w:r>
      <w:r w:rsidRPr="0090099B">
        <w:rPr>
          <w:bCs/>
          <w:sz w:val="22"/>
        </w:rPr>
        <w:t xml:space="preserve">Kaitlyn Greenidge </w:t>
      </w:r>
      <w:r w:rsidRPr="0090099B">
        <w:rPr>
          <w:sz w:val="22"/>
        </w:rPr>
        <w:t xml:space="preserve">argues that Shriver "has the right to inhabit any character she pleases", but then offers </w:t>
      </w:r>
      <w:r w:rsidRPr="0090099B">
        <w:rPr>
          <w:bCs/>
          <w:sz w:val="22"/>
        </w:rPr>
        <w:t>a more nuanced analysis</w:t>
      </w:r>
      <w:r w:rsidRPr="0090099B">
        <w:rPr>
          <w:sz w:val="22"/>
        </w:rPr>
        <w:t xml:space="preserve">: </w:t>
      </w:r>
    </w:p>
    <w:p w14:paraId="18E1B417" w14:textId="77777777" w:rsidR="00EA31F9" w:rsidRPr="0090099B" w:rsidRDefault="00EA31F9" w:rsidP="00EA31F9">
      <w:pPr>
        <w:ind w:right="1082"/>
        <w:rPr>
          <w:sz w:val="22"/>
        </w:rPr>
      </w:pPr>
    </w:p>
    <w:p w14:paraId="25C6A688" w14:textId="77777777" w:rsidR="00EA31F9" w:rsidRPr="0090099B" w:rsidRDefault="00EA31F9" w:rsidP="00EA31F9">
      <w:pPr>
        <w:ind w:left="720" w:right="1082"/>
        <w:rPr>
          <w:sz w:val="22"/>
        </w:rPr>
      </w:pPr>
      <w:r w:rsidRPr="0090099B">
        <w:rPr>
          <w:sz w:val="22"/>
        </w:rPr>
        <w:t xml:space="preserve">...a fellow writer [brought] to a workshop a lynching scene. [He was] a Chinese-American man named Bill Cheng, who would go on to write a novel of the blues called </w:t>
      </w:r>
      <w:r w:rsidRPr="0090099B">
        <w:rPr>
          <w:i/>
          <w:sz w:val="22"/>
        </w:rPr>
        <w:t>Southern Cross the Dog</w:t>
      </w:r>
      <w:r w:rsidRPr="0090099B">
        <w:rPr>
          <w:sz w:val="22"/>
        </w:rPr>
        <w:t>…Bill had a right to write that scene because he wrote it well.</w:t>
      </w:r>
      <w:r w:rsidRPr="0090099B">
        <w:rPr>
          <w:rStyle w:val="FootnoteReference"/>
          <w:sz w:val="22"/>
        </w:rPr>
        <w:footnoteReference w:id="61"/>
      </w:r>
    </w:p>
    <w:p w14:paraId="50EF7E2D" w14:textId="77777777" w:rsidR="00EA31F9" w:rsidRPr="0090099B" w:rsidRDefault="00EA31F9" w:rsidP="00EA31F9">
      <w:pPr>
        <w:ind w:left="720" w:right="1082"/>
        <w:rPr>
          <w:b/>
          <w:sz w:val="22"/>
        </w:rPr>
      </w:pPr>
    </w:p>
    <w:p w14:paraId="0EC852A7" w14:textId="77777777" w:rsidR="00EA31F9" w:rsidRPr="0090099B" w:rsidRDefault="00EA31F9" w:rsidP="00EA31F9">
      <w:pPr>
        <w:ind w:right="1082"/>
        <w:rPr>
          <w:sz w:val="22"/>
          <w:szCs w:val="30"/>
        </w:rPr>
      </w:pPr>
      <w:r w:rsidRPr="0090099B">
        <w:rPr>
          <w:sz w:val="22"/>
        </w:rPr>
        <w:t xml:space="preserve">This is the crux of the matter. "He wrote it well" means "He wrote it well in artistic terms – aesthetically". </w:t>
      </w:r>
    </w:p>
    <w:p w14:paraId="36177D07" w14:textId="77777777" w:rsidR="00EA31F9" w:rsidRPr="0090099B" w:rsidRDefault="00EA31F9" w:rsidP="00EA31F9">
      <w:pPr>
        <w:ind w:right="1082"/>
        <w:rPr>
          <w:b/>
          <w:i/>
          <w:sz w:val="22"/>
        </w:rPr>
      </w:pPr>
    </w:p>
    <w:p w14:paraId="3E243D66" w14:textId="77777777" w:rsidR="00EA31F9" w:rsidRPr="0090099B" w:rsidRDefault="00EA31F9" w:rsidP="00EA31F9">
      <w:pPr>
        <w:shd w:val="clear" w:color="auto" w:fill="FFFFFF"/>
        <w:ind w:right="1082"/>
        <w:textAlignment w:val="baseline"/>
        <w:rPr>
          <w:b/>
          <w:color w:val="201F1E"/>
          <w:sz w:val="22"/>
          <w:szCs w:val="23"/>
        </w:rPr>
      </w:pPr>
      <w:r w:rsidRPr="0090099B">
        <w:rPr>
          <w:sz w:val="22"/>
        </w:rPr>
        <w:t xml:space="preserve">"He had a right to write that scene because he wrote it well" sums up the case against cultural appropriation critique. Appiah and Young are right to argue that cultural appropriation is valuable, but Greenidge's comment prompts one to make explicit the criterion of value: artistic success decides the appropriateness of the borrowing. </w:t>
      </w:r>
      <w:r w:rsidRPr="0090099B">
        <w:rPr>
          <w:color w:val="201F1E"/>
          <w:sz w:val="22"/>
          <w:szCs w:val="23"/>
        </w:rPr>
        <w:t xml:space="preserve">Disrespect usually results in artistic failure. If one is not properly respectful of a cultural practice, one is unlikely to understand it, and thus to develop it with appreciation. </w:t>
      </w:r>
      <w:r w:rsidRPr="0090099B">
        <w:rPr>
          <w:sz w:val="22"/>
        </w:rPr>
        <w:t xml:space="preserve">Yet </w:t>
      </w:r>
      <w:r w:rsidRPr="0090099B">
        <w:rPr>
          <w:color w:val="1B1B1B"/>
          <w:sz w:val="22"/>
          <w:szCs w:val="30"/>
        </w:rPr>
        <w:t xml:space="preserve">cultural appropriation critique does not clearly distinguish between ethical and aesthetic criticisms of a work. In that critique, as in identity politics generally, the contrast between artistic and ethical failings is neglected or misunderstood. Cultural appropriation critique </w:t>
      </w:r>
      <w:r w:rsidRPr="0090099B">
        <w:rPr>
          <w:color w:val="201F1E"/>
          <w:sz w:val="22"/>
          <w:szCs w:val="23"/>
        </w:rPr>
        <w:t xml:space="preserve">seems to conflate </w:t>
      </w:r>
      <w:r w:rsidRPr="0090099B">
        <w:rPr>
          <w:i/>
          <w:color w:val="201F1E"/>
          <w:sz w:val="22"/>
          <w:szCs w:val="23"/>
        </w:rPr>
        <w:t>artistic failings</w:t>
      </w:r>
      <w:r w:rsidRPr="0090099B">
        <w:rPr>
          <w:color w:val="201F1E"/>
          <w:sz w:val="22"/>
          <w:szCs w:val="23"/>
        </w:rPr>
        <w:t xml:space="preserve">, and </w:t>
      </w:r>
      <w:r w:rsidRPr="0090099B">
        <w:rPr>
          <w:i/>
          <w:color w:val="201F1E"/>
          <w:sz w:val="22"/>
          <w:szCs w:val="23"/>
        </w:rPr>
        <w:t xml:space="preserve">moral failings both internal and external to the artwork. </w:t>
      </w:r>
      <w:r w:rsidRPr="0090099B">
        <w:rPr>
          <w:color w:val="1B1B1B"/>
          <w:sz w:val="22"/>
          <w:szCs w:val="30"/>
        </w:rPr>
        <w:t>But as Young argues, one must distinguish these. M</w:t>
      </w:r>
      <w:r w:rsidRPr="0090099B">
        <w:rPr>
          <w:color w:val="201F1E"/>
          <w:sz w:val="22"/>
          <w:szCs w:val="23"/>
          <w:shd w:val="clear" w:color="auto" w:fill="FFFFFF"/>
        </w:rPr>
        <w:t>usic writer Philip Clark comments that "T</w:t>
      </w:r>
      <w:r w:rsidRPr="0090099B">
        <w:rPr>
          <w:color w:val="201F1E"/>
          <w:sz w:val="22"/>
          <w:szCs w:val="23"/>
        </w:rPr>
        <w:t xml:space="preserve">he problem is never 'cultural appropriation', which everyone does. It is cultural </w:t>
      </w:r>
      <w:r w:rsidRPr="0090099B">
        <w:rPr>
          <w:i/>
          <w:iCs/>
          <w:color w:val="201F1E"/>
          <w:sz w:val="22"/>
          <w:szCs w:val="23"/>
        </w:rPr>
        <w:t>mis</w:t>
      </w:r>
      <w:r w:rsidRPr="0090099B">
        <w:rPr>
          <w:color w:val="201F1E"/>
          <w:sz w:val="22"/>
          <w:szCs w:val="23"/>
        </w:rPr>
        <w:t>appropriation – t</w:t>
      </w:r>
      <w:r w:rsidRPr="0090099B">
        <w:rPr>
          <w:color w:val="201F1E"/>
          <w:sz w:val="22"/>
          <w:szCs w:val="23"/>
          <w:shd w:val="clear" w:color="auto" w:fill="FFFFFF"/>
        </w:rPr>
        <w:t>he difference between, for instance, scooping the surface sound off jazz and digging down deep into its attitudes and ways of being."</w:t>
      </w:r>
      <w:r w:rsidRPr="0090099B">
        <w:rPr>
          <w:rStyle w:val="FootnoteReference"/>
          <w:color w:val="201F1E"/>
          <w:sz w:val="22"/>
          <w:szCs w:val="23"/>
          <w:shd w:val="clear" w:color="auto" w:fill="FFFFFF"/>
        </w:rPr>
        <w:footnoteReference w:id="62"/>
      </w:r>
      <w:r w:rsidRPr="0090099B">
        <w:rPr>
          <w:color w:val="201F1E"/>
          <w:sz w:val="22"/>
          <w:szCs w:val="23"/>
        </w:rPr>
        <w:t xml:space="preserve"> </w:t>
      </w:r>
      <w:r w:rsidRPr="0090099B">
        <w:rPr>
          <w:color w:val="000000"/>
          <w:sz w:val="22"/>
          <w:shd w:val="clear" w:color="auto" w:fill="FFFFFF"/>
        </w:rPr>
        <w:t>"White writers attempting to write from a Black perspective will never understand it" is an artistic objection. "Black readers will be offended because their experience is misperceived" is a moral one.</w:t>
      </w:r>
    </w:p>
    <w:p w14:paraId="0F545351" w14:textId="77777777" w:rsidR="00EA31F9" w:rsidRPr="0090099B" w:rsidRDefault="00EA31F9" w:rsidP="00EA31F9">
      <w:pPr>
        <w:ind w:right="1082"/>
        <w:rPr>
          <w:color w:val="000000"/>
          <w:sz w:val="22"/>
          <w:shd w:val="clear" w:color="auto" w:fill="FFFFFF"/>
        </w:rPr>
      </w:pPr>
    </w:p>
    <w:p w14:paraId="310CF510" w14:textId="77777777" w:rsidR="00EA31F9" w:rsidRPr="0090099B" w:rsidRDefault="00EA31F9" w:rsidP="00EA31F9">
      <w:pPr>
        <w:shd w:val="clear" w:color="auto" w:fill="FFFFFF"/>
        <w:ind w:right="1082"/>
        <w:textAlignment w:val="baseline"/>
        <w:rPr>
          <w:b/>
          <w:bCs/>
          <w:color w:val="201F1E"/>
          <w:sz w:val="22"/>
          <w:bdr w:val="none" w:sz="0" w:space="0" w:color="auto" w:frame="1"/>
        </w:rPr>
      </w:pPr>
      <w:r w:rsidRPr="0090099B">
        <w:rPr>
          <w:sz w:val="22"/>
        </w:rPr>
        <w:t>Crass appropriation and superficial use, with a lack of interest in meeting the culture, will result in artistic failure. However, a</w:t>
      </w:r>
      <w:r w:rsidRPr="0090099B">
        <w:rPr>
          <w:rStyle w:val="xxxxeop"/>
          <w:bCs/>
          <w:color w:val="201F1E"/>
          <w:sz w:val="22"/>
          <w:bdr w:val="none" w:sz="0" w:space="0" w:color="auto" w:frame="1"/>
        </w:rPr>
        <w:t>ppropriation can also be all too accurate and convincing – clone-like and lacking in originality. Hence the criticism that Cyril Scott is "a British Debussy", or that a jazz pianist is "a Bill Evans clone" – not an easy achievement, but not particularly admirable.</w:t>
      </w:r>
      <w:r w:rsidRPr="0090099B">
        <w:rPr>
          <w:rStyle w:val="FootnoteReference"/>
          <w:bCs/>
          <w:color w:val="201F1E"/>
          <w:sz w:val="22"/>
          <w:bdr w:val="none" w:sz="0" w:space="0" w:color="auto" w:frame="1"/>
        </w:rPr>
        <w:footnoteReference w:id="63"/>
      </w:r>
      <w:r w:rsidRPr="0090099B">
        <w:rPr>
          <w:rStyle w:val="xxxxeop"/>
          <w:bCs/>
          <w:color w:val="201F1E"/>
          <w:sz w:val="22"/>
          <w:bdr w:val="none" w:sz="0" w:space="0" w:color="auto" w:frame="1"/>
        </w:rPr>
        <w:t xml:space="preserve"> What is required is a strong, personal artistic vision into which i</w:t>
      </w:r>
      <w:r w:rsidRPr="0090099B">
        <w:rPr>
          <w:sz w:val="22"/>
        </w:rPr>
        <w:t xml:space="preserve">ndigenous practice is integrated. </w:t>
      </w:r>
      <w:r w:rsidRPr="0090099B">
        <w:rPr>
          <w:color w:val="000000"/>
          <w:sz w:val="22"/>
          <w:bdr w:val="none" w:sz="0" w:space="0" w:color="auto" w:frame="1"/>
        </w:rPr>
        <w:t>Lou Harrison's Concerto for Piano and Gamelan has never seriously been criticised for "cultural appropriation", because its composer</w:t>
      </w:r>
      <w:r w:rsidRPr="0090099B">
        <w:rPr>
          <w:color w:val="201F1E"/>
          <w:sz w:val="22"/>
          <w:szCs w:val="23"/>
          <w:shd w:val="clear" w:color="auto" w:fill="FFFFFF"/>
        </w:rPr>
        <w:t xml:space="preserve"> was steeped in gamelan</w:t>
      </w:r>
      <w:r w:rsidRPr="0090099B">
        <w:rPr>
          <w:color w:val="333333"/>
          <w:sz w:val="22"/>
          <w:szCs w:val="21"/>
        </w:rPr>
        <w:t xml:space="preserve">: </w:t>
      </w:r>
    </w:p>
    <w:p w14:paraId="592227D9" w14:textId="77777777" w:rsidR="00EA31F9" w:rsidRPr="0090099B" w:rsidRDefault="00EA31F9" w:rsidP="00EA31F9">
      <w:pPr>
        <w:shd w:val="clear" w:color="auto" w:fill="FFFFFF"/>
        <w:ind w:right="1082"/>
        <w:textAlignment w:val="baseline"/>
        <w:rPr>
          <w:color w:val="333333"/>
          <w:sz w:val="22"/>
          <w:szCs w:val="21"/>
        </w:rPr>
      </w:pPr>
    </w:p>
    <w:p w14:paraId="0E5FA326" w14:textId="77777777" w:rsidR="00EA31F9" w:rsidRPr="0090099B" w:rsidRDefault="00EA31F9" w:rsidP="00EA31F9">
      <w:pPr>
        <w:shd w:val="clear" w:color="auto" w:fill="FFFFFF"/>
        <w:ind w:left="720" w:right="1082"/>
        <w:textAlignment w:val="baseline"/>
        <w:rPr>
          <w:color w:val="333333"/>
          <w:sz w:val="22"/>
          <w:szCs w:val="21"/>
        </w:rPr>
      </w:pPr>
      <w:r w:rsidRPr="0090099B">
        <w:rPr>
          <w:color w:val="333333"/>
          <w:sz w:val="22"/>
          <w:szCs w:val="21"/>
        </w:rPr>
        <w:t>Lou's attitude was...inherited from Henry Cowell – that everything in the world should be considered a legitimate influence. [For Lou] drawing musical borders is an artificial process.</w:t>
      </w:r>
      <w:r w:rsidRPr="0090099B">
        <w:rPr>
          <w:rStyle w:val="FootnoteReference"/>
          <w:color w:val="333333"/>
          <w:sz w:val="22"/>
          <w:szCs w:val="21"/>
        </w:rPr>
        <w:footnoteReference w:id="64"/>
      </w:r>
    </w:p>
    <w:p w14:paraId="0602B130" w14:textId="77777777" w:rsidR="00EA31F9" w:rsidRPr="0090099B" w:rsidRDefault="00EA31F9" w:rsidP="00EA31F9">
      <w:pPr>
        <w:shd w:val="clear" w:color="auto" w:fill="FFFFFF"/>
        <w:ind w:left="720" w:right="1082"/>
        <w:textAlignment w:val="baseline"/>
        <w:rPr>
          <w:rStyle w:val="xxxxeop"/>
          <w:color w:val="333333"/>
          <w:sz w:val="22"/>
          <w:szCs w:val="21"/>
        </w:rPr>
      </w:pPr>
    </w:p>
    <w:p w14:paraId="305443BF" w14:textId="77777777" w:rsidR="00EA31F9" w:rsidRPr="0090099B" w:rsidRDefault="00EA31F9" w:rsidP="00EA31F9">
      <w:pPr>
        <w:pStyle w:val="NormalWeb"/>
        <w:spacing w:before="0" w:after="0"/>
        <w:ind w:right="1082"/>
        <w:rPr>
          <w:color w:val="1B1B1B"/>
          <w:sz w:val="22"/>
          <w:szCs w:val="26"/>
        </w:rPr>
      </w:pPr>
      <w:r w:rsidRPr="0090099B">
        <w:rPr>
          <w:sz w:val="22"/>
        </w:rPr>
        <w:t xml:space="preserve">Hence </w:t>
      </w:r>
      <w:r w:rsidRPr="0090099B">
        <w:rPr>
          <w:color w:val="1B1B1B"/>
          <w:sz w:val="22"/>
          <w:szCs w:val="26"/>
        </w:rPr>
        <w:t>Roomful of Teeth's comment, quoted at the start of this chapter</w:t>
      </w:r>
      <w:r w:rsidRPr="0090099B">
        <w:rPr>
          <w:sz w:val="22"/>
        </w:rPr>
        <w:t>: "</w:t>
      </w:r>
      <w:r w:rsidRPr="0090099B">
        <w:rPr>
          <w:color w:val="1B1B1B"/>
          <w:sz w:val="22"/>
          <w:szCs w:val="26"/>
        </w:rPr>
        <w:t>we understood our music...to constitute something new". However, their apology continued, "we cannot be the arbiters of that distinction."</w:t>
      </w:r>
      <w:r w:rsidRPr="0090099B">
        <w:rPr>
          <w:rStyle w:val="FootnoteReference"/>
          <w:color w:val="1B1B1B"/>
          <w:sz w:val="22"/>
          <w:szCs w:val="26"/>
        </w:rPr>
        <w:footnoteReference w:id="65"/>
      </w:r>
      <w:r w:rsidRPr="0090099B">
        <w:rPr>
          <w:color w:val="1B1B1B"/>
          <w:sz w:val="22"/>
          <w:szCs w:val="26"/>
        </w:rPr>
        <w:t xml:space="preserve"> To reiterate, there are no arbiters – just critical discussion of how personal and original the resulting vision was. </w:t>
      </w:r>
    </w:p>
    <w:p w14:paraId="2BB7D0E7" w14:textId="77777777" w:rsidR="00EA31F9" w:rsidRPr="0090099B" w:rsidRDefault="00EA31F9" w:rsidP="00EA31F9">
      <w:pPr>
        <w:shd w:val="clear" w:color="auto" w:fill="FFFFFF"/>
        <w:ind w:right="1082"/>
        <w:textAlignment w:val="baseline"/>
        <w:rPr>
          <w:sz w:val="22"/>
        </w:rPr>
      </w:pPr>
    </w:p>
    <w:p w14:paraId="45D5F194" w14:textId="77777777" w:rsidR="00EA31F9" w:rsidRPr="0090099B" w:rsidRDefault="00EA31F9" w:rsidP="00EA31F9">
      <w:pPr>
        <w:shd w:val="clear" w:color="auto" w:fill="FFFFFF"/>
        <w:ind w:right="1082"/>
        <w:textAlignment w:val="baseline"/>
        <w:rPr>
          <w:rStyle w:val="xxxxeop"/>
          <w:b/>
          <w:bCs/>
          <w:color w:val="201F1E"/>
          <w:sz w:val="22"/>
          <w:bdr w:val="none" w:sz="0" w:space="0" w:color="auto" w:frame="1"/>
        </w:rPr>
      </w:pPr>
      <w:r w:rsidRPr="0090099B">
        <w:rPr>
          <w:rStyle w:val="xxxxeop"/>
          <w:bCs/>
          <w:color w:val="201F1E"/>
          <w:sz w:val="22"/>
          <w:bdr w:val="none" w:sz="0" w:space="0" w:color="auto" w:frame="1"/>
        </w:rPr>
        <w:t xml:space="preserve">The artistic failing of inauthenticity results from inadequately assimilated influences, or a weak personal vision. A male writer – for instance, Joseph Conrad in </w:t>
      </w:r>
      <w:r w:rsidRPr="0090099B">
        <w:rPr>
          <w:rStyle w:val="xxxxeop"/>
          <w:bCs/>
          <w:i/>
          <w:color w:val="201F1E"/>
          <w:sz w:val="22"/>
          <w:bdr w:val="none" w:sz="0" w:space="0" w:color="auto" w:frame="1"/>
        </w:rPr>
        <w:t>Victory</w:t>
      </w:r>
      <w:r w:rsidRPr="0090099B">
        <w:rPr>
          <w:rStyle w:val="xxxxeop"/>
          <w:bCs/>
          <w:color w:val="201F1E"/>
          <w:sz w:val="22"/>
          <w:bdr w:val="none" w:sz="0" w:space="0" w:color="auto" w:frame="1"/>
        </w:rPr>
        <w:t xml:space="preserve"> – may create inauthentic female characters</w:t>
      </w:r>
      <w:r w:rsidRPr="0090099B">
        <w:rPr>
          <w:rStyle w:val="xxxxeop"/>
          <w:bCs/>
          <w:i/>
          <w:color w:val="201F1E"/>
          <w:sz w:val="22"/>
          <w:bdr w:val="none" w:sz="0" w:space="0" w:color="auto" w:frame="1"/>
        </w:rPr>
        <w:t xml:space="preserve">. </w:t>
      </w:r>
      <w:r w:rsidRPr="0090099B">
        <w:rPr>
          <w:rStyle w:val="xxxxeop"/>
          <w:bCs/>
          <w:color w:val="201F1E"/>
          <w:sz w:val="22"/>
          <w:bdr w:val="none" w:sz="0" w:space="0" w:color="auto" w:frame="1"/>
        </w:rPr>
        <w:t xml:space="preserve">But not all male writers do. </w:t>
      </w:r>
      <w:r w:rsidRPr="0090099B">
        <w:rPr>
          <w:sz w:val="22"/>
        </w:rPr>
        <w:t>Rudinow's view that "the experience of living as a black person in America [is] a precondition of the felt emotion essential to authentic expression in the idiom of the blues" is questionable.</w:t>
      </w:r>
      <w:r w:rsidRPr="0090099B">
        <w:rPr>
          <w:rStyle w:val="FootnoteReference"/>
          <w:sz w:val="22"/>
        </w:rPr>
        <w:footnoteReference w:id="66"/>
      </w:r>
      <w:r w:rsidRPr="0090099B">
        <w:rPr>
          <w:sz w:val="22"/>
        </w:rPr>
        <w:t xml:space="preserve"> This is the </w:t>
      </w:r>
      <w:r w:rsidRPr="0090099B">
        <w:rPr>
          <w:i/>
          <w:sz w:val="22"/>
        </w:rPr>
        <w:t>aesthetic handicap thesis</w:t>
      </w:r>
      <w:r w:rsidRPr="0090099B">
        <w:rPr>
          <w:sz w:val="22"/>
        </w:rPr>
        <w:t xml:space="preserve">: Unless one lives as a member of a culture, it is impossible to create authentic works in its style. The thesis is questionable. It neglects white blues masters Hank Williams, Lennie Tristano, Janis Joplin and Charlie Haden – and writers such as Bill Cheng. </w:t>
      </w:r>
    </w:p>
    <w:p w14:paraId="3BA1956E" w14:textId="77777777" w:rsidR="00EA31F9" w:rsidRPr="0090099B" w:rsidRDefault="00EA31F9" w:rsidP="00EA31F9">
      <w:pPr>
        <w:ind w:right="1082"/>
        <w:rPr>
          <w:b/>
          <w:sz w:val="22"/>
        </w:rPr>
      </w:pPr>
    </w:p>
    <w:p w14:paraId="40EE6E8F" w14:textId="77777777" w:rsidR="00EA31F9" w:rsidRPr="0090099B" w:rsidRDefault="00EA31F9" w:rsidP="00EA31F9">
      <w:pPr>
        <w:ind w:right="1082"/>
        <w:rPr>
          <w:color w:val="1B1B1B"/>
          <w:sz w:val="22"/>
          <w:szCs w:val="26"/>
        </w:rPr>
      </w:pPr>
      <w:r w:rsidRPr="0090099B">
        <w:rPr>
          <w:sz w:val="22"/>
        </w:rPr>
        <w:t xml:space="preserve">Gershwin's opera </w:t>
      </w:r>
      <w:r w:rsidRPr="0090099B">
        <w:rPr>
          <w:i/>
          <w:sz w:val="22"/>
        </w:rPr>
        <w:t xml:space="preserve">Porgy and Bess </w:t>
      </w:r>
      <w:r w:rsidRPr="0090099B">
        <w:rPr>
          <w:sz w:val="22"/>
        </w:rPr>
        <w:t>is a good example. Gershwin was Jewish-American, and Lemke argues that he created a "whitened jazz" from an African-American art form, to make it acceptable to white bourgeois society – an early instance of appropriation of African-American music by white musicians.</w:t>
      </w:r>
      <w:r w:rsidRPr="0090099B">
        <w:rPr>
          <w:rStyle w:val="FootnoteReference"/>
          <w:sz w:val="22"/>
        </w:rPr>
        <w:footnoteReference w:id="67"/>
      </w:r>
      <w:r w:rsidRPr="0090099B">
        <w:rPr>
          <w:sz w:val="22"/>
        </w:rPr>
        <w:t xml:space="preserve"> Other writers </w:t>
      </w:r>
      <w:r w:rsidRPr="0090099B">
        <w:rPr>
          <w:color w:val="201F1E"/>
          <w:sz w:val="22"/>
          <w:szCs w:val="23"/>
        </w:rPr>
        <w:t xml:space="preserve">are more sympathetic to Gershwin's achievement. For Brian Harker, </w:t>
      </w:r>
      <w:r w:rsidRPr="0090099B">
        <w:rPr>
          <w:i/>
          <w:color w:val="201F1E"/>
          <w:sz w:val="22"/>
          <w:szCs w:val="23"/>
        </w:rPr>
        <w:t>Porgy and Bess</w:t>
      </w:r>
      <w:r w:rsidRPr="0090099B">
        <w:rPr>
          <w:color w:val="201F1E"/>
          <w:sz w:val="22"/>
          <w:szCs w:val="23"/>
        </w:rPr>
        <w:t xml:space="preserve"> is </w:t>
      </w:r>
      <w:r w:rsidRPr="0090099B">
        <w:rPr>
          <w:color w:val="1B1B1B"/>
          <w:sz w:val="22"/>
          <w:szCs w:val="26"/>
        </w:rPr>
        <w:t>"part opera, part musical, part white fantasy, part Black reality":</w:t>
      </w:r>
    </w:p>
    <w:p w14:paraId="16143660" w14:textId="77777777" w:rsidR="00EA31F9" w:rsidRPr="0090099B" w:rsidRDefault="00EA31F9" w:rsidP="00EA31F9">
      <w:pPr>
        <w:ind w:right="1082"/>
        <w:rPr>
          <w:color w:val="1B1B1B"/>
          <w:sz w:val="22"/>
          <w:szCs w:val="26"/>
        </w:rPr>
      </w:pPr>
    </w:p>
    <w:p w14:paraId="2076ACDC" w14:textId="77777777" w:rsidR="00EA31F9" w:rsidRPr="0090099B" w:rsidRDefault="00EA31F9" w:rsidP="00EA31F9">
      <w:pPr>
        <w:ind w:left="720" w:right="1082"/>
        <w:rPr>
          <w:b/>
          <w:color w:val="1B1B1B"/>
          <w:sz w:val="22"/>
          <w:szCs w:val="26"/>
        </w:rPr>
      </w:pPr>
      <w:r w:rsidRPr="0090099B">
        <w:rPr>
          <w:color w:val="1B1B1B"/>
          <w:sz w:val="22"/>
          <w:szCs w:val="26"/>
        </w:rPr>
        <w:t>Although Gershwin was putting music of his white imagination into the mouths of Black singers, somehow his work hit the mark. As choral director Eva Jessye recalled, "He had written in things that sounded just right, like our people".</w:t>
      </w:r>
      <w:r w:rsidRPr="0090099B">
        <w:rPr>
          <w:rStyle w:val="FootnoteReference"/>
          <w:color w:val="1B1B1B"/>
          <w:sz w:val="22"/>
          <w:szCs w:val="26"/>
        </w:rPr>
        <w:footnoteReference w:id="68"/>
      </w:r>
      <w:r w:rsidRPr="0090099B">
        <w:rPr>
          <w:b/>
          <w:color w:val="1B1B1B"/>
          <w:sz w:val="22"/>
          <w:szCs w:val="26"/>
        </w:rPr>
        <w:t xml:space="preserve"> </w:t>
      </w:r>
    </w:p>
    <w:p w14:paraId="03D23F4E" w14:textId="77777777" w:rsidR="00EA31F9" w:rsidRPr="0090099B" w:rsidRDefault="00EA31F9" w:rsidP="00EA31F9">
      <w:pPr>
        <w:ind w:right="1082"/>
        <w:rPr>
          <w:b/>
          <w:color w:val="1B1B1B"/>
          <w:sz w:val="22"/>
          <w:szCs w:val="26"/>
        </w:rPr>
      </w:pPr>
    </w:p>
    <w:p w14:paraId="33D33C79" w14:textId="77777777" w:rsidR="00EA31F9" w:rsidRPr="0090099B" w:rsidRDefault="00EA31F9" w:rsidP="00EA31F9">
      <w:pPr>
        <w:ind w:right="1082"/>
        <w:rPr>
          <w:sz w:val="22"/>
        </w:rPr>
      </w:pPr>
      <w:r w:rsidRPr="0090099B">
        <w:rPr>
          <w:sz w:val="22"/>
        </w:rPr>
        <w:t xml:space="preserve">I would argue that Gershwin did not appropriate jazz, but helped create it. During the 1930s, "I Got Rhythm", "Summertime" and "The Man I Love" became "standards", the repertoire on which jazz musicians improvise. </w:t>
      </w:r>
      <w:r w:rsidRPr="0090099B">
        <w:rPr>
          <w:color w:val="201F1E"/>
          <w:sz w:val="22"/>
          <w:szCs w:val="23"/>
        </w:rPr>
        <w:t>The chord-changes of "I Got Rhythm" underlie many bebop compositions. As jazz historian Lewis Porter argues, jazz incorporates musical ingredients from many cultural traditions, but African-Americans played the key role in combining these ingredients to create the genre.</w:t>
      </w:r>
      <w:r w:rsidRPr="0090099B">
        <w:rPr>
          <w:rStyle w:val="FootnoteReference"/>
          <w:color w:val="201F1E"/>
          <w:sz w:val="22"/>
          <w:szCs w:val="23"/>
        </w:rPr>
        <w:footnoteReference w:id="69"/>
      </w:r>
    </w:p>
    <w:p w14:paraId="49C3BD15" w14:textId="77777777" w:rsidR="00EA31F9" w:rsidRPr="0090099B" w:rsidRDefault="00EA31F9" w:rsidP="00EA31F9">
      <w:pPr>
        <w:ind w:right="1082"/>
        <w:rPr>
          <w:b/>
          <w:color w:val="1B1B1B"/>
          <w:sz w:val="22"/>
          <w:szCs w:val="26"/>
        </w:rPr>
      </w:pPr>
    </w:p>
    <w:p w14:paraId="7539A146" w14:textId="77777777" w:rsidR="00EA31F9" w:rsidRPr="0090099B" w:rsidRDefault="00EA31F9" w:rsidP="00EA31F9">
      <w:pPr>
        <w:ind w:right="1082"/>
        <w:rPr>
          <w:sz w:val="22"/>
        </w:rPr>
      </w:pPr>
      <w:r w:rsidRPr="0090099B">
        <w:rPr>
          <w:color w:val="1B1B1B"/>
          <w:sz w:val="22"/>
          <w:szCs w:val="26"/>
        </w:rPr>
        <w:t xml:space="preserve">How </w:t>
      </w:r>
      <w:r w:rsidRPr="0090099B">
        <w:rPr>
          <w:sz w:val="22"/>
        </w:rPr>
        <w:t xml:space="preserve">authentic </w:t>
      </w:r>
      <w:r w:rsidRPr="0090099B">
        <w:rPr>
          <w:i/>
          <w:sz w:val="22"/>
        </w:rPr>
        <w:t xml:space="preserve">Porgy and Bess </w:t>
      </w:r>
      <w:r w:rsidRPr="0090099B">
        <w:rPr>
          <w:sz w:val="22"/>
        </w:rPr>
        <w:t>is in its assimilation of African-American musical influences is a matter of continuing critical debate. On the general issue, m</w:t>
      </w:r>
      <w:r w:rsidRPr="0090099B">
        <w:rPr>
          <w:rStyle w:val="xxxxeop"/>
          <w:bCs/>
          <w:color w:val="201F1E"/>
          <w:sz w:val="22"/>
          <w:bdr w:val="none" w:sz="0" w:space="0" w:color="auto" w:frame="1"/>
        </w:rPr>
        <w:t>any historians deny that African-American music is the product of a monolithic culture.</w:t>
      </w:r>
      <w:r w:rsidRPr="0090099B">
        <w:rPr>
          <w:rStyle w:val="FootnoteReference"/>
          <w:bCs/>
          <w:color w:val="201F1E"/>
          <w:sz w:val="22"/>
          <w:bdr w:val="none" w:sz="0" w:space="0" w:color="auto" w:frame="1"/>
        </w:rPr>
        <w:footnoteReference w:id="70"/>
      </w:r>
      <w:r w:rsidRPr="0090099B">
        <w:rPr>
          <w:rStyle w:val="xxxxeop"/>
          <w:bCs/>
          <w:color w:val="201F1E"/>
          <w:sz w:val="22"/>
          <w:bdr w:val="none" w:sz="0" w:space="0" w:color="auto" w:frame="1"/>
        </w:rPr>
        <w:t xml:space="preserve"> </w:t>
      </w:r>
      <w:r w:rsidRPr="0090099B">
        <w:rPr>
          <w:sz w:val="22"/>
        </w:rPr>
        <w:t>As Monson argues, the use of solely "Afrocentric literature" and homogeneous notions of race and culture constricts discussion of authenticity.</w:t>
      </w:r>
      <w:r w:rsidRPr="0090099B">
        <w:rPr>
          <w:rStyle w:val="FootnoteReference"/>
          <w:sz w:val="22"/>
        </w:rPr>
        <w:footnoteReference w:id="71"/>
      </w:r>
      <w:r w:rsidRPr="0090099B">
        <w:rPr>
          <w:sz w:val="22"/>
        </w:rPr>
        <w:t xml:space="preserve"> Through jazz, r 'n' b, rock 'n' roll, soul, disco, rap and hiphop, African-American music dominates 20th and 21st century popular culture, and – according to a liberal conception – is</w:t>
      </w:r>
      <w:r w:rsidRPr="0090099B">
        <w:rPr>
          <w:rStyle w:val="xxxxeop"/>
          <w:bCs/>
          <w:color w:val="201F1E"/>
          <w:sz w:val="22"/>
          <w:bdr w:val="none" w:sz="0" w:space="0" w:color="auto" w:frame="1"/>
        </w:rPr>
        <w:t xml:space="preserve"> part of everyone's heritage and culture. </w:t>
      </w:r>
      <w:r w:rsidRPr="0090099B">
        <w:rPr>
          <w:sz w:val="22"/>
        </w:rPr>
        <w:t>To echo Langston Hughes, quoted in Ch. 3, "I wouldn't give up Gershwin for an ideological critique".</w:t>
      </w:r>
    </w:p>
    <w:p w14:paraId="3EECE1AE" w14:textId="77777777" w:rsidR="00EA31F9" w:rsidRPr="0090099B" w:rsidRDefault="00EA31F9" w:rsidP="00EA31F9">
      <w:pPr>
        <w:ind w:right="1082"/>
        <w:rPr>
          <w:sz w:val="22"/>
        </w:rPr>
      </w:pPr>
    </w:p>
    <w:p w14:paraId="209AB5BE" w14:textId="77777777" w:rsidR="00EA31F9" w:rsidRPr="0090099B" w:rsidRDefault="00EA31F9" w:rsidP="00EA31F9">
      <w:pPr>
        <w:ind w:right="1082"/>
        <w:rPr>
          <w:b/>
          <w:bCs/>
          <w:color w:val="202122"/>
          <w:sz w:val="22"/>
          <w:szCs w:val="20"/>
          <w:shd w:val="clear" w:color="auto" w:fill="F8F9FA"/>
        </w:rPr>
      </w:pPr>
      <w:r w:rsidRPr="0090099B">
        <w:rPr>
          <w:b/>
          <w:bCs/>
          <w:color w:val="202122"/>
          <w:sz w:val="22"/>
          <w:szCs w:val="20"/>
          <w:shd w:val="clear" w:color="auto" w:fill="F8F9FA"/>
        </w:rPr>
        <w:t xml:space="preserve">[PIC - Théâtre du Capitole, Paris: 1967 production of </w:t>
      </w:r>
      <w:r w:rsidRPr="0090099B">
        <w:rPr>
          <w:b/>
          <w:bCs/>
          <w:i/>
          <w:iCs/>
          <w:color w:val="202122"/>
          <w:sz w:val="22"/>
          <w:szCs w:val="20"/>
          <w:shd w:val="clear" w:color="auto" w:fill="F8F9FA"/>
        </w:rPr>
        <w:t>Porgy and Bess</w:t>
      </w:r>
      <w:r w:rsidRPr="0090099B">
        <w:rPr>
          <w:b/>
          <w:bCs/>
          <w:color w:val="202122"/>
          <w:sz w:val="22"/>
          <w:szCs w:val="20"/>
          <w:shd w:val="clear" w:color="auto" w:fill="F8F9FA"/>
        </w:rPr>
        <w:t>:</w:t>
      </w:r>
    </w:p>
    <w:p w14:paraId="6A3AF238" w14:textId="77777777" w:rsidR="00EA31F9" w:rsidRPr="0090099B" w:rsidRDefault="00000000" w:rsidP="00EA31F9">
      <w:pPr>
        <w:ind w:right="1082"/>
        <w:rPr>
          <w:rStyle w:val="xxxxeop"/>
          <w:b/>
          <w:sz w:val="22"/>
        </w:rPr>
      </w:pPr>
      <w:hyperlink r:id="rId6" w:history="1">
        <w:r w:rsidR="00EA31F9" w:rsidRPr="0090099B">
          <w:rPr>
            <w:rStyle w:val="Hyperlink"/>
            <w:b/>
            <w:bCs/>
            <w:sz w:val="22"/>
            <w:szCs w:val="20"/>
            <w:shd w:val="clear" w:color="auto" w:fill="F8F9FA"/>
          </w:rPr>
          <w:t>https://commons.wikimedia.org/wiki/File:23.02.1967._Porgy_and_Bess._%281967%29_-_53Fi2509.jpg</w:t>
        </w:r>
      </w:hyperlink>
      <w:r w:rsidR="00EA31F9" w:rsidRPr="0090099B">
        <w:rPr>
          <w:b/>
          <w:bCs/>
          <w:color w:val="202122"/>
          <w:sz w:val="22"/>
          <w:szCs w:val="20"/>
          <w:shd w:val="clear" w:color="auto" w:fill="F8F9FA"/>
        </w:rPr>
        <w:t>]</w:t>
      </w:r>
    </w:p>
    <w:p w14:paraId="726B3106" w14:textId="77777777" w:rsidR="00EA31F9" w:rsidRPr="0090099B" w:rsidRDefault="00EA31F9" w:rsidP="00EA31F9">
      <w:pPr>
        <w:ind w:right="1082"/>
        <w:rPr>
          <w:b/>
          <w:sz w:val="22"/>
        </w:rPr>
      </w:pPr>
    </w:p>
    <w:p w14:paraId="1544957D" w14:textId="77777777" w:rsidR="00EA31F9" w:rsidRPr="0090099B" w:rsidRDefault="00EA31F9" w:rsidP="00EA31F9">
      <w:pPr>
        <w:ind w:right="1082"/>
        <w:rPr>
          <w:color w:val="000000"/>
          <w:sz w:val="22"/>
          <w:shd w:val="clear" w:color="auto" w:fill="FFFFFF"/>
        </w:rPr>
      </w:pPr>
      <w:r w:rsidRPr="0090099B">
        <w:rPr>
          <w:sz w:val="22"/>
        </w:rPr>
        <w:t>This chapter has criticised cultural appropriation critique from a liberal standpoint. But it does not deny that there is some truth in the critique, though it is mis-represented. The vital issue, I believe, is economic inequality, not cultural appropriation. The same is true of the debate over "woke", which obscures economic inequalities.</w:t>
      </w:r>
      <w:r w:rsidRPr="0090099B">
        <w:rPr>
          <w:rStyle w:val="FootnoteReference"/>
          <w:color w:val="333333"/>
          <w:sz w:val="22"/>
        </w:rPr>
        <w:footnoteReference w:id="72"/>
      </w:r>
      <w:r w:rsidRPr="0090099B">
        <w:rPr>
          <w:sz w:val="22"/>
        </w:rPr>
        <w:t xml:space="preserve"> </w:t>
      </w:r>
      <w:r w:rsidRPr="0090099B">
        <w:rPr>
          <w:color w:val="000000"/>
          <w:sz w:val="22"/>
          <w:bdr w:val="none" w:sz="0" w:space="0" w:color="auto" w:frame="1"/>
        </w:rPr>
        <w:t>T</w:t>
      </w:r>
      <w:r w:rsidRPr="0090099B">
        <w:rPr>
          <w:color w:val="000000"/>
          <w:sz w:val="22"/>
          <w:shd w:val="clear" w:color="auto" w:fill="FFFFFF"/>
        </w:rPr>
        <w:t>he fundamental moral objection is that appropriation disempowers an historically-marginalised people. The morally criticisable actions are exploitation – and disrespect – not appropriation.</w:t>
      </w:r>
    </w:p>
    <w:p w14:paraId="03279BE1" w14:textId="77777777" w:rsidR="00EA31F9" w:rsidRPr="0090099B" w:rsidRDefault="00EA31F9" w:rsidP="00EA31F9">
      <w:pPr>
        <w:ind w:right="1082"/>
        <w:outlineLvl w:val="0"/>
        <w:rPr>
          <w:i/>
          <w:sz w:val="22"/>
        </w:rPr>
      </w:pPr>
    </w:p>
    <w:p w14:paraId="2193B472" w14:textId="77777777" w:rsidR="00EA31F9" w:rsidRPr="0090099B" w:rsidRDefault="00EA31F9" w:rsidP="00EA31F9">
      <w:pPr>
        <w:tabs>
          <w:tab w:val="left" w:pos="4050"/>
        </w:tabs>
        <w:ind w:right="1082"/>
        <w:rPr>
          <w:color w:val="000000"/>
          <w:sz w:val="22"/>
          <w:shd w:val="clear" w:color="auto" w:fill="FFFFFF"/>
        </w:rPr>
      </w:pPr>
      <w:r w:rsidRPr="0090099B">
        <w:rPr>
          <w:color w:val="000000" w:themeColor="text1"/>
          <w:sz w:val="22"/>
          <w:u w:color="000000"/>
        </w:rPr>
        <w:t xml:space="preserve">So there is a qualified truth in cultural appropriation critique: cultures own in the sense that global capital appropriates. </w:t>
      </w:r>
      <w:r w:rsidRPr="0090099B">
        <w:rPr>
          <w:i/>
          <w:color w:val="000000" w:themeColor="text1"/>
          <w:sz w:val="22"/>
          <w:u w:color="000000"/>
        </w:rPr>
        <w:t xml:space="preserve">Proponents of cultural appropriation critique mistakenly assume that appropriation is individual; but they are right in the sense that it can be </w:t>
      </w:r>
      <w:r w:rsidRPr="0090099B">
        <w:rPr>
          <w:i/>
          <w:sz w:val="22"/>
        </w:rPr>
        <w:t>institutional.</w:t>
      </w:r>
      <w:r w:rsidRPr="0090099B">
        <w:rPr>
          <w:sz w:val="22"/>
        </w:rPr>
        <w:t xml:space="preserve"> Global capital appropriates, and individuals are its representatives only. Gershwin and Debussy were artistic geniuses, not simply representatives of global capitalism who appropriated the cultural products of African-Americans or Indonesians. </w:t>
      </w:r>
      <w:r w:rsidRPr="0090099B">
        <w:rPr>
          <w:color w:val="000000" w:themeColor="text1"/>
          <w:sz w:val="22"/>
          <w:u w:color="000000"/>
        </w:rPr>
        <w:t>Presley and Jagger may be also geniuses, though of a different kind; but their vast income makes them representatives of global capital, and therefore possible appropriators. Someone may object:</w:t>
      </w:r>
      <w:r w:rsidRPr="0090099B">
        <w:rPr>
          <w:color w:val="000000"/>
          <w:sz w:val="22"/>
        </w:rPr>
        <w:t xml:space="preserve"> "</w:t>
      </w:r>
      <w:r w:rsidRPr="0090099B">
        <w:rPr>
          <w:color w:val="000000"/>
          <w:sz w:val="22"/>
          <w:shd w:val="clear" w:color="auto" w:fill="FFFFFF"/>
        </w:rPr>
        <w:t>Debussy did not personally exploit anyone, but he was part of a society that did, and his compositions are part of that exploitation. He might have failed to acknowledge the cultures whose music influenced him."</w:t>
      </w:r>
      <w:r w:rsidRPr="0090099B">
        <w:rPr>
          <w:rStyle w:val="FootnoteReference"/>
          <w:color w:val="000000"/>
          <w:sz w:val="22"/>
          <w:shd w:val="clear" w:color="auto" w:fill="FFFFFF"/>
        </w:rPr>
        <w:footnoteReference w:id="73"/>
      </w:r>
      <w:r w:rsidRPr="0090099B">
        <w:rPr>
          <w:color w:val="000000"/>
          <w:sz w:val="22"/>
          <w:shd w:val="clear" w:color="auto" w:fill="FFFFFF"/>
        </w:rPr>
        <w:t xml:space="preserve"> There is some truth in this objection, which is underplayed by the cosmopolitan response of Appiah and Young. However, it is not a criticism of Debussy as an individual, I believe, but of the society in which he worked.</w:t>
      </w:r>
    </w:p>
    <w:p w14:paraId="3A7E4B9D" w14:textId="77777777" w:rsidR="00EA31F9" w:rsidRPr="0090099B" w:rsidRDefault="00EA31F9" w:rsidP="00EA31F9">
      <w:pPr>
        <w:tabs>
          <w:tab w:val="left" w:pos="4050"/>
        </w:tabs>
        <w:ind w:right="1082"/>
        <w:rPr>
          <w:color w:val="000000" w:themeColor="text1"/>
          <w:sz w:val="22"/>
          <w:u w:color="000000"/>
        </w:rPr>
      </w:pPr>
    </w:p>
    <w:p w14:paraId="1A279A7B" w14:textId="77777777" w:rsidR="00EA31F9" w:rsidRPr="0090099B" w:rsidRDefault="00EA31F9" w:rsidP="00EA31F9">
      <w:pPr>
        <w:ind w:right="1082"/>
        <w:rPr>
          <w:b/>
          <w:color w:val="000000" w:themeColor="text1"/>
          <w:sz w:val="22"/>
          <w:u w:color="000000"/>
        </w:rPr>
      </w:pPr>
      <w:r w:rsidRPr="0090099B">
        <w:rPr>
          <w:color w:val="000000" w:themeColor="text1"/>
          <w:sz w:val="22"/>
          <w:u w:color="000000"/>
        </w:rPr>
        <w:t>It is global capitalism that appropriates, creating a bland product that optimises marketability. F</w:t>
      </w:r>
      <w:r w:rsidRPr="0090099B">
        <w:rPr>
          <w:sz w:val="22"/>
        </w:rPr>
        <w:t xml:space="preserve">olk music changes when it becomes concert music – an art music – or when listed by UNESCO as an Intangible Musical Culture at risk. </w:t>
      </w:r>
      <w:r w:rsidRPr="0090099B">
        <w:rPr>
          <w:color w:val="000000" w:themeColor="text1"/>
          <w:sz w:val="22"/>
          <w:u w:color="000000"/>
        </w:rPr>
        <w:t>Indonesian gamelan music has had to enter the academy; its amateur basis is being sacrificed for reasons of self-preservation, which some might call preservation by destruction. The unhappy prospect is one in which gamelan ensembles in Western universities are like endangered species in zoos. But t</w:t>
      </w:r>
      <w:r w:rsidRPr="0090099B">
        <w:rPr>
          <w:sz w:val="22"/>
        </w:rPr>
        <w:t xml:space="preserve">hough softening of styles occurs, there remains great variety at the margins. The danger of homogenisation by global capital is counteracted by cultural support by dominant classes; thus Karnatak music is sustained by the South Indian Brahmin caste, though Balinese gamelan seems not to have such support. The </w:t>
      </w:r>
      <w:r w:rsidRPr="0090099B">
        <w:rPr>
          <w:color w:val="1B1B1B"/>
          <w:sz w:val="22"/>
          <w:szCs w:val="30"/>
        </w:rPr>
        <w:t xml:space="preserve">objection that products of global capitalism are bland is the aesthetic one of inauthenticity; it is not a moral flaw. </w:t>
      </w:r>
      <w:r w:rsidRPr="0090099B">
        <w:rPr>
          <w:color w:val="000000" w:themeColor="text1"/>
          <w:sz w:val="22"/>
          <w:u w:color="000000"/>
        </w:rPr>
        <w:t>So Coleman and Coombe are right to question the characterisation of the ethical dilemma as between "a right to freedom of expression in artistic practice and a right to restrict the use of content based on proprietary claims".</w:t>
      </w:r>
      <w:r w:rsidRPr="0090099B">
        <w:rPr>
          <w:rStyle w:val="FootnoteReference"/>
          <w:color w:val="000000" w:themeColor="text1"/>
          <w:sz w:val="22"/>
          <w:u w:color="000000"/>
        </w:rPr>
        <w:footnoteReference w:id="74"/>
      </w:r>
      <w:r w:rsidRPr="0090099B">
        <w:rPr>
          <w:color w:val="000000" w:themeColor="text1"/>
          <w:sz w:val="22"/>
          <w:u w:color="000000"/>
        </w:rPr>
        <w:t xml:space="preserve"> The aesthetic threat operates at an institutional level, and at the level of individuals only as representatives of institutions. </w:t>
      </w:r>
    </w:p>
    <w:p w14:paraId="7C5E2F5B" w14:textId="77777777" w:rsidR="00EA31F9" w:rsidRPr="0090099B" w:rsidRDefault="00EA31F9" w:rsidP="00EA31F9">
      <w:pPr>
        <w:ind w:right="1082"/>
        <w:outlineLvl w:val="0"/>
        <w:rPr>
          <w:color w:val="201F1E"/>
          <w:sz w:val="22"/>
          <w:szCs w:val="23"/>
        </w:rPr>
      </w:pPr>
    </w:p>
    <w:p w14:paraId="606DEA47" w14:textId="4AF796B2" w:rsidR="00EA31F9" w:rsidRPr="0090099B" w:rsidRDefault="00EA31F9" w:rsidP="00EA31F9">
      <w:pPr>
        <w:ind w:right="1082"/>
        <w:outlineLvl w:val="0"/>
        <w:rPr>
          <w:sz w:val="22"/>
        </w:rPr>
      </w:pPr>
      <w:r w:rsidRPr="0090099B">
        <w:rPr>
          <w:color w:val="201F1E"/>
          <w:sz w:val="22"/>
          <w:szCs w:val="23"/>
        </w:rPr>
        <w:t xml:space="preserve">So it is not quite right to say that artistic success settles the question – "Hound Dog" is an artistic success, but is also exploitation of African-American culture. In contrast, Debussy or Roomful of Teeth, with their rather modest living, are not exploiters. The language of cultural appropriation is incorrect, but reflects a genuine threat from global capitalism, as it appropriates and exploits indigenous culture. </w:t>
      </w:r>
      <w:r w:rsidRPr="0090099B">
        <w:rPr>
          <w:sz w:val="22"/>
        </w:rPr>
        <w:t xml:space="preserve">Cultural appropriation is normally defined hierarchically by a dominant culture drawing from an oppressed one because the interaction between those cultures has been historically characterised by cultural </w:t>
      </w:r>
      <w:r w:rsidRPr="0090099B">
        <w:rPr>
          <w:i/>
          <w:iCs/>
          <w:sz w:val="22"/>
        </w:rPr>
        <w:t>de</w:t>
      </w:r>
      <w:r w:rsidRPr="0090099B">
        <w:rPr>
          <w:sz w:val="22"/>
        </w:rPr>
        <w:t xml:space="preserve">preciation – disrespect, economic harm and severe offence. But cultural appropriation can also mean </w:t>
      </w:r>
      <w:r w:rsidRPr="0090099B">
        <w:rPr>
          <w:i/>
          <w:iCs/>
          <w:sz w:val="22"/>
        </w:rPr>
        <w:t>ap</w:t>
      </w:r>
      <w:r w:rsidRPr="0090099B">
        <w:rPr>
          <w:sz w:val="22"/>
        </w:rPr>
        <w:t xml:space="preserve">preciation: an endorsement of another culture and its aesthetic achievements, and a development of them. The latter should be encouraged and celebrated. </w:t>
      </w:r>
    </w:p>
    <w:p w14:paraId="4DFC101C" w14:textId="77777777" w:rsidR="00F858C7" w:rsidRDefault="00F858C7" w:rsidP="00EA31F9">
      <w:pPr>
        <w:ind w:right="1082"/>
      </w:pPr>
    </w:p>
    <w:sectPr w:rsidR="00F858C7" w:rsidSect="00856A0D">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E00FA2" w14:textId="77777777" w:rsidR="009151E4" w:rsidRDefault="009151E4" w:rsidP="00EA31F9">
      <w:r>
        <w:separator/>
      </w:r>
    </w:p>
  </w:endnote>
  <w:endnote w:type="continuationSeparator" w:id="0">
    <w:p w14:paraId="3C752EC4" w14:textId="77777777" w:rsidR="009151E4" w:rsidRDefault="009151E4" w:rsidP="00EA31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imes-Roman">
    <w:altName w:val="Times New Roman"/>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BDC03D" w14:textId="77777777" w:rsidR="009151E4" w:rsidRDefault="009151E4" w:rsidP="00EA31F9">
      <w:r>
        <w:separator/>
      </w:r>
    </w:p>
  </w:footnote>
  <w:footnote w:type="continuationSeparator" w:id="0">
    <w:p w14:paraId="74065A50" w14:textId="77777777" w:rsidR="009151E4" w:rsidRDefault="009151E4" w:rsidP="00EA31F9">
      <w:r>
        <w:continuationSeparator/>
      </w:r>
    </w:p>
  </w:footnote>
  <w:footnote w:id="1">
    <w:p w14:paraId="73C17F8E" w14:textId="77777777" w:rsidR="00EA31F9" w:rsidRPr="001B34F2" w:rsidRDefault="00EA31F9" w:rsidP="00EA31F9">
      <w:pPr>
        <w:pStyle w:val="xxmsonormal"/>
        <w:shd w:val="clear" w:color="auto" w:fill="FFFFFF"/>
        <w:spacing w:before="0" w:beforeAutospacing="0" w:after="0" w:afterAutospacing="0"/>
        <w:ind w:right="374"/>
        <w:rPr>
          <w:sz w:val="20"/>
          <w:szCs w:val="20"/>
        </w:rPr>
      </w:pPr>
      <w:r w:rsidRPr="001B34F2">
        <w:rPr>
          <w:rStyle w:val="FootnoteReference"/>
          <w:sz w:val="20"/>
          <w:szCs w:val="20"/>
        </w:rPr>
        <w:footnoteRef/>
      </w:r>
      <w:r w:rsidRPr="001B34F2">
        <w:rPr>
          <w:sz w:val="20"/>
          <w:szCs w:val="20"/>
        </w:rPr>
        <w:t xml:space="preserve"> See Tim Cooper blog, </w:t>
      </w:r>
      <w:hyperlink r:id="rId1" w:history="1">
        <w:r w:rsidRPr="001B34F2">
          <w:rPr>
            <w:rStyle w:val="Hyperlink"/>
            <w:sz w:val="20"/>
            <w:szCs w:val="20"/>
          </w:rPr>
          <w:t>www.eatsdrinksandleaves.com/big-mama-thornton-hound-dog/</w:t>
        </w:r>
      </w:hyperlink>
      <w:r w:rsidRPr="001B34F2">
        <w:rPr>
          <w:sz w:val="20"/>
          <w:szCs w:val="20"/>
        </w:rPr>
        <w:t>.</w:t>
      </w:r>
    </w:p>
  </w:footnote>
  <w:footnote w:id="2">
    <w:p w14:paraId="61475BA7" w14:textId="77777777" w:rsidR="00EA31F9" w:rsidRPr="001B34F2" w:rsidRDefault="00EA31F9" w:rsidP="00EA31F9">
      <w:pPr>
        <w:pStyle w:val="xxmsonormal"/>
        <w:shd w:val="clear" w:color="auto" w:fill="FFFFFF"/>
        <w:spacing w:before="0" w:beforeAutospacing="0" w:after="0" w:afterAutospacing="0"/>
        <w:ind w:right="374"/>
        <w:rPr>
          <w:sz w:val="20"/>
          <w:szCs w:val="20"/>
        </w:rPr>
      </w:pPr>
      <w:r w:rsidRPr="001B34F2">
        <w:rPr>
          <w:rStyle w:val="FootnoteReference"/>
          <w:sz w:val="20"/>
          <w:szCs w:val="20"/>
        </w:rPr>
        <w:footnoteRef/>
      </w:r>
      <w:r w:rsidRPr="001B34F2">
        <w:rPr>
          <w:sz w:val="20"/>
          <w:szCs w:val="20"/>
        </w:rPr>
        <w:t xml:space="preserve"> </w:t>
      </w:r>
      <w:hyperlink r:id="rId2" w:history="1">
        <w:r w:rsidRPr="001B34F2">
          <w:rPr>
            <w:rStyle w:val="Hyperlink"/>
            <w:sz w:val="20"/>
            <w:szCs w:val="20"/>
          </w:rPr>
          <w:t>www.eatsdrinksandleaves.com/big-mama-thornton-hound-dog/</w:t>
        </w:r>
      </w:hyperlink>
      <w:r w:rsidRPr="001B34F2">
        <w:rPr>
          <w:sz w:val="20"/>
          <w:szCs w:val="20"/>
        </w:rPr>
        <w:t>.</w:t>
      </w:r>
    </w:p>
  </w:footnote>
  <w:footnote w:id="3">
    <w:p w14:paraId="0993F342" w14:textId="77777777" w:rsidR="00EA31F9" w:rsidRPr="001B34F2" w:rsidRDefault="00EA31F9" w:rsidP="00EA31F9">
      <w:pPr>
        <w:ind w:right="-52"/>
        <w:rPr>
          <w:b/>
          <w:bCs/>
          <w:sz w:val="20"/>
          <w:szCs w:val="20"/>
        </w:rPr>
      </w:pPr>
      <w:r w:rsidRPr="001B34F2">
        <w:rPr>
          <w:rStyle w:val="FootnoteReference"/>
          <w:sz w:val="20"/>
          <w:szCs w:val="20"/>
        </w:rPr>
        <w:footnoteRef/>
      </w:r>
      <w:r w:rsidRPr="001B34F2">
        <w:rPr>
          <w:sz w:val="20"/>
          <w:szCs w:val="20"/>
        </w:rPr>
        <w:t xml:space="preserve"> </w:t>
      </w:r>
      <w:hyperlink r:id="rId3" w:history="1">
        <w:r w:rsidRPr="001B34F2">
          <w:rPr>
            <w:rStyle w:val="Hyperlink"/>
            <w:sz w:val="20"/>
            <w:szCs w:val="20"/>
          </w:rPr>
          <w:t>https://www.youtube.com/watch?v=Vr51BN3m67U</w:t>
        </w:r>
      </w:hyperlink>
    </w:p>
  </w:footnote>
  <w:footnote w:id="4">
    <w:p w14:paraId="0BE7D970" w14:textId="77777777" w:rsidR="00EA31F9" w:rsidRPr="001B34F2" w:rsidRDefault="00EA31F9" w:rsidP="00EA31F9">
      <w:pPr>
        <w:pStyle w:val="Heading1"/>
        <w:spacing w:before="0" w:after="0"/>
        <w:ind w:right="374"/>
        <w:rPr>
          <w:rFonts w:ascii="Times New Roman" w:hAnsi="Times New Roman"/>
          <w:b w:val="0"/>
          <w:sz w:val="20"/>
        </w:rPr>
      </w:pPr>
      <w:r w:rsidRPr="001B34F2">
        <w:rPr>
          <w:rStyle w:val="FootnoteReference"/>
          <w:rFonts w:ascii="Times New Roman" w:hAnsi="Times New Roman"/>
          <w:b w:val="0"/>
          <w:sz w:val="20"/>
        </w:rPr>
        <w:footnoteRef/>
      </w:r>
      <w:r w:rsidRPr="001B34F2">
        <w:rPr>
          <w:rFonts w:ascii="Times New Roman" w:hAnsi="Times New Roman"/>
          <w:b w:val="0"/>
          <w:sz w:val="20"/>
        </w:rPr>
        <w:t xml:space="preserve"> </w:t>
      </w:r>
      <w:hyperlink r:id="rId4" w:history="1">
        <w:r w:rsidRPr="001B34F2">
          <w:rPr>
            <w:rStyle w:val="Hyperlink"/>
            <w:rFonts w:ascii="Times New Roman" w:hAnsi="Times New Roman"/>
            <w:b w:val="0"/>
            <w:sz w:val="20"/>
          </w:rPr>
          <w:t>https://news.sky.com/story/oli-london-british-influencer-defends-identifying-as-korean-after-surgery-to-look-like-bts-star-12344765</w:t>
        </w:r>
      </w:hyperlink>
      <w:r w:rsidRPr="001B34F2">
        <w:rPr>
          <w:rFonts w:ascii="Times New Roman" w:hAnsi="Times New Roman"/>
          <w:b w:val="0"/>
          <w:sz w:val="20"/>
        </w:rPr>
        <w:t xml:space="preserve">. </w:t>
      </w:r>
      <w:r w:rsidRPr="001B34F2">
        <w:rPr>
          <w:rFonts w:ascii="Times New Roman" w:hAnsi="Times New Roman"/>
          <w:b w:val="0"/>
          <w:i/>
          <w:sz w:val="20"/>
        </w:rPr>
        <w:t>Influencers</w:t>
      </w:r>
      <w:r w:rsidRPr="001B34F2">
        <w:rPr>
          <w:rFonts w:ascii="Times New Roman" w:hAnsi="Times New Roman"/>
          <w:b w:val="0"/>
          <w:sz w:val="20"/>
        </w:rPr>
        <w:t xml:space="preserve">, a limiting phenomenon of the contemporary culture industry, promote or sell </w:t>
      </w:r>
      <w:r w:rsidRPr="001B34F2">
        <w:rPr>
          <w:rFonts w:ascii="Times New Roman" w:hAnsi="Times New Roman"/>
          <w:b w:val="0"/>
          <w:color w:val="202124"/>
          <w:sz w:val="20"/>
          <w:shd w:val="clear" w:color="auto" w:fill="FFFFFF"/>
        </w:rPr>
        <w:t>products or services</w:t>
      </w:r>
      <w:r w:rsidRPr="001B34F2">
        <w:rPr>
          <w:rFonts w:ascii="Times New Roman" w:hAnsi="Times New Roman"/>
          <w:b w:val="0"/>
          <w:sz w:val="20"/>
        </w:rPr>
        <w:t xml:space="preserve"> to their large social media following</w:t>
      </w:r>
      <w:r w:rsidRPr="001B34F2">
        <w:rPr>
          <w:rFonts w:ascii="Times New Roman" w:hAnsi="Times New Roman"/>
          <w:b w:val="0"/>
          <w:color w:val="202124"/>
          <w:sz w:val="20"/>
          <w:shd w:val="clear" w:color="auto" w:fill="FFFFFF"/>
        </w:rPr>
        <w:t xml:space="preserve">. The broader issue of transracialism is raised by Rachel </w:t>
      </w:r>
      <w:r w:rsidRPr="001B34F2">
        <w:rPr>
          <w:rFonts w:ascii="Times New Roman" w:hAnsi="Times New Roman"/>
          <w:b w:val="0"/>
          <w:color w:val="1B1B1B"/>
          <w:sz w:val="20"/>
          <w:shd w:val="clear" w:color="auto" w:fill="FFFFFF"/>
        </w:rPr>
        <w:t xml:space="preserve">Tuvel, who rebuts several arguments against it (Tuvel 2017). </w:t>
      </w:r>
    </w:p>
  </w:footnote>
  <w:footnote w:id="5">
    <w:p w14:paraId="588D427A" w14:textId="77777777" w:rsidR="00EA31F9" w:rsidRPr="001B34F2" w:rsidRDefault="00EA31F9" w:rsidP="00EA31F9">
      <w:pPr>
        <w:ind w:right="374"/>
        <w:rPr>
          <w:sz w:val="20"/>
          <w:szCs w:val="20"/>
        </w:rPr>
      </w:pPr>
      <w:r w:rsidRPr="001B34F2">
        <w:rPr>
          <w:rStyle w:val="FootnoteReference"/>
          <w:sz w:val="20"/>
          <w:szCs w:val="20"/>
        </w:rPr>
        <w:footnoteRef/>
      </w:r>
      <w:r w:rsidRPr="001B34F2">
        <w:rPr>
          <w:sz w:val="20"/>
          <w:szCs w:val="20"/>
        </w:rPr>
        <w:t xml:space="preserve"> </w:t>
      </w:r>
      <w:hyperlink r:id="rId5" w:history="1">
        <w:r w:rsidRPr="001B34F2">
          <w:rPr>
            <w:rStyle w:val="Hyperlink"/>
            <w:sz w:val="20"/>
            <w:szCs w:val="20"/>
            <w:bdr w:val="none" w:sz="0" w:space="0" w:color="auto" w:frame="1"/>
            <w:shd w:val="clear" w:color="auto" w:fill="FFFFFF"/>
          </w:rPr>
          <w:t>https://rampages.us/phamvk/2017/04/06/the-problematic-cultural-appropriation-of-polynesian-tattooing-in-the-wave-of-21st-century-tattoo-revival/</w:t>
        </w:r>
      </w:hyperlink>
    </w:p>
  </w:footnote>
  <w:footnote w:id="6">
    <w:p w14:paraId="3E3C2347" w14:textId="77777777" w:rsidR="00EA31F9" w:rsidRPr="001B34F2" w:rsidRDefault="00EA31F9" w:rsidP="00EA31F9">
      <w:pPr>
        <w:shd w:val="clear" w:color="auto" w:fill="FFFFFF"/>
        <w:ind w:right="374"/>
        <w:textAlignment w:val="baseline"/>
        <w:rPr>
          <w:color w:val="201F1E"/>
          <w:sz w:val="20"/>
          <w:szCs w:val="20"/>
        </w:rPr>
      </w:pPr>
      <w:r w:rsidRPr="001B34F2">
        <w:rPr>
          <w:rStyle w:val="FootnoteReference"/>
          <w:sz w:val="20"/>
          <w:szCs w:val="20"/>
        </w:rPr>
        <w:footnoteRef/>
      </w:r>
      <w:r w:rsidRPr="001B34F2">
        <w:rPr>
          <w:sz w:val="20"/>
          <w:szCs w:val="20"/>
        </w:rPr>
        <w:t xml:space="preserve"> </w:t>
      </w:r>
      <w:hyperlink r:id="rId6" w:history="1">
        <w:r w:rsidRPr="001B34F2">
          <w:rPr>
            <w:rStyle w:val="Hyperlink"/>
            <w:sz w:val="20"/>
            <w:szCs w:val="20"/>
            <w:bdr w:val="none" w:sz="0" w:space="0" w:color="auto" w:frame="1"/>
          </w:rPr>
          <w:t>www.arctictoday.com/acclaimed-american-choir-slammed-for-use-of-inuit-throat-singing/</w:t>
        </w:r>
      </w:hyperlink>
    </w:p>
  </w:footnote>
  <w:footnote w:id="7">
    <w:p w14:paraId="24223648" w14:textId="77777777" w:rsidR="00EA31F9" w:rsidRPr="001B34F2" w:rsidRDefault="00EA31F9" w:rsidP="00EA31F9">
      <w:pPr>
        <w:pStyle w:val="NormalWeb"/>
        <w:spacing w:before="0" w:after="0"/>
        <w:ind w:right="374"/>
        <w:textAlignment w:val="baseline"/>
        <w:rPr>
          <w:color w:val="1B1B1B"/>
        </w:rPr>
      </w:pPr>
      <w:r w:rsidRPr="001B34F2">
        <w:rPr>
          <w:rStyle w:val="FootnoteReference"/>
        </w:rPr>
        <w:footnoteRef/>
      </w:r>
      <w:r w:rsidRPr="001B34F2">
        <w:t xml:space="preserve"> </w:t>
      </w:r>
      <w:hyperlink r:id="rId7" w:history="1">
        <w:r w:rsidRPr="001B34F2">
          <w:rPr>
            <w:rStyle w:val="Hyperlink"/>
          </w:rPr>
          <w:t>https://nunatsiaq.com/stories/article/should-non-inuit-performers-be-allowed-to-throat-sing/</w:t>
        </w:r>
      </w:hyperlink>
    </w:p>
  </w:footnote>
  <w:footnote w:id="8">
    <w:p w14:paraId="4F8939AD" w14:textId="77777777" w:rsidR="00EA31F9" w:rsidRPr="001B34F2" w:rsidRDefault="00EA31F9" w:rsidP="00EA31F9">
      <w:pPr>
        <w:shd w:val="clear" w:color="auto" w:fill="FFFFFF"/>
        <w:ind w:right="374"/>
        <w:textAlignment w:val="baseline"/>
        <w:rPr>
          <w:color w:val="201F1E"/>
          <w:sz w:val="20"/>
          <w:szCs w:val="20"/>
        </w:rPr>
      </w:pPr>
      <w:r w:rsidRPr="001B34F2">
        <w:rPr>
          <w:rStyle w:val="FootnoteReference"/>
          <w:sz w:val="20"/>
          <w:szCs w:val="20"/>
        </w:rPr>
        <w:footnoteRef/>
      </w:r>
      <w:r w:rsidRPr="001B34F2">
        <w:rPr>
          <w:sz w:val="20"/>
          <w:szCs w:val="20"/>
        </w:rPr>
        <w:t xml:space="preserve"> </w:t>
      </w:r>
      <w:hyperlink r:id="rId8" w:history="1">
        <w:r w:rsidRPr="001B34F2">
          <w:rPr>
            <w:rStyle w:val="Hyperlink"/>
            <w:sz w:val="20"/>
            <w:szCs w:val="20"/>
            <w:bdr w:val="none" w:sz="0" w:space="0" w:color="auto" w:frame="1"/>
          </w:rPr>
          <w:t>www.arctictoday.com/acclaimed-american-choir-slammed-for-use-of-inuit-throat-singing/</w:t>
        </w:r>
      </w:hyperlink>
    </w:p>
  </w:footnote>
  <w:footnote w:id="9">
    <w:p w14:paraId="5E7693AA" w14:textId="77777777" w:rsidR="00EA31F9" w:rsidRPr="001B34F2" w:rsidRDefault="00EA31F9" w:rsidP="00EA31F9">
      <w:pPr>
        <w:pStyle w:val="FootnoteText"/>
        <w:ind w:right="374"/>
      </w:pPr>
      <w:r w:rsidRPr="001B34F2">
        <w:rPr>
          <w:rStyle w:val="FootnoteReference"/>
        </w:rPr>
        <w:footnoteRef/>
      </w:r>
      <w:r w:rsidRPr="001B34F2">
        <w:t xml:space="preserve"> Young p. 113. </w:t>
      </w:r>
    </w:p>
  </w:footnote>
  <w:footnote w:id="10">
    <w:p w14:paraId="060BB73B" w14:textId="77777777" w:rsidR="00EA31F9" w:rsidRPr="001B34F2" w:rsidRDefault="00EA31F9" w:rsidP="00EA31F9">
      <w:pPr>
        <w:tabs>
          <w:tab w:val="left" w:pos="7655"/>
        </w:tabs>
        <w:ind w:right="374"/>
        <w:rPr>
          <w:sz w:val="20"/>
          <w:szCs w:val="20"/>
        </w:rPr>
      </w:pPr>
      <w:r w:rsidRPr="001B34F2">
        <w:rPr>
          <w:rStyle w:val="FootnoteReference"/>
          <w:sz w:val="20"/>
          <w:szCs w:val="20"/>
        </w:rPr>
        <w:footnoteRef/>
      </w:r>
      <w:r w:rsidRPr="001B34F2">
        <w:rPr>
          <w:sz w:val="20"/>
          <w:szCs w:val="20"/>
        </w:rPr>
        <w:t xml:space="preserve"> Skorupski (2015). The political framework or "liberal order", he says, comprises </w:t>
      </w:r>
    </w:p>
    <w:p w14:paraId="0A80F714" w14:textId="77777777" w:rsidR="00EA31F9" w:rsidRPr="001B34F2" w:rsidRDefault="00EA31F9" w:rsidP="00EA31F9">
      <w:pPr>
        <w:tabs>
          <w:tab w:val="left" w:pos="7655"/>
        </w:tabs>
        <w:ind w:right="374"/>
        <w:rPr>
          <w:sz w:val="20"/>
          <w:szCs w:val="20"/>
        </w:rPr>
      </w:pPr>
      <w:r w:rsidRPr="001B34F2">
        <w:rPr>
          <w:sz w:val="20"/>
          <w:szCs w:val="20"/>
        </w:rPr>
        <w:t>(i) equal liberty for all citizens – the right to act as one chooses, subject to a law protecting the equal rights of others; (ii) protection of liberty of thought and discussion, and (iii) entrenchment of these principles in a legal framework that guarantees equality under the law.</w:t>
      </w:r>
    </w:p>
  </w:footnote>
  <w:footnote w:id="11">
    <w:p w14:paraId="109366ED" w14:textId="77777777" w:rsidR="00EA31F9" w:rsidRPr="001B34F2" w:rsidRDefault="00EA31F9" w:rsidP="00EA31F9">
      <w:pPr>
        <w:pStyle w:val="FootnoteText"/>
        <w:ind w:right="374"/>
      </w:pPr>
      <w:r w:rsidRPr="001B34F2">
        <w:rPr>
          <w:rStyle w:val="FootnoteReference"/>
        </w:rPr>
        <w:footnoteRef/>
      </w:r>
      <w:r w:rsidRPr="001B34F2">
        <w:t xml:space="preserve"> Her exact words are here: </w:t>
      </w:r>
      <w:hyperlink r:id="rId9" w:history="1">
        <w:r w:rsidRPr="001B34F2">
          <w:rPr>
            <w:rStyle w:val="Hyperlink"/>
          </w:rPr>
          <w:t>https://newlearningonline.com/new-learning/chapter-4/margaret-thatcher-theres-no-such-thing-as-society</w:t>
        </w:r>
      </w:hyperlink>
      <w:r w:rsidRPr="001B34F2">
        <w:rPr>
          <w:rStyle w:val="Hyperlink"/>
        </w:rPr>
        <w:t>.</w:t>
      </w:r>
    </w:p>
  </w:footnote>
  <w:footnote w:id="12">
    <w:p w14:paraId="01E04F78" w14:textId="77777777" w:rsidR="00EA31F9" w:rsidRPr="001B34F2" w:rsidRDefault="00EA31F9" w:rsidP="00EA31F9">
      <w:pPr>
        <w:pStyle w:val="FootnoteText"/>
        <w:ind w:right="374"/>
      </w:pPr>
      <w:r w:rsidRPr="001B34F2">
        <w:rPr>
          <w:rStyle w:val="FootnoteReference"/>
        </w:rPr>
        <w:footnoteRef/>
      </w:r>
      <w:r w:rsidRPr="001B34F2">
        <w:t xml:space="preserve"> Ryan (2015), p. 62. </w:t>
      </w:r>
    </w:p>
  </w:footnote>
  <w:footnote w:id="13">
    <w:p w14:paraId="15555902" w14:textId="77777777" w:rsidR="00EA31F9" w:rsidRPr="00770FA2" w:rsidRDefault="00EA31F9" w:rsidP="00EA31F9">
      <w:pPr>
        <w:pStyle w:val="FootnoteText"/>
        <w:ind w:right="374"/>
      </w:pPr>
      <w:r w:rsidRPr="001B34F2">
        <w:rPr>
          <w:rStyle w:val="FootnoteReference"/>
        </w:rPr>
        <w:footnoteRef/>
      </w:r>
      <w:r w:rsidRPr="001B34F2">
        <w:t xml:space="preserve"> </w:t>
      </w:r>
      <w:r w:rsidRPr="00770FA2">
        <w:t xml:space="preserve">Skorupski (1989), p. 376. </w:t>
      </w:r>
    </w:p>
  </w:footnote>
  <w:footnote w:id="14">
    <w:p w14:paraId="06444DDE" w14:textId="77777777" w:rsidR="00EA31F9" w:rsidRPr="001B34F2" w:rsidRDefault="00EA31F9" w:rsidP="00EA31F9">
      <w:pPr>
        <w:pStyle w:val="FootnoteText"/>
        <w:ind w:right="374"/>
      </w:pPr>
      <w:r w:rsidRPr="001B34F2">
        <w:rPr>
          <w:rStyle w:val="FootnoteReference"/>
        </w:rPr>
        <w:footnoteRef/>
      </w:r>
      <w:r w:rsidRPr="001B34F2">
        <w:t xml:space="preserve"> Skorupski (1989), p. 371. </w:t>
      </w:r>
    </w:p>
  </w:footnote>
  <w:footnote w:id="15">
    <w:p w14:paraId="056BE13E" w14:textId="77777777" w:rsidR="00EA31F9" w:rsidRPr="001B34F2" w:rsidRDefault="00EA31F9" w:rsidP="00EA31F9">
      <w:pPr>
        <w:pStyle w:val="FootnoteText"/>
        <w:ind w:right="374"/>
      </w:pPr>
      <w:r w:rsidRPr="001B34F2">
        <w:rPr>
          <w:rStyle w:val="FootnoteReference"/>
        </w:rPr>
        <w:footnoteRef/>
      </w:r>
      <w:r w:rsidRPr="001B34F2">
        <w:t xml:space="preserve"> Cejudo </w:t>
      </w:r>
      <w:r>
        <w:t xml:space="preserve">(2021) </w:t>
      </w:r>
      <w:r w:rsidRPr="001B34F2">
        <w:t xml:space="preserve">constructs a Millian theory of artistic freedom. </w:t>
      </w:r>
    </w:p>
  </w:footnote>
  <w:footnote w:id="16">
    <w:p w14:paraId="16ACC5B7" w14:textId="77777777" w:rsidR="00EA31F9" w:rsidRPr="001B34F2" w:rsidRDefault="00EA31F9" w:rsidP="00EA31F9">
      <w:pPr>
        <w:pStyle w:val="FootnoteText"/>
        <w:ind w:right="374"/>
      </w:pPr>
      <w:r w:rsidRPr="001B34F2">
        <w:rPr>
          <w:rStyle w:val="FootnoteReference"/>
        </w:rPr>
        <w:footnoteRef/>
      </w:r>
      <w:r w:rsidRPr="001B34F2">
        <w:t xml:space="preserve"> Cejudo (2021), p. 185. </w:t>
      </w:r>
    </w:p>
  </w:footnote>
  <w:footnote w:id="17">
    <w:p w14:paraId="7D29CE2D" w14:textId="77777777" w:rsidR="00EA31F9" w:rsidRPr="001B34F2" w:rsidRDefault="00EA31F9" w:rsidP="00EA31F9">
      <w:pPr>
        <w:pStyle w:val="FootnoteText"/>
        <w:ind w:right="374"/>
      </w:pPr>
      <w:r w:rsidRPr="001B34F2">
        <w:rPr>
          <w:rStyle w:val="FootnoteReference"/>
        </w:rPr>
        <w:footnoteRef/>
      </w:r>
      <w:r w:rsidRPr="001B34F2">
        <w:t xml:space="preserve"> Hamilton (2013). </w:t>
      </w:r>
    </w:p>
  </w:footnote>
  <w:footnote w:id="18">
    <w:p w14:paraId="47D7863D" w14:textId="77777777" w:rsidR="00EA31F9" w:rsidRPr="001B34F2" w:rsidRDefault="00EA31F9" w:rsidP="00EA31F9">
      <w:pPr>
        <w:pStyle w:val="FootnoteText"/>
        <w:ind w:right="374"/>
      </w:pPr>
      <w:r w:rsidRPr="001B34F2">
        <w:rPr>
          <w:rStyle w:val="FootnoteReference"/>
        </w:rPr>
        <w:footnoteRef/>
      </w:r>
      <w:r w:rsidRPr="001B34F2">
        <w:t xml:space="preserve"> Hegel (1975), Vol. II, p. 1236; see also Adorno (2006), p. 7.</w:t>
      </w:r>
    </w:p>
  </w:footnote>
  <w:footnote w:id="19">
    <w:p w14:paraId="3245AF99" w14:textId="77777777" w:rsidR="00EA31F9" w:rsidRPr="001B34F2" w:rsidRDefault="00EA31F9" w:rsidP="00EA31F9">
      <w:pPr>
        <w:pStyle w:val="FootnoteText"/>
        <w:ind w:right="374"/>
      </w:pPr>
      <w:r w:rsidRPr="001B34F2">
        <w:rPr>
          <w:rStyle w:val="FootnoteReference"/>
        </w:rPr>
        <w:footnoteRef/>
      </w:r>
      <w:r w:rsidRPr="001B34F2">
        <w:t xml:space="preserve"> Wittgenstein (1980), p. 42. </w:t>
      </w:r>
    </w:p>
  </w:footnote>
  <w:footnote w:id="20">
    <w:p w14:paraId="366E4777" w14:textId="77777777" w:rsidR="00EA31F9" w:rsidRPr="001B34F2" w:rsidRDefault="00EA31F9" w:rsidP="00EA31F9">
      <w:pPr>
        <w:pStyle w:val="FootnoteText"/>
        <w:ind w:right="374"/>
      </w:pPr>
      <w:r w:rsidRPr="001B34F2">
        <w:rPr>
          <w:rStyle w:val="FootnoteReference"/>
        </w:rPr>
        <w:footnoteRef/>
      </w:r>
      <w:r w:rsidRPr="001B34F2">
        <w:t xml:space="preserve"> Hamilton (2013).</w:t>
      </w:r>
    </w:p>
  </w:footnote>
  <w:footnote w:id="21">
    <w:p w14:paraId="3FB873A0" w14:textId="77777777" w:rsidR="00EA31F9" w:rsidRPr="001B34F2" w:rsidRDefault="00EA31F9" w:rsidP="00EA31F9">
      <w:pPr>
        <w:pStyle w:val="FootnoteText"/>
        <w:ind w:right="374"/>
      </w:pPr>
      <w:r w:rsidRPr="001B34F2">
        <w:rPr>
          <w:rStyle w:val="FootnoteReference"/>
        </w:rPr>
        <w:footnoteRef/>
      </w:r>
      <w:r w:rsidRPr="001B34F2">
        <w:t xml:space="preserve"> Clark (2007), pp. 563-4.</w:t>
      </w:r>
    </w:p>
  </w:footnote>
  <w:footnote w:id="22">
    <w:p w14:paraId="2238A156" w14:textId="77777777" w:rsidR="00EA31F9" w:rsidRPr="001B34F2" w:rsidRDefault="00EA31F9" w:rsidP="00EA31F9">
      <w:pPr>
        <w:pStyle w:val="FootnoteText"/>
        <w:ind w:right="374"/>
      </w:pPr>
      <w:r w:rsidRPr="001B34F2">
        <w:rPr>
          <w:rStyle w:val="FootnoteReference"/>
        </w:rPr>
        <w:footnoteRef/>
      </w:r>
      <w:r w:rsidRPr="001B34F2">
        <w:t xml:space="preserve"> Ai Weiwei (2021). </w:t>
      </w:r>
    </w:p>
  </w:footnote>
  <w:footnote w:id="23">
    <w:p w14:paraId="71921C68" w14:textId="77777777" w:rsidR="00EA31F9" w:rsidRPr="001B34F2" w:rsidRDefault="00EA31F9" w:rsidP="00EA31F9">
      <w:pPr>
        <w:pStyle w:val="FootnoteText"/>
        <w:ind w:right="374"/>
      </w:pPr>
      <w:r w:rsidRPr="001B34F2">
        <w:rPr>
          <w:rStyle w:val="FootnoteReference"/>
        </w:rPr>
        <w:footnoteRef/>
      </w:r>
      <w:r w:rsidRPr="001B34F2">
        <w:t xml:space="preserve"> (2022, MEII Enterprises), based on his book, </w:t>
      </w:r>
      <w:r w:rsidRPr="001B34F2">
        <w:rPr>
          <w:i/>
          <w:color w:val="0F1111"/>
        </w:rPr>
        <w:t xml:space="preserve">Jazz in China: From Dance Hall Music to Individual Freedom of Expression. </w:t>
      </w:r>
    </w:p>
  </w:footnote>
  <w:footnote w:id="24">
    <w:p w14:paraId="0D58BC84" w14:textId="77777777" w:rsidR="00EA31F9" w:rsidRPr="001B34F2" w:rsidRDefault="00EA31F9" w:rsidP="00EA31F9">
      <w:pPr>
        <w:ind w:right="374"/>
        <w:rPr>
          <w:sz w:val="20"/>
          <w:szCs w:val="20"/>
        </w:rPr>
      </w:pPr>
      <w:r w:rsidRPr="001B34F2">
        <w:rPr>
          <w:rStyle w:val="FootnoteReference"/>
          <w:sz w:val="20"/>
          <w:szCs w:val="20"/>
        </w:rPr>
        <w:footnoteRef/>
      </w:r>
      <w:r w:rsidRPr="001B34F2">
        <w:rPr>
          <w:sz w:val="20"/>
          <w:szCs w:val="20"/>
        </w:rPr>
        <w:t xml:space="preserve"> </w:t>
      </w:r>
      <w:hyperlink r:id="rId10" w:history="1">
        <w:r w:rsidRPr="001B34F2">
          <w:rPr>
            <w:rStyle w:val="Hyperlink"/>
            <w:sz w:val="20"/>
            <w:szCs w:val="20"/>
          </w:rPr>
          <w:t>www.independent.co.uk/news/uk/theft-for-arts-sake-gets-a-viewing-from-police-1563626.html</w:t>
        </w:r>
      </w:hyperlink>
      <w:r w:rsidRPr="001B34F2">
        <w:rPr>
          <w:sz w:val="20"/>
          <w:szCs w:val="20"/>
        </w:rPr>
        <w:t xml:space="preserve">; </w:t>
      </w:r>
      <w:hyperlink r:id="rId11" w:history="1">
        <w:r w:rsidRPr="001B34F2">
          <w:rPr>
            <w:rStyle w:val="Hyperlink"/>
            <w:sz w:val="20"/>
            <w:szCs w:val="20"/>
          </w:rPr>
          <w:t>https://opticnerverecordings.com/products/jane-and-barton-jane-and-barton-10mlp-cd</w:t>
        </w:r>
      </w:hyperlink>
      <w:r w:rsidRPr="001B34F2">
        <w:rPr>
          <w:rStyle w:val="Hyperlink"/>
          <w:sz w:val="20"/>
          <w:szCs w:val="20"/>
        </w:rPr>
        <w:t>a</w:t>
      </w:r>
    </w:p>
  </w:footnote>
  <w:footnote w:id="25">
    <w:p w14:paraId="2044DBD0" w14:textId="77777777" w:rsidR="00EA31F9" w:rsidRPr="001B34F2" w:rsidRDefault="00EA31F9" w:rsidP="00EA31F9">
      <w:pPr>
        <w:pStyle w:val="FootnoteText"/>
        <w:ind w:right="374"/>
      </w:pPr>
      <w:r w:rsidRPr="001B34F2">
        <w:rPr>
          <w:rStyle w:val="FootnoteReference"/>
        </w:rPr>
        <w:footnoteRef/>
      </w:r>
      <w:r w:rsidRPr="001B34F2">
        <w:t xml:space="preserve"> Waldron (2012). Christopher Hitchens trenchantly defends free speech against offence: </w:t>
      </w:r>
      <w:hyperlink r:id="rId12" w:history="1">
        <w:r w:rsidRPr="001B34F2">
          <w:rPr>
            <w:rStyle w:val="Hyperlink"/>
          </w:rPr>
          <w:t>www.youtube.com/watch?v=f-yYhq3nOng</w:t>
        </w:r>
      </w:hyperlink>
      <w:r w:rsidRPr="001B34F2">
        <w:t>.</w:t>
      </w:r>
    </w:p>
  </w:footnote>
  <w:footnote w:id="26">
    <w:p w14:paraId="0CB17576" w14:textId="77777777" w:rsidR="00EA31F9" w:rsidRPr="001B34F2" w:rsidRDefault="00EA31F9" w:rsidP="00EA31F9">
      <w:pPr>
        <w:ind w:right="374"/>
        <w:rPr>
          <w:sz w:val="20"/>
          <w:szCs w:val="20"/>
        </w:rPr>
      </w:pPr>
      <w:r w:rsidRPr="001B34F2">
        <w:rPr>
          <w:rStyle w:val="FootnoteReference"/>
          <w:sz w:val="20"/>
          <w:szCs w:val="20"/>
        </w:rPr>
        <w:footnoteRef/>
      </w:r>
      <w:r w:rsidRPr="001B34F2">
        <w:rPr>
          <w:sz w:val="20"/>
          <w:szCs w:val="20"/>
        </w:rPr>
        <w:t xml:space="preserve"> </w:t>
      </w:r>
      <w:hyperlink r:id="rId13" w:history="1">
        <w:r w:rsidRPr="001B34F2">
          <w:rPr>
            <w:rStyle w:val="Hyperlink"/>
            <w:bCs/>
            <w:sz w:val="20"/>
            <w:szCs w:val="20"/>
          </w:rPr>
          <w:t>www.theguardian.com/artanddesign/2012/sep/28/andres-serrano-piss-christ-new-york</w:t>
        </w:r>
      </w:hyperlink>
    </w:p>
  </w:footnote>
  <w:footnote w:id="27">
    <w:p w14:paraId="0EF3DA81" w14:textId="77777777" w:rsidR="00EA31F9" w:rsidRPr="001B34F2" w:rsidRDefault="00EA31F9" w:rsidP="00EA31F9">
      <w:pPr>
        <w:ind w:right="374"/>
        <w:rPr>
          <w:sz w:val="20"/>
          <w:szCs w:val="20"/>
        </w:rPr>
      </w:pPr>
      <w:r w:rsidRPr="001B34F2">
        <w:rPr>
          <w:rStyle w:val="FootnoteReference"/>
          <w:sz w:val="20"/>
          <w:szCs w:val="20"/>
        </w:rPr>
        <w:footnoteRef/>
      </w:r>
      <w:r w:rsidRPr="001B34F2">
        <w:rPr>
          <w:sz w:val="20"/>
          <w:szCs w:val="20"/>
        </w:rPr>
        <w:t xml:space="preserve"> "</w:t>
      </w:r>
      <w:r w:rsidRPr="001B34F2">
        <w:rPr>
          <w:color w:val="201F1E"/>
          <w:sz w:val="20"/>
          <w:szCs w:val="20"/>
          <w:shd w:val="clear" w:color="auto" w:fill="FFFFFF"/>
        </w:rPr>
        <w:t xml:space="preserve">Why Philip Guston Can Still Provoke Such Furor, and Passion", </w:t>
      </w:r>
      <w:hyperlink r:id="rId14" w:history="1">
        <w:r w:rsidRPr="001B34F2">
          <w:rPr>
            <w:rStyle w:val="Hyperlink"/>
            <w:sz w:val="20"/>
            <w:szCs w:val="20"/>
            <w:bdr w:val="none" w:sz="0" w:space="0" w:color="auto" w:frame="1"/>
            <w:shd w:val="clear" w:color="auto" w:fill="FFFFFF"/>
          </w:rPr>
          <w:t>www.nytimes.com/2020/10/02/arts/design/guston-painter-career.html?referringSource=articleShare</w:t>
        </w:r>
      </w:hyperlink>
      <w:r w:rsidRPr="001B34F2">
        <w:rPr>
          <w:b/>
          <w:sz w:val="20"/>
          <w:szCs w:val="20"/>
        </w:rPr>
        <w:t xml:space="preserve">. </w:t>
      </w:r>
    </w:p>
  </w:footnote>
  <w:footnote w:id="28">
    <w:p w14:paraId="3C1247E7" w14:textId="77777777" w:rsidR="00EA31F9" w:rsidRPr="001B34F2" w:rsidRDefault="00EA31F9" w:rsidP="00EA31F9">
      <w:pPr>
        <w:pStyle w:val="FootnoteText"/>
        <w:ind w:right="374"/>
      </w:pPr>
      <w:r w:rsidRPr="001B34F2">
        <w:rPr>
          <w:rStyle w:val="FootnoteReference"/>
        </w:rPr>
        <w:footnoteRef/>
      </w:r>
      <w:r w:rsidRPr="001B34F2">
        <w:t xml:space="preserve"> Farrington (2015).</w:t>
      </w:r>
    </w:p>
  </w:footnote>
  <w:footnote w:id="29">
    <w:p w14:paraId="245D35DF" w14:textId="77777777" w:rsidR="00EA31F9" w:rsidRPr="001B34F2" w:rsidRDefault="00EA31F9" w:rsidP="00EA31F9">
      <w:pPr>
        <w:pStyle w:val="FootnoteText"/>
        <w:ind w:right="374"/>
      </w:pPr>
      <w:r w:rsidRPr="001B34F2">
        <w:rPr>
          <w:rStyle w:val="FootnoteReference"/>
        </w:rPr>
        <w:footnoteRef/>
      </w:r>
      <w:r w:rsidRPr="001B34F2">
        <w:t xml:space="preserve"> </w:t>
      </w:r>
      <w:hyperlink r:id="rId15" w:history="1">
        <w:r w:rsidRPr="001B34F2">
          <w:rPr>
            <w:rStyle w:val="Hyperlink"/>
          </w:rPr>
          <w:t>www.theguardian.com/stage/2015/aug/07/arts-law-freedom-speech-legal-knowledge-packs-arts-organisations</w:t>
        </w:r>
      </w:hyperlink>
      <w:r w:rsidRPr="001B34F2">
        <w:t xml:space="preserve">. </w:t>
      </w:r>
    </w:p>
  </w:footnote>
  <w:footnote w:id="30">
    <w:p w14:paraId="26E87465" w14:textId="77777777" w:rsidR="00EA31F9" w:rsidRPr="001B34F2" w:rsidRDefault="00EA31F9" w:rsidP="00EA31F9">
      <w:pPr>
        <w:pStyle w:val="FootnoteText"/>
        <w:ind w:right="374"/>
      </w:pPr>
      <w:r w:rsidRPr="001B34F2">
        <w:rPr>
          <w:rStyle w:val="FootnoteReference"/>
        </w:rPr>
        <w:footnoteRef/>
      </w:r>
      <w:r w:rsidRPr="001B34F2">
        <w:t xml:space="preserve"> For a recent debate, see </w:t>
      </w:r>
      <w:hyperlink r:id="rId16" w:history="1">
        <w:r w:rsidRPr="001B34F2">
          <w:rPr>
            <w:rStyle w:val="Hyperlink"/>
          </w:rPr>
          <w:t>www.theguardian.com/artanddesign/2021/jul/17/not-in-this-town-artwork-about-britains-nuclear-colonialism-removed</w:t>
        </w:r>
      </w:hyperlink>
      <w:r w:rsidRPr="001B34F2">
        <w:rPr>
          <w:rStyle w:val="Hyperlink"/>
        </w:rPr>
        <w:t>.</w:t>
      </w:r>
    </w:p>
  </w:footnote>
  <w:footnote w:id="31">
    <w:p w14:paraId="3EC60C00" w14:textId="77777777" w:rsidR="00EA31F9" w:rsidRPr="001B34F2" w:rsidRDefault="00EA31F9" w:rsidP="00EA31F9">
      <w:pPr>
        <w:pStyle w:val="FootnoteText"/>
        <w:ind w:right="374"/>
      </w:pPr>
      <w:r w:rsidRPr="001B34F2">
        <w:rPr>
          <w:rStyle w:val="FootnoteReference"/>
        </w:rPr>
        <w:footnoteRef/>
      </w:r>
      <w:r w:rsidRPr="001B34F2">
        <w:t xml:space="preserve"> Cejudo (2021), pp.  187. </w:t>
      </w:r>
    </w:p>
  </w:footnote>
  <w:footnote w:id="32">
    <w:p w14:paraId="4EC73683" w14:textId="77777777" w:rsidR="00EA31F9" w:rsidRPr="001B34F2" w:rsidRDefault="00EA31F9" w:rsidP="00EA31F9">
      <w:pPr>
        <w:pStyle w:val="FootnoteText"/>
        <w:ind w:right="374"/>
      </w:pPr>
      <w:r w:rsidRPr="001B34F2">
        <w:rPr>
          <w:rStyle w:val="FootnoteReference"/>
        </w:rPr>
        <w:footnoteRef/>
      </w:r>
      <w:r w:rsidRPr="001B34F2">
        <w:t xml:space="preserve"> </w:t>
      </w:r>
      <w:hyperlink r:id="rId17" w:history="1">
        <w:r w:rsidRPr="001B34F2">
          <w:rPr>
            <w:rStyle w:val="Hyperlink"/>
          </w:rPr>
          <w:t>https://plato.stanford.edu/entries/identity-politics/</w:t>
        </w:r>
      </w:hyperlink>
    </w:p>
  </w:footnote>
  <w:footnote w:id="33">
    <w:p w14:paraId="4B83299D" w14:textId="77777777" w:rsidR="00EA31F9" w:rsidRDefault="00EA31F9" w:rsidP="00EA31F9">
      <w:pPr>
        <w:pStyle w:val="FootnoteText"/>
      </w:pPr>
      <w:r>
        <w:rPr>
          <w:rStyle w:val="FootnoteReference"/>
        </w:rPr>
        <w:footnoteRef/>
      </w:r>
      <w:r>
        <w:t xml:space="preserve"> Chris Ballantine, email 2023. </w:t>
      </w:r>
    </w:p>
  </w:footnote>
  <w:footnote w:id="34">
    <w:p w14:paraId="01E046B4" w14:textId="77777777" w:rsidR="00EA31F9" w:rsidRPr="001B34F2" w:rsidRDefault="00EA31F9" w:rsidP="00EA31F9">
      <w:pPr>
        <w:pStyle w:val="FootnoteText"/>
        <w:ind w:right="374"/>
      </w:pPr>
      <w:r w:rsidRPr="001B34F2">
        <w:rPr>
          <w:rStyle w:val="FootnoteReference"/>
        </w:rPr>
        <w:footnoteRef/>
      </w:r>
      <w:r w:rsidRPr="001B34F2">
        <w:t xml:space="preserve"> Email, 2022. </w:t>
      </w:r>
    </w:p>
  </w:footnote>
  <w:footnote w:id="35">
    <w:p w14:paraId="140512A1" w14:textId="77777777" w:rsidR="00EA31F9" w:rsidRPr="001B34F2" w:rsidRDefault="00EA31F9" w:rsidP="00EA31F9">
      <w:pPr>
        <w:pStyle w:val="FootnoteText"/>
        <w:ind w:right="374"/>
      </w:pPr>
      <w:r w:rsidRPr="001B34F2">
        <w:rPr>
          <w:rStyle w:val="FootnoteReference"/>
        </w:rPr>
        <w:footnoteRef/>
      </w:r>
      <w:r w:rsidRPr="001B34F2">
        <w:t xml:space="preserve"> </w:t>
      </w:r>
      <w:r w:rsidRPr="001B34F2">
        <w:rPr>
          <w:color w:val="000000" w:themeColor="text1"/>
          <w:u w:color="000000"/>
        </w:rPr>
        <w:t xml:space="preserve">Young (2010), p. 6. </w:t>
      </w:r>
    </w:p>
  </w:footnote>
  <w:footnote w:id="36">
    <w:p w14:paraId="21A8568D" w14:textId="77777777" w:rsidR="00EA31F9" w:rsidRPr="001B34F2" w:rsidRDefault="00EA31F9" w:rsidP="00EA31F9">
      <w:pPr>
        <w:pStyle w:val="FootnoteText"/>
        <w:ind w:right="374"/>
      </w:pPr>
      <w:r w:rsidRPr="001B34F2">
        <w:rPr>
          <w:rStyle w:val="FootnoteReference"/>
        </w:rPr>
        <w:footnoteRef/>
      </w:r>
      <w:r w:rsidRPr="001B34F2">
        <w:t xml:space="preserve"> </w:t>
      </w:r>
      <w:r w:rsidRPr="001B34F2">
        <w:rPr>
          <w:color w:val="000000" w:themeColor="text1"/>
          <w:u w:color="000000"/>
        </w:rPr>
        <w:t xml:space="preserve">Young (2012), p. 7, p. 269. </w:t>
      </w:r>
    </w:p>
  </w:footnote>
  <w:footnote w:id="37">
    <w:p w14:paraId="520D2235" w14:textId="77777777" w:rsidR="00EA31F9" w:rsidRPr="001B34F2" w:rsidRDefault="00EA31F9" w:rsidP="00EA31F9">
      <w:pPr>
        <w:pStyle w:val="FootnoteText"/>
        <w:ind w:right="374"/>
      </w:pPr>
      <w:r w:rsidRPr="001B34F2">
        <w:rPr>
          <w:rStyle w:val="FootnoteReference"/>
        </w:rPr>
        <w:footnoteRef/>
      </w:r>
      <w:r w:rsidRPr="001B34F2">
        <w:t xml:space="preserve"> Grillo (2003). See also </w:t>
      </w:r>
      <w:r w:rsidRPr="001B34F2">
        <w:rPr>
          <w:color w:val="1B1B1B"/>
        </w:rPr>
        <w:t>Young (2005).</w:t>
      </w:r>
    </w:p>
  </w:footnote>
  <w:footnote w:id="38">
    <w:p w14:paraId="5CE633ED" w14:textId="77777777" w:rsidR="00EA31F9" w:rsidRPr="001B34F2" w:rsidRDefault="00EA31F9" w:rsidP="00EA31F9">
      <w:pPr>
        <w:pStyle w:val="NormalWeb"/>
        <w:spacing w:before="0" w:after="0"/>
        <w:ind w:right="374"/>
        <w:rPr>
          <w:color w:val="auto"/>
        </w:rPr>
      </w:pPr>
      <w:r w:rsidRPr="00CF0DEB">
        <w:rPr>
          <w:rStyle w:val="FootnoteReference"/>
          <w:color w:val="auto"/>
        </w:rPr>
        <w:footnoteRef/>
      </w:r>
      <w:r w:rsidRPr="00CF0DEB">
        <w:rPr>
          <w:color w:val="auto"/>
        </w:rPr>
        <w:t xml:space="preserve"> </w:t>
      </w:r>
      <w:r w:rsidRPr="00343CF3">
        <w:rPr>
          <w:color w:val="auto"/>
        </w:rPr>
        <w:t>Matthes</w:t>
      </w:r>
      <w:r>
        <w:rPr>
          <w:color w:val="auto"/>
        </w:rPr>
        <w:t xml:space="preserve"> (2019), and also his entry in </w:t>
      </w:r>
      <w:r>
        <w:rPr>
          <w:i/>
          <w:iCs/>
          <w:color w:val="auto"/>
        </w:rPr>
        <w:t xml:space="preserve">Stanford Encyclopaedia of Philosophy, </w:t>
      </w:r>
      <w:r w:rsidRPr="00343CF3">
        <w:rPr>
          <w:color w:val="1B1B1B"/>
        </w:rPr>
        <w:t>"The Ethics of Cultural Heritage"</w:t>
      </w:r>
      <w:r>
        <w:rPr>
          <w:color w:val="1B1B1B"/>
        </w:rPr>
        <w:t>; s</w:t>
      </w:r>
      <w:r w:rsidRPr="001B34F2">
        <w:rPr>
          <w:color w:val="auto"/>
        </w:rPr>
        <w:t>ee Young</w:t>
      </w:r>
      <w:r w:rsidRPr="001B34F2">
        <w:rPr>
          <w:b/>
          <w:bCs/>
          <w:color w:val="auto"/>
        </w:rPr>
        <w:t xml:space="preserve"> </w:t>
      </w:r>
      <w:r w:rsidRPr="00CF0DEB">
        <w:rPr>
          <w:color w:val="auto"/>
        </w:rPr>
        <w:t xml:space="preserve">(2021) </w:t>
      </w:r>
      <w:r w:rsidRPr="001B34F2">
        <w:rPr>
          <w:color w:val="auto"/>
        </w:rPr>
        <w:t xml:space="preserve">for a reply. Matthes' </w:t>
      </w:r>
      <w:r>
        <w:rPr>
          <w:color w:val="auto"/>
        </w:rPr>
        <w:t xml:space="preserve">subtle </w:t>
      </w:r>
      <w:r w:rsidRPr="001B34F2">
        <w:rPr>
          <w:color w:val="auto"/>
        </w:rPr>
        <w:t xml:space="preserve">defence of cultural appropriation neglects the dialectical opposition between identity politics and the liberal conception of artistic freedom, and the contrast between anthropological and aesthetic senses – issues stressed in the present chapter. </w:t>
      </w:r>
    </w:p>
  </w:footnote>
  <w:footnote w:id="39">
    <w:p w14:paraId="066301CA" w14:textId="77777777" w:rsidR="00EA31F9" w:rsidRPr="001B34F2" w:rsidRDefault="00EA31F9" w:rsidP="00EA31F9">
      <w:pPr>
        <w:pStyle w:val="xxmsonormal"/>
        <w:shd w:val="clear" w:color="auto" w:fill="FFFFFF"/>
        <w:spacing w:before="0" w:beforeAutospacing="0" w:after="0" w:afterAutospacing="0"/>
        <w:ind w:right="374"/>
        <w:rPr>
          <w:color w:val="201F1E"/>
          <w:sz w:val="20"/>
          <w:szCs w:val="20"/>
        </w:rPr>
      </w:pPr>
      <w:r w:rsidRPr="001B34F2">
        <w:rPr>
          <w:rStyle w:val="FootnoteReference"/>
          <w:sz w:val="20"/>
          <w:szCs w:val="20"/>
        </w:rPr>
        <w:footnoteRef/>
      </w:r>
      <w:r w:rsidRPr="001B34F2">
        <w:rPr>
          <w:sz w:val="20"/>
          <w:szCs w:val="20"/>
        </w:rPr>
        <w:t xml:space="preserve"> </w:t>
      </w:r>
      <w:r w:rsidRPr="001B34F2">
        <w:rPr>
          <w:rFonts w:eastAsia="Times New Roman"/>
          <w:color w:val="000000"/>
          <w:sz w:val="20"/>
          <w:szCs w:val="20"/>
          <w:shd w:val="clear" w:color="auto" w:fill="FFFFFF"/>
        </w:rPr>
        <w:t>Boas (1930), p. 79</w:t>
      </w:r>
      <w:r w:rsidRPr="001B34F2">
        <w:rPr>
          <w:color w:val="201F1E"/>
          <w:sz w:val="20"/>
          <w:szCs w:val="20"/>
          <w:bdr w:val="none" w:sz="0" w:space="0" w:color="auto" w:frame="1"/>
        </w:rPr>
        <w:t>.</w:t>
      </w:r>
    </w:p>
  </w:footnote>
  <w:footnote w:id="40">
    <w:p w14:paraId="1F484B12" w14:textId="77777777" w:rsidR="00EA31F9" w:rsidRPr="001B34F2" w:rsidRDefault="00EA31F9" w:rsidP="00EA31F9">
      <w:pPr>
        <w:pStyle w:val="FootnoteText"/>
        <w:rPr>
          <w:b/>
          <w:bCs/>
        </w:rPr>
      </w:pPr>
      <w:r w:rsidRPr="001B34F2">
        <w:rPr>
          <w:rStyle w:val="FootnoteReference"/>
        </w:rPr>
        <w:footnoteRef/>
      </w:r>
      <w:r w:rsidRPr="001B34F2">
        <w:t xml:space="preserve"> Scruton (2018),</w:t>
      </w:r>
      <w:r w:rsidRPr="001B34F2">
        <w:rPr>
          <w:b/>
          <w:bCs/>
        </w:rPr>
        <w:t xml:space="preserve"> </w:t>
      </w:r>
      <w:r w:rsidRPr="001B34F2">
        <w:t xml:space="preserve">p. 4. </w:t>
      </w:r>
      <w:r w:rsidRPr="001B34F2">
        <w:rPr>
          <w:b/>
          <w:bCs/>
        </w:rPr>
        <w:t xml:space="preserve"> </w:t>
      </w:r>
    </w:p>
  </w:footnote>
  <w:footnote w:id="41">
    <w:p w14:paraId="3374BD38" w14:textId="77777777" w:rsidR="00EA31F9" w:rsidRPr="001B34F2" w:rsidRDefault="00EA31F9" w:rsidP="00EA31F9">
      <w:pPr>
        <w:pStyle w:val="FootnoteText"/>
        <w:ind w:right="374"/>
      </w:pPr>
      <w:r w:rsidRPr="001B34F2">
        <w:rPr>
          <w:rStyle w:val="FootnoteReference"/>
        </w:rPr>
        <w:footnoteRef/>
      </w:r>
      <w:r w:rsidRPr="001B34F2">
        <w:t xml:space="preserve"> Scruton (1998), pp. 1-3.</w:t>
      </w:r>
    </w:p>
  </w:footnote>
  <w:footnote w:id="42">
    <w:p w14:paraId="208BD25B" w14:textId="77777777" w:rsidR="00EA31F9" w:rsidRPr="001B34F2" w:rsidRDefault="00EA31F9" w:rsidP="00EA31F9">
      <w:pPr>
        <w:pStyle w:val="FootnoteText"/>
        <w:ind w:right="374"/>
      </w:pPr>
      <w:r w:rsidRPr="001B34F2">
        <w:rPr>
          <w:rStyle w:val="FootnoteReference"/>
        </w:rPr>
        <w:footnoteRef/>
      </w:r>
      <w:r w:rsidRPr="001B34F2">
        <w:t xml:space="preserve"> See Hamilton (2009). </w:t>
      </w:r>
    </w:p>
  </w:footnote>
  <w:footnote w:id="43">
    <w:p w14:paraId="2F11ABB3" w14:textId="77777777" w:rsidR="00EA31F9" w:rsidRPr="001B34F2" w:rsidRDefault="00EA31F9" w:rsidP="00EA31F9">
      <w:pPr>
        <w:pStyle w:val="FootnoteText"/>
        <w:ind w:right="374"/>
      </w:pPr>
      <w:r w:rsidRPr="001B34F2">
        <w:rPr>
          <w:rStyle w:val="FootnoteReference"/>
        </w:rPr>
        <w:footnoteRef/>
      </w:r>
      <w:r w:rsidRPr="001B34F2">
        <w:t xml:space="preserve"> Appiah (2018), p. 208. </w:t>
      </w:r>
    </w:p>
  </w:footnote>
  <w:footnote w:id="44">
    <w:p w14:paraId="53F4C62C" w14:textId="77777777" w:rsidR="00EA31F9" w:rsidRPr="001B34F2" w:rsidRDefault="00EA31F9" w:rsidP="00EA31F9">
      <w:pPr>
        <w:pStyle w:val="FootnoteText"/>
        <w:ind w:right="374"/>
        <w:rPr>
          <w:b/>
        </w:rPr>
      </w:pPr>
      <w:r w:rsidRPr="001B34F2">
        <w:rPr>
          <w:rStyle w:val="FootnoteReference"/>
        </w:rPr>
        <w:footnoteRef/>
      </w:r>
      <w:r w:rsidRPr="001B34F2">
        <w:t xml:space="preserve"> </w:t>
      </w:r>
      <w:hyperlink r:id="rId18" w:history="1">
        <w:r w:rsidRPr="001B34F2">
          <w:rPr>
            <w:rStyle w:val="Hyperlink"/>
          </w:rPr>
          <w:t>https://news.sky.com/story/oli-london-british-influencer-defends-identifying-as-korean-after-surgery-to-look-like-bts-star-12344765</w:t>
        </w:r>
      </w:hyperlink>
      <w:r w:rsidRPr="001B34F2">
        <w:t>.</w:t>
      </w:r>
    </w:p>
  </w:footnote>
  <w:footnote w:id="45">
    <w:p w14:paraId="70635F25" w14:textId="77777777" w:rsidR="00EA31F9" w:rsidRPr="001B34F2" w:rsidRDefault="00EA31F9" w:rsidP="00EA31F9">
      <w:pPr>
        <w:pStyle w:val="FootnoteText"/>
        <w:ind w:right="374"/>
      </w:pPr>
      <w:r w:rsidRPr="001B34F2">
        <w:rPr>
          <w:rStyle w:val="FootnoteReference"/>
        </w:rPr>
        <w:footnoteRef/>
      </w:r>
      <w:r w:rsidRPr="001B34F2">
        <w:t xml:space="preserve"> Appiah (2018); though intellectual property did not exist in traditional cultures </w:t>
      </w:r>
      <w:r>
        <w:t>that</w:t>
      </w:r>
      <w:r w:rsidRPr="001B34F2">
        <w:t xml:space="preserve"> pre-dated global capitalism. </w:t>
      </w:r>
    </w:p>
  </w:footnote>
  <w:footnote w:id="46">
    <w:p w14:paraId="2F46147D" w14:textId="77777777" w:rsidR="00EA31F9" w:rsidRPr="001B34F2" w:rsidRDefault="00EA31F9" w:rsidP="00EA31F9">
      <w:pPr>
        <w:pStyle w:val="FootnoteText"/>
        <w:ind w:right="374"/>
      </w:pPr>
      <w:r w:rsidRPr="001B34F2">
        <w:rPr>
          <w:rStyle w:val="FootnoteReference"/>
        </w:rPr>
        <w:footnoteRef/>
      </w:r>
      <w:r w:rsidRPr="001B34F2">
        <w:t xml:space="preserve"> Locke</w:t>
      </w:r>
      <w:r>
        <w:t xml:space="preserve"> (2009)</w:t>
      </w:r>
      <w:r w:rsidRPr="001B34F2">
        <w:t xml:space="preserve">, p. 114. </w:t>
      </w:r>
    </w:p>
  </w:footnote>
  <w:footnote w:id="47">
    <w:p w14:paraId="2E8CD79A" w14:textId="77777777" w:rsidR="00EA31F9" w:rsidRPr="001B34F2" w:rsidRDefault="00EA31F9" w:rsidP="00EA31F9">
      <w:pPr>
        <w:pStyle w:val="FootnoteText"/>
        <w:ind w:right="374"/>
      </w:pPr>
      <w:r w:rsidRPr="001B34F2">
        <w:rPr>
          <w:rStyle w:val="FootnoteReference"/>
        </w:rPr>
        <w:footnoteRef/>
      </w:r>
      <w:r w:rsidRPr="001B34F2">
        <w:t xml:space="preserve"> Buttigieg (1995), pp. 27-8. </w:t>
      </w:r>
    </w:p>
  </w:footnote>
  <w:footnote w:id="48">
    <w:p w14:paraId="6C3800C4" w14:textId="77777777" w:rsidR="00EA31F9" w:rsidRPr="001B34F2" w:rsidRDefault="00EA31F9" w:rsidP="00EA31F9">
      <w:pPr>
        <w:pStyle w:val="FootnoteText"/>
        <w:ind w:right="374"/>
      </w:pPr>
      <w:r w:rsidRPr="001B34F2">
        <w:rPr>
          <w:rStyle w:val="FootnoteReference"/>
        </w:rPr>
        <w:footnoteRef/>
      </w:r>
      <w:r w:rsidRPr="001B34F2">
        <w:t xml:space="preserve"> Fricker (2007).</w:t>
      </w:r>
    </w:p>
  </w:footnote>
  <w:footnote w:id="49">
    <w:p w14:paraId="3B824688" w14:textId="77777777" w:rsidR="00EA31F9" w:rsidRPr="001B34F2" w:rsidRDefault="00EA31F9" w:rsidP="00EA31F9">
      <w:pPr>
        <w:pStyle w:val="FootnoteText"/>
        <w:ind w:right="374"/>
      </w:pPr>
      <w:r w:rsidRPr="001B34F2">
        <w:rPr>
          <w:rStyle w:val="FootnoteReference"/>
        </w:rPr>
        <w:footnoteRef/>
      </w:r>
      <w:r w:rsidRPr="001B34F2">
        <w:t xml:space="preserve"> Appiah (2020). </w:t>
      </w:r>
    </w:p>
  </w:footnote>
  <w:footnote w:id="50">
    <w:p w14:paraId="0FD89578" w14:textId="77777777" w:rsidR="00EA31F9" w:rsidRPr="001B34F2" w:rsidRDefault="00EA31F9" w:rsidP="00EA31F9">
      <w:pPr>
        <w:pStyle w:val="FootnoteText"/>
        <w:ind w:right="374"/>
      </w:pPr>
      <w:r w:rsidRPr="001B34F2">
        <w:rPr>
          <w:rStyle w:val="FootnoteReference"/>
        </w:rPr>
        <w:footnoteRef/>
      </w:r>
      <w:r w:rsidRPr="001B34F2">
        <w:t xml:space="preserve"> </w:t>
      </w:r>
      <w:r w:rsidRPr="001B34F2">
        <w:rPr>
          <w:color w:val="1B1B1B"/>
          <w:shd w:val="clear" w:color="auto" w:fill="FFFFFF"/>
        </w:rPr>
        <w:t xml:space="preserve">Waldron (1995), pp. 99-100. </w:t>
      </w:r>
    </w:p>
  </w:footnote>
  <w:footnote w:id="51">
    <w:p w14:paraId="02EAC9B4" w14:textId="77777777" w:rsidR="00EA31F9" w:rsidRPr="001B34F2" w:rsidRDefault="00EA31F9" w:rsidP="00EA31F9">
      <w:pPr>
        <w:pStyle w:val="FootnoteText"/>
        <w:ind w:right="374"/>
      </w:pPr>
      <w:r w:rsidRPr="001B34F2">
        <w:rPr>
          <w:rStyle w:val="FootnoteReference"/>
        </w:rPr>
        <w:footnoteRef/>
      </w:r>
      <w:r w:rsidRPr="001B34F2">
        <w:t xml:space="preserve"> Appiah (2018), pp. 207-8. </w:t>
      </w:r>
    </w:p>
  </w:footnote>
  <w:footnote w:id="52">
    <w:p w14:paraId="0448BF35" w14:textId="77777777" w:rsidR="00EA31F9" w:rsidRPr="001B34F2" w:rsidRDefault="00EA31F9" w:rsidP="00EA31F9">
      <w:pPr>
        <w:pStyle w:val="FootnoteText"/>
        <w:ind w:right="374"/>
      </w:pPr>
      <w:r w:rsidRPr="001B34F2">
        <w:rPr>
          <w:rStyle w:val="FootnoteReference"/>
        </w:rPr>
        <w:footnoteRef/>
      </w:r>
      <w:r w:rsidRPr="001B34F2">
        <w:t xml:space="preserve"> </w:t>
      </w:r>
      <w:r w:rsidRPr="001B34F2">
        <w:rPr>
          <w:color w:val="1B1B1B"/>
        </w:rPr>
        <w:t xml:space="preserve">Said (1993), p. 32. </w:t>
      </w:r>
    </w:p>
  </w:footnote>
  <w:footnote w:id="53">
    <w:p w14:paraId="75DC0C4D" w14:textId="77777777" w:rsidR="00EA31F9" w:rsidRPr="001B34F2" w:rsidRDefault="00EA31F9" w:rsidP="00EA31F9">
      <w:pPr>
        <w:pStyle w:val="FootnoteText"/>
        <w:ind w:right="374"/>
        <w:rPr>
          <w:u w:val="single"/>
        </w:rPr>
      </w:pPr>
      <w:r w:rsidRPr="001B34F2">
        <w:rPr>
          <w:rStyle w:val="FootnoteReference"/>
        </w:rPr>
        <w:footnoteRef/>
      </w:r>
      <w:r w:rsidRPr="001B34F2">
        <w:t xml:space="preserve"> See "</w:t>
      </w:r>
      <w:r w:rsidRPr="001B34F2">
        <w:rPr>
          <w:color w:val="1B1B1B"/>
        </w:rPr>
        <w:t xml:space="preserve">The problems with the concept of 'cultural appropriation'", </w:t>
      </w:r>
      <w:hyperlink r:id="rId19" w:tooltip="Posts by aquarusa" w:history="1">
        <w:r w:rsidRPr="001B34F2">
          <w:rPr>
            <w:rStyle w:val="Hyperlink"/>
          </w:rPr>
          <w:t>aquarusa</w:t>
        </w:r>
      </w:hyperlink>
      <w:r w:rsidRPr="001B34F2">
        <w:rPr>
          <w:rStyle w:val="Hyperlink"/>
        </w:rPr>
        <w:t xml:space="preserve">, </w:t>
      </w:r>
      <w:r w:rsidRPr="001B34F2">
        <w:rPr>
          <w:color w:val="1B1B1B"/>
        </w:rPr>
        <w:t xml:space="preserve">December 14, 2020, </w:t>
      </w:r>
      <w:hyperlink r:id="rId20" w:history="1">
        <w:r w:rsidRPr="001B34F2">
          <w:rPr>
            <w:rStyle w:val="Hyperlink"/>
          </w:rPr>
          <w:t>https://aquarusa.wordpress.com/2022/02/28/the-problems-with-the-concept-of-cultural-appropriation/</w:t>
        </w:r>
      </w:hyperlink>
      <w:r w:rsidRPr="001B34F2">
        <w:rPr>
          <w:rStyle w:val="Hyperlink"/>
        </w:rPr>
        <w:t xml:space="preserve">. </w:t>
      </w:r>
    </w:p>
  </w:footnote>
  <w:footnote w:id="54">
    <w:p w14:paraId="15D0D1B7" w14:textId="77777777" w:rsidR="00EA31F9" w:rsidRPr="001B34F2" w:rsidRDefault="00EA31F9" w:rsidP="00EA31F9">
      <w:pPr>
        <w:pStyle w:val="FootnoteText"/>
        <w:ind w:right="374"/>
      </w:pPr>
      <w:r w:rsidRPr="001B34F2">
        <w:rPr>
          <w:rStyle w:val="FootnoteReference"/>
        </w:rPr>
        <w:footnoteRef/>
      </w:r>
      <w:r w:rsidRPr="001B34F2">
        <w:t xml:space="preserve"> Though the received picture is questioned at </w:t>
      </w:r>
      <w:hyperlink r:id="rId21" w:history="1">
        <w:r w:rsidRPr="001B34F2">
          <w:rPr>
            <w:rStyle w:val="Hyperlink"/>
          </w:rPr>
          <w:t>www.chipstone.org/article.php/244/Ceramics-in-America-2005/Bernard-Leach:-Life-and-Work</w:t>
        </w:r>
      </w:hyperlink>
    </w:p>
  </w:footnote>
  <w:footnote w:id="55">
    <w:p w14:paraId="070A0578" w14:textId="77777777" w:rsidR="00EA31F9" w:rsidRPr="001B34F2" w:rsidRDefault="00EA31F9" w:rsidP="00EA31F9">
      <w:pPr>
        <w:pStyle w:val="FootnoteText"/>
        <w:ind w:right="374"/>
      </w:pPr>
      <w:r w:rsidRPr="001B34F2">
        <w:rPr>
          <w:rStyle w:val="FootnoteReference"/>
        </w:rPr>
        <w:footnoteRef/>
      </w:r>
      <w:r w:rsidRPr="001B34F2">
        <w:t xml:space="preserve"> In Schwartz (1996), p. 197. </w:t>
      </w:r>
    </w:p>
  </w:footnote>
  <w:footnote w:id="56">
    <w:p w14:paraId="2680719C" w14:textId="77777777" w:rsidR="00EA31F9" w:rsidRPr="001B34F2" w:rsidRDefault="00EA31F9" w:rsidP="00EA31F9">
      <w:pPr>
        <w:pStyle w:val="FootnoteText"/>
        <w:ind w:right="374"/>
      </w:pPr>
      <w:r w:rsidRPr="001B34F2">
        <w:rPr>
          <w:rStyle w:val="FootnoteReference"/>
        </w:rPr>
        <w:footnoteRef/>
      </w:r>
      <w:r w:rsidRPr="001B34F2">
        <w:t xml:space="preserve"> Drabble</w:t>
      </w:r>
      <w:r>
        <w:t xml:space="preserve"> (2004)</w:t>
      </w:r>
      <w:r w:rsidRPr="001B34F2">
        <w:rPr>
          <w:i/>
        </w:rPr>
        <w:t xml:space="preserve">, </w:t>
      </w:r>
      <w:r w:rsidRPr="001B34F2">
        <w:t xml:space="preserve">"Prologue". </w:t>
      </w:r>
    </w:p>
  </w:footnote>
  <w:footnote w:id="57">
    <w:p w14:paraId="28933D2C" w14:textId="77777777" w:rsidR="00EA31F9" w:rsidRPr="001B34F2" w:rsidRDefault="00EA31F9" w:rsidP="00EA31F9">
      <w:pPr>
        <w:pStyle w:val="dcr-eu20cu"/>
        <w:shd w:val="clear" w:color="auto" w:fill="FFFFFF"/>
        <w:spacing w:before="0" w:beforeAutospacing="0" w:after="0" w:afterAutospacing="0"/>
        <w:ind w:right="374"/>
        <w:textAlignment w:val="baseline"/>
        <w:rPr>
          <w:b/>
          <w:color w:val="121212"/>
          <w:sz w:val="20"/>
          <w:szCs w:val="20"/>
        </w:rPr>
      </w:pPr>
      <w:r w:rsidRPr="001B34F2">
        <w:rPr>
          <w:rStyle w:val="FootnoteReference"/>
          <w:sz w:val="20"/>
          <w:szCs w:val="20"/>
        </w:rPr>
        <w:footnoteRef/>
      </w:r>
      <w:r w:rsidRPr="001B34F2">
        <w:rPr>
          <w:sz w:val="20"/>
          <w:szCs w:val="20"/>
        </w:rPr>
        <w:t xml:space="preserve"> </w:t>
      </w:r>
      <w:hyperlink r:id="rId22" w:history="1">
        <w:r w:rsidRPr="001B34F2">
          <w:rPr>
            <w:rStyle w:val="Hyperlink"/>
            <w:sz w:val="20"/>
            <w:szCs w:val="20"/>
            <w:bdr w:val="none" w:sz="0" w:space="0" w:color="auto" w:frame="1"/>
          </w:rPr>
          <w:t>www.theguardian.com/music/2022/jan/24/art-is-appropriation-folklorist-jake-xerxes-fussell-connects-forgotten-tunes-to-our-times</w:t>
        </w:r>
      </w:hyperlink>
      <w:r w:rsidRPr="001B34F2">
        <w:rPr>
          <w:rStyle w:val="Hyperlink"/>
          <w:sz w:val="20"/>
          <w:szCs w:val="20"/>
          <w:bdr w:val="none" w:sz="0" w:space="0" w:color="auto" w:frame="1"/>
        </w:rPr>
        <w:t>.</w:t>
      </w:r>
    </w:p>
  </w:footnote>
  <w:footnote w:id="58">
    <w:p w14:paraId="339E901C" w14:textId="77777777" w:rsidR="00EA31F9" w:rsidRPr="001B34F2" w:rsidRDefault="00EA31F9" w:rsidP="00EA31F9">
      <w:pPr>
        <w:pStyle w:val="FootnoteText"/>
        <w:ind w:right="374"/>
      </w:pPr>
      <w:r w:rsidRPr="001B34F2">
        <w:rPr>
          <w:rStyle w:val="FootnoteReference"/>
        </w:rPr>
        <w:footnoteRef/>
      </w:r>
      <w:r w:rsidRPr="001B34F2">
        <w:t xml:space="preserve"> Quoted in Coleman and Combe (2012), p. 174. </w:t>
      </w:r>
    </w:p>
  </w:footnote>
  <w:footnote w:id="59">
    <w:p w14:paraId="650B54D1" w14:textId="77777777" w:rsidR="00EA31F9" w:rsidRPr="001B34F2" w:rsidRDefault="00EA31F9" w:rsidP="00EA31F9">
      <w:pPr>
        <w:ind w:right="374"/>
        <w:rPr>
          <w:sz w:val="20"/>
          <w:szCs w:val="20"/>
        </w:rPr>
      </w:pPr>
      <w:r w:rsidRPr="001B34F2">
        <w:rPr>
          <w:rStyle w:val="FootnoteReference"/>
          <w:sz w:val="20"/>
          <w:szCs w:val="20"/>
        </w:rPr>
        <w:footnoteRef/>
      </w:r>
      <w:r w:rsidRPr="001B34F2">
        <w:rPr>
          <w:sz w:val="20"/>
          <w:szCs w:val="20"/>
        </w:rPr>
        <w:t xml:space="preserve"> </w:t>
      </w:r>
      <w:hyperlink r:id="rId23" w:history="1">
        <w:r w:rsidRPr="001B34F2">
          <w:rPr>
            <w:rStyle w:val="Hyperlink"/>
            <w:sz w:val="20"/>
            <w:szCs w:val="20"/>
          </w:rPr>
          <w:t>www.nytimes.com/2016/09/13/books/lionel-shriver-cultural-appropriation-brisbane-writers-festival.html</w:t>
        </w:r>
      </w:hyperlink>
      <w:r w:rsidRPr="001B34F2">
        <w:rPr>
          <w:sz w:val="20"/>
          <w:szCs w:val="20"/>
        </w:rPr>
        <w:t xml:space="preserve">; </w:t>
      </w:r>
      <w:hyperlink r:id="rId24" w:history="1">
        <w:r w:rsidRPr="001B34F2">
          <w:rPr>
            <w:rStyle w:val="Hyperlink"/>
            <w:sz w:val="20"/>
            <w:szCs w:val="20"/>
          </w:rPr>
          <w:t>www.newyorker.com/culture/jia-tolentino/lionel-shriver-puts-on-a-sombrero/amp?client=safari</w:t>
        </w:r>
      </w:hyperlink>
      <w:r w:rsidRPr="001B34F2">
        <w:rPr>
          <w:sz w:val="20"/>
          <w:szCs w:val="20"/>
        </w:rPr>
        <w:t xml:space="preserve">; </w:t>
      </w:r>
      <w:hyperlink r:id="rId25" w:tgtFrame="_blank" w:history="1">
        <w:r w:rsidRPr="001B34F2">
          <w:rPr>
            <w:rStyle w:val="Hyperlink"/>
            <w:sz w:val="20"/>
            <w:szCs w:val="20"/>
          </w:rPr>
          <w:t>https://newrepublic.com/minutes/136763/lionel-shriver-shouldnt-write-minorities</w:t>
        </w:r>
      </w:hyperlink>
      <w:r w:rsidRPr="001B34F2">
        <w:rPr>
          <w:rStyle w:val="Hyperlink"/>
          <w:sz w:val="20"/>
          <w:szCs w:val="20"/>
        </w:rPr>
        <w:t>.</w:t>
      </w:r>
    </w:p>
  </w:footnote>
  <w:footnote w:id="60">
    <w:p w14:paraId="7EC1BD2C" w14:textId="77777777" w:rsidR="00EA31F9" w:rsidRPr="001B34F2" w:rsidRDefault="00EA31F9" w:rsidP="00EA31F9">
      <w:pPr>
        <w:shd w:val="clear" w:color="auto" w:fill="FFFFFF"/>
        <w:ind w:right="374"/>
        <w:textAlignment w:val="baseline"/>
        <w:rPr>
          <w:color w:val="201F1E"/>
          <w:sz w:val="20"/>
          <w:szCs w:val="20"/>
        </w:rPr>
      </w:pPr>
      <w:r w:rsidRPr="001B34F2">
        <w:rPr>
          <w:rStyle w:val="FootnoteReference"/>
          <w:sz w:val="20"/>
          <w:szCs w:val="20"/>
        </w:rPr>
        <w:footnoteRef/>
      </w:r>
      <w:r w:rsidRPr="001B34F2">
        <w:rPr>
          <w:sz w:val="20"/>
          <w:szCs w:val="20"/>
        </w:rPr>
        <w:t xml:space="preserve"> See also </w:t>
      </w:r>
      <w:r w:rsidRPr="001B34F2">
        <w:rPr>
          <w:color w:val="201F1E"/>
          <w:sz w:val="20"/>
          <w:szCs w:val="20"/>
        </w:rPr>
        <w:t xml:space="preserve">Zadie Smith in </w:t>
      </w:r>
      <w:r w:rsidRPr="001B34F2">
        <w:rPr>
          <w:i/>
          <w:color w:val="201F1E"/>
          <w:sz w:val="20"/>
          <w:szCs w:val="20"/>
        </w:rPr>
        <w:t>Harper's Magazine</w:t>
      </w:r>
      <w:r w:rsidRPr="001B34F2">
        <w:rPr>
          <w:color w:val="201F1E"/>
          <w:sz w:val="20"/>
          <w:szCs w:val="20"/>
        </w:rPr>
        <w:t xml:space="preserve">: </w:t>
      </w:r>
      <w:hyperlink r:id="rId26" w:tgtFrame="_blank" w:history="1">
        <w:r w:rsidRPr="001B34F2">
          <w:rPr>
            <w:rStyle w:val="Hyperlink"/>
            <w:sz w:val="20"/>
            <w:szCs w:val="20"/>
            <w:bdr w:val="none" w:sz="0" w:space="0" w:color="auto" w:frame="1"/>
          </w:rPr>
          <w:t>https://harpers.org/archive/2017/07/getting-in-and-out/</w:t>
        </w:r>
      </w:hyperlink>
    </w:p>
    <w:p w14:paraId="69834CB9" w14:textId="77777777" w:rsidR="00EA31F9" w:rsidRPr="001B34F2" w:rsidRDefault="00EA31F9" w:rsidP="00EA31F9">
      <w:pPr>
        <w:shd w:val="clear" w:color="auto" w:fill="FFFFFF"/>
        <w:ind w:right="374"/>
        <w:textAlignment w:val="baseline"/>
        <w:rPr>
          <w:color w:val="201F1E"/>
          <w:sz w:val="20"/>
          <w:szCs w:val="20"/>
        </w:rPr>
      </w:pPr>
      <w:r w:rsidRPr="001B34F2">
        <w:rPr>
          <w:color w:val="201F1E"/>
          <w:sz w:val="20"/>
          <w:szCs w:val="20"/>
        </w:rPr>
        <w:t xml:space="preserve">Richard Russo: </w:t>
      </w:r>
      <w:hyperlink r:id="rId27" w:tgtFrame="_blank" w:history="1">
        <w:r w:rsidRPr="001B34F2">
          <w:rPr>
            <w:rStyle w:val="Hyperlink"/>
            <w:sz w:val="20"/>
            <w:szCs w:val="20"/>
            <w:bdr w:val="none" w:sz="0" w:space="0" w:color="auto" w:frame="1"/>
          </w:rPr>
          <w:t>https://harpers.org/archive/2020/06/the-lives-of-others-when-does-imagination-become-appropriation/</w:t>
        </w:r>
      </w:hyperlink>
    </w:p>
  </w:footnote>
  <w:footnote w:id="61">
    <w:p w14:paraId="6D234C44" w14:textId="77777777" w:rsidR="00EA31F9" w:rsidRPr="001B34F2" w:rsidRDefault="00EA31F9" w:rsidP="00EA31F9">
      <w:pPr>
        <w:pStyle w:val="FootnoteText"/>
        <w:ind w:right="374"/>
      </w:pPr>
      <w:r w:rsidRPr="001B34F2">
        <w:rPr>
          <w:rStyle w:val="FootnoteReference"/>
        </w:rPr>
        <w:footnoteRef/>
      </w:r>
      <w:r w:rsidRPr="001B34F2">
        <w:t xml:space="preserve"> </w:t>
      </w:r>
      <w:r w:rsidRPr="001B34F2">
        <w:rPr>
          <w:bCs/>
          <w:i/>
        </w:rPr>
        <w:t>The New York Times</w:t>
      </w:r>
      <w:r w:rsidRPr="001B34F2">
        <w:rPr>
          <w:bCs/>
        </w:rPr>
        <w:t>, S</w:t>
      </w:r>
      <w:r w:rsidRPr="001B34F2">
        <w:t xml:space="preserve">ept. 24, 2016. </w:t>
      </w:r>
    </w:p>
  </w:footnote>
  <w:footnote w:id="62">
    <w:p w14:paraId="7E31BE97" w14:textId="77777777" w:rsidR="00EA31F9" w:rsidRPr="006C05F7" w:rsidRDefault="00EA31F9" w:rsidP="00EA31F9">
      <w:pPr>
        <w:pStyle w:val="FootnoteText"/>
        <w:ind w:right="374"/>
      </w:pPr>
      <w:r w:rsidRPr="001B34F2">
        <w:rPr>
          <w:rStyle w:val="FootnoteReference"/>
        </w:rPr>
        <w:footnoteRef/>
      </w:r>
      <w:r w:rsidRPr="001B34F2">
        <w:t xml:space="preserve"> </w:t>
      </w:r>
      <w:r w:rsidRPr="001B34F2">
        <w:rPr>
          <w:color w:val="201F1E"/>
          <w:shd w:val="clear" w:color="auto" w:fill="FFFFFF"/>
        </w:rPr>
        <w:t xml:space="preserve">Email communication, 2021. </w:t>
      </w:r>
      <w:r>
        <w:rPr>
          <w:color w:val="201F1E"/>
          <w:shd w:val="clear" w:color="auto" w:fill="FFFFFF"/>
        </w:rPr>
        <w:t xml:space="preserve">There are parallels here with </w:t>
      </w:r>
      <w:r w:rsidRPr="006C05F7">
        <w:rPr>
          <w:color w:val="1B1B1B"/>
        </w:rPr>
        <w:t>the treacherous Analytic debate between moralism/ethicism and aestheticism/ autonomism, discussion of which must await a later occasion.</w:t>
      </w:r>
    </w:p>
  </w:footnote>
  <w:footnote w:id="63">
    <w:p w14:paraId="5569AAA7" w14:textId="77777777" w:rsidR="00EA31F9" w:rsidRPr="001B34F2" w:rsidRDefault="00EA31F9" w:rsidP="00EA31F9">
      <w:pPr>
        <w:pStyle w:val="FootnoteText"/>
        <w:ind w:right="374"/>
      </w:pPr>
      <w:r w:rsidRPr="001B34F2">
        <w:rPr>
          <w:rStyle w:val="FootnoteReference"/>
        </w:rPr>
        <w:footnoteRef/>
      </w:r>
      <w:r w:rsidRPr="001B34F2">
        <w:t xml:space="preserve"> </w:t>
      </w:r>
      <w:r>
        <w:t>When</w:t>
      </w:r>
      <w:r w:rsidRPr="001B34F2">
        <w:t xml:space="preserve"> bebop saxophonist Gene Quill</w:t>
      </w:r>
      <w:r>
        <w:t xml:space="preserve"> was told</w:t>
      </w:r>
      <w:r w:rsidRPr="001B34F2">
        <w:t xml:space="preserve"> that he was "just playing like Bird", he thrust his alto saxophone at his interlocutor, exclaiming, "Here, you play like Bird!" (Hamilton (2007</w:t>
      </w:r>
      <w:r>
        <w:t>b</w:t>
      </w:r>
      <w:r w:rsidRPr="001B34F2">
        <w:t xml:space="preserve">), p. 150). </w:t>
      </w:r>
    </w:p>
  </w:footnote>
  <w:footnote w:id="64">
    <w:p w14:paraId="51C4B5FD" w14:textId="77777777" w:rsidR="00EA31F9" w:rsidRPr="001B34F2" w:rsidRDefault="00EA31F9" w:rsidP="00EA31F9">
      <w:pPr>
        <w:pStyle w:val="FootnoteText"/>
        <w:ind w:right="374"/>
      </w:pPr>
      <w:r w:rsidRPr="001B34F2">
        <w:rPr>
          <w:rStyle w:val="FootnoteReference"/>
        </w:rPr>
        <w:footnoteRef/>
      </w:r>
      <w:r w:rsidRPr="001B34F2">
        <w:t xml:space="preserve"> </w:t>
      </w:r>
      <w:hyperlink r:id="rId28" w:history="1">
        <w:r w:rsidRPr="001B34F2">
          <w:rPr>
            <w:rStyle w:val="Hyperlink"/>
          </w:rPr>
          <w:t>www.artsjournal.com/uq/2019/02/lou-harrison-and-the-great-american-piano-concerto-reprised.html</w:t>
        </w:r>
      </w:hyperlink>
    </w:p>
  </w:footnote>
  <w:footnote w:id="65">
    <w:p w14:paraId="02868547" w14:textId="77777777" w:rsidR="00EA31F9" w:rsidRPr="001B34F2" w:rsidRDefault="00EA31F9" w:rsidP="00EA31F9">
      <w:pPr>
        <w:shd w:val="clear" w:color="auto" w:fill="FFFFFF"/>
        <w:ind w:right="374"/>
        <w:textAlignment w:val="baseline"/>
        <w:rPr>
          <w:color w:val="201F1E"/>
          <w:sz w:val="20"/>
          <w:szCs w:val="20"/>
        </w:rPr>
      </w:pPr>
      <w:r w:rsidRPr="001B34F2">
        <w:rPr>
          <w:rStyle w:val="FootnoteReference"/>
          <w:sz w:val="20"/>
          <w:szCs w:val="20"/>
        </w:rPr>
        <w:footnoteRef/>
      </w:r>
      <w:r w:rsidRPr="001B34F2">
        <w:rPr>
          <w:sz w:val="20"/>
          <w:szCs w:val="20"/>
        </w:rPr>
        <w:t xml:space="preserve"> </w:t>
      </w:r>
      <w:hyperlink r:id="rId29" w:history="1">
        <w:r w:rsidRPr="001B34F2">
          <w:rPr>
            <w:rStyle w:val="Hyperlink"/>
            <w:sz w:val="20"/>
            <w:szCs w:val="20"/>
            <w:bdr w:val="none" w:sz="0" w:space="0" w:color="auto" w:frame="1"/>
          </w:rPr>
          <w:t>www.arctictoday.com/acclaimed-american-choir-slammed-for-use-of-inuit-throat-singing/</w:t>
        </w:r>
      </w:hyperlink>
    </w:p>
  </w:footnote>
  <w:footnote w:id="66">
    <w:p w14:paraId="7DB3AA83" w14:textId="77777777" w:rsidR="00EA31F9" w:rsidRPr="001B34F2" w:rsidRDefault="00EA31F9" w:rsidP="00EA31F9">
      <w:pPr>
        <w:pStyle w:val="FootnoteText"/>
        <w:ind w:right="374"/>
      </w:pPr>
      <w:r w:rsidRPr="001B34F2">
        <w:rPr>
          <w:rStyle w:val="FootnoteReference"/>
        </w:rPr>
        <w:footnoteRef/>
      </w:r>
      <w:r w:rsidRPr="001B34F2">
        <w:t xml:space="preserve"> Rudinow (1994), p. 132. </w:t>
      </w:r>
    </w:p>
  </w:footnote>
  <w:footnote w:id="67">
    <w:p w14:paraId="70A16CDC" w14:textId="77777777" w:rsidR="00EA31F9" w:rsidRPr="001B34F2" w:rsidRDefault="00EA31F9" w:rsidP="00EA31F9">
      <w:pPr>
        <w:pStyle w:val="Heading1"/>
        <w:shd w:val="clear" w:color="auto" w:fill="FFFFFF"/>
        <w:spacing w:before="0" w:after="0"/>
        <w:ind w:right="374"/>
        <w:textAlignment w:val="baseline"/>
        <w:rPr>
          <w:rFonts w:ascii="Times New Roman" w:hAnsi="Times New Roman"/>
          <w:b w:val="0"/>
          <w:sz w:val="20"/>
          <w:lang w:val="en-US"/>
        </w:rPr>
      </w:pPr>
      <w:r w:rsidRPr="001B34F2">
        <w:rPr>
          <w:rStyle w:val="FootnoteReference"/>
          <w:rFonts w:ascii="Times New Roman" w:hAnsi="Times New Roman"/>
          <w:b w:val="0"/>
          <w:sz w:val="20"/>
        </w:rPr>
        <w:footnoteRef/>
      </w:r>
      <w:r w:rsidRPr="001B34F2">
        <w:rPr>
          <w:rFonts w:ascii="Times New Roman" w:hAnsi="Times New Roman"/>
          <w:b w:val="0"/>
          <w:sz w:val="20"/>
        </w:rPr>
        <w:t xml:space="preserve"> Lemke (1998), p. 69. Though see </w:t>
      </w:r>
      <w:r w:rsidRPr="001B34F2">
        <w:rPr>
          <w:rFonts w:ascii="Times New Roman" w:hAnsi="Times New Roman"/>
          <w:b w:val="0"/>
          <w:color w:val="333333"/>
          <w:spacing w:val="-1"/>
          <w:sz w:val="20"/>
        </w:rPr>
        <w:t xml:space="preserve">"Why Is American Classical Music So White?", </w:t>
      </w:r>
      <w:hyperlink r:id="rId30" w:history="1">
        <w:r w:rsidRPr="001B34F2">
          <w:rPr>
            <w:rStyle w:val="Hyperlink"/>
            <w:rFonts w:ascii="Times New Roman" w:hAnsi="Times New Roman"/>
            <w:b w:val="0"/>
            <w:sz w:val="20"/>
          </w:rPr>
          <w:t>www.npr.org/sections/deceptivecadence/2019/09/20/762514169/why-is-american-classical-music-so-white?t=1624636392496&amp;t=1626453586940&amp;t=1626905503296&amp;t=1627208155931</w:t>
        </w:r>
      </w:hyperlink>
    </w:p>
  </w:footnote>
  <w:footnote w:id="68">
    <w:p w14:paraId="7BDA1BD8" w14:textId="77777777" w:rsidR="00EA31F9" w:rsidRPr="001B34F2" w:rsidRDefault="00EA31F9" w:rsidP="00EA31F9">
      <w:pPr>
        <w:ind w:right="374"/>
        <w:rPr>
          <w:sz w:val="20"/>
          <w:szCs w:val="20"/>
        </w:rPr>
      </w:pPr>
      <w:r w:rsidRPr="001B34F2">
        <w:rPr>
          <w:rStyle w:val="FootnoteReference"/>
          <w:sz w:val="20"/>
          <w:szCs w:val="20"/>
        </w:rPr>
        <w:footnoteRef/>
      </w:r>
      <w:r w:rsidRPr="001B34F2">
        <w:rPr>
          <w:sz w:val="20"/>
          <w:szCs w:val="20"/>
        </w:rPr>
        <w:t xml:space="preserve"> Harker (2022), p. 150. </w:t>
      </w:r>
    </w:p>
  </w:footnote>
  <w:footnote w:id="69">
    <w:p w14:paraId="796B2B45" w14:textId="77777777" w:rsidR="00EA31F9" w:rsidRPr="001B34F2" w:rsidRDefault="00EA31F9" w:rsidP="00EA31F9">
      <w:pPr>
        <w:pStyle w:val="FootnoteText"/>
        <w:ind w:right="374"/>
      </w:pPr>
      <w:r w:rsidRPr="001B34F2">
        <w:rPr>
          <w:rStyle w:val="FootnoteReference"/>
        </w:rPr>
        <w:footnoteRef/>
      </w:r>
      <w:r w:rsidRPr="001B34F2">
        <w:t xml:space="preserve"> Email, 2022. </w:t>
      </w:r>
    </w:p>
  </w:footnote>
  <w:footnote w:id="70">
    <w:p w14:paraId="1F67F55F" w14:textId="77777777" w:rsidR="00EA31F9" w:rsidRPr="001B34F2" w:rsidRDefault="00EA31F9" w:rsidP="00EA31F9">
      <w:pPr>
        <w:pStyle w:val="FootnoteText"/>
        <w:ind w:right="374"/>
        <w:rPr>
          <w:i/>
        </w:rPr>
      </w:pPr>
      <w:r w:rsidRPr="001B34F2">
        <w:rPr>
          <w:rStyle w:val="FootnoteReference"/>
        </w:rPr>
        <w:footnoteRef/>
      </w:r>
      <w:r w:rsidRPr="001B34F2">
        <w:t xml:space="preserve"> One example is</w:t>
      </w:r>
      <w:r w:rsidRPr="00546669">
        <w:t xml:space="preserve"> Collier (1981)</w:t>
      </w:r>
      <w:r w:rsidRPr="001B34F2">
        <w:rPr>
          <w:i/>
        </w:rPr>
        <w:t xml:space="preserve">. </w:t>
      </w:r>
    </w:p>
  </w:footnote>
  <w:footnote w:id="71">
    <w:p w14:paraId="723D085D" w14:textId="77777777" w:rsidR="00EA31F9" w:rsidRPr="001B34F2" w:rsidRDefault="00EA31F9" w:rsidP="00EA31F9">
      <w:pPr>
        <w:pStyle w:val="FootnoteText"/>
        <w:ind w:right="374"/>
      </w:pPr>
      <w:r w:rsidRPr="001B34F2">
        <w:rPr>
          <w:rStyle w:val="FootnoteReference"/>
        </w:rPr>
        <w:footnoteRef/>
      </w:r>
      <w:r w:rsidRPr="001B34F2">
        <w:t xml:space="preserve"> Monson (1996), p. 203. </w:t>
      </w:r>
    </w:p>
  </w:footnote>
  <w:footnote w:id="72">
    <w:p w14:paraId="2A76C33C" w14:textId="77777777" w:rsidR="00EA31F9" w:rsidRPr="001B34F2" w:rsidRDefault="00EA31F9" w:rsidP="00EA31F9">
      <w:pPr>
        <w:ind w:right="374"/>
        <w:rPr>
          <w:b/>
          <w:sz w:val="20"/>
          <w:szCs w:val="20"/>
        </w:rPr>
      </w:pPr>
      <w:r w:rsidRPr="001B34F2">
        <w:rPr>
          <w:rStyle w:val="FootnoteReference"/>
          <w:sz w:val="20"/>
          <w:szCs w:val="20"/>
        </w:rPr>
        <w:footnoteRef/>
      </w:r>
      <w:r w:rsidRPr="001B34F2">
        <w:rPr>
          <w:sz w:val="20"/>
          <w:szCs w:val="20"/>
        </w:rPr>
        <w:t xml:space="preserve"> Thus Adrian Wooldridge comments that</w:t>
      </w:r>
      <w:r w:rsidRPr="001B34F2">
        <w:rPr>
          <w:b/>
          <w:sz w:val="20"/>
          <w:szCs w:val="20"/>
        </w:rPr>
        <w:t xml:space="preserve"> "</w:t>
      </w:r>
      <w:r w:rsidRPr="001B34F2">
        <w:rPr>
          <w:color w:val="333333"/>
          <w:sz w:val="20"/>
          <w:szCs w:val="20"/>
        </w:rPr>
        <w:t xml:space="preserve">wokery is much more virulent in elite universities...The student who [proposed] the motion </w:t>
      </w:r>
      <w:r w:rsidRPr="001B34F2">
        <w:rPr>
          <w:sz w:val="20"/>
          <w:szCs w:val="20"/>
        </w:rPr>
        <w:t>to remove the portrait of the Queen from Magdalen College's Middle Com</w:t>
      </w:r>
      <w:r w:rsidRPr="001B34F2">
        <w:rPr>
          <w:color w:val="333333"/>
          <w:sz w:val="20"/>
          <w:szCs w:val="20"/>
        </w:rPr>
        <w:t>mon room, Matthew Katzman, on the grounds that Her Majesty represents 'recent colonial history', is the son of a multi-millionaire American lawyer…</w:t>
      </w:r>
      <w:r w:rsidRPr="001B34F2">
        <w:rPr>
          <w:sz w:val="20"/>
          <w:szCs w:val="20"/>
        </w:rPr>
        <w:t>The elite is not woke out of self-flagellation, but out of self-preservation"</w:t>
      </w:r>
      <w:r>
        <w:rPr>
          <w:sz w:val="20"/>
          <w:szCs w:val="20"/>
        </w:rPr>
        <w:t xml:space="preserve"> (</w:t>
      </w:r>
      <w:r w:rsidRPr="001B34F2">
        <w:rPr>
          <w:i/>
          <w:sz w:val="20"/>
          <w:szCs w:val="20"/>
        </w:rPr>
        <w:t>Daily Telegraph</w:t>
      </w:r>
      <w:r w:rsidRPr="001B34F2">
        <w:rPr>
          <w:sz w:val="20"/>
          <w:szCs w:val="20"/>
        </w:rPr>
        <w:t xml:space="preserve"> 24 July 2021</w:t>
      </w:r>
      <w:r>
        <w:rPr>
          <w:sz w:val="20"/>
          <w:szCs w:val="20"/>
        </w:rPr>
        <w:t>)</w:t>
      </w:r>
    </w:p>
  </w:footnote>
  <w:footnote w:id="73">
    <w:p w14:paraId="292C9A8F" w14:textId="77777777" w:rsidR="00EA31F9" w:rsidRPr="001B34F2" w:rsidRDefault="00EA31F9" w:rsidP="00EA31F9">
      <w:pPr>
        <w:pStyle w:val="FootnoteText"/>
        <w:ind w:right="374"/>
      </w:pPr>
      <w:r w:rsidRPr="001B34F2">
        <w:rPr>
          <w:rStyle w:val="FootnoteReference"/>
        </w:rPr>
        <w:footnoteRef/>
      </w:r>
      <w:r w:rsidRPr="001B34F2">
        <w:t xml:space="preserve"> Thanks for discussion on this point to Lara Pearson. </w:t>
      </w:r>
    </w:p>
  </w:footnote>
  <w:footnote w:id="74">
    <w:p w14:paraId="2F32178C" w14:textId="77777777" w:rsidR="00EA31F9" w:rsidRPr="001B34F2" w:rsidRDefault="00EA31F9" w:rsidP="00EA31F9">
      <w:pPr>
        <w:pStyle w:val="FootnoteText"/>
        <w:ind w:right="374"/>
      </w:pPr>
      <w:r w:rsidRPr="001B34F2">
        <w:rPr>
          <w:rStyle w:val="FootnoteReference"/>
        </w:rPr>
        <w:footnoteRef/>
      </w:r>
      <w:r w:rsidRPr="001B34F2">
        <w:t xml:space="preserve"> Coleman and Combe (2012), p. 175.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1F9"/>
    <w:rsid w:val="000B28FD"/>
    <w:rsid w:val="003E5534"/>
    <w:rsid w:val="005D593A"/>
    <w:rsid w:val="00682C26"/>
    <w:rsid w:val="00856A0D"/>
    <w:rsid w:val="008E5F76"/>
    <w:rsid w:val="009151E4"/>
    <w:rsid w:val="00994449"/>
    <w:rsid w:val="00BE2631"/>
    <w:rsid w:val="00EA31F9"/>
    <w:rsid w:val="00F858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831CC"/>
  <w14:defaultImageDpi w14:val="32767"/>
  <w15:chartTrackingRefBased/>
  <w15:docId w15:val="{A04DB7B6-1B11-6841-AEE6-ED8E22114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A31F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A31F9"/>
    <w:pPr>
      <w:keepNext/>
      <w:suppressAutoHyphens/>
      <w:spacing w:before="240" w:after="60"/>
      <w:outlineLvl w:val="0"/>
    </w:pPr>
    <w:rPr>
      <w:rFonts w:ascii="Arial" w:hAnsi="Arial"/>
      <w:b/>
      <w:kern w:val="32"/>
      <w:sz w:val="32"/>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1F9"/>
    <w:rPr>
      <w:rFonts w:ascii="Arial" w:eastAsia="Times New Roman" w:hAnsi="Arial" w:cs="Times New Roman"/>
      <w:b/>
      <w:kern w:val="32"/>
      <w:sz w:val="32"/>
      <w:szCs w:val="20"/>
      <w:lang w:eastAsia="en-GB"/>
    </w:rPr>
  </w:style>
  <w:style w:type="paragraph" w:styleId="NormalWeb">
    <w:name w:val="Normal (Web)"/>
    <w:basedOn w:val="Normal"/>
    <w:uiPriority w:val="99"/>
    <w:rsid w:val="00EA31F9"/>
    <w:pPr>
      <w:suppressAutoHyphens/>
      <w:spacing w:before="75" w:after="225"/>
    </w:pPr>
    <w:rPr>
      <w:color w:val="000080"/>
      <w:sz w:val="20"/>
      <w:szCs w:val="20"/>
    </w:rPr>
  </w:style>
  <w:style w:type="character" w:styleId="Emphasis">
    <w:name w:val="Emphasis"/>
    <w:basedOn w:val="DefaultParagraphFont"/>
    <w:uiPriority w:val="20"/>
    <w:qFormat/>
    <w:rsid w:val="00EA31F9"/>
    <w:rPr>
      <w:i/>
    </w:rPr>
  </w:style>
  <w:style w:type="character" w:styleId="Hyperlink">
    <w:name w:val="Hyperlink"/>
    <w:basedOn w:val="DefaultParagraphFont"/>
    <w:rsid w:val="00EA31F9"/>
    <w:rPr>
      <w:color w:val="0000FF"/>
      <w:u w:val="single"/>
    </w:rPr>
  </w:style>
  <w:style w:type="character" w:styleId="FootnoteReference">
    <w:name w:val="footnote reference"/>
    <w:uiPriority w:val="99"/>
    <w:rsid w:val="00EA31F9"/>
    <w:rPr>
      <w:vertAlign w:val="superscript"/>
    </w:rPr>
  </w:style>
  <w:style w:type="paragraph" w:styleId="CommentText">
    <w:name w:val="annotation text"/>
    <w:aliases w:val="Char Char, Char Char"/>
    <w:basedOn w:val="Normal"/>
    <w:link w:val="CommentTextChar1"/>
    <w:rsid w:val="00EA31F9"/>
  </w:style>
  <w:style w:type="character" w:customStyle="1" w:styleId="CommentTextChar">
    <w:name w:val="Comment Text Char"/>
    <w:basedOn w:val="DefaultParagraphFont"/>
    <w:uiPriority w:val="99"/>
    <w:semiHidden/>
    <w:rsid w:val="00EA31F9"/>
    <w:rPr>
      <w:rFonts w:ascii="Times New Roman" w:eastAsia="Times New Roman" w:hAnsi="Times New Roman" w:cs="Times New Roman"/>
      <w:sz w:val="20"/>
      <w:szCs w:val="20"/>
      <w:lang w:eastAsia="en-GB"/>
    </w:rPr>
  </w:style>
  <w:style w:type="character" w:customStyle="1" w:styleId="CommentTextChar1">
    <w:name w:val="Comment Text Char1"/>
    <w:aliases w:val="Char Char Char, Char Char Char"/>
    <w:basedOn w:val="DefaultParagraphFont"/>
    <w:link w:val="CommentText"/>
    <w:rsid w:val="00EA31F9"/>
    <w:rPr>
      <w:rFonts w:ascii="Times New Roman" w:eastAsia="Times New Roman" w:hAnsi="Times New Roman" w:cs="Times New Roman"/>
      <w:lang w:eastAsia="en-GB"/>
    </w:rPr>
  </w:style>
  <w:style w:type="paragraph" w:styleId="FootnoteText">
    <w:name w:val="footnote text"/>
    <w:aliases w:val="Char Char1"/>
    <w:basedOn w:val="Normal"/>
    <w:link w:val="FootnoteTextChar"/>
    <w:uiPriority w:val="99"/>
    <w:rsid w:val="00EA31F9"/>
    <w:rPr>
      <w:sz w:val="20"/>
      <w:szCs w:val="20"/>
    </w:rPr>
  </w:style>
  <w:style w:type="character" w:customStyle="1" w:styleId="FootnoteTextChar">
    <w:name w:val="Footnote Text Char"/>
    <w:aliases w:val="Char Char1 Char"/>
    <w:basedOn w:val="DefaultParagraphFont"/>
    <w:link w:val="FootnoteText"/>
    <w:uiPriority w:val="99"/>
    <w:rsid w:val="00EA31F9"/>
    <w:rPr>
      <w:rFonts w:ascii="Times New Roman" w:eastAsia="Times New Roman" w:hAnsi="Times New Roman" w:cs="Times New Roman"/>
      <w:sz w:val="20"/>
      <w:szCs w:val="20"/>
      <w:lang w:eastAsia="en-GB"/>
    </w:rPr>
  </w:style>
  <w:style w:type="character" w:customStyle="1" w:styleId="apple-converted-space">
    <w:name w:val="apple-converted-space"/>
    <w:basedOn w:val="DefaultParagraphFont"/>
    <w:rsid w:val="00EA31F9"/>
  </w:style>
  <w:style w:type="paragraph" w:customStyle="1" w:styleId="xxmsonormal">
    <w:name w:val="x_x_msonormal"/>
    <w:basedOn w:val="Normal"/>
    <w:rsid w:val="00EA31F9"/>
    <w:pPr>
      <w:spacing w:before="100" w:beforeAutospacing="1" w:after="100" w:afterAutospacing="1"/>
    </w:pPr>
    <w:rPr>
      <w:rFonts w:eastAsiaTheme="minorHAnsi"/>
    </w:rPr>
  </w:style>
  <w:style w:type="paragraph" w:customStyle="1" w:styleId="Body">
    <w:name w:val="Body"/>
    <w:rsid w:val="00EA31F9"/>
    <w:pPr>
      <w:pBdr>
        <w:top w:val="nil"/>
        <w:left w:val="nil"/>
        <w:bottom w:val="nil"/>
        <w:right w:val="nil"/>
        <w:between w:val="nil"/>
        <w:bar w:val="nil"/>
      </w:pBdr>
    </w:pPr>
    <w:rPr>
      <w:rFonts w:ascii="Times New Roman" w:eastAsia="Arial Unicode MS" w:hAnsi="Times New Roman" w:cs="Arial Unicode MS"/>
      <w:color w:val="000000"/>
      <w:u w:color="000000"/>
      <w:bdr w:val="nil"/>
      <w:lang w:val="en-US" w:eastAsia="en-GB"/>
    </w:rPr>
  </w:style>
  <w:style w:type="paragraph" w:customStyle="1" w:styleId="xmsonormal">
    <w:name w:val="x_msonormal"/>
    <w:basedOn w:val="Normal"/>
    <w:rsid w:val="00EA31F9"/>
    <w:pPr>
      <w:spacing w:before="100" w:beforeAutospacing="1" w:after="100" w:afterAutospacing="1"/>
    </w:pPr>
    <w:rPr>
      <w:rFonts w:eastAsiaTheme="minorHAnsi"/>
    </w:rPr>
  </w:style>
  <w:style w:type="paragraph" w:customStyle="1" w:styleId="xxxxparagraph">
    <w:name w:val="x_xxxparagraph"/>
    <w:basedOn w:val="Normal"/>
    <w:rsid w:val="00EA31F9"/>
    <w:pPr>
      <w:spacing w:before="100" w:beforeAutospacing="1" w:after="100" w:afterAutospacing="1"/>
    </w:pPr>
    <w:rPr>
      <w:rFonts w:eastAsiaTheme="minorHAnsi"/>
    </w:rPr>
  </w:style>
  <w:style w:type="character" w:customStyle="1" w:styleId="xxxxeop">
    <w:name w:val="x_xxxeop"/>
    <w:basedOn w:val="DefaultParagraphFont"/>
    <w:rsid w:val="00EA31F9"/>
  </w:style>
  <w:style w:type="paragraph" w:customStyle="1" w:styleId="dcr-eu20cu">
    <w:name w:val="dcr-eu20cu"/>
    <w:basedOn w:val="Normal"/>
    <w:rsid w:val="00EA31F9"/>
    <w:pPr>
      <w:spacing w:before="100" w:beforeAutospacing="1" w:after="100" w:afterAutospacing="1"/>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mmons.wikimedia.org/wiki/File:23.02.1967._Porgy_and_Bess._%281967%29_-_53Fi2509.jpg" TargetMode="Externa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8" Type="http://schemas.openxmlformats.org/officeDocument/2006/relationships/hyperlink" Target="http://www.arctictoday.com/acclaimed-american-choir-slammed-for-use-of-inuit-throat-singing/" TargetMode="External"/><Relationship Id="rId13" Type="http://schemas.openxmlformats.org/officeDocument/2006/relationships/hyperlink" Target="http://www.theguardian.com/artanddesign/2012/sep/28/andres-serrano-piss-christ-new-york" TargetMode="External"/><Relationship Id="rId18" Type="http://schemas.openxmlformats.org/officeDocument/2006/relationships/hyperlink" Target="https://news.sky.com/story/oli-london-british-influencer-defends-identifying-as-korean-after-surgery-to-look-like-bts-star-12344765" TargetMode="External"/><Relationship Id="rId26" Type="http://schemas.openxmlformats.org/officeDocument/2006/relationships/hyperlink" Target="https://harpers.org/archive/2017/07/getting-in-and-out/" TargetMode="External"/><Relationship Id="rId3" Type="http://schemas.openxmlformats.org/officeDocument/2006/relationships/hyperlink" Target="https://www.youtube.com/watch?v=Vr51BN3m67U" TargetMode="External"/><Relationship Id="rId21" Type="http://schemas.openxmlformats.org/officeDocument/2006/relationships/hyperlink" Target="http://www.chipstone.org/article.php/244/Ceramics-in-America-2005/Bernard-Leach:-Life-and-Work" TargetMode="External"/><Relationship Id="rId7" Type="http://schemas.openxmlformats.org/officeDocument/2006/relationships/hyperlink" Target="https://nunatsiaq.com/stories/article/should-non-inuit-performers-be-allowed-to-throat-sing/" TargetMode="External"/><Relationship Id="rId12" Type="http://schemas.openxmlformats.org/officeDocument/2006/relationships/hyperlink" Target="http://www.youtube.com/watch?v=f-yYhq3nOng" TargetMode="External"/><Relationship Id="rId17" Type="http://schemas.openxmlformats.org/officeDocument/2006/relationships/hyperlink" Target="https://plato.stanford.edu/entries/identity-politics/" TargetMode="External"/><Relationship Id="rId25" Type="http://schemas.openxmlformats.org/officeDocument/2006/relationships/hyperlink" Target="https://owa.dur.ac.uk/owa/redir.aspx?C=XtqTXhRdDdM2NCJV8X7DyYtplmWMp5j-uv7L9V1R6An9Kgmc3OTTCA..&amp;URL=https%3a%2f%2fnewrepublic.com%2fminutes%2f136763%2flionel-shriver-shouldnt-write-minorities" TargetMode="External"/><Relationship Id="rId2" Type="http://schemas.openxmlformats.org/officeDocument/2006/relationships/hyperlink" Target="http://www.eatsdrinksandleaves.com/big-mama-thornton-hound-dog/" TargetMode="External"/><Relationship Id="rId16" Type="http://schemas.openxmlformats.org/officeDocument/2006/relationships/hyperlink" Target="http://www.theguardian.com/artanddesign/2021/jul/17/not-in-this-town-artwork-about-britains-nuclear-colonialism-removed" TargetMode="External"/><Relationship Id="rId20" Type="http://schemas.openxmlformats.org/officeDocument/2006/relationships/hyperlink" Target="https://aquarusa.wordpress.com/2022/02/28/the-problems-with-the-concept-of-cultural-appropriation/" TargetMode="External"/><Relationship Id="rId29" Type="http://schemas.openxmlformats.org/officeDocument/2006/relationships/hyperlink" Target="http://www.arctictoday.com/acclaimed-american-choir-slammed-for-use-of-inuit-throat-singing/" TargetMode="External"/><Relationship Id="rId1" Type="http://schemas.openxmlformats.org/officeDocument/2006/relationships/hyperlink" Target="http://www.eatsdrinksandleaves.com/big-mama-thornton-hound-dog/" TargetMode="External"/><Relationship Id="rId6" Type="http://schemas.openxmlformats.org/officeDocument/2006/relationships/hyperlink" Target="http://www.arctictoday.com/acclaimed-american-choir-slammed-for-use-of-inuit-throat-singing/" TargetMode="External"/><Relationship Id="rId11" Type="http://schemas.openxmlformats.org/officeDocument/2006/relationships/hyperlink" Target="https://opticnerverecordings.com/products/jane-and-barton-jane-and-barton-10mlp-cd" TargetMode="External"/><Relationship Id="rId24" Type="http://schemas.openxmlformats.org/officeDocument/2006/relationships/hyperlink" Target="http://www.newyorker.com/culture/jia-tolentino/lionel-shriver-puts-on-a-sombrero/amp?client=safari" TargetMode="External"/><Relationship Id="rId5" Type="http://schemas.openxmlformats.org/officeDocument/2006/relationships/hyperlink" Target="https://rampages.us/phamvk/2017/04/06/the-problematic-cultural-appropriation-of-polynesian-tattooing-in-the-wave-of-21st-century-tattoo-revival/" TargetMode="External"/><Relationship Id="rId15" Type="http://schemas.openxmlformats.org/officeDocument/2006/relationships/hyperlink" Target="http://www.theguardian.com/stage/2015/aug/07/arts-law-freedom-speech-legal-knowledge-packs-arts-organisations" TargetMode="External"/><Relationship Id="rId23" Type="http://schemas.openxmlformats.org/officeDocument/2006/relationships/hyperlink" Target="http://www.nytimes.com/2016/09/13/books/lionel-shriver-cultural-appropriation-brisbane-writers-festival.html" TargetMode="External"/><Relationship Id="rId28" Type="http://schemas.openxmlformats.org/officeDocument/2006/relationships/hyperlink" Target="http://www.artsjournal.com/uq/2019/02/lou-harrison-and-the-great-american-piano-concerto-reprised.html" TargetMode="External"/><Relationship Id="rId10" Type="http://schemas.openxmlformats.org/officeDocument/2006/relationships/hyperlink" Target="http://www.independent.co.uk/news/uk/theft-for-arts-sake-gets-a-viewing-from-police-1563626.html" TargetMode="External"/><Relationship Id="rId19" Type="http://schemas.openxmlformats.org/officeDocument/2006/relationships/hyperlink" Target="https://aquarusa.wordpress.com/author/aquarusa/" TargetMode="External"/><Relationship Id="rId4" Type="http://schemas.openxmlformats.org/officeDocument/2006/relationships/hyperlink" Target="https://news.sky.com/story/oli-london-british-influencer-defends-identifying-as-korean-after-surgery-to-look-like-bts-star-12344765" TargetMode="External"/><Relationship Id="rId9" Type="http://schemas.openxmlformats.org/officeDocument/2006/relationships/hyperlink" Target="https://newlearningonline.com/new-learning/chapter-4/margaret-thatcher-theres-no-such-thing-as-society" TargetMode="External"/><Relationship Id="rId14" Type="http://schemas.openxmlformats.org/officeDocument/2006/relationships/hyperlink" Target="http://www.nytimes.com/2020/10/02/arts/design/guston-painter-career.html?referringSource=articleShare" TargetMode="External"/><Relationship Id="rId22" Type="http://schemas.openxmlformats.org/officeDocument/2006/relationships/hyperlink" Target="http://www.theguardian.com/music/2022/jan/24/art-is-appropriation-folklorist-jake-xerxes-fussell-connects-forgotten-tunes-to-our-times" TargetMode="External"/><Relationship Id="rId27" Type="http://schemas.openxmlformats.org/officeDocument/2006/relationships/hyperlink" Target="https://harpers.org/archive/2020/06/the-lives-of-others-when-does-imagination-become-appropriation/" TargetMode="External"/><Relationship Id="rId30" Type="http://schemas.openxmlformats.org/officeDocument/2006/relationships/hyperlink" Target="http://www.npr.org/sections/deceptivecadence/2019/09/20/762514169/why-is-american-classical-music-so-white?t=1624636392496&amp;t=1626453586940&amp;t=1626905503296&amp;t=16272081559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7204</Words>
  <Characters>41069</Characters>
  <Application>Microsoft Office Word</Application>
  <DocSecurity>0</DocSecurity>
  <Lines>342</Lines>
  <Paragraphs>96</Paragraphs>
  <ScaleCrop>false</ScaleCrop>
  <Company/>
  <LinksUpToDate>false</LinksUpToDate>
  <CharactersWithSpaces>48177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HAMILTON, ANDREW J.</dc:creator>
  <cp:keywords/>
  <dc:description/>
  <cp:lastModifiedBy>Rebekah Humphreys</cp:lastModifiedBy>
  <cp:revision>3</cp:revision>
  <dcterms:created xsi:type="dcterms:W3CDTF">2023-04-13T16:04:00Z</dcterms:created>
  <dcterms:modified xsi:type="dcterms:W3CDTF">2023-04-13T16:04:00Z</dcterms:modified>
</cp:coreProperties>
</file>