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0DC93" w14:textId="7C7AEC74" w:rsidR="2F0D2BE0" w:rsidRDefault="2F0D2BE0" w:rsidP="0A2D815A">
      <w:pPr>
        <w:spacing w:after="0" w:line="360" w:lineRule="auto"/>
        <w:jc w:val="center"/>
        <w:rPr>
          <w:rFonts w:ascii="Arial Nova" w:eastAsia="Arial Nova" w:hAnsi="Arial Nova" w:cs="Arial Nova"/>
          <w:b/>
          <w:bCs/>
          <w:sz w:val="32"/>
          <w:szCs w:val="32"/>
        </w:rPr>
      </w:pPr>
      <w:r w:rsidRPr="0A2D815A">
        <w:rPr>
          <w:rFonts w:ascii="Arial Nova" w:eastAsia="Arial Nova" w:hAnsi="Arial Nova" w:cs="Arial Nova"/>
          <w:b/>
          <w:bCs/>
          <w:sz w:val="32"/>
          <w:szCs w:val="32"/>
        </w:rPr>
        <w:t>Assignment Litigation</w:t>
      </w:r>
      <w:bookmarkStart w:id="0" w:name="_GoBack"/>
      <w:bookmarkEnd w:id="0"/>
    </w:p>
    <w:p w14:paraId="3F9CF98A" w14:textId="5C104EE3" w:rsidR="0A2D815A" w:rsidRDefault="0A2D815A" w:rsidP="0A2D815A">
      <w:pPr>
        <w:spacing w:after="0" w:line="360" w:lineRule="auto"/>
        <w:jc w:val="center"/>
        <w:rPr>
          <w:rFonts w:ascii="Arial Nova" w:eastAsia="Arial Nova" w:hAnsi="Arial Nova" w:cs="Arial Nova"/>
          <w:b/>
          <w:bCs/>
          <w:sz w:val="32"/>
          <w:szCs w:val="32"/>
        </w:rPr>
      </w:pPr>
    </w:p>
    <w:p w14:paraId="41531871" w14:textId="1757C5AB" w:rsidR="000D128A" w:rsidRDefault="7F6BAF12" w:rsidP="0A2D815A">
      <w:pPr>
        <w:spacing w:after="0" w:line="360" w:lineRule="auto"/>
        <w:rPr>
          <w:rFonts w:ascii="Arial Nova" w:eastAsia="Arial Nova" w:hAnsi="Arial Nova" w:cs="Arial Nova"/>
          <w:sz w:val="24"/>
          <w:szCs w:val="24"/>
        </w:rPr>
      </w:pPr>
      <w:r w:rsidRPr="0A2D815A">
        <w:rPr>
          <w:rFonts w:ascii="Arial Nova" w:eastAsia="Arial Nova" w:hAnsi="Arial Nova" w:cs="Arial Nova"/>
          <w:sz w:val="24"/>
          <w:szCs w:val="24"/>
        </w:rPr>
        <w:t xml:space="preserve">In the intricate tapestry of the criminal justice system, different individuals are holding a pivotal role as that of the Crown Prosecutor. </w:t>
      </w:r>
      <w:r w:rsidR="1353227A" w:rsidRPr="0A2D815A">
        <w:rPr>
          <w:rFonts w:ascii="Arial Nova" w:eastAsia="Arial Nova" w:hAnsi="Arial Nova" w:cs="Arial Nova"/>
          <w:sz w:val="24"/>
          <w:szCs w:val="24"/>
        </w:rPr>
        <w:t>The task of upholding the principles of justice reflects safeguarding the state's interests along with ensuring fair and impartial administration of the law.</w:t>
      </w:r>
      <w:r w:rsidRPr="0A2D815A">
        <w:rPr>
          <w:rFonts w:ascii="Arial Nova" w:eastAsia="Arial Nova" w:hAnsi="Arial Nova" w:cs="Arial Nova"/>
          <w:sz w:val="24"/>
          <w:szCs w:val="24"/>
        </w:rPr>
        <w:t xml:space="preserve"> </w:t>
      </w:r>
      <w:r w:rsidR="4AF243DE" w:rsidRPr="0A2D815A">
        <w:rPr>
          <w:rFonts w:ascii="Arial Nova" w:eastAsia="Arial Nova" w:hAnsi="Arial Nova" w:cs="Arial Nova"/>
          <w:sz w:val="24"/>
          <w:szCs w:val="24"/>
        </w:rPr>
        <w:t>The crown prosecutors stand as sentinels of the societal order and consist of profound responsibility from evaluating evidence to advocating for accountability.</w:t>
      </w:r>
      <w:r w:rsidRPr="0A2D815A">
        <w:rPr>
          <w:rFonts w:ascii="Arial Nova" w:eastAsia="Arial Nova" w:hAnsi="Arial Nova" w:cs="Arial Nova"/>
          <w:sz w:val="24"/>
          <w:szCs w:val="24"/>
        </w:rPr>
        <w:t xml:space="preserve"> Legal professionals embody the convergence of legal acumen along with ethical discernment and public duty. The mandating of a crown prosecutor is described as the delicate process of making charging decisions along with integrating the multifaceted tasks that demand a meticulous balancing act between the pursuit of justice and the preservation of individual rights (Wales, 2023). This study aims to analyze multifarious facets of a crown prosecutor's role along with shedding light on the tests employed in the crucible of charging decisions and underscoring the imperative of both evidentiary sufficiency and broader public interest</w:t>
      </w:r>
      <w:r w:rsidR="7B860835" w:rsidRPr="0A2D815A">
        <w:rPr>
          <w:rFonts w:ascii="Arial Nova" w:eastAsia="Arial Nova" w:hAnsi="Arial Nova" w:cs="Arial Nova"/>
          <w:sz w:val="24"/>
          <w:szCs w:val="24"/>
        </w:rPr>
        <w:t xml:space="preserve">. </w:t>
      </w:r>
    </w:p>
    <w:p w14:paraId="7A9BC42F" w14:textId="053CC2E6" w:rsidR="0A2D815A" w:rsidRDefault="0A2D815A" w:rsidP="0A2D815A">
      <w:pPr>
        <w:spacing w:after="0" w:line="360" w:lineRule="auto"/>
        <w:rPr>
          <w:rFonts w:ascii="Arial Nova" w:eastAsia="Arial Nova" w:hAnsi="Arial Nova" w:cs="Arial Nova"/>
          <w:sz w:val="24"/>
          <w:szCs w:val="24"/>
        </w:rPr>
      </w:pPr>
    </w:p>
    <w:p w14:paraId="37AF6AE1" w14:textId="2EAD9983"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A crown prosecutor is reflecting the crown counsel or crown attorney in some </w:t>
      </w:r>
      <w:bookmarkStart w:id="1" w:name="_Int_6TYnQTXp"/>
      <w:r w:rsidRPr="0A2D815A">
        <w:rPr>
          <w:rFonts w:ascii="Arial Nova" w:eastAsia="Arial Nova" w:hAnsi="Arial Nova" w:cs="Arial Nova"/>
          <w:sz w:val="24"/>
          <w:szCs w:val="24"/>
        </w:rPr>
        <w:t>jurisdictions</w:t>
      </w:r>
      <w:bookmarkEnd w:id="1"/>
      <w:r w:rsidRPr="0A2D815A">
        <w:rPr>
          <w:rFonts w:ascii="Arial Nova" w:eastAsia="Arial Nova" w:hAnsi="Arial Nova" w:cs="Arial Nova"/>
          <w:sz w:val="24"/>
          <w:szCs w:val="24"/>
        </w:rPr>
        <w:t xml:space="preserve"> which is a legal professional who represents the state or the crown in criminal cases. The primary role of a crown prosecutor is to present evidence and arguments in court on behalf of the government to prove the guilt of the accused person and seek appropriate legal remedies and penalties. </w:t>
      </w:r>
    </w:p>
    <w:p w14:paraId="19BCC9B3" w14:textId="76A7AC7B"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The key responsibilities and duties of a crown prosecutor are involved in strengthening the charging decisions, pre-trial, court representation, sentencing, and appeals. The charging decisions include the crown prosecutors playing a crucial role in the criminal justice system by the help of making decisions about whether to lay charges against individuals suspected of committing crimes. This decision is based on a careful examination of the available evidence and </w:t>
      </w:r>
      <w:r w:rsidR="6663A328" w:rsidRPr="0A2D815A">
        <w:rPr>
          <w:rFonts w:ascii="Arial Nova" w:eastAsia="Arial Nova" w:hAnsi="Arial Nova" w:cs="Arial Nova"/>
          <w:sz w:val="24"/>
          <w:szCs w:val="24"/>
        </w:rPr>
        <w:t>consideration</w:t>
      </w:r>
      <w:r w:rsidRPr="0A2D815A">
        <w:rPr>
          <w:rFonts w:ascii="Arial Nova" w:eastAsia="Arial Nova" w:hAnsi="Arial Nova" w:cs="Arial Nova"/>
          <w:sz w:val="24"/>
          <w:szCs w:val="24"/>
        </w:rPr>
        <w:t xml:space="preserve"> of the public interest. The pre-trial process includes the crown prosecutor that prepares the case for trial. It involves gathering </w:t>
      </w:r>
      <w:r w:rsidR="4B83B891" w:rsidRPr="0A2D815A">
        <w:rPr>
          <w:rFonts w:ascii="Arial Nova" w:eastAsia="Arial Nova" w:hAnsi="Arial Nova" w:cs="Arial Nova"/>
          <w:sz w:val="24"/>
          <w:szCs w:val="24"/>
        </w:rPr>
        <w:t>evidence,</w:t>
      </w:r>
      <w:r w:rsidRPr="0A2D815A">
        <w:rPr>
          <w:rFonts w:ascii="Arial Nova" w:eastAsia="Arial Nova" w:hAnsi="Arial Nova" w:cs="Arial Nova"/>
          <w:sz w:val="24"/>
          <w:szCs w:val="24"/>
        </w:rPr>
        <w:t xml:space="preserve"> interviewing </w:t>
      </w:r>
      <w:r w:rsidR="6F7D6884" w:rsidRPr="0A2D815A">
        <w:rPr>
          <w:rFonts w:ascii="Arial Nova" w:eastAsia="Arial Nova" w:hAnsi="Arial Nova" w:cs="Arial Nova"/>
          <w:sz w:val="24"/>
          <w:szCs w:val="24"/>
        </w:rPr>
        <w:t>witnesses,</w:t>
      </w:r>
      <w:r w:rsidRPr="0A2D815A">
        <w:rPr>
          <w:rFonts w:ascii="Arial Nova" w:eastAsia="Arial Nova" w:hAnsi="Arial Nova" w:cs="Arial Nova"/>
          <w:sz w:val="24"/>
          <w:szCs w:val="24"/>
        </w:rPr>
        <w:t xml:space="preserve"> and analyzing the legal issues. The court representation includes the presentation of evidence carried out by the crown prosecutor by examining the witnesses and arguing legal points before the court. This aim is to provide the accused with guilt beyond a reasonable doubt. The sentencing process is carried </w:t>
      </w:r>
      <w:r w:rsidRPr="0A2D815A">
        <w:rPr>
          <w:rFonts w:ascii="Arial Nova" w:eastAsia="Arial Nova" w:hAnsi="Arial Nova" w:cs="Arial Nova"/>
          <w:sz w:val="24"/>
          <w:szCs w:val="24"/>
        </w:rPr>
        <w:lastRenderedPageBreak/>
        <w:t xml:space="preserve">out if the accused is found guilty. The crown prosecutor may also present arguments during the sentencing phase of the trial to advocate for the appropriate punishment. In cases, there are legal errors or disputes about the trial processes crown prosecutors may represent the state in appeals to higher courts. </w:t>
      </w:r>
      <w:bookmarkStart w:id="2" w:name="_Int_mXRiIv6x"/>
      <w:r w:rsidRPr="0A2D815A">
        <w:rPr>
          <w:rFonts w:ascii="Arial Nova" w:eastAsia="Arial Nova" w:hAnsi="Arial Nova" w:cs="Arial Nova"/>
          <w:sz w:val="24"/>
          <w:szCs w:val="24"/>
        </w:rPr>
        <w:t>The public</w:t>
      </w:r>
      <w:bookmarkEnd w:id="2"/>
      <w:r w:rsidRPr="0A2D815A">
        <w:rPr>
          <w:rFonts w:ascii="Arial Nova" w:eastAsia="Arial Nova" w:hAnsi="Arial Nova" w:cs="Arial Nova"/>
          <w:sz w:val="24"/>
          <w:szCs w:val="24"/>
        </w:rPr>
        <w:t xml:space="preserve"> interest includes the integration of crown prosecutors to act in the public interest. </w:t>
      </w:r>
      <w:r w:rsidR="7712BB85" w:rsidRPr="0A2D815A">
        <w:rPr>
          <w:rFonts w:ascii="Arial Nova" w:eastAsia="Arial Nova" w:hAnsi="Arial Nova" w:cs="Arial Nova"/>
          <w:sz w:val="24"/>
          <w:szCs w:val="24"/>
        </w:rPr>
        <w:t xml:space="preserve">This indicates that while these seek justice for victims and society, they are included in the duty-bound to ensure a fair trial and respect the </w:t>
      </w:r>
      <w:proofErr w:type="gramStart"/>
      <w:r w:rsidR="00D81600" w:rsidRPr="0A2D815A">
        <w:rPr>
          <w:rFonts w:ascii="Arial Nova" w:eastAsia="Arial Nova" w:hAnsi="Arial Nova" w:cs="Arial Nova"/>
          <w:sz w:val="24"/>
          <w:szCs w:val="24"/>
        </w:rPr>
        <w:t>accused’s</w:t>
      </w:r>
      <w:proofErr w:type="gramEnd"/>
      <w:r w:rsidR="7712BB85" w:rsidRPr="0A2D815A">
        <w:rPr>
          <w:rFonts w:ascii="Arial Nova" w:eastAsia="Arial Nova" w:hAnsi="Arial Nova" w:cs="Arial Nova"/>
          <w:sz w:val="24"/>
          <w:szCs w:val="24"/>
        </w:rPr>
        <w:t xml:space="preserve"> rights (Gov.uk, 2023).</w:t>
      </w:r>
      <w:r w:rsidRPr="0A2D815A">
        <w:rPr>
          <w:rFonts w:ascii="Arial Nova" w:eastAsia="Arial Nova" w:hAnsi="Arial Nova" w:cs="Arial Nova"/>
          <w:sz w:val="24"/>
          <w:szCs w:val="24"/>
        </w:rPr>
        <w:t xml:space="preserve">  </w:t>
      </w:r>
    </w:p>
    <w:p w14:paraId="765B66CF" w14:textId="3141386B" w:rsidR="000D128A" w:rsidRDefault="7F6BAF12" w:rsidP="0A2D815A">
      <w:pPr>
        <w:pStyle w:val="Heading2"/>
        <w:spacing w:line="360" w:lineRule="auto"/>
        <w:rPr>
          <w:rFonts w:ascii="Arial Nova" w:eastAsia="Arial Nova" w:hAnsi="Arial Nova" w:cs="Arial Nova"/>
          <w:color w:val="auto"/>
          <w:sz w:val="24"/>
          <w:szCs w:val="24"/>
        </w:rPr>
      </w:pPr>
      <w:r w:rsidRPr="0A2D815A">
        <w:rPr>
          <w:rFonts w:ascii="Arial Nova" w:eastAsia="Arial Nova" w:hAnsi="Arial Nova" w:cs="Arial Nova"/>
          <w:color w:val="auto"/>
          <w:sz w:val="24"/>
          <w:szCs w:val="24"/>
        </w:rPr>
        <w:t xml:space="preserve">Identification of the tests used when making charging decision </w:t>
      </w:r>
    </w:p>
    <w:p w14:paraId="33A753CA" w14:textId="5BB7B8E7"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When making the charging decisions, the execution of </w:t>
      </w:r>
      <w:r w:rsidR="78343852" w:rsidRPr="0A2D815A">
        <w:rPr>
          <w:rFonts w:ascii="Arial Nova" w:eastAsia="Arial Nova" w:hAnsi="Arial Nova" w:cs="Arial Nova"/>
          <w:sz w:val="24"/>
          <w:szCs w:val="24"/>
        </w:rPr>
        <w:t>distinct types</w:t>
      </w:r>
      <w:r w:rsidRPr="0A2D815A">
        <w:rPr>
          <w:rFonts w:ascii="Arial Nova" w:eastAsia="Arial Nova" w:hAnsi="Arial Nova" w:cs="Arial Nova"/>
          <w:sz w:val="24"/>
          <w:szCs w:val="24"/>
        </w:rPr>
        <w:t xml:space="preserve"> of tests related to guidelines for assessing whether there is sufficient evidence to proceed with a criminal case is aimed to be analyzed in this study. </w:t>
      </w:r>
      <w:r w:rsidR="0C7F4B94" w:rsidRPr="0A2D815A">
        <w:rPr>
          <w:rFonts w:ascii="Arial Nova" w:eastAsia="Arial Nova" w:hAnsi="Arial Nova" w:cs="Arial Nova"/>
          <w:sz w:val="24"/>
          <w:szCs w:val="24"/>
        </w:rPr>
        <w:t xml:space="preserve">The reasonable and probable grounds test should be included which requires the reasonable grounds to believe that an offence has been committed and that the accused person is </w:t>
      </w:r>
      <w:bookmarkStart w:id="3" w:name="_Int_CAe8bVeI"/>
      <w:r w:rsidR="0C7F4B94" w:rsidRPr="0A2D815A">
        <w:rPr>
          <w:rFonts w:ascii="Arial Nova" w:eastAsia="Arial Nova" w:hAnsi="Arial Nova" w:cs="Arial Nova"/>
          <w:sz w:val="24"/>
          <w:szCs w:val="24"/>
        </w:rPr>
        <w:t>likely committed</w:t>
      </w:r>
      <w:bookmarkEnd w:id="3"/>
      <w:r w:rsidR="0C7F4B94" w:rsidRPr="0A2D815A">
        <w:rPr>
          <w:rFonts w:ascii="Arial Nova" w:eastAsia="Arial Nova" w:hAnsi="Arial Nova" w:cs="Arial Nova"/>
          <w:sz w:val="24"/>
          <w:szCs w:val="24"/>
        </w:rPr>
        <w:t xml:space="preserve"> to it.</w:t>
      </w:r>
      <w:r w:rsidRPr="0A2D815A">
        <w:rPr>
          <w:rFonts w:ascii="Arial Nova" w:eastAsia="Arial Nova" w:hAnsi="Arial Nova" w:cs="Arial Nova"/>
          <w:sz w:val="24"/>
          <w:szCs w:val="24"/>
        </w:rPr>
        <w:t xml:space="preserve"> The Bail Act 1976 (Right to Bail s4 BA 1976) is integrated to reflect on unconditional bail along with integrating a </w:t>
      </w:r>
      <w:bookmarkStart w:id="4" w:name="_Int_9YvYORj7"/>
      <w:r w:rsidRPr="0A2D815A">
        <w:rPr>
          <w:rFonts w:ascii="Arial Nova" w:eastAsia="Arial Nova" w:hAnsi="Arial Nova" w:cs="Arial Nova"/>
          <w:sz w:val="24"/>
          <w:szCs w:val="24"/>
        </w:rPr>
        <w:t>significant change</w:t>
      </w:r>
      <w:bookmarkEnd w:id="4"/>
      <w:r w:rsidRPr="0A2D815A">
        <w:rPr>
          <w:rFonts w:ascii="Arial Nova" w:eastAsia="Arial Nova" w:hAnsi="Arial Nova" w:cs="Arial Nova"/>
          <w:sz w:val="24"/>
          <w:szCs w:val="24"/>
        </w:rPr>
        <w:t xml:space="preserve"> to restrict a court's pre-conviction powers. It includes the remand of the adult defendant in custody related to restricting the defendant's previous convictions which helps to strengthen the warrant of a custodial sentence (Cps, 2023). </w:t>
      </w:r>
    </w:p>
    <w:p w14:paraId="1C51274B" w14:textId="0A283A4B"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The evidential test includes that the prosecutors must assess whether there is enough admissible evidence to support a reasonable prospect of conviction along with </w:t>
      </w:r>
      <w:r w:rsidR="71AB69E8" w:rsidRPr="0A2D815A">
        <w:rPr>
          <w:rFonts w:ascii="Arial Nova" w:eastAsia="Arial Nova" w:hAnsi="Arial Nova" w:cs="Arial Nova"/>
          <w:sz w:val="24"/>
          <w:szCs w:val="24"/>
        </w:rPr>
        <w:t>displaying</w:t>
      </w:r>
      <w:r w:rsidRPr="0A2D815A">
        <w:rPr>
          <w:rFonts w:ascii="Arial Nova" w:eastAsia="Arial Nova" w:hAnsi="Arial Nova" w:cs="Arial Nova"/>
          <w:sz w:val="24"/>
          <w:szCs w:val="24"/>
        </w:rPr>
        <w:t xml:space="preserve"> a strong likelihood of obtaining a conviction based on the available evidence. In the evidential test, the integration of proceedings related to the charge with or convicted to follow offences is evident which is evident to be reflecting the murder and manslaughter under Sexual Offences Act 2003. The person needs to go through different physical tests that will help to strengthen the proof of offence for proving guilt for the individual (Legislation</w:t>
      </w:r>
      <w:r w:rsidR="06DB2F3C" w:rsidRPr="0A2D815A">
        <w:rPr>
          <w:rFonts w:ascii="Arial Nova" w:eastAsia="Arial Nova" w:hAnsi="Arial Nova" w:cs="Arial Nova"/>
          <w:sz w:val="24"/>
          <w:szCs w:val="24"/>
        </w:rPr>
        <w:t>.</w:t>
      </w:r>
      <w:r w:rsidRPr="0A2D815A">
        <w:rPr>
          <w:rFonts w:ascii="Arial Nova" w:eastAsia="Arial Nova" w:hAnsi="Arial Nova" w:cs="Arial Nova"/>
          <w:sz w:val="24"/>
          <w:szCs w:val="24"/>
        </w:rPr>
        <w:t>gov</w:t>
      </w:r>
      <w:r w:rsidR="06C222DB" w:rsidRPr="0A2D815A">
        <w:rPr>
          <w:rFonts w:ascii="Arial Nova" w:eastAsia="Arial Nova" w:hAnsi="Arial Nova" w:cs="Arial Nova"/>
          <w:sz w:val="24"/>
          <w:szCs w:val="24"/>
        </w:rPr>
        <w:t>.</w:t>
      </w:r>
      <w:r w:rsidRPr="0A2D815A">
        <w:rPr>
          <w:rFonts w:ascii="Arial Nova" w:eastAsia="Arial Nova" w:hAnsi="Arial Nova" w:cs="Arial Nova"/>
          <w:sz w:val="24"/>
          <w:szCs w:val="24"/>
        </w:rPr>
        <w:t>uk, 2022).</w:t>
      </w:r>
    </w:p>
    <w:p w14:paraId="26DB9FB1" w14:textId="0EAA28F2"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The public interest test includes the prosecutors’ consideration of whether it is in the public interest to pursue charges. </w:t>
      </w:r>
      <w:r w:rsidR="127AE6C5" w:rsidRPr="0A2D815A">
        <w:rPr>
          <w:rFonts w:ascii="Arial Nova" w:eastAsia="Arial Nova" w:hAnsi="Arial Nova" w:cs="Arial Nova"/>
          <w:sz w:val="24"/>
          <w:szCs w:val="24"/>
        </w:rPr>
        <w:t>Distinct factors</w:t>
      </w:r>
      <w:r w:rsidRPr="0A2D815A">
        <w:rPr>
          <w:rFonts w:ascii="Arial Nova" w:eastAsia="Arial Nova" w:hAnsi="Arial Nova" w:cs="Arial Nova"/>
          <w:sz w:val="24"/>
          <w:szCs w:val="24"/>
        </w:rPr>
        <w:t xml:space="preserve"> include the impact on victims, the potential deterrent effect of prosecution, the seriousness of the offence and the accused criminal history. In this situation, the police should be involved in investigating criminal offences along with integrating a range of powers. Based on the rules and regulations of the National Crime Agency (NCA), the prevention and investigation of serious and organized crimes should be carried out by considering a range of powers. This helps to strengthen the determination of issues as well as the </w:t>
      </w:r>
      <w:r w:rsidRPr="0A2D815A">
        <w:rPr>
          <w:rFonts w:ascii="Arial Nova" w:eastAsia="Arial Nova" w:hAnsi="Arial Nova" w:cs="Arial Nova"/>
          <w:sz w:val="24"/>
          <w:szCs w:val="24"/>
        </w:rPr>
        <w:lastRenderedPageBreak/>
        <w:t xml:space="preserve">Crown Prosecution Services should be responsible for prosecuting the individuals charged with having different criminal offences. The responsibility related to undertaking a decision related to charging a suspect will collate evidence so that they can present the case in court. </w:t>
      </w:r>
      <w:r w:rsidR="50FDDC81" w:rsidRPr="0A2D815A">
        <w:rPr>
          <w:rFonts w:ascii="Arial Nova" w:eastAsia="Arial Nova" w:hAnsi="Arial Nova" w:cs="Arial Nova"/>
          <w:sz w:val="24"/>
          <w:szCs w:val="24"/>
        </w:rPr>
        <w:t>The Crown Court is clear to be dealing with offenders charged with different serious criminal offences.</w:t>
      </w:r>
      <w:r w:rsidRPr="0A2D815A">
        <w:rPr>
          <w:rFonts w:ascii="Arial Nova" w:eastAsia="Arial Nova" w:hAnsi="Arial Nova" w:cs="Arial Nova"/>
          <w:sz w:val="24"/>
          <w:szCs w:val="24"/>
        </w:rPr>
        <w:t xml:space="preserve"> </w:t>
      </w:r>
      <w:r w:rsidR="54FDC7BC" w:rsidRPr="0A2D815A">
        <w:rPr>
          <w:rFonts w:ascii="Arial Nova" w:eastAsia="Arial Nova" w:hAnsi="Arial Nova" w:cs="Arial Nova"/>
          <w:sz w:val="24"/>
          <w:szCs w:val="24"/>
        </w:rPr>
        <w:t xml:space="preserve">The criminals are considered conducting the trial and sentence the offenders if convicted to all </w:t>
      </w:r>
      <w:r w:rsidR="00D81600" w:rsidRPr="0A2D815A">
        <w:rPr>
          <w:rFonts w:ascii="Arial Nova" w:eastAsia="Arial Nova" w:hAnsi="Arial Nova" w:cs="Arial Nova"/>
          <w:sz w:val="24"/>
          <w:szCs w:val="24"/>
        </w:rPr>
        <w:t>indictable</w:t>
      </w:r>
      <w:r w:rsidR="54FDC7BC" w:rsidRPr="0A2D815A">
        <w:rPr>
          <w:rFonts w:ascii="Arial Nova" w:eastAsia="Arial Nova" w:hAnsi="Arial Nova" w:cs="Arial Nova"/>
          <w:sz w:val="24"/>
          <w:szCs w:val="24"/>
        </w:rPr>
        <w:t xml:space="preserve"> offences present in this situation.</w:t>
      </w:r>
      <w:r w:rsidRPr="0A2D815A">
        <w:rPr>
          <w:rFonts w:ascii="Arial Nova" w:eastAsia="Arial Nova" w:hAnsi="Arial Nova" w:cs="Arial Nova"/>
          <w:sz w:val="24"/>
          <w:szCs w:val="24"/>
        </w:rPr>
        <w:t xml:space="preserve"> Hearing appeals against convictions, these are involved strengthening the sentence from the magistrate's court for criminals (Prince, 2020). </w:t>
      </w:r>
    </w:p>
    <w:p w14:paraId="4C4A47FD" w14:textId="663B66B3"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The credibility and reliability of evidence are determined which helps to evaluate the credibility and reliability of the evidence including the witness's statements and the physical evidence. The expert opinions are included that help to strengthen the prosecutors assess whether the evidence is sufficient and available to establish sufficient elements of the offence beyond a reasonable doubt. The reliability and credibility of evidence are determined from the logically probative or disapprobation of some matter which requires proof.</w:t>
      </w:r>
      <w:r w:rsidR="2F7B1E60" w:rsidRPr="0A2D815A">
        <w:rPr>
          <w:rFonts w:ascii="Arial Nova" w:eastAsia="Arial Nova" w:hAnsi="Arial Nova" w:cs="Arial Nova"/>
          <w:sz w:val="24"/>
          <w:szCs w:val="24"/>
        </w:rPr>
        <w:t xml:space="preserve"> </w:t>
      </w:r>
      <w:r w:rsidRPr="0A2D815A">
        <w:rPr>
          <w:rFonts w:ascii="Arial Nova" w:eastAsia="Arial Nova" w:hAnsi="Arial Nova" w:cs="Arial Nova"/>
          <w:sz w:val="24"/>
          <w:szCs w:val="24"/>
        </w:rPr>
        <w:t xml:space="preserve">It is sufficient to say that even at the risk of etymological tautology </w:t>
      </w:r>
      <w:r w:rsidR="785BAC06" w:rsidRPr="0A2D815A">
        <w:rPr>
          <w:rFonts w:ascii="Arial Nova" w:eastAsia="Arial Nova" w:hAnsi="Arial Nova" w:cs="Arial Nova"/>
          <w:sz w:val="24"/>
          <w:szCs w:val="24"/>
        </w:rPr>
        <w:t>displays</w:t>
      </w:r>
      <w:r w:rsidRPr="0A2D815A">
        <w:rPr>
          <w:rFonts w:ascii="Arial Nova" w:eastAsia="Arial Nova" w:hAnsi="Arial Nova" w:cs="Arial Nova"/>
          <w:sz w:val="24"/>
          <w:szCs w:val="24"/>
        </w:rPr>
        <w:t xml:space="preserve"> the requirement of proof. The evidential burden of proof is described as </w:t>
      </w:r>
      <w:r w:rsidR="4B496C4E" w:rsidRPr="0A2D815A">
        <w:rPr>
          <w:rFonts w:ascii="Arial Nova" w:eastAsia="Arial Nova" w:hAnsi="Arial Nova" w:cs="Arial Nova"/>
          <w:sz w:val="24"/>
          <w:szCs w:val="24"/>
        </w:rPr>
        <w:t>sufficient</w:t>
      </w:r>
      <w:r w:rsidRPr="0A2D815A">
        <w:rPr>
          <w:rFonts w:ascii="Arial Nova" w:eastAsia="Arial Nova" w:hAnsi="Arial Nova" w:cs="Arial Nova"/>
          <w:sz w:val="24"/>
          <w:szCs w:val="24"/>
        </w:rPr>
        <w:t xml:space="preserve"> evident generation based on the issue for the matter. The party which bears the appropriate legal burden of proof then the burden of tribunal fact should be removed by the integration of required standards. </w:t>
      </w:r>
      <w:r w:rsidR="76319B49" w:rsidRPr="0A2D815A">
        <w:rPr>
          <w:rFonts w:ascii="Arial Nova" w:eastAsia="Arial Nova" w:hAnsi="Arial Nova" w:cs="Arial Nova"/>
          <w:sz w:val="24"/>
          <w:szCs w:val="24"/>
        </w:rPr>
        <w:t>Generalized</w:t>
      </w:r>
      <w:r w:rsidRPr="0A2D815A">
        <w:rPr>
          <w:rFonts w:ascii="Arial Nova" w:eastAsia="Arial Nova" w:hAnsi="Arial Nova" w:cs="Arial Nova"/>
          <w:sz w:val="24"/>
          <w:szCs w:val="24"/>
        </w:rPr>
        <w:t xml:space="preserve"> criminal clauses should be undertaken so that the presumption of innocence or guilt can be appropriately carried out. The prosecution is still required to prove primary facts but where a statute creates a </w:t>
      </w:r>
      <w:r w:rsidR="5EC2578B" w:rsidRPr="0A2D815A">
        <w:rPr>
          <w:rFonts w:ascii="Arial Nova" w:eastAsia="Arial Nova" w:hAnsi="Arial Nova" w:cs="Arial Nova"/>
          <w:sz w:val="24"/>
          <w:szCs w:val="24"/>
        </w:rPr>
        <w:t>defense</w:t>
      </w:r>
      <w:r w:rsidRPr="0A2D815A">
        <w:rPr>
          <w:rFonts w:ascii="Arial Nova" w:eastAsia="Arial Nova" w:hAnsi="Arial Nova" w:cs="Arial Nova"/>
          <w:sz w:val="24"/>
          <w:szCs w:val="24"/>
        </w:rPr>
        <w:t xml:space="preserve"> environment which is very much easier with the help of establishing the defendant's environment. The breach of Article 6 of the ECHR leads to the development of an impact on the credibility and reliability of evidence as well as the defendant in the criminal cases </w:t>
      </w:r>
      <w:r w:rsidR="2A9BDEE7" w:rsidRPr="0A2D815A">
        <w:rPr>
          <w:rFonts w:ascii="Arial Nova" w:eastAsia="Arial Nova" w:hAnsi="Arial Nova" w:cs="Arial Nova"/>
          <w:sz w:val="24"/>
          <w:szCs w:val="24"/>
        </w:rPr>
        <w:t>bearing</w:t>
      </w:r>
      <w:r w:rsidRPr="0A2D815A">
        <w:rPr>
          <w:rFonts w:ascii="Arial Nova" w:eastAsia="Arial Nova" w:hAnsi="Arial Nova" w:cs="Arial Nova"/>
          <w:sz w:val="24"/>
          <w:szCs w:val="24"/>
        </w:rPr>
        <w:t xml:space="preserve"> a legal burden of establishing their </w:t>
      </w:r>
      <w:r w:rsidR="45EC81EF" w:rsidRPr="0A2D815A">
        <w:rPr>
          <w:rFonts w:ascii="Arial Nova" w:eastAsia="Arial Nova" w:hAnsi="Arial Nova" w:cs="Arial Nova"/>
          <w:sz w:val="24"/>
          <w:szCs w:val="24"/>
        </w:rPr>
        <w:t>defense</w:t>
      </w:r>
      <w:r w:rsidRPr="0A2D815A">
        <w:rPr>
          <w:rFonts w:ascii="Arial Nova" w:eastAsia="Arial Nova" w:hAnsi="Arial Nova" w:cs="Arial Nova"/>
          <w:sz w:val="24"/>
          <w:szCs w:val="24"/>
        </w:rPr>
        <w:t>. The balance of probabilities should be maintained so that the defendant can prove the case by considering the higher standards (Crofts and Wake, 2021).</w:t>
      </w:r>
    </w:p>
    <w:p w14:paraId="02F4FE1B" w14:textId="749949C2"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The availability and sufficiency of the evidence are </w:t>
      </w:r>
      <w:r w:rsidR="38B47C41" w:rsidRPr="0A2D815A">
        <w:rPr>
          <w:rFonts w:ascii="Arial Nova" w:eastAsia="Arial Nova" w:hAnsi="Arial Nova" w:cs="Arial Nova"/>
          <w:sz w:val="24"/>
          <w:szCs w:val="24"/>
        </w:rPr>
        <w:t>determined,</w:t>
      </w:r>
      <w:r w:rsidRPr="0A2D815A">
        <w:rPr>
          <w:rFonts w:ascii="Arial Nova" w:eastAsia="Arial Nova" w:hAnsi="Arial Nova" w:cs="Arial Nova"/>
          <w:sz w:val="24"/>
          <w:szCs w:val="24"/>
        </w:rPr>
        <w:t xml:space="preserve"> which helps to assess whether the evidence is sufficient and available for creating elements of the offence beyond a reasonable doubt. </w:t>
      </w:r>
      <w:r w:rsidR="35BCBA54" w:rsidRPr="0A2D815A">
        <w:rPr>
          <w:rFonts w:ascii="Arial Nova" w:eastAsia="Arial Nova" w:hAnsi="Arial Nova" w:cs="Arial Nova"/>
          <w:sz w:val="24"/>
          <w:szCs w:val="24"/>
        </w:rPr>
        <w:t>The Police and Criminal Evidence Act 1984 (PACE 1984 is included with the Codes of Practice which help protect the suspect from unnecessary pressure and distress.</w:t>
      </w:r>
      <w:r w:rsidRPr="0A2D815A">
        <w:rPr>
          <w:rFonts w:ascii="Arial Nova" w:eastAsia="Arial Nova" w:hAnsi="Arial Nova" w:cs="Arial Nova"/>
          <w:sz w:val="24"/>
          <w:szCs w:val="24"/>
        </w:rPr>
        <w:t xml:space="preserve"> It also ensures that the suspect does not make any kind of false confession and ensures that the client does get the full understanding of the choices available to them in terms and conditions provided by the </w:t>
      </w:r>
      <w:r w:rsidRPr="0A2D815A">
        <w:rPr>
          <w:rFonts w:ascii="Arial Nova" w:eastAsia="Arial Nova" w:hAnsi="Arial Nova" w:cs="Arial Nova"/>
          <w:sz w:val="24"/>
          <w:szCs w:val="24"/>
        </w:rPr>
        <w:lastRenderedPageBreak/>
        <w:t xml:space="preserve">police authority. </w:t>
      </w:r>
      <w:r w:rsidR="7DA556D9" w:rsidRPr="0A2D815A">
        <w:rPr>
          <w:rFonts w:ascii="Arial Nova" w:eastAsia="Arial Nova" w:hAnsi="Arial Nova" w:cs="Arial Nova"/>
          <w:sz w:val="24"/>
          <w:szCs w:val="24"/>
        </w:rPr>
        <w:t xml:space="preserve">This is introduced to protect the powers of the suspect, the police authority, and the police </w:t>
      </w:r>
      <w:proofErr w:type="gramStart"/>
      <w:r w:rsidR="7DA556D9" w:rsidRPr="0A2D815A">
        <w:rPr>
          <w:rFonts w:ascii="Arial Nova" w:eastAsia="Arial Nova" w:hAnsi="Arial Nova" w:cs="Arial Nova"/>
          <w:sz w:val="24"/>
          <w:szCs w:val="24"/>
        </w:rPr>
        <w:t>exercises</w:t>
      </w:r>
      <w:proofErr w:type="gramEnd"/>
      <w:r w:rsidR="7DA556D9" w:rsidRPr="0A2D815A">
        <w:rPr>
          <w:rFonts w:ascii="Arial Nova" w:eastAsia="Arial Nova" w:hAnsi="Arial Nova" w:cs="Arial Nova"/>
          <w:sz w:val="24"/>
          <w:szCs w:val="24"/>
        </w:rPr>
        <w:t xml:space="preserve"> the powers under the PACE.</w:t>
      </w:r>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If the police are evident to be gathering evidence in a breach of PACE and codes, then the admissibility of the evidence will be challenged by the defendant.</w:t>
      </w:r>
      <w:proofErr w:type="gramEnd"/>
      <w:r w:rsidRPr="0A2D815A">
        <w:rPr>
          <w:rFonts w:ascii="Arial Nova" w:eastAsia="Arial Nova" w:hAnsi="Arial Nova" w:cs="Arial Nova"/>
          <w:sz w:val="24"/>
          <w:szCs w:val="24"/>
        </w:rPr>
        <w:t xml:space="preserve"> Therefore, the court will </w:t>
      </w:r>
      <w:r w:rsidR="31869F48" w:rsidRPr="0A2D815A">
        <w:rPr>
          <w:rFonts w:ascii="Arial Nova" w:eastAsia="Arial Nova" w:hAnsi="Arial Nova" w:cs="Arial Nova"/>
          <w:sz w:val="24"/>
          <w:szCs w:val="24"/>
        </w:rPr>
        <w:t>require</w:t>
      </w:r>
      <w:r w:rsidRPr="0A2D815A">
        <w:rPr>
          <w:rFonts w:ascii="Arial Nova" w:eastAsia="Arial Nova" w:hAnsi="Arial Nova" w:cs="Arial Nova"/>
          <w:sz w:val="24"/>
          <w:szCs w:val="24"/>
        </w:rPr>
        <w:t xml:space="preserve"> a ruling related to the admittance of the evidence provided by the </w:t>
      </w:r>
      <w:r w:rsidR="25A1C588" w:rsidRPr="0A2D815A">
        <w:rPr>
          <w:rFonts w:ascii="Arial Nova" w:eastAsia="Arial Nova" w:hAnsi="Arial Nova" w:cs="Arial Nova"/>
          <w:sz w:val="24"/>
          <w:szCs w:val="24"/>
        </w:rPr>
        <w:t>parties</w:t>
      </w:r>
      <w:r w:rsidRPr="0A2D815A">
        <w:rPr>
          <w:rFonts w:ascii="Arial Nova" w:eastAsia="Arial Nova" w:hAnsi="Arial Nova" w:cs="Arial Nova"/>
          <w:sz w:val="24"/>
          <w:szCs w:val="24"/>
        </w:rPr>
        <w:t xml:space="preserve"> considering the Human Rights Act 1998 (</w:t>
      </w:r>
      <w:proofErr w:type="spellStart"/>
      <w:r w:rsidRPr="0A2D815A">
        <w:rPr>
          <w:rFonts w:ascii="Arial Nova" w:eastAsia="Arial Nova" w:hAnsi="Arial Nova" w:cs="Arial Nova"/>
          <w:sz w:val="24"/>
          <w:szCs w:val="24"/>
        </w:rPr>
        <w:t>Minson</w:t>
      </w:r>
      <w:proofErr w:type="spellEnd"/>
      <w:r w:rsidRPr="0A2D815A">
        <w:rPr>
          <w:rFonts w:ascii="Arial Nova" w:eastAsia="Arial Nova" w:hAnsi="Arial Nova" w:cs="Arial Nova"/>
          <w:sz w:val="24"/>
          <w:szCs w:val="24"/>
        </w:rPr>
        <w:t xml:space="preserve"> and </w:t>
      </w:r>
      <w:proofErr w:type="spellStart"/>
      <w:r w:rsidRPr="0A2D815A">
        <w:rPr>
          <w:rFonts w:ascii="Arial Nova" w:eastAsia="Arial Nova" w:hAnsi="Arial Nova" w:cs="Arial Nova"/>
          <w:sz w:val="24"/>
          <w:szCs w:val="24"/>
        </w:rPr>
        <w:t>Condry</w:t>
      </w:r>
      <w:proofErr w:type="spellEnd"/>
      <w:r w:rsidRPr="0A2D815A">
        <w:rPr>
          <w:rFonts w:ascii="Arial Nova" w:eastAsia="Arial Nova" w:hAnsi="Arial Nova" w:cs="Arial Nova"/>
          <w:sz w:val="24"/>
          <w:szCs w:val="24"/>
        </w:rPr>
        <w:t xml:space="preserve">, 2018). </w:t>
      </w:r>
    </w:p>
    <w:p w14:paraId="1920A49D" w14:textId="728913B6" w:rsidR="000D128A" w:rsidRDefault="000D128A" w:rsidP="0A2D815A">
      <w:pPr>
        <w:pStyle w:val="Heading1"/>
        <w:spacing w:line="360" w:lineRule="auto"/>
        <w:rPr>
          <w:rFonts w:ascii="Arial Nova" w:eastAsia="Arial Nova" w:hAnsi="Arial Nova" w:cs="Arial Nova"/>
          <w:color w:val="auto"/>
          <w:sz w:val="24"/>
          <w:szCs w:val="24"/>
        </w:rPr>
      </w:pPr>
    </w:p>
    <w:p w14:paraId="0C6D39F6" w14:textId="623EBC61"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It can be concluded that the role of the crown prosecutor emerges as a steadfast beacon of integrity and commitment. </w:t>
      </w:r>
      <w:r w:rsidR="576472E5" w:rsidRPr="0A2D815A">
        <w:rPr>
          <w:rFonts w:ascii="Arial Nova" w:eastAsia="Arial Nova" w:hAnsi="Arial Nova" w:cs="Arial Nova"/>
          <w:sz w:val="24"/>
          <w:szCs w:val="24"/>
        </w:rPr>
        <w:t>The landscape of their multifaceted responsibilities delved into the intricate artistry of charging decisions and the profound understanding of their pivotal role in the criminal justice tapestry has unfolded.</w:t>
      </w:r>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 xml:space="preserve">The initial cogs of charging decisions along with </w:t>
      </w:r>
      <w:r w:rsidR="7FF9A4B8" w:rsidRPr="0A2D815A">
        <w:rPr>
          <w:rFonts w:ascii="Arial Nova" w:eastAsia="Arial Nova" w:hAnsi="Arial Nova" w:cs="Arial Nova"/>
          <w:sz w:val="24"/>
          <w:szCs w:val="24"/>
        </w:rPr>
        <w:t>displaying</w:t>
      </w:r>
      <w:r w:rsidRPr="0A2D815A">
        <w:rPr>
          <w:rFonts w:ascii="Arial Nova" w:eastAsia="Arial Nova" w:hAnsi="Arial Nova" w:cs="Arial Nova"/>
          <w:sz w:val="24"/>
          <w:szCs w:val="24"/>
        </w:rPr>
        <w:t xml:space="preserve"> the witnessing of the stringent tests that employed reasonable and probable grounds.</w:t>
      </w:r>
      <w:proofErr w:type="gramEnd"/>
      <w:r w:rsidRPr="0A2D815A">
        <w:rPr>
          <w:rFonts w:ascii="Arial Nova" w:eastAsia="Arial Nova" w:hAnsi="Arial Nova" w:cs="Arial Nova"/>
          <w:sz w:val="24"/>
          <w:szCs w:val="24"/>
        </w:rPr>
        <w:t xml:space="preserve"> A delicate balance is struck between ensuring that the accused rights and fulfilling the imperative of safeguarding society from wrongdoing can be removed from the discerning equilibrium. The crown prosecutor also assumes a mantle of responsibility that extends far beyond mere advocacy along with serving as a guardian of truth. </w:t>
      </w:r>
      <w:r w:rsidR="0369A0F8" w:rsidRPr="0A2D815A">
        <w:rPr>
          <w:rFonts w:ascii="Arial Nova" w:eastAsia="Arial Nova" w:hAnsi="Arial Nova" w:cs="Arial Nova"/>
          <w:sz w:val="24"/>
          <w:szCs w:val="24"/>
        </w:rPr>
        <w:t>The role transcends the pursuit of convictions and the testaments to the collective conscience can be done by strengthening the sentinel against the encroachments of injustice and the erosion of societal trust.</w:t>
      </w:r>
      <w:r w:rsidRPr="0A2D815A">
        <w:rPr>
          <w:rFonts w:ascii="Arial Nova" w:eastAsia="Arial Nova" w:hAnsi="Arial Nova" w:cs="Arial Nova"/>
          <w:sz w:val="24"/>
          <w:szCs w:val="24"/>
        </w:rPr>
        <w:t xml:space="preserve"> </w:t>
      </w:r>
    </w:p>
    <w:p w14:paraId="23A2AF00" w14:textId="358AF6D2" w:rsidR="000D128A" w:rsidRDefault="009A5E85" w:rsidP="0A2D815A">
      <w:pPr>
        <w:spacing w:line="360" w:lineRule="auto"/>
        <w:rPr>
          <w:rFonts w:ascii="Arial Nova" w:eastAsia="Arial Nova" w:hAnsi="Arial Nova" w:cs="Arial Nova"/>
          <w:sz w:val="24"/>
          <w:szCs w:val="24"/>
        </w:rPr>
      </w:pPr>
      <w:r>
        <w:br/>
      </w:r>
    </w:p>
    <w:p w14:paraId="3DC445F7" w14:textId="583F0958" w:rsidR="000D128A" w:rsidRDefault="7F6BAF12" w:rsidP="0A2D815A">
      <w:pPr>
        <w:spacing w:line="360" w:lineRule="auto"/>
        <w:rPr>
          <w:rFonts w:ascii="Arial Nova" w:eastAsia="Arial Nova" w:hAnsi="Arial Nova" w:cs="Arial Nova"/>
          <w:sz w:val="24"/>
          <w:szCs w:val="24"/>
        </w:rPr>
      </w:pPr>
      <w:r w:rsidRPr="0A2D815A">
        <w:rPr>
          <w:rFonts w:ascii="Arial Nova" w:eastAsia="Arial Nova" w:hAnsi="Arial Nova" w:cs="Arial Nova"/>
          <w:sz w:val="24"/>
          <w:szCs w:val="24"/>
        </w:rPr>
        <w:t xml:space="preserve"> </w:t>
      </w:r>
    </w:p>
    <w:p w14:paraId="781A90C4" w14:textId="69333D14" w:rsidR="000D128A" w:rsidRDefault="13DB56B3" w:rsidP="0A2D815A">
      <w:pPr>
        <w:pStyle w:val="Heading1"/>
        <w:spacing w:line="360" w:lineRule="auto"/>
        <w:rPr>
          <w:rFonts w:ascii="Arial Nova" w:eastAsia="Arial Nova" w:hAnsi="Arial Nova" w:cs="Arial Nova"/>
          <w:b/>
          <w:bCs/>
          <w:color w:val="auto"/>
          <w:sz w:val="24"/>
          <w:szCs w:val="24"/>
        </w:rPr>
      </w:pPr>
      <w:r w:rsidRPr="0A2D815A">
        <w:rPr>
          <w:rFonts w:ascii="Arial Nova" w:eastAsia="Arial Nova" w:hAnsi="Arial Nova" w:cs="Arial Nova"/>
          <w:color w:val="auto"/>
          <w:sz w:val="24"/>
          <w:szCs w:val="24"/>
        </w:rPr>
        <w:t xml:space="preserve">                                                  </w:t>
      </w:r>
      <w:r w:rsidR="7F6BAF12" w:rsidRPr="0A2D815A">
        <w:rPr>
          <w:rFonts w:ascii="Arial Nova" w:eastAsia="Arial Nova" w:hAnsi="Arial Nova" w:cs="Arial Nova"/>
          <w:b/>
          <w:bCs/>
          <w:color w:val="auto"/>
          <w:sz w:val="24"/>
          <w:szCs w:val="24"/>
        </w:rPr>
        <w:t xml:space="preserve">References </w:t>
      </w:r>
    </w:p>
    <w:p w14:paraId="054E8FEB" w14:textId="1695CBF4" w:rsidR="0A2D815A" w:rsidRDefault="0A2D815A" w:rsidP="0A2D815A">
      <w:pPr>
        <w:spacing w:line="360" w:lineRule="auto"/>
        <w:rPr>
          <w:rFonts w:ascii="Arial Nova" w:eastAsia="Arial Nova" w:hAnsi="Arial Nova" w:cs="Arial Nova"/>
          <w:sz w:val="24"/>
          <w:szCs w:val="24"/>
        </w:rPr>
      </w:pPr>
    </w:p>
    <w:p w14:paraId="5E841E44" w14:textId="66BE3217" w:rsidR="7F6BAF12" w:rsidRDefault="7F6BAF12" w:rsidP="0A2D815A">
      <w:pPr>
        <w:spacing w:line="360" w:lineRule="auto"/>
        <w:jc w:val="both"/>
        <w:rPr>
          <w:rFonts w:ascii="Arial Nova" w:eastAsia="Arial Nova" w:hAnsi="Arial Nova" w:cs="Arial Nova"/>
          <w:sz w:val="24"/>
          <w:szCs w:val="24"/>
        </w:rPr>
      </w:pPr>
      <w:proofErr w:type="gramStart"/>
      <w:r w:rsidRPr="0A2D815A">
        <w:rPr>
          <w:rFonts w:ascii="Arial Nova" w:eastAsia="Arial Nova" w:hAnsi="Arial Nova" w:cs="Arial Nova"/>
          <w:sz w:val="24"/>
          <w:szCs w:val="24"/>
        </w:rPr>
        <w:t>C</w:t>
      </w:r>
      <w:r w:rsidR="167E133D" w:rsidRPr="0A2D815A">
        <w:rPr>
          <w:rFonts w:ascii="Arial Nova" w:eastAsia="Arial Nova" w:hAnsi="Arial Nova" w:cs="Arial Nova"/>
          <w:sz w:val="24"/>
          <w:szCs w:val="24"/>
        </w:rPr>
        <w:t>PS</w:t>
      </w:r>
      <w:r w:rsidRPr="0A2D815A">
        <w:rPr>
          <w:rFonts w:ascii="Arial Nova" w:eastAsia="Arial Nova" w:hAnsi="Arial Nova" w:cs="Arial Nova"/>
          <w:sz w:val="24"/>
          <w:szCs w:val="24"/>
        </w:rPr>
        <w:t>, (2023).</w:t>
      </w:r>
      <w:proofErr w:type="gramEnd"/>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i/>
          <w:iCs/>
          <w:sz w:val="24"/>
          <w:szCs w:val="24"/>
        </w:rPr>
        <w:t>The Crown Prosecution Service</w:t>
      </w:r>
      <w:r w:rsidRPr="0A2D815A">
        <w:rPr>
          <w:rFonts w:ascii="Arial Nova" w:eastAsia="Arial Nova" w:hAnsi="Arial Nova" w:cs="Arial Nova"/>
          <w:sz w:val="24"/>
          <w:szCs w:val="24"/>
        </w:rPr>
        <w:t>.</w:t>
      </w:r>
      <w:proofErr w:type="gramEnd"/>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online</w:t>
      </w:r>
      <w:proofErr w:type="gramEnd"/>
      <w:r w:rsidRPr="0A2D815A">
        <w:rPr>
          <w:rFonts w:ascii="Arial Nova" w:eastAsia="Arial Nova" w:hAnsi="Arial Nova" w:cs="Arial Nova"/>
          <w:sz w:val="24"/>
          <w:szCs w:val="24"/>
        </w:rPr>
        <w:t xml:space="preserve">] cps.gov.uk. Available at: </w:t>
      </w:r>
      <w:hyperlink r:id="rId5">
        <w:r w:rsidR="6A88BF15" w:rsidRPr="0A2D815A">
          <w:rPr>
            <w:rStyle w:val="Hyperlink"/>
            <w:rFonts w:ascii="Arial Nova" w:eastAsia="Arial Nova" w:hAnsi="Arial Nova" w:cs="Arial Nova"/>
            <w:sz w:val="24"/>
            <w:szCs w:val="24"/>
          </w:rPr>
          <w:t>https://www.cps.gov.uk/about-cps</w:t>
        </w:r>
      </w:hyperlink>
    </w:p>
    <w:p w14:paraId="074D2949" w14:textId="575FD1CA" w:rsidR="7F6BAF12"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 </w:t>
      </w:r>
      <w:proofErr w:type="gramStart"/>
      <w:r w:rsidR="69878B2F" w:rsidRPr="0A2D815A">
        <w:rPr>
          <w:rFonts w:ascii="Arial Nova" w:eastAsia="Arial Nova" w:hAnsi="Arial Nova" w:cs="Arial Nova"/>
          <w:sz w:val="24"/>
          <w:szCs w:val="24"/>
        </w:rPr>
        <w:t>(</w:t>
      </w:r>
      <w:r w:rsidRPr="0A2D815A">
        <w:rPr>
          <w:rFonts w:ascii="Arial Nova" w:eastAsia="Arial Nova" w:hAnsi="Arial Nova" w:cs="Arial Nova"/>
          <w:sz w:val="24"/>
          <w:szCs w:val="24"/>
        </w:rPr>
        <w:t>Accessed 13 Aug. 2023</w:t>
      </w:r>
      <w:r w:rsidR="7A12A5C2" w:rsidRPr="0A2D815A">
        <w:rPr>
          <w:rFonts w:ascii="Arial Nova" w:eastAsia="Arial Nova" w:hAnsi="Arial Nova" w:cs="Arial Nova"/>
          <w:sz w:val="24"/>
          <w:szCs w:val="24"/>
        </w:rPr>
        <w:t>)</w:t>
      </w:r>
      <w:r w:rsidRPr="0A2D815A">
        <w:rPr>
          <w:rFonts w:ascii="Arial Nova" w:eastAsia="Arial Nova" w:hAnsi="Arial Nova" w:cs="Arial Nova"/>
          <w:sz w:val="24"/>
          <w:szCs w:val="24"/>
        </w:rPr>
        <w:t>.</w:t>
      </w:r>
      <w:proofErr w:type="gramEnd"/>
    </w:p>
    <w:p w14:paraId="58800CFB" w14:textId="41CCFBDA" w:rsidR="7F6BAF12" w:rsidRDefault="7F6BAF12" w:rsidP="0A2D815A">
      <w:pPr>
        <w:spacing w:line="360" w:lineRule="auto"/>
        <w:jc w:val="both"/>
        <w:rPr>
          <w:rFonts w:ascii="Arial Nova" w:eastAsia="Arial Nova" w:hAnsi="Arial Nova" w:cs="Arial Nova"/>
          <w:sz w:val="24"/>
          <w:szCs w:val="24"/>
        </w:rPr>
      </w:pPr>
      <w:proofErr w:type="gramStart"/>
      <w:r w:rsidRPr="0A2D815A">
        <w:rPr>
          <w:rFonts w:ascii="Arial Nova" w:eastAsia="Arial Nova" w:hAnsi="Arial Nova" w:cs="Arial Nova"/>
          <w:sz w:val="24"/>
          <w:szCs w:val="24"/>
        </w:rPr>
        <w:lastRenderedPageBreak/>
        <w:t>Crofts, T. and Wake, N., (2021).</w:t>
      </w:r>
      <w:proofErr w:type="gramEnd"/>
      <w:r w:rsidRPr="0A2D815A">
        <w:rPr>
          <w:rFonts w:ascii="Arial Nova" w:eastAsia="Arial Nova" w:hAnsi="Arial Nova" w:cs="Arial Nova"/>
          <w:sz w:val="24"/>
          <w:szCs w:val="24"/>
        </w:rPr>
        <w:t xml:space="preserve"> Diminished responsibility determinations in England and Wales and New South Wales: whose role is it anyway? </w:t>
      </w:r>
      <w:r w:rsidRPr="0A2D815A">
        <w:rPr>
          <w:rFonts w:ascii="Arial Nova" w:eastAsia="Arial Nova" w:hAnsi="Arial Nova" w:cs="Arial Nova"/>
          <w:i/>
          <w:iCs/>
          <w:sz w:val="24"/>
          <w:szCs w:val="24"/>
        </w:rPr>
        <w:t>Northern Ireland Legal Quarterly</w:t>
      </w:r>
      <w:r w:rsidRPr="0A2D815A">
        <w:rPr>
          <w:rFonts w:ascii="Arial Nova" w:eastAsia="Arial Nova" w:hAnsi="Arial Nova" w:cs="Arial Nova"/>
          <w:sz w:val="24"/>
          <w:szCs w:val="24"/>
        </w:rPr>
        <w:t>, [online] 72(2).</w:t>
      </w:r>
      <w:r w:rsidR="59E6650D" w:rsidRPr="0A2D815A">
        <w:rPr>
          <w:rFonts w:ascii="Arial Nova" w:eastAsia="Arial Nova" w:hAnsi="Arial Nova" w:cs="Arial Nova"/>
          <w:sz w:val="24"/>
          <w:szCs w:val="24"/>
        </w:rPr>
        <w:t xml:space="preserve"> Available at:</w:t>
      </w:r>
      <w:r w:rsidRPr="0A2D815A">
        <w:rPr>
          <w:rFonts w:ascii="Arial Nova" w:eastAsia="Arial Nova" w:hAnsi="Arial Nova" w:cs="Arial Nova"/>
          <w:sz w:val="24"/>
          <w:szCs w:val="24"/>
        </w:rPr>
        <w:t xml:space="preserve"> </w:t>
      </w:r>
      <w:hyperlink r:id="rId6">
        <w:r w:rsidRPr="0A2D815A">
          <w:rPr>
            <w:rStyle w:val="Hyperlink"/>
            <w:rFonts w:ascii="Arial Nova" w:eastAsia="Arial Nova" w:hAnsi="Arial Nova" w:cs="Arial Nova"/>
            <w:sz w:val="24"/>
            <w:szCs w:val="24"/>
          </w:rPr>
          <w:t>https://doi.org/10.53386/nilq.v72i2.874</w:t>
        </w:r>
      </w:hyperlink>
      <w:r w:rsidRPr="0A2D815A">
        <w:rPr>
          <w:rFonts w:ascii="Arial Nova" w:eastAsia="Arial Nova" w:hAnsi="Arial Nova" w:cs="Arial Nova"/>
          <w:sz w:val="24"/>
          <w:szCs w:val="24"/>
        </w:rPr>
        <w:t>.</w:t>
      </w:r>
    </w:p>
    <w:p w14:paraId="519B7B01" w14:textId="0D47B910" w:rsidR="000D128A" w:rsidRDefault="7F6BAF12" w:rsidP="0A2D815A">
      <w:pPr>
        <w:spacing w:line="360" w:lineRule="auto"/>
        <w:jc w:val="both"/>
        <w:rPr>
          <w:rFonts w:ascii="Arial Nova" w:eastAsia="Arial Nova" w:hAnsi="Arial Nova" w:cs="Arial Nova"/>
          <w:sz w:val="24"/>
          <w:szCs w:val="24"/>
        </w:rPr>
      </w:pPr>
      <w:proofErr w:type="gramStart"/>
      <w:r w:rsidRPr="0A2D815A">
        <w:rPr>
          <w:rFonts w:ascii="Arial Nova" w:eastAsia="Arial Nova" w:hAnsi="Arial Nova" w:cs="Arial Nova"/>
          <w:sz w:val="24"/>
          <w:szCs w:val="24"/>
        </w:rPr>
        <w:t>Gov</w:t>
      </w:r>
      <w:r w:rsidR="7BC26113" w:rsidRPr="0A2D815A">
        <w:rPr>
          <w:rFonts w:ascii="Arial Nova" w:eastAsia="Arial Nova" w:hAnsi="Arial Nova" w:cs="Arial Nova"/>
          <w:sz w:val="24"/>
          <w:szCs w:val="24"/>
        </w:rPr>
        <w:t>.</w:t>
      </w:r>
      <w:r w:rsidRPr="0A2D815A">
        <w:rPr>
          <w:rFonts w:ascii="Arial Nova" w:eastAsia="Arial Nova" w:hAnsi="Arial Nova" w:cs="Arial Nova"/>
          <w:sz w:val="24"/>
          <w:szCs w:val="24"/>
        </w:rPr>
        <w:t>uk, (2023).</w:t>
      </w:r>
      <w:proofErr w:type="gramEnd"/>
      <w:r w:rsidRPr="0A2D815A">
        <w:rPr>
          <w:rFonts w:ascii="Arial Nova" w:eastAsia="Arial Nova" w:hAnsi="Arial Nova" w:cs="Arial Nova"/>
          <w:sz w:val="24"/>
          <w:szCs w:val="24"/>
        </w:rPr>
        <w:t xml:space="preserve"> </w:t>
      </w:r>
      <w:r w:rsidRPr="0A2D815A">
        <w:rPr>
          <w:rFonts w:ascii="Arial Nova" w:eastAsia="Arial Nova" w:hAnsi="Arial Nova" w:cs="Arial Nova"/>
          <w:i/>
          <w:iCs/>
          <w:sz w:val="24"/>
          <w:szCs w:val="24"/>
        </w:rPr>
        <w:t xml:space="preserve">The Review of the Crown Prosecution Service Summary of </w:t>
      </w:r>
      <w:proofErr w:type="gramStart"/>
      <w:r w:rsidRPr="0A2D815A">
        <w:rPr>
          <w:rFonts w:ascii="Arial Nova" w:eastAsia="Arial Nova" w:hAnsi="Arial Nova" w:cs="Arial Nova"/>
          <w:i/>
          <w:iCs/>
          <w:sz w:val="24"/>
          <w:szCs w:val="24"/>
        </w:rPr>
        <w:t>The</w:t>
      </w:r>
      <w:proofErr w:type="gramEnd"/>
      <w:r w:rsidRPr="0A2D815A">
        <w:rPr>
          <w:rFonts w:ascii="Arial Nova" w:eastAsia="Arial Nova" w:hAnsi="Arial Nova" w:cs="Arial Nova"/>
          <w:i/>
          <w:iCs/>
          <w:sz w:val="24"/>
          <w:szCs w:val="24"/>
        </w:rPr>
        <w:t xml:space="preserve"> Main Report with the Conclusions and </w:t>
      </w:r>
      <w:r w:rsidR="727E24A1" w:rsidRPr="0A2D815A">
        <w:rPr>
          <w:rFonts w:ascii="Arial Nova" w:eastAsia="Arial Nova" w:hAnsi="Arial Nova" w:cs="Arial Nova"/>
          <w:i/>
          <w:iCs/>
          <w:sz w:val="24"/>
          <w:szCs w:val="24"/>
        </w:rPr>
        <w:t>Recommendations.</w:t>
      </w:r>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online</w:t>
      </w:r>
      <w:proofErr w:type="gramEnd"/>
      <w:r w:rsidRPr="0A2D815A">
        <w:rPr>
          <w:rFonts w:ascii="Arial Nova" w:eastAsia="Arial Nova" w:hAnsi="Arial Nova" w:cs="Arial Nova"/>
          <w:sz w:val="24"/>
          <w:szCs w:val="24"/>
        </w:rPr>
        <w:t>] assets.publishing.service.gov.uk.</w:t>
      </w:r>
    </w:p>
    <w:p w14:paraId="362AC641" w14:textId="77A715D2" w:rsidR="000D128A" w:rsidRDefault="5FDEB080"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https://www.google.com/search?q=%3Chttps%3A%2F%2Fassets.publishing.service.gov.uk%2Fgovernment%2Fuploads%2Fsystem%2Fuploads%2Fattachment_data%2Ffile%2F259808%2F3972.pdf%3E&amp;oq=%3Chttps%3A%2F%2Fassets.publishing.service.gov.uk%2Fgovernment%2Fuploads%2Fsystem%2Fuploads%2Fattachment_data%2Ffile%2F259808%2F3972.pdf%3E+&amp;gs_lcrp=EgZjaHJvbWUyBggAEEUYOdIBDjEwNzA1MjE3OGowajE1qAIAsAIA&amp;sourceid=chrome&amp;ie=UTF-8</w:t>
      </w:r>
      <w:r w:rsidR="7F6BAF12" w:rsidRPr="0A2D815A">
        <w:rPr>
          <w:rFonts w:ascii="Arial Nova" w:eastAsia="Arial Nova" w:hAnsi="Arial Nova" w:cs="Arial Nova"/>
          <w:sz w:val="24"/>
          <w:szCs w:val="24"/>
        </w:rPr>
        <w:t xml:space="preserve"> </w:t>
      </w:r>
      <w:r w:rsidR="52DEE164" w:rsidRPr="0A2D815A">
        <w:rPr>
          <w:rFonts w:ascii="Arial Nova" w:eastAsia="Arial Nova" w:hAnsi="Arial Nova" w:cs="Arial Nova"/>
          <w:sz w:val="24"/>
          <w:szCs w:val="24"/>
        </w:rPr>
        <w:t>(</w:t>
      </w:r>
      <w:r w:rsidR="2082F6D9" w:rsidRPr="0A2D815A">
        <w:rPr>
          <w:rFonts w:ascii="Arial Nova" w:eastAsia="Arial Nova" w:hAnsi="Arial Nova" w:cs="Arial Nova"/>
          <w:sz w:val="24"/>
          <w:szCs w:val="24"/>
        </w:rPr>
        <w:t>A</w:t>
      </w:r>
      <w:r w:rsidR="7F6BAF12" w:rsidRPr="0A2D815A">
        <w:rPr>
          <w:rFonts w:ascii="Arial Nova" w:eastAsia="Arial Nova" w:hAnsi="Arial Nova" w:cs="Arial Nova"/>
          <w:sz w:val="24"/>
          <w:szCs w:val="24"/>
        </w:rPr>
        <w:t>ccessed 13 Aug. 2023</w:t>
      </w:r>
      <w:r w:rsidR="014CCF57" w:rsidRPr="0A2D815A">
        <w:rPr>
          <w:rFonts w:ascii="Arial Nova" w:eastAsia="Arial Nova" w:hAnsi="Arial Nova" w:cs="Arial Nova"/>
          <w:sz w:val="24"/>
          <w:szCs w:val="24"/>
        </w:rPr>
        <w:t>)</w:t>
      </w:r>
      <w:r w:rsidR="7F6BAF12" w:rsidRPr="0A2D815A">
        <w:rPr>
          <w:rFonts w:ascii="Arial Nova" w:eastAsia="Arial Nova" w:hAnsi="Arial Nova" w:cs="Arial Nova"/>
          <w:sz w:val="24"/>
          <w:szCs w:val="24"/>
        </w:rPr>
        <w:t>.</w:t>
      </w:r>
    </w:p>
    <w:p w14:paraId="2C1358A0" w14:textId="32CF4C6A" w:rsidR="7F6BAF12" w:rsidRDefault="7F6BAF12" w:rsidP="0A2D815A">
      <w:pPr>
        <w:spacing w:line="360" w:lineRule="auto"/>
        <w:jc w:val="both"/>
        <w:rPr>
          <w:rFonts w:ascii="Arial Nova" w:eastAsia="Arial Nova" w:hAnsi="Arial Nova" w:cs="Arial Nova"/>
          <w:sz w:val="24"/>
          <w:szCs w:val="24"/>
        </w:rPr>
      </w:pPr>
      <w:proofErr w:type="gramStart"/>
      <w:r w:rsidRPr="0A2D815A">
        <w:rPr>
          <w:rFonts w:ascii="Arial Nova" w:eastAsia="Arial Nova" w:hAnsi="Arial Nova" w:cs="Arial Nova"/>
          <w:sz w:val="24"/>
          <w:szCs w:val="24"/>
        </w:rPr>
        <w:t>Legislation</w:t>
      </w:r>
      <w:r w:rsidR="591E6C20" w:rsidRPr="0A2D815A">
        <w:rPr>
          <w:rFonts w:ascii="Arial Nova" w:eastAsia="Arial Nova" w:hAnsi="Arial Nova" w:cs="Arial Nova"/>
          <w:sz w:val="24"/>
          <w:szCs w:val="24"/>
        </w:rPr>
        <w:t>.</w:t>
      </w:r>
      <w:r w:rsidRPr="0A2D815A">
        <w:rPr>
          <w:rFonts w:ascii="Arial Nova" w:eastAsia="Arial Nova" w:hAnsi="Arial Nova" w:cs="Arial Nova"/>
          <w:sz w:val="24"/>
          <w:szCs w:val="24"/>
        </w:rPr>
        <w:t>gov</w:t>
      </w:r>
      <w:r w:rsidR="2CAD0CBE" w:rsidRPr="0A2D815A">
        <w:rPr>
          <w:rFonts w:ascii="Arial Nova" w:eastAsia="Arial Nova" w:hAnsi="Arial Nova" w:cs="Arial Nova"/>
          <w:sz w:val="24"/>
          <w:szCs w:val="24"/>
        </w:rPr>
        <w:t>.</w:t>
      </w:r>
      <w:r w:rsidRPr="0A2D815A">
        <w:rPr>
          <w:rFonts w:ascii="Arial Nova" w:eastAsia="Arial Nova" w:hAnsi="Arial Nova" w:cs="Arial Nova"/>
          <w:sz w:val="24"/>
          <w:szCs w:val="24"/>
        </w:rPr>
        <w:t>uk, (2022).</w:t>
      </w:r>
      <w:proofErr w:type="gramEnd"/>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i/>
          <w:iCs/>
          <w:sz w:val="24"/>
          <w:szCs w:val="24"/>
        </w:rPr>
        <w:t>Prosecution of Offences Act 1985</w:t>
      </w:r>
      <w:r w:rsidRPr="0A2D815A">
        <w:rPr>
          <w:rFonts w:ascii="Arial Nova" w:eastAsia="Arial Nova" w:hAnsi="Arial Nova" w:cs="Arial Nova"/>
          <w:sz w:val="24"/>
          <w:szCs w:val="24"/>
        </w:rPr>
        <w:t>.</w:t>
      </w:r>
      <w:proofErr w:type="gramEnd"/>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online</w:t>
      </w:r>
      <w:proofErr w:type="gramEnd"/>
      <w:r w:rsidRPr="0A2D815A">
        <w:rPr>
          <w:rFonts w:ascii="Arial Nova" w:eastAsia="Arial Nova" w:hAnsi="Arial Nova" w:cs="Arial Nova"/>
          <w:sz w:val="24"/>
          <w:szCs w:val="24"/>
        </w:rPr>
        <w:t xml:space="preserve">] legislation.gov.uk. Available at: &lt;https://www.legislation.gov.uk/ukpga/1985/23/part/I/crossheading/constitution-and-functions-of-service?view=plain&gt; </w:t>
      </w:r>
      <w:r w:rsidR="738C6ECB" w:rsidRPr="0A2D815A">
        <w:rPr>
          <w:rFonts w:ascii="Arial Nova" w:eastAsia="Arial Nova" w:hAnsi="Arial Nova" w:cs="Arial Nova"/>
          <w:sz w:val="24"/>
          <w:szCs w:val="24"/>
        </w:rPr>
        <w:t>(</w:t>
      </w:r>
      <w:r w:rsidRPr="0A2D815A">
        <w:rPr>
          <w:rFonts w:ascii="Arial Nova" w:eastAsia="Arial Nova" w:hAnsi="Arial Nova" w:cs="Arial Nova"/>
          <w:sz w:val="24"/>
          <w:szCs w:val="24"/>
        </w:rPr>
        <w:t>Accessed 13 Aug. 2023</w:t>
      </w:r>
      <w:r w:rsidR="3EC9EE5F" w:rsidRPr="0A2D815A">
        <w:rPr>
          <w:rFonts w:ascii="Arial Nova" w:eastAsia="Arial Nova" w:hAnsi="Arial Nova" w:cs="Arial Nova"/>
          <w:sz w:val="24"/>
          <w:szCs w:val="24"/>
        </w:rPr>
        <w:t>)</w:t>
      </w:r>
      <w:r w:rsidRPr="0A2D815A">
        <w:rPr>
          <w:rFonts w:ascii="Arial Nova" w:eastAsia="Arial Nova" w:hAnsi="Arial Nova" w:cs="Arial Nova"/>
          <w:sz w:val="24"/>
          <w:szCs w:val="24"/>
        </w:rPr>
        <w:t>.</w:t>
      </w:r>
    </w:p>
    <w:p w14:paraId="005DAB4A" w14:textId="091CC4C9" w:rsidR="7F6BAF12" w:rsidRDefault="7F6BAF12" w:rsidP="0A2D815A">
      <w:pPr>
        <w:spacing w:line="360" w:lineRule="auto"/>
        <w:jc w:val="both"/>
        <w:rPr>
          <w:rFonts w:ascii="Arial Nova" w:eastAsia="Arial Nova" w:hAnsi="Arial Nova" w:cs="Arial Nova"/>
          <w:sz w:val="24"/>
          <w:szCs w:val="24"/>
        </w:rPr>
      </w:pPr>
      <w:proofErr w:type="spellStart"/>
      <w:proofErr w:type="gramStart"/>
      <w:r w:rsidRPr="0A2D815A">
        <w:rPr>
          <w:rFonts w:ascii="Arial Nova" w:eastAsia="Arial Nova" w:hAnsi="Arial Nova" w:cs="Arial Nova"/>
          <w:sz w:val="24"/>
          <w:szCs w:val="24"/>
        </w:rPr>
        <w:t>Minson</w:t>
      </w:r>
      <w:proofErr w:type="spellEnd"/>
      <w:r w:rsidRPr="0A2D815A">
        <w:rPr>
          <w:rFonts w:ascii="Arial Nova" w:eastAsia="Arial Nova" w:hAnsi="Arial Nova" w:cs="Arial Nova"/>
          <w:sz w:val="24"/>
          <w:szCs w:val="24"/>
        </w:rPr>
        <w:t xml:space="preserve">, S. and </w:t>
      </w:r>
      <w:proofErr w:type="spellStart"/>
      <w:r w:rsidRPr="0A2D815A">
        <w:rPr>
          <w:rFonts w:ascii="Arial Nova" w:eastAsia="Arial Nova" w:hAnsi="Arial Nova" w:cs="Arial Nova"/>
          <w:sz w:val="24"/>
          <w:szCs w:val="24"/>
        </w:rPr>
        <w:t>Condry</w:t>
      </w:r>
      <w:proofErr w:type="spellEnd"/>
      <w:r w:rsidRPr="0A2D815A">
        <w:rPr>
          <w:rFonts w:ascii="Arial Nova" w:eastAsia="Arial Nova" w:hAnsi="Arial Nova" w:cs="Arial Nova"/>
          <w:sz w:val="24"/>
          <w:szCs w:val="24"/>
        </w:rPr>
        <w:t>, R., (2018).</w:t>
      </w:r>
      <w:proofErr w:type="gramEnd"/>
      <w:r w:rsidRPr="0A2D815A">
        <w:rPr>
          <w:rFonts w:ascii="Arial Nova" w:eastAsia="Arial Nova" w:hAnsi="Arial Nova" w:cs="Arial Nova"/>
          <w:sz w:val="24"/>
          <w:szCs w:val="24"/>
        </w:rPr>
        <w:t xml:space="preserve"> The Visibility of Children Whose Mothers </w:t>
      </w:r>
      <w:proofErr w:type="gramStart"/>
      <w:r w:rsidRPr="0A2D815A">
        <w:rPr>
          <w:rFonts w:ascii="Arial Nova" w:eastAsia="Arial Nova" w:hAnsi="Arial Nova" w:cs="Arial Nova"/>
          <w:sz w:val="24"/>
          <w:szCs w:val="24"/>
        </w:rPr>
        <w:t>are</w:t>
      </w:r>
      <w:proofErr w:type="gramEnd"/>
      <w:r w:rsidRPr="0A2D815A">
        <w:rPr>
          <w:rFonts w:ascii="Arial Nova" w:eastAsia="Arial Nova" w:hAnsi="Arial Nova" w:cs="Arial Nova"/>
          <w:sz w:val="24"/>
          <w:szCs w:val="24"/>
        </w:rPr>
        <w:t xml:space="preserve"> Being Sentenced for Criminal Offences in the Courts of England and Wales. </w:t>
      </w:r>
      <w:proofErr w:type="gramStart"/>
      <w:r w:rsidRPr="0A2D815A">
        <w:rPr>
          <w:rFonts w:ascii="Arial Nova" w:eastAsia="Arial Nova" w:hAnsi="Arial Nova" w:cs="Arial Nova"/>
          <w:i/>
          <w:iCs/>
          <w:sz w:val="24"/>
          <w:szCs w:val="24"/>
        </w:rPr>
        <w:t>Law in Context.</w:t>
      </w:r>
      <w:proofErr w:type="gramEnd"/>
      <w:r w:rsidRPr="0A2D815A">
        <w:rPr>
          <w:rFonts w:ascii="Arial Nova" w:eastAsia="Arial Nova" w:hAnsi="Arial Nova" w:cs="Arial Nova"/>
          <w:i/>
          <w:iCs/>
          <w:sz w:val="24"/>
          <w:szCs w:val="24"/>
        </w:rPr>
        <w:t xml:space="preserve"> </w:t>
      </w:r>
      <w:proofErr w:type="gramStart"/>
      <w:r w:rsidRPr="0A2D815A">
        <w:rPr>
          <w:rFonts w:ascii="Arial Nova" w:eastAsia="Arial Nova" w:hAnsi="Arial Nova" w:cs="Arial Nova"/>
          <w:i/>
          <w:iCs/>
          <w:sz w:val="24"/>
          <w:szCs w:val="24"/>
        </w:rPr>
        <w:t>A Socio-legal Journal</w:t>
      </w:r>
      <w:r w:rsidRPr="0A2D815A">
        <w:rPr>
          <w:rFonts w:ascii="Arial Nova" w:eastAsia="Arial Nova" w:hAnsi="Arial Nova" w:cs="Arial Nova"/>
          <w:sz w:val="24"/>
          <w:szCs w:val="24"/>
        </w:rPr>
        <w:t>, [online] 32.</w:t>
      </w:r>
      <w:proofErr w:type="gramEnd"/>
      <w:r w:rsidRPr="0A2D815A">
        <w:rPr>
          <w:rFonts w:ascii="Arial Nova" w:eastAsia="Arial Nova" w:hAnsi="Arial Nova" w:cs="Arial Nova"/>
          <w:sz w:val="24"/>
          <w:szCs w:val="24"/>
        </w:rPr>
        <w:t xml:space="preserve"> </w:t>
      </w:r>
      <w:hyperlink r:id="rId7">
        <w:r w:rsidRPr="0A2D815A">
          <w:rPr>
            <w:rStyle w:val="Hyperlink"/>
            <w:rFonts w:ascii="Arial Nova" w:eastAsia="Arial Nova" w:hAnsi="Arial Nova" w:cs="Arial Nova"/>
            <w:sz w:val="24"/>
            <w:szCs w:val="24"/>
          </w:rPr>
          <w:t>https://doi.org/10.26826/law-in-context.v32i0.71</w:t>
        </w:r>
      </w:hyperlink>
      <w:r w:rsidRPr="0A2D815A">
        <w:rPr>
          <w:rFonts w:ascii="Arial Nova" w:eastAsia="Arial Nova" w:hAnsi="Arial Nova" w:cs="Arial Nova"/>
          <w:sz w:val="24"/>
          <w:szCs w:val="24"/>
        </w:rPr>
        <w:t>.</w:t>
      </w:r>
    </w:p>
    <w:p w14:paraId="7F7E5E8E" w14:textId="33514B2A" w:rsidR="7F6BAF12" w:rsidRDefault="7F6BAF12" w:rsidP="0A2D815A">
      <w:pPr>
        <w:spacing w:line="360" w:lineRule="auto"/>
        <w:jc w:val="both"/>
        <w:rPr>
          <w:rFonts w:ascii="Arial Nova" w:eastAsia="Arial Nova" w:hAnsi="Arial Nova" w:cs="Arial Nova"/>
          <w:sz w:val="24"/>
          <w:szCs w:val="24"/>
        </w:rPr>
      </w:pPr>
      <w:proofErr w:type="gramStart"/>
      <w:r w:rsidRPr="0A2D815A">
        <w:rPr>
          <w:rFonts w:ascii="Arial Nova" w:eastAsia="Arial Nova" w:hAnsi="Arial Nova" w:cs="Arial Nova"/>
          <w:sz w:val="24"/>
          <w:szCs w:val="24"/>
        </w:rPr>
        <w:t>Prince, S., (2020).</w:t>
      </w:r>
      <w:proofErr w:type="gramEnd"/>
      <w:r w:rsidRPr="0A2D815A">
        <w:rPr>
          <w:rFonts w:ascii="Arial Nova" w:eastAsia="Arial Nova" w:hAnsi="Arial Nova" w:cs="Arial Nova"/>
          <w:sz w:val="24"/>
          <w:szCs w:val="24"/>
        </w:rPr>
        <w:t xml:space="preserve"> Encouragement of mediation in England and Wales has been futile: is there now a role for online dispute resolution in settling low-value claims? </w:t>
      </w:r>
      <w:proofErr w:type="gramStart"/>
      <w:r w:rsidRPr="0A2D815A">
        <w:rPr>
          <w:rFonts w:ascii="Arial Nova" w:eastAsia="Arial Nova" w:hAnsi="Arial Nova" w:cs="Arial Nova"/>
          <w:i/>
          <w:iCs/>
          <w:sz w:val="24"/>
          <w:szCs w:val="24"/>
        </w:rPr>
        <w:t>International Journal of Law in Context</w:t>
      </w:r>
      <w:r w:rsidRPr="0A2D815A">
        <w:rPr>
          <w:rFonts w:ascii="Arial Nova" w:eastAsia="Arial Nova" w:hAnsi="Arial Nova" w:cs="Arial Nova"/>
          <w:sz w:val="24"/>
          <w:szCs w:val="24"/>
        </w:rPr>
        <w:t>, [online] 16(2), pp.181–196.</w:t>
      </w:r>
      <w:proofErr w:type="gramEnd"/>
      <w:r w:rsidRPr="0A2D815A">
        <w:rPr>
          <w:rFonts w:ascii="Arial Nova" w:eastAsia="Arial Nova" w:hAnsi="Arial Nova" w:cs="Arial Nova"/>
          <w:sz w:val="24"/>
          <w:szCs w:val="24"/>
        </w:rPr>
        <w:t xml:space="preserve"> </w:t>
      </w:r>
      <w:hyperlink r:id="rId8">
        <w:r w:rsidRPr="0A2D815A">
          <w:rPr>
            <w:rStyle w:val="Hyperlink"/>
            <w:rFonts w:ascii="Arial Nova" w:eastAsia="Arial Nova" w:hAnsi="Arial Nova" w:cs="Arial Nova"/>
            <w:sz w:val="24"/>
            <w:szCs w:val="24"/>
          </w:rPr>
          <w:t>https://doi.org/10.1017/s1744552320000130</w:t>
        </w:r>
      </w:hyperlink>
      <w:r w:rsidRPr="0A2D815A">
        <w:rPr>
          <w:rFonts w:ascii="Arial Nova" w:eastAsia="Arial Nova" w:hAnsi="Arial Nova" w:cs="Arial Nova"/>
          <w:sz w:val="24"/>
          <w:szCs w:val="24"/>
        </w:rPr>
        <w:t>.</w:t>
      </w:r>
    </w:p>
    <w:p w14:paraId="1AA52B6E" w14:textId="253A28E8" w:rsidR="000D128A" w:rsidRDefault="7F6BAF12" w:rsidP="0A2D815A">
      <w:pPr>
        <w:spacing w:line="360" w:lineRule="auto"/>
        <w:jc w:val="both"/>
        <w:rPr>
          <w:rFonts w:ascii="Arial Nova" w:eastAsia="Arial Nova" w:hAnsi="Arial Nova" w:cs="Arial Nova"/>
          <w:sz w:val="24"/>
          <w:szCs w:val="24"/>
        </w:rPr>
      </w:pPr>
      <w:proofErr w:type="gramStart"/>
      <w:r w:rsidRPr="0A2D815A">
        <w:rPr>
          <w:rFonts w:ascii="Arial Nova" w:eastAsia="Arial Nova" w:hAnsi="Arial Nova" w:cs="Arial Nova"/>
          <w:sz w:val="24"/>
          <w:szCs w:val="24"/>
        </w:rPr>
        <w:t>Wales, (2023).</w:t>
      </w:r>
      <w:proofErr w:type="gramEnd"/>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i/>
          <w:iCs/>
          <w:sz w:val="24"/>
          <w:szCs w:val="24"/>
        </w:rPr>
        <w:t>Commission on Justice in Wales - Call for Evidence Crown Prosecution Service Response</w:t>
      </w:r>
      <w:r w:rsidRPr="0A2D815A">
        <w:rPr>
          <w:rFonts w:ascii="Arial Nova" w:eastAsia="Arial Nova" w:hAnsi="Arial Nova" w:cs="Arial Nova"/>
          <w:sz w:val="24"/>
          <w:szCs w:val="24"/>
        </w:rPr>
        <w:t>.</w:t>
      </w:r>
      <w:proofErr w:type="gramEnd"/>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online</w:t>
      </w:r>
      <w:proofErr w:type="gramEnd"/>
      <w:r w:rsidRPr="0A2D815A">
        <w:rPr>
          <w:rFonts w:ascii="Arial Nova" w:eastAsia="Arial Nova" w:hAnsi="Arial Nova" w:cs="Arial Nova"/>
          <w:sz w:val="24"/>
          <w:szCs w:val="24"/>
        </w:rPr>
        <w:t xml:space="preserve">] </w:t>
      </w:r>
      <w:r w:rsidR="00D81600" w:rsidRPr="0A2D815A">
        <w:rPr>
          <w:rFonts w:ascii="Arial Nova" w:eastAsia="Arial Nova" w:hAnsi="Arial Nova" w:cs="Arial Nova"/>
          <w:sz w:val="24"/>
          <w:szCs w:val="24"/>
        </w:rPr>
        <w:t>Gov. Wales</w:t>
      </w:r>
      <w:r w:rsidRPr="0A2D815A">
        <w:rPr>
          <w:rFonts w:ascii="Arial Nova" w:eastAsia="Arial Nova" w:hAnsi="Arial Nova" w:cs="Arial Nova"/>
          <w:sz w:val="24"/>
          <w:szCs w:val="24"/>
        </w:rPr>
        <w:t>. Available at: &lt;https://www.gov.wales/sites/default/files/publications/2018-06/Submission-crown-prosecution-service.pdf&gt;</w:t>
      </w:r>
    </w:p>
    <w:p w14:paraId="6C46B01E" w14:textId="470883AB" w:rsidR="000D128A" w:rsidRDefault="7F6BAF12" w:rsidP="0A2D815A">
      <w:pPr>
        <w:spacing w:line="360" w:lineRule="auto"/>
        <w:jc w:val="both"/>
        <w:rPr>
          <w:rFonts w:ascii="Arial Nova" w:eastAsia="Arial Nova" w:hAnsi="Arial Nova" w:cs="Arial Nova"/>
          <w:sz w:val="24"/>
          <w:szCs w:val="24"/>
        </w:rPr>
      </w:pPr>
      <w:r w:rsidRPr="0A2D815A">
        <w:rPr>
          <w:rFonts w:ascii="Arial Nova" w:eastAsia="Arial Nova" w:hAnsi="Arial Nova" w:cs="Arial Nova"/>
          <w:sz w:val="24"/>
          <w:szCs w:val="24"/>
        </w:rPr>
        <w:t xml:space="preserve"> </w:t>
      </w:r>
      <w:proofErr w:type="gramStart"/>
      <w:r w:rsidRPr="0A2D815A">
        <w:rPr>
          <w:rFonts w:ascii="Arial Nova" w:eastAsia="Arial Nova" w:hAnsi="Arial Nova" w:cs="Arial Nova"/>
          <w:sz w:val="24"/>
          <w:szCs w:val="24"/>
        </w:rPr>
        <w:t>[Accessed 13 Aug. 2023].</w:t>
      </w:r>
      <w:proofErr w:type="gramEnd"/>
    </w:p>
    <w:p w14:paraId="31A59FA3" w14:textId="2C6AC955" w:rsidR="0A2D815A" w:rsidRDefault="0A2D815A" w:rsidP="0A2D815A">
      <w:pPr>
        <w:spacing w:line="360" w:lineRule="auto"/>
        <w:jc w:val="both"/>
        <w:rPr>
          <w:rFonts w:ascii="Arial Nova" w:eastAsia="Arial Nova" w:hAnsi="Arial Nova" w:cs="Arial Nova"/>
          <w:sz w:val="24"/>
          <w:szCs w:val="24"/>
        </w:rPr>
      </w:pPr>
    </w:p>
    <w:p w14:paraId="68AB9A21" w14:textId="1C18FEEB" w:rsidR="000D128A" w:rsidRDefault="000D128A" w:rsidP="0A2D815A">
      <w:pPr>
        <w:spacing w:line="360" w:lineRule="auto"/>
        <w:jc w:val="both"/>
        <w:rPr>
          <w:rFonts w:ascii="Arial Nova" w:eastAsia="Arial Nova" w:hAnsi="Arial Nova" w:cs="Arial Nova"/>
          <w:sz w:val="24"/>
          <w:szCs w:val="24"/>
        </w:rPr>
      </w:pPr>
    </w:p>
    <w:p w14:paraId="2C078E63" w14:textId="4FCF57BC" w:rsidR="000D128A" w:rsidRDefault="000D128A" w:rsidP="0A2D815A">
      <w:pPr>
        <w:spacing w:line="360" w:lineRule="auto"/>
        <w:rPr>
          <w:rFonts w:ascii="Arial Nova" w:eastAsia="Arial Nova" w:hAnsi="Arial Nova" w:cs="Arial Nova"/>
          <w:sz w:val="24"/>
          <w:szCs w:val="24"/>
        </w:rPr>
      </w:pPr>
    </w:p>
    <w:sectPr w:rsidR="000D12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0000000000000000000"/>
    <w:charset w:val="00"/>
    <w:family w:val="roman"/>
    <w:notTrueType/>
    <w:pitch w:val="default"/>
  </w:font>
</w:fonts>
</file>

<file path=word/intelligence2.xml><?xml version="1.0" encoding="utf-8"?>
<int2:intelligence xmlns:int2="http://schemas.microsoft.com/office/intelligence/2020/intelligence">
  <int2:observations>
    <int2:textHash int2:hashCode="VVEtiWL/kJNOhX" int2:id="eZjh1j6q">
      <int2:state int2:type="AugLoop_Text_Critique" int2:value="Rejected"/>
    </int2:textHash>
    <int2:textHash int2:hashCode="Y0UROiFW+KpmX2" int2:id="iToJg8Zq">
      <int2:state int2:type="AugLoop_Text_Critique" int2:value="Rejected"/>
    </int2:textHash>
    <int2:bookmark int2:bookmarkName="_Int_6TYnQTXp" int2:invalidationBookmarkName="" int2:hashCode="af2yLWATS+riUZ" int2:id="IV4hWOn0">
      <int2:state int2:type="AugLoop_Text_Critique" int2:value="Rejected"/>
    </int2:bookmark>
    <int2:bookmark int2:bookmarkName="_Int_9YvYORj7" int2:invalidationBookmarkName="" int2:hashCode="eF745FqhjvHOZm" int2:id="63X9LC4P">
      <int2:state int2:type="AugLoop_Text_Critique" int2:value="Rejected"/>
    </int2:bookmark>
    <int2:bookmark int2:bookmarkName="_Int_CAe8bVeI" int2:invalidationBookmarkName="" int2:hashCode="lB0wXqFPYEeNIS" int2:id="bnpkvxv9">
      <int2:state int2:type="AugLoop_Text_Critique" int2:value="Rejected"/>
    </int2:bookmark>
    <int2:bookmark int2:bookmarkName="_Int_mXRiIv6x" int2:invalidationBookmarkName="" int2:hashCode="BBEhj7Honc6C0A" int2:id="P7NXJNc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14298B"/>
    <w:rsid w:val="000D128A"/>
    <w:rsid w:val="0038474E"/>
    <w:rsid w:val="009A5E85"/>
    <w:rsid w:val="00D81600"/>
    <w:rsid w:val="014CCF57"/>
    <w:rsid w:val="02226F75"/>
    <w:rsid w:val="0369A0F8"/>
    <w:rsid w:val="03B0BE76"/>
    <w:rsid w:val="055A1037"/>
    <w:rsid w:val="06C222DB"/>
    <w:rsid w:val="06DB2F3C"/>
    <w:rsid w:val="0891B0F9"/>
    <w:rsid w:val="0923C3A0"/>
    <w:rsid w:val="0A2D815A"/>
    <w:rsid w:val="0AE37B33"/>
    <w:rsid w:val="0C7F4B94"/>
    <w:rsid w:val="0EB0F9F4"/>
    <w:rsid w:val="12135B0A"/>
    <w:rsid w:val="127AE6C5"/>
    <w:rsid w:val="12EE8D18"/>
    <w:rsid w:val="1353227A"/>
    <w:rsid w:val="13DB56B3"/>
    <w:rsid w:val="148A5D79"/>
    <w:rsid w:val="150F2CED"/>
    <w:rsid w:val="16262DDA"/>
    <w:rsid w:val="167E133D"/>
    <w:rsid w:val="17B9793D"/>
    <w:rsid w:val="1971CBFA"/>
    <w:rsid w:val="19826F59"/>
    <w:rsid w:val="1B75C351"/>
    <w:rsid w:val="1E87D62C"/>
    <w:rsid w:val="1FCD1020"/>
    <w:rsid w:val="2082F6D9"/>
    <w:rsid w:val="25A1C588"/>
    <w:rsid w:val="2A9BDEE7"/>
    <w:rsid w:val="2CAD0CBE"/>
    <w:rsid w:val="2F0D2BE0"/>
    <w:rsid w:val="2F518B57"/>
    <w:rsid w:val="2F7B1E60"/>
    <w:rsid w:val="31869F48"/>
    <w:rsid w:val="35BCBA54"/>
    <w:rsid w:val="37183DC5"/>
    <w:rsid w:val="38B47C41"/>
    <w:rsid w:val="391F76D2"/>
    <w:rsid w:val="3970565B"/>
    <w:rsid w:val="399BF317"/>
    <w:rsid w:val="3A9051A5"/>
    <w:rsid w:val="3ABB4733"/>
    <w:rsid w:val="3B14298B"/>
    <w:rsid w:val="3EC9EE5F"/>
    <w:rsid w:val="40BAC9ED"/>
    <w:rsid w:val="42569A4E"/>
    <w:rsid w:val="4388145D"/>
    <w:rsid w:val="45EC81EF"/>
    <w:rsid w:val="46921EA0"/>
    <w:rsid w:val="4AD95883"/>
    <w:rsid w:val="4AF243DE"/>
    <w:rsid w:val="4B496C4E"/>
    <w:rsid w:val="4B83B891"/>
    <w:rsid w:val="4BAC0593"/>
    <w:rsid w:val="4CDC6D48"/>
    <w:rsid w:val="4F60229A"/>
    <w:rsid w:val="4F61AB99"/>
    <w:rsid w:val="50FBF2FB"/>
    <w:rsid w:val="50FD7BFA"/>
    <w:rsid w:val="50FDDC81"/>
    <w:rsid w:val="52DEE164"/>
    <w:rsid w:val="54FDC7BC"/>
    <w:rsid w:val="55D0ED1D"/>
    <w:rsid w:val="576472E5"/>
    <w:rsid w:val="59088DDF"/>
    <w:rsid w:val="591E6C20"/>
    <w:rsid w:val="59E6650D"/>
    <w:rsid w:val="5E964EF9"/>
    <w:rsid w:val="5EC2578B"/>
    <w:rsid w:val="5FDEB080"/>
    <w:rsid w:val="602DC93C"/>
    <w:rsid w:val="60321F5A"/>
    <w:rsid w:val="62395867"/>
    <w:rsid w:val="6369C01C"/>
    <w:rsid w:val="6663A328"/>
    <w:rsid w:val="66C1AB7D"/>
    <w:rsid w:val="68F97974"/>
    <w:rsid w:val="69878B2F"/>
    <w:rsid w:val="69D4AB82"/>
    <w:rsid w:val="6A88BF15"/>
    <w:rsid w:val="6A9549D5"/>
    <w:rsid w:val="6B707BE3"/>
    <w:rsid w:val="6D0C4C44"/>
    <w:rsid w:val="6D2049A2"/>
    <w:rsid w:val="6F7D6884"/>
    <w:rsid w:val="70E85EEB"/>
    <w:rsid w:val="71AB69E8"/>
    <w:rsid w:val="727E24A1"/>
    <w:rsid w:val="737B8DC8"/>
    <w:rsid w:val="738C6ECB"/>
    <w:rsid w:val="75175E29"/>
    <w:rsid w:val="76319B49"/>
    <w:rsid w:val="7712BB85"/>
    <w:rsid w:val="78343852"/>
    <w:rsid w:val="785BAC06"/>
    <w:rsid w:val="7A12A5C2"/>
    <w:rsid w:val="7B860835"/>
    <w:rsid w:val="7BC26113"/>
    <w:rsid w:val="7C613A43"/>
    <w:rsid w:val="7DA556D9"/>
    <w:rsid w:val="7F6BAF12"/>
    <w:rsid w:val="7FF9A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1744552320000130" TargetMode="External"/><Relationship Id="rId3" Type="http://schemas.openxmlformats.org/officeDocument/2006/relationships/settings" Target="settings.xml"/><Relationship Id="rId7" Type="http://schemas.openxmlformats.org/officeDocument/2006/relationships/hyperlink" Target="https://doi.org/10.26826/law-in-context.v32i0.7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doi.org/10.53386/nilq.v72i2.874" TargetMode="External"/><Relationship Id="rId5" Type="http://schemas.openxmlformats.org/officeDocument/2006/relationships/hyperlink" Target="https://www.cps.gov.uk/about-cps" TargetMode="External"/><Relationship Id="R0a24f63c7e3f42fb" Type="http://schemas.microsoft.com/office/2020/10/relationships/intelligence" Target="intelligence2.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Afzol Hussain (2243917)</dc:creator>
  <cp:lastModifiedBy>Admin</cp:lastModifiedBy>
  <cp:revision>2</cp:revision>
  <dcterms:created xsi:type="dcterms:W3CDTF">2023-08-14T19:56:00Z</dcterms:created>
  <dcterms:modified xsi:type="dcterms:W3CDTF">2023-08-14T19:56:00Z</dcterms:modified>
</cp:coreProperties>
</file>