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7B3C4" w14:textId="77777777" w:rsidR="001A41F9" w:rsidRDefault="001A41F9" w:rsidP="001A41F9">
      <w:pPr>
        <w:jc w:val="center"/>
        <w:rPr>
          <w:noProof/>
          <w:sz w:val="24"/>
          <w:szCs w:val="24"/>
        </w:rPr>
      </w:pPr>
    </w:p>
    <w:p w14:paraId="7A3A82AC" w14:textId="77777777" w:rsidR="001A41F9" w:rsidRDefault="001A41F9" w:rsidP="001A41F9">
      <w:pPr>
        <w:jc w:val="center"/>
        <w:rPr>
          <w:noProof/>
          <w:sz w:val="24"/>
          <w:szCs w:val="24"/>
        </w:rPr>
      </w:pPr>
    </w:p>
    <w:p w14:paraId="633A5E49" w14:textId="77777777" w:rsidR="001A41F9" w:rsidRDefault="001A41F9" w:rsidP="001A41F9">
      <w:pPr>
        <w:jc w:val="center"/>
        <w:rPr>
          <w:noProof/>
          <w:sz w:val="24"/>
          <w:szCs w:val="24"/>
        </w:rPr>
      </w:pPr>
    </w:p>
    <w:p w14:paraId="1D482759" w14:textId="77777777" w:rsidR="001A41F9" w:rsidRDefault="001A41F9" w:rsidP="001A41F9">
      <w:pPr>
        <w:jc w:val="center"/>
        <w:rPr>
          <w:noProof/>
          <w:sz w:val="24"/>
          <w:szCs w:val="24"/>
        </w:rPr>
      </w:pPr>
    </w:p>
    <w:p w14:paraId="2BADE347" w14:textId="77777777" w:rsidR="001A41F9" w:rsidRDefault="001A41F9" w:rsidP="001A41F9">
      <w:pPr>
        <w:jc w:val="center"/>
        <w:rPr>
          <w:noProof/>
          <w:sz w:val="24"/>
          <w:szCs w:val="24"/>
        </w:rPr>
      </w:pPr>
    </w:p>
    <w:p w14:paraId="1E48ECFB" w14:textId="741A2FEF" w:rsidR="001A41F9" w:rsidRPr="001A41F9" w:rsidRDefault="001A41F9" w:rsidP="001A41F9">
      <w:pPr>
        <w:jc w:val="center"/>
        <w:rPr>
          <w:noProof/>
          <w:sz w:val="24"/>
          <w:szCs w:val="24"/>
        </w:rPr>
      </w:pPr>
      <w:r w:rsidRPr="001A41F9">
        <w:rPr>
          <w:noProof/>
          <w:sz w:val="24"/>
          <w:szCs w:val="24"/>
        </w:rPr>
        <w:t xml:space="preserve">Student </w:t>
      </w:r>
      <w:r w:rsidRPr="001A41F9">
        <w:rPr>
          <w:noProof/>
          <w:sz w:val="24"/>
          <w:szCs w:val="24"/>
        </w:rPr>
        <w:t>N</w:t>
      </w:r>
      <w:r w:rsidRPr="001A41F9">
        <w:rPr>
          <w:noProof/>
          <w:sz w:val="24"/>
          <w:szCs w:val="24"/>
        </w:rPr>
        <w:t xml:space="preserve">ame: </w:t>
      </w:r>
      <w:r w:rsidRPr="001A41F9">
        <w:rPr>
          <w:noProof/>
          <w:sz w:val="24"/>
          <w:szCs w:val="24"/>
        </w:rPr>
        <w:t>Estera Diana Vasile</w:t>
      </w:r>
      <w:r w:rsidRPr="001A41F9">
        <w:rPr>
          <w:noProof/>
          <w:sz w:val="24"/>
          <w:szCs w:val="24"/>
        </w:rPr>
        <w:t>     </w:t>
      </w:r>
    </w:p>
    <w:p w14:paraId="2D7BBFD3" w14:textId="76EA7DB5" w:rsidR="001A41F9" w:rsidRPr="001A41F9" w:rsidRDefault="001A41F9" w:rsidP="001A41F9">
      <w:pPr>
        <w:jc w:val="center"/>
        <w:rPr>
          <w:noProof/>
          <w:sz w:val="24"/>
          <w:szCs w:val="24"/>
        </w:rPr>
      </w:pPr>
      <w:r w:rsidRPr="001A41F9">
        <w:rPr>
          <w:noProof/>
          <w:sz w:val="24"/>
          <w:szCs w:val="24"/>
        </w:rPr>
        <w:t>Student ID</w:t>
      </w:r>
      <w:r w:rsidRPr="001A41F9">
        <w:rPr>
          <w:noProof/>
          <w:sz w:val="24"/>
          <w:szCs w:val="24"/>
        </w:rPr>
        <w:t xml:space="preserve"> N</w:t>
      </w:r>
      <w:r w:rsidRPr="001A41F9">
        <w:rPr>
          <w:noProof/>
          <w:sz w:val="24"/>
          <w:szCs w:val="24"/>
        </w:rPr>
        <w:t>umber:</w:t>
      </w:r>
      <w:r w:rsidRPr="001A41F9">
        <w:rPr>
          <w:noProof/>
          <w:sz w:val="24"/>
          <w:szCs w:val="24"/>
        </w:rPr>
        <w:t xml:space="preserve"> </w:t>
      </w:r>
      <w:r w:rsidRPr="001A41F9">
        <w:rPr>
          <w:noProof/>
          <w:sz w:val="24"/>
          <w:szCs w:val="24"/>
        </w:rPr>
        <w:t>2331862</w:t>
      </w:r>
    </w:p>
    <w:p w14:paraId="7F7ADCE9" w14:textId="77777777" w:rsidR="001A41F9" w:rsidRPr="001A41F9" w:rsidRDefault="001A41F9" w:rsidP="001A41F9">
      <w:pPr>
        <w:jc w:val="center"/>
        <w:rPr>
          <w:noProof/>
          <w:sz w:val="24"/>
          <w:szCs w:val="24"/>
        </w:rPr>
      </w:pPr>
      <w:r w:rsidRPr="001A41F9">
        <w:rPr>
          <w:noProof/>
          <w:sz w:val="24"/>
          <w:szCs w:val="24"/>
        </w:rPr>
        <w:t>Programme: Cert HE Business Skills for the Workplace</w:t>
      </w:r>
    </w:p>
    <w:p w14:paraId="2779DFFD" w14:textId="77777777" w:rsidR="001A41F9" w:rsidRPr="001A41F9" w:rsidRDefault="001A41F9" w:rsidP="001A41F9">
      <w:pPr>
        <w:jc w:val="center"/>
        <w:rPr>
          <w:noProof/>
          <w:sz w:val="24"/>
          <w:szCs w:val="24"/>
        </w:rPr>
      </w:pPr>
      <w:r w:rsidRPr="001A41F9">
        <w:rPr>
          <w:noProof/>
          <w:sz w:val="24"/>
          <w:szCs w:val="24"/>
        </w:rPr>
        <w:t>Module: Employability and Career Development</w:t>
      </w:r>
    </w:p>
    <w:p w14:paraId="1534E32D" w14:textId="181A504F" w:rsidR="002E334D" w:rsidRPr="001A41F9" w:rsidRDefault="001A41F9" w:rsidP="001A41F9">
      <w:pPr>
        <w:jc w:val="center"/>
        <w:rPr>
          <w:noProof/>
          <w:sz w:val="24"/>
          <w:szCs w:val="24"/>
        </w:rPr>
      </w:pPr>
      <w:r w:rsidRPr="001A41F9">
        <w:rPr>
          <w:noProof/>
          <w:sz w:val="24"/>
          <w:szCs w:val="24"/>
        </w:rPr>
        <w:t xml:space="preserve">Module </w:t>
      </w:r>
      <w:r w:rsidRPr="001A41F9">
        <w:rPr>
          <w:noProof/>
          <w:sz w:val="24"/>
          <w:szCs w:val="24"/>
        </w:rPr>
        <w:t>C</w:t>
      </w:r>
      <w:r w:rsidRPr="001A41F9">
        <w:rPr>
          <w:noProof/>
          <w:sz w:val="24"/>
          <w:szCs w:val="24"/>
        </w:rPr>
        <w:t>ode: LCLM4005</w:t>
      </w:r>
    </w:p>
    <w:p w14:paraId="216BFF6F" w14:textId="065B0A88" w:rsidR="001A41F9" w:rsidRPr="001A41F9" w:rsidRDefault="001A41F9" w:rsidP="001A41F9">
      <w:pPr>
        <w:jc w:val="center"/>
        <w:rPr>
          <w:sz w:val="24"/>
          <w:szCs w:val="24"/>
        </w:rPr>
      </w:pPr>
      <w:r w:rsidRPr="001A41F9">
        <w:rPr>
          <w:sz w:val="24"/>
          <w:szCs w:val="24"/>
        </w:rPr>
        <w:t xml:space="preserve">Assignment Title: Selection of </w:t>
      </w:r>
      <w:r w:rsidRPr="001A41F9">
        <w:rPr>
          <w:sz w:val="24"/>
          <w:szCs w:val="24"/>
        </w:rPr>
        <w:t>W</w:t>
      </w:r>
      <w:r w:rsidRPr="001A41F9">
        <w:rPr>
          <w:sz w:val="24"/>
          <w:szCs w:val="24"/>
        </w:rPr>
        <w:t xml:space="preserve">ritten </w:t>
      </w:r>
      <w:r w:rsidRPr="001A41F9">
        <w:rPr>
          <w:sz w:val="24"/>
          <w:szCs w:val="24"/>
        </w:rPr>
        <w:t>R</w:t>
      </w:r>
      <w:r w:rsidRPr="001A41F9">
        <w:rPr>
          <w:sz w:val="24"/>
          <w:szCs w:val="24"/>
        </w:rPr>
        <w:t>eflective</w:t>
      </w:r>
      <w:r w:rsidRPr="001A41F9">
        <w:rPr>
          <w:sz w:val="24"/>
          <w:szCs w:val="24"/>
        </w:rPr>
        <w:t xml:space="preserve"> T</w:t>
      </w:r>
      <w:r w:rsidRPr="001A41F9">
        <w:rPr>
          <w:sz w:val="24"/>
          <w:szCs w:val="24"/>
        </w:rPr>
        <w:t>asks</w:t>
      </w:r>
    </w:p>
    <w:p w14:paraId="3429C76C" w14:textId="41D44922" w:rsidR="003129FD" w:rsidRDefault="003129FD"/>
    <w:p w14:paraId="08068176" w14:textId="7CA132C0" w:rsidR="003129FD" w:rsidRDefault="003129FD"/>
    <w:p w14:paraId="4F24FA5E" w14:textId="58A5C37C" w:rsidR="003129FD" w:rsidRDefault="003129FD"/>
    <w:p w14:paraId="6A4955FE" w14:textId="1A74EB56" w:rsidR="003129FD" w:rsidRDefault="003129FD"/>
    <w:p w14:paraId="1274F19A" w14:textId="2B654CA1" w:rsidR="003129FD" w:rsidRDefault="003129FD"/>
    <w:p w14:paraId="6839925B" w14:textId="03B08D0C" w:rsidR="003129FD" w:rsidRDefault="003129FD"/>
    <w:p w14:paraId="271FACA0" w14:textId="052E3080" w:rsidR="003129FD" w:rsidRDefault="003129FD"/>
    <w:p w14:paraId="58073EB8" w14:textId="28FDF6BB" w:rsidR="003129FD" w:rsidRDefault="003129FD"/>
    <w:p w14:paraId="31EF2E43" w14:textId="3FCEA15F" w:rsidR="003129FD" w:rsidRDefault="003129FD"/>
    <w:p w14:paraId="5BD3BB2D" w14:textId="64C0A275" w:rsidR="003129FD" w:rsidRDefault="003129FD"/>
    <w:sdt>
      <w:sdtPr>
        <w:rPr>
          <w:rFonts w:ascii="Calibri" w:eastAsia="Times New Roman" w:hAnsi="Calibri" w:cs="Arial"/>
          <w:color w:val="auto"/>
          <w:sz w:val="22"/>
          <w:szCs w:val="22"/>
        </w:rPr>
        <w:id w:val="-1338922697"/>
        <w:docPartObj>
          <w:docPartGallery w:val="Table of Contents"/>
          <w:docPartUnique/>
        </w:docPartObj>
      </w:sdtPr>
      <w:sdtEndPr>
        <w:rPr>
          <w:b/>
          <w:bCs/>
          <w:noProof/>
        </w:rPr>
      </w:sdtEndPr>
      <w:sdtContent>
        <w:p w14:paraId="09C210F4" w14:textId="7C965FAF" w:rsidR="003129FD" w:rsidRPr="003129FD" w:rsidRDefault="003129FD" w:rsidP="003129FD">
          <w:pPr>
            <w:pStyle w:val="TOCHeading"/>
            <w:jc w:val="center"/>
            <w:rPr>
              <w:rFonts w:ascii="Arial" w:hAnsi="Arial" w:cs="Arial"/>
              <w:b/>
              <w:color w:val="000000" w:themeColor="text1"/>
            </w:rPr>
          </w:pPr>
          <w:r w:rsidRPr="003129FD">
            <w:rPr>
              <w:rFonts w:ascii="Arial" w:hAnsi="Arial" w:cs="Arial"/>
              <w:b/>
              <w:color w:val="000000" w:themeColor="text1"/>
            </w:rPr>
            <w:t>Contents Table</w:t>
          </w:r>
        </w:p>
        <w:p w14:paraId="2ABCFBA8" w14:textId="5DDA37B5" w:rsidR="00D51C4E" w:rsidRDefault="003129FD">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24870158" w:history="1">
            <w:r w:rsidR="00D51C4E" w:rsidRPr="006B7C63">
              <w:rPr>
                <w:rStyle w:val="Hyperlink"/>
                <w:rFonts w:ascii="Arial" w:hAnsi="Arial"/>
                <w:b/>
                <w:noProof/>
                <w:kern w:val="36"/>
              </w:rPr>
              <w:t>Task 1: Compare Job Adverts</w:t>
            </w:r>
            <w:r w:rsidR="00D51C4E">
              <w:rPr>
                <w:noProof/>
                <w:webHidden/>
              </w:rPr>
              <w:tab/>
            </w:r>
            <w:r w:rsidR="00D51C4E">
              <w:rPr>
                <w:noProof/>
                <w:webHidden/>
              </w:rPr>
              <w:fldChar w:fldCharType="begin"/>
            </w:r>
            <w:r w:rsidR="00D51C4E">
              <w:rPr>
                <w:noProof/>
                <w:webHidden/>
              </w:rPr>
              <w:instrText xml:space="preserve"> PAGEREF _Toc224870158 \h </w:instrText>
            </w:r>
            <w:r w:rsidR="00D51C4E">
              <w:rPr>
                <w:noProof/>
                <w:webHidden/>
              </w:rPr>
            </w:r>
            <w:r w:rsidR="00D51C4E">
              <w:rPr>
                <w:noProof/>
                <w:webHidden/>
              </w:rPr>
              <w:fldChar w:fldCharType="separate"/>
            </w:r>
            <w:r w:rsidR="00D51C4E">
              <w:rPr>
                <w:noProof/>
                <w:webHidden/>
              </w:rPr>
              <w:t>3</w:t>
            </w:r>
            <w:r w:rsidR="00D51C4E">
              <w:rPr>
                <w:noProof/>
                <w:webHidden/>
              </w:rPr>
              <w:fldChar w:fldCharType="end"/>
            </w:r>
          </w:hyperlink>
        </w:p>
        <w:p w14:paraId="2F0F198C" w14:textId="3FCDCC01" w:rsidR="00D51C4E" w:rsidRDefault="00D51C4E">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4870159" w:history="1">
            <w:r w:rsidRPr="006B7C63">
              <w:rPr>
                <w:rStyle w:val="Hyperlink"/>
                <w:rFonts w:ascii="Arial" w:hAnsi="Arial"/>
                <w:b/>
                <w:noProof/>
                <w:kern w:val="36"/>
              </w:rPr>
              <w:t>Task 2: Self-Assessment and Evidence of Readiness</w:t>
            </w:r>
            <w:r>
              <w:rPr>
                <w:noProof/>
                <w:webHidden/>
              </w:rPr>
              <w:tab/>
            </w:r>
            <w:r>
              <w:rPr>
                <w:noProof/>
                <w:webHidden/>
              </w:rPr>
              <w:fldChar w:fldCharType="begin"/>
            </w:r>
            <w:r>
              <w:rPr>
                <w:noProof/>
                <w:webHidden/>
              </w:rPr>
              <w:instrText xml:space="preserve"> PAGEREF _Toc224870159 \h </w:instrText>
            </w:r>
            <w:r>
              <w:rPr>
                <w:noProof/>
                <w:webHidden/>
              </w:rPr>
            </w:r>
            <w:r>
              <w:rPr>
                <w:noProof/>
                <w:webHidden/>
              </w:rPr>
              <w:fldChar w:fldCharType="separate"/>
            </w:r>
            <w:r>
              <w:rPr>
                <w:noProof/>
                <w:webHidden/>
              </w:rPr>
              <w:t>4</w:t>
            </w:r>
            <w:r>
              <w:rPr>
                <w:noProof/>
                <w:webHidden/>
              </w:rPr>
              <w:fldChar w:fldCharType="end"/>
            </w:r>
          </w:hyperlink>
        </w:p>
        <w:p w14:paraId="7153EE91" w14:textId="1B322F38" w:rsidR="00D51C4E" w:rsidRDefault="00D51C4E">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4870160" w:history="1">
            <w:r w:rsidRPr="006B7C63">
              <w:rPr>
                <w:rStyle w:val="Hyperlink"/>
                <w:rFonts w:ascii="Arial" w:hAnsi="Arial"/>
                <w:b/>
                <w:noProof/>
                <w:kern w:val="36"/>
              </w:rPr>
              <w:t>Task 3: Employment Goals and Personal Development Plan</w:t>
            </w:r>
            <w:r>
              <w:rPr>
                <w:noProof/>
                <w:webHidden/>
              </w:rPr>
              <w:tab/>
            </w:r>
            <w:r>
              <w:rPr>
                <w:noProof/>
                <w:webHidden/>
              </w:rPr>
              <w:fldChar w:fldCharType="begin"/>
            </w:r>
            <w:r>
              <w:rPr>
                <w:noProof/>
                <w:webHidden/>
              </w:rPr>
              <w:instrText xml:space="preserve"> PAGEREF _Toc224870160 \h </w:instrText>
            </w:r>
            <w:r>
              <w:rPr>
                <w:noProof/>
                <w:webHidden/>
              </w:rPr>
            </w:r>
            <w:r>
              <w:rPr>
                <w:noProof/>
                <w:webHidden/>
              </w:rPr>
              <w:fldChar w:fldCharType="separate"/>
            </w:r>
            <w:r>
              <w:rPr>
                <w:noProof/>
                <w:webHidden/>
              </w:rPr>
              <w:t>7</w:t>
            </w:r>
            <w:r>
              <w:rPr>
                <w:noProof/>
                <w:webHidden/>
              </w:rPr>
              <w:fldChar w:fldCharType="end"/>
            </w:r>
          </w:hyperlink>
        </w:p>
        <w:p w14:paraId="3BF4214B" w14:textId="0AF7D05D" w:rsidR="00D51C4E" w:rsidRDefault="00D51C4E">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4870161" w:history="1">
            <w:r w:rsidRPr="006B7C63">
              <w:rPr>
                <w:rStyle w:val="Hyperlink"/>
                <w:rFonts w:ascii="Arial" w:hAnsi="Arial"/>
                <w:b/>
                <w:noProof/>
                <w:kern w:val="36"/>
              </w:rPr>
              <w:t>References</w:t>
            </w:r>
            <w:r>
              <w:rPr>
                <w:noProof/>
                <w:webHidden/>
              </w:rPr>
              <w:tab/>
            </w:r>
            <w:r>
              <w:rPr>
                <w:noProof/>
                <w:webHidden/>
              </w:rPr>
              <w:fldChar w:fldCharType="begin"/>
            </w:r>
            <w:r>
              <w:rPr>
                <w:noProof/>
                <w:webHidden/>
              </w:rPr>
              <w:instrText xml:space="preserve"> PAGEREF _Toc224870161 \h </w:instrText>
            </w:r>
            <w:r>
              <w:rPr>
                <w:noProof/>
                <w:webHidden/>
              </w:rPr>
            </w:r>
            <w:r>
              <w:rPr>
                <w:noProof/>
                <w:webHidden/>
              </w:rPr>
              <w:fldChar w:fldCharType="separate"/>
            </w:r>
            <w:r>
              <w:rPr>
                <w:noProof/>
                <w:webHidden/>
              </w:rPr>
              <w:t>9</w:t>
            </w:r>
            <w:r>
              <w:rPr>
                <w:noProof/>
                <w:webHidden/>
              </w:rPr>
              <w:fldChar w:fldCharType="end"/>
            </w:r>
          </w:hyperlink>
        </w:p>
        <w:p w14:paraId="75112340" w14:textId="1FAE1463" w:rsidR="003129FD" w:rsidRDefault="003129FD">
          <w:r>
            <w:rPr>
              <w:b/>
              <w:bCs/>
              <w:noProof/>
            </w:rPr>
            <w:fldChar w:fldCharType="end"/>
          </w:r>
        </w:p>
      </w:sdtContent>
    </w:sdt>
    <w:p w14:paraId="482D12CA" w14:textId="77777777" w:rsidR="003129FD" w:rsidRDefault="003129FD" w:rsidP="003129FD">
      <w:pPr>
        <w:pStyle w:val="Heading1"/>
        <w:spacing w:line="360" w:lineRule="auto"/>
        <w:jc w:val="both"/>
        <w:rPr>
          <w:rFonts w:ascii="Arial" w:hAnsi="Arial" w:cs="Arial"/>
          <w:b/>
          <w:color w:val="000000"/>
          <w:kern w:val="36"/>
          <w:sz w:val="22"/>
          <w:szCs w:val="22"/>
        </w:rPr>
      </w:pPr>
    </w:p>
    <w:p w14:paraId="425F865A" w14:textId="77777777" w:rsidR="003129FD" w:rsidRDefault="003129FD" w:rsidP="003129FD">
      <w:pPr>
        <w:pStyle w:val="Heading1"/>
        <w:spacing w:line="360" w:lineRule="auto"/>
        <w:jc w:val="both"/>
        <w:rPr>
          <w:rFonts w:ascii="Arial" w:hAnsi="Arial" w:cs="Arial"/>
          <w:b/>
          <w:color w:val="000000"/>
          <w:kern w:val="36"/>
          <w:sz w:val="22"/>
          <w:szCs w:val="22"/>
        </w:rPr>
      </w:pPr>
    </w:p>
    <w:p w14:paraId="76BB8C17" w14:textId="13FA395B" w:rsidR="003129FD" w:rsidRDefault="003129FD" w:rsidP="003129FD">
      <w:pPr>
        <w:pStyle w:val="Heading1"/>
        <w:spacing w:line="360" w:lineRule="auto"/>
        <w:jc w:val="both"/>
        <w:rPr>
          <w:rFonts w:ascii="Arial" w:hAnsi="Arial" w:cs="Arial"/>
          <w:b/>
          <w:color w:val="000000"/>
          <w:kern w:val="36"/>
          <w:sz w:val="22"/>
          <w:szCs w:val="22"/>
        </w:rPr>
      </w:pPr>
    </w:p>
    <w:p w14:paraId="01771A39" w14:textId="5135BF18" w:rsidR="003129FD" w:rsidRDefault="003129FD" w:rsidP="003129FD"/>
    <w:p w14:paraId="15F0D304" w14:textId="52DBF07B" w:rsidR="003129FD" w:rsidRDefault="003129FD" w:rsidP="003129FD"/>
    <w:p w14:paraId="5AA58915" w14:textId="1B88C1C6" w:rsidR="003129FD" w:rsidRDefault="003129FD" w:rsidP="003129FD"/>
    <w:p w14:paraId="687E85EB" w14:textId="58E48307" w:rsidR="003129FD" w:rsidRDefault="003129FD" w:rsidP="003129FD"/>
    <w:p w14:paraId="51838AA5" w14:textId="3E6AB362" w:rsidR="003129FD" w:rsidRDefault="003129FD" w:rsidP="003129FD"/>
    <w:p w14:paraId="1E708F78" w14:textId="5F3CB267" w:rsidR="003129FD" w:rsidRDefault="003129FD" w:rsidP="003129FD"/>
    <w:p w14:paraId="36950205" w14:textId="0D7B432D" w:rsidR="003129FD" w:rsidRDefault="003129FD" w:rsidP="003129FD"/>
    <w:p w14:paraId="4CCCC228" w14:textId="664143D5" w:rsidR="003129FD" w:rsidRDefault="003129FD" w:rsidP="003129FD"/>
    <w:p w14:paraId="70D43145" w14:textId="17731DAE" w:rsidR="003129FD" w:rsidRDefault="003129FD" w:rsidP="003129FD"/>
    <w:p w14:paraId="36464832" w14:textId="414C718B" w:rsidR="003129FD" w:rsidRDefault="003129FD" w:rsidP="003129FD"/>
    <w:p w14:paraId="2CACB0FF" w14:textId="780EF5C2" w:rsidR="003129FD" w:rsidRDefault="003129FD" w:rsidP="003129FD"/>
    <w:p w14:paraId="70F70C7C" w14:textId="77777777" w:rsidR="003129FD" w:rsidRPr="003129FD" w:rsidRDefault="003129FD" w:rsidP="003129FD"/>
    <w:p w14:paraId="5E8F1982" w14:textId="65B1F2C6" w:rsidR="003129FD" w:rsidRPr="003129FD" w:rsidRDefault="003129FD" w:rsidP="003129FD">
      <w:pPr>
        <w:pStyle w:val="Heading1"/>
        <w:spacing w:line="360" w:lineRule="auto"/>
        <w:jc w:val="both"/>
        <w:rPr>
          <w:rFonts w:ascii="Arial" w:hAnsi="Arial" w:cs="Arial"/>
          <w:b/>
          <w:color w:val="000000"/>
          <w:kern w:val="36"/>
          <w:sz w:val="22"/>
          <w:szCs w:val="22"/>
        </w:rPr>
      </w:pPr>
      <w:bookmarkStart w:id="0" w:name="_Toc224870158"/>
      <w:r w:rsidRPr="003129FD">
        <w:rPr>
          <w:rFonts w:ascii="Arial" w:hAnsi="Arial" w:cs="Arial"/>
          <w:b/>
          <w:color w:val="000000"/>
          <w:kern w:val="36"/>
          <w:sz w:val="22"/>
          <w:szCs w:val="22"/>
        </w:rPr>
        <w:lastRenderedPageBreak/>
        <w:t>Task 1: Compare Job Adverts</w:t>
      </w:r>
      <w:bookmarkEnd w:id="0"/>
      <w:r w:rsidRPr="003129FD">
        <w:rPr>
          <w:rFonts w:ascii="Arial" w:hAnsi="Arial" w:cs="Arial"/>
          <w:b/>
          <w:color w:val="000000"/>
          <w:kern w:val="36"/>
          <w:sz w:val="22"/>
          <w:szCs w:val="22"/>
        </w:rPr>
        <w:t xml:space="preserve"> </w:t>
      </w:r>
    </w:p>
    <w:p w14:paraId="32D2675F"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The analysis of two healthcare job adverts helped define the most important skills and knowledge necessary to manage the position of a Nursing Associate in the healthcare sector in the United Kingdom. The first advertisement will be connected with the post of Staff Nursing Associate at Active Care Group in Birmingham that specializes in providing care to adult and child patients with complex health issues. The second advertisement is of a position of Nursing Associate in one of the NHS community healthcare team, where the main role is to support registered nurses to deliver safe, effective and person-</w:t>
      </w:r>
      <w:proofErr w:type="spellStart"/>
      <w:r w:rsidRPr="003129FD">
        <w:rPr>
          <w:rFonts w:ascii="Arial" w:eastAsia="Calibri" w:hAnsi="Arial"/>
        </w:rPr>
        <w:t>centred</w:t>
      </w:r>
      <w:proofErr w:type="spellEnd"/>
      <w:r w:rsidRPr="003129FD">
        <w:rPr>
          <w:rFonts w:ascii="Arial" w:eastAsia="Calibri" w:hAnsi="Arial"/>
        </w:rPr>
        <w:t xml:space="preserve"> care to communities.</w:t>
      </w:r>
    </w:p>
    <w:p w14:paraId="4CD46481"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 xml:space="preserve">The two job adverts </w:t>
      </w:r>
      <w:proofErr w:type="spellStart"/>
      <w:r w:rsidRPr="003129FD">
        <w:rPr>
          <w:rFonts w:ascii="Arial" w:eastAsia="Calibri" w:hAnsi="Arial"/>
        </w:rPr>
        <w:t>emphasise</w:t>
      </w:r>
      <w:proofErr w:type="spellEnd"/>
      <w:r w:rsidRPr="003129FD">
        <w:rPr>
          <w:rFonts w:ascii="Arial" w:eastAsia="Calibri" w:hAnsi="Arial"/>
        </w:rPr>
        <w:t xml:space="preserve"> functions that capture the professional expectations of the nursing associates in the healthcare organisations. The Active Care Group commercial focuses on the safety and wellbeing of patients, creation of </w:t>
      </w:r>
      <w:proofErr w:type="spellStart"/>
      <w:r w:rsidRPr="003129FD">
        <w:rPr>
          <w:rFonts w:ascii="Arial" w:eastAsia="Calibri" w:hAnsi="Arial"/>
        </w:rPr>
        <w:t>personalised</w:t>
      </w:r>
      <w:proofErr w:type="spellEnd"/>
      <w:r w:rsidRPr="003129FD">
        <w:rPr>
          <w:rFonts w:ascii="Arial" w:eastAsia="Calibri" w:hAnsi="Arial"/>
        </w:rPr>
        <w:t xml:space="preserve"> care plans, proper administration of medication and upholding patient dignity and privacy levels. In the same vein, the NHS job advertisement is oriented towards keeping track of patients, helping with clinical processes, contributing to rehabilitation processes and proper patient records. Such roles prove that nursing associates are crucial members of multidisciplinary medical teams and provide high-quality care to patients.</w:t>
      </w:r>
    </w:p>
    <w:p w14:paraId="0B207D29"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Through a comparison between the two adverts, there are various overlapping skills and knowledge areas that one should possess to work in this profession. These are communication, teamwork, patient-</w:t>
      </w:r>
      <w:proofErr w:type="spellStart"/>
      <w:r w:rsidRPr="003129FD">
        <w:rPr>
          <w:rFonts w:ascii="Arial" w:eastAsia="Calibri" w:hAnsi="Arial"/>
        </w:rPr>
        <w:t>centred</w:t>
      </w:r>
      <w:proofErr w:type="spellEnd"/>
      <w:r w:rsidRPr="003129FD">
        <w:rPr>
          <w:rFonts w:ascii="Arial" w:eastAsia="Calibri" w:hAnsi="Arial"/>
        </w:rPr>
        <w:t>, clinical competence and organisational skills. Especially, the focus is placed on communication and teamwork since nursing associates have to work with nurses and doctors and other healthcare professionals on a regular basis as well as with families and patients directly. The significance of patient safety and following professional standards of healthcare is also being noted in both adverts.</w:t>
      </w:r>
    </w:p>
    <w:p w14:paraId="786E4EA1"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Communication skills are one of the common competencies. Communication skills also help medical practitioners to obtain the proper details about a patient, communicate in a manner that is comprehensible and provide reports on clinical observations effectively to other healthcare practitioners (McCorry and Mason, 2020). Effective communication is also helpful to gain trust of patients and make the teamwork more productive and able to provide improved healthcare outcomes.</w:t>
      </w:r>
    </w:p>
    <w:p w14:paraId="3ACB744B"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lastRenderedPageBreak/>
        <w:t>In general, the discussion shows that effective nursing associates must possess high levels of clinical knowledge and interpersonal skills to provide safe, effective and compassionate healthcare services.</w:t>
      </w:r>
    </w:p>
    <w:p w14:paraId="2A393A30" w14:textId="77777777" w:rsidR="003129FD" w:rsidRPr="003129FD" w:rsidRDefault="003129FD" w:rsidP="003129FD">
      <w:pPr>
        <w:pStyle w:val="Heading1"/>
        <w:spacing w:line="360" w:lineRule="auto"/>
        <w:jc w:val="both"/>
        <w:rPr>
          <w:rFonts w:ascii="Arial" w:hAnsi="Arial" w:cs="Arial"/>
          <w:b/>
          <w:color w:val="000000"/>
          <w:kern w:val="36"/>
          <w:sz w:val="22"/>
          <w:szCs w:val="22"/>
        </w:rPr>
      </w:pPr>
      <w:bookmarkStart w:id="1" w:name="_Toc224757056"/>
      <w:bookmarkStart w:id="2" w:name="_Toc224870159"/>
      <w:bookmarkEnd w:id="1"/>
      <w:r w:rsidRPr="003129FD">
        <w:rPr>
          <w:rFonts w:ascii="Arial" w:hAnsi="Arial" w:cs="Arial"/>
          <w:b/>
          <w:color w:val="000000"/>
          <w:kern w:val="36"/>
          <w:sz w:val="22"/>
          <w:szCs w:val="22"/>
        </w:rPr>
        <w:t>Task 2: Self-Assessment and Evidence of Readiness</w:t>
      </w:r>
      <w:bookmarkEnd w:id="2"/>
    </w:p>
    <w:p w14:paraId="707A0E37"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Reflective self-assessment is a crucial process that enables the individual in assessing his/her capabilities, areas that can be improved and readiness to take up a job in the future (Van Loon, 2019). In the context of employability development, reflection assists the ongoing learning and professional development as it helps one realize their strengths and weaknesses. SWOT analysis is one of the most popular models of reflective self-assessment that involves the analysis of strengths, weaknesses, opportunities and threats regarding the personal and professional growth (Gurel and Tat, 2017). Using this framework gives a systematic approach in evaluating employability skills and where one can improve on to have a future career in the healthcare industry.</w:t>
      </w:r>
    </w:p>
    <w:p w14:paraId="15803876"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Strengths</w:t>
      </w:r>
    </w:p>
    <w:p w14:paraId="7302D0AB"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Effective communication is one of the greatest personal strength. Communication is a key competency in the healthcare environment since practitioners need to communicate with patients, families and multi-disciplinary teams on a regular basis (Sheehan et al., 2021). Communication skills have been nurtured through the past experiences of dealing with people who have varied cultural and linguistic backgrounds. These experiences have boosted the strength to provide clear explanation of information, active listening and responses with empathy. Communication skills in healthcare settings are necessary to establish trust with patients and make sure that the significant information about care plans and treatment is interpreted properly (Huang, 2025).</w:t>
      </w:r>
    </w:p>
    <w:p w14:paraId="4E0C2D1A"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Adaptability is also another key strength. Healthcare settings are usually unstable and demand that the professionals address the emerging conditions promptly. The opportunity to work and have to deal with various people has solidified the skills to be flexible and professional under difficult circumstances (Zank et al., 2019). Flexibility enables the health practitioners to adapt to new policies, technologies and patient demands. This skill is especially important since healthcare systems are ever-changing and professionals must upgrade their skills and knowledge periodically.</w:t>
      </w:r>
    </w:p>
    <w:p w14:paraId="442B1763"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lastRenderedPageBreak/>
        <w:t xml:space="preserve">Another strength that facilitates employability in healthcare is teamwork. The delivery of healthcare requires the cooperation of nurses, doctors, therapists and support staff (Kaini, 2017). Cooperation and collaboration with other team members have been enhanced through experiences of working with individuals in academic-related matters and </w:t>
      </w:r>
      <w:proofErr w:type="gramStart"/>
      <w:r w:rsidRPr="003129FD">
        <w:rPr>
          <w:rFonts w:ascii="Arial" w:eastAsia="Calibri" w:hAnsi="Arial"/>
        </w:rPr>
        <w:t>real life</w:t>
      </w:r>
      <w:proofErr w:type="gramEnd"/>
      <w:r w:rsidRPr="003129FD">
        <w:rPr>
          <w:rFonts w:ascii="Arial" w:eastAsia="Calibri" w:hAnsi="Arial"/>
        </w:rPr>
        <w:t xml:space="preserve"> situations. The ability to share ideas, assist and collaborate with others to achieve common objectives makes the healthcare teams effective and offer coordinated care to patients (Sarangi, 2017).</w:t>
      </w:r>
    </w:p>
    <w:p w14:paraId="442CFBBE"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Weaknesses</w:t>
      </w:r>
    </w:p>
    <w:p w14:paraId="0CC28C81"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 xml:space="preserve">Even with these strengths, several areas need to be developed further. Limitations to practical experience in </w:t>
      </w:r>
      <w:proofErr w:type="spellStart"/>
      <w:r w:rsidRPr="003129FD">
        <w:rPr>
          <w:rFonts w:ascii="Arial" w:eastAsia="Calibri" w:hAnsi="Arial"/>
        </w:rPr>
        <w:t>specialised</w:t>
      </w:r>
      <w:proofErr w:type="spellEnd"/>
      <w:r w:rsidRPr="003129FD">
        <w:rPr>
          <w:rFonts w:ascii="Arial" w:eastAsia="Calibri" w:hAnsi="Arial"/>
        </w:rPr>
        <w:t xml:space="preserve"> healthcare procedures is one of the weaknesses (Kristensen et al., 2017). Although school education has enabled the development of theoretical knowledge on healthcare principles, it is important to have more practical experiences to be able to put the knowledge into practice without fear in the clinical setup. Experience is a key element of competence development and a guarantee that medical workers are able to fulfill their functions safely and efficiently (</w:t>
      </w:r>
      <w:proofErr w:type="spellStart"/>
      <w:r w:rsidRPr="003129FD">
        <w:rPr>
          <w:rFonts w:ascii="Arial" w:eastAsia="Calibri" w:hAnsi="Arial"/>
        </w:rPr>
        <w:t>Alarjani</w:t>
      </w:r>
      <w:proofErr w:type="spellEnd"/>
      <w:r w:rsidRPr="003129FD">
        <w:rPr>
          <w:rFonts w:ascii="Arial" w:eastAsia="Calibri" w:hAnsi="Arial"/>
        </w:rPr>
        <w:t xml:space="preserve"> et al., 2021).</w:t>
      </w:r>
    </w:p>
    <w:p w14:paraId="1E94FA98"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 xml:space="preserve">The other aspect that needs to be improved is time management in stressful environments. Healthcare workers have to deal with multiple tasks simultaneously such as patient monitoring, documentation and emergency responses (Kim et al., 2023). Enhancement of </w:t>
      </w:r>
      <w:proofErr w:type="spellStart"/>
      <w:r w:rsidRPr="003129FD">
        <w:rPr>
          <w:rFonts w:ascii="Arial" w:eastAsia="Calibri" w:hAnsi="Arial"/>
        </w:rPr>
        <w:t>prioritisation</w:t>
      </w:r>
      <w:proofErr w:type="spellEnd"/>
      <w:r w:rsidRPr="003129FD">
        <w:rPr>
          <w:rFonts w:ascii="Arial" w:eastAsia="Calibri" w:hAnsi="Arial"/>
        </w:rPr>
        <w:t xml:space="preserve"> and </w:t>
      </w:r>
      <w:proofErr w:type="spellStart"/>
      <w:r w:rsidRPr="003129FD">
        <w:rPr>
          <w:rFonts w:ascii="Arial" w:eastAsia="Calibri" w:hAnsi="Arial"/>
        </w:rPr>
        <w:t>organisational</w:t>
      </w:r>
      <w:proofErr w:type="spellEnd"/>
      <w:r w:rsidRPr="003129FD">
        <w:rPr>
          <w:rFonts w:ascii="Arial" w:eastAsia="Calibri" w:hAnsi="Arial"/>
        </w:rPr>
        <w:t xml:space="preserve"> abilities will assist in ensuring that job is done efficiently and high quality of patient care is provided.</w:t>
      </w:r>
    </w:p>
    <w:p w14:paraId="545E68DE"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Another aspect of weakness is associated with trust in professional decision. Some medical workers at an early career stage rely much on supervision in making clinical judgments (</w:t>
      </w:r>
      <w:proofErr w:type="spellStart"/>
      <w:r w:rsidRPr="003129FD">
        <w:rPr>
          <w:rFonts w:ascii="Arial" w:eastAsia="Calibri" w:hAnsi="Arial"/>
        </w:rPr>
        <w:t>Souvatzi</w:t>
      </w:r>
      <w:proofErr w:type="spellEnd"/>
      <w:r w:rsidRPr="003129FD">
        <w:rPr>
          <w:rFonts w:ascii="Arial" w:eastAsia="Calibri" w:hAnsi="Arial"/>
        </w:rPr>
        <w:t xml:space="preserve"> et al., 2024). The safe practice will require supervision, but the future of independent professional practice will be the development of more confidence through training and supervised practice.</w:t>
      </w:r>
    </w:p>
    <w:p w14:paraId="44E9E9B6"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Opportunities</w:t>
      </w:r>
    </w:p>
    <w:p w14:paraId="5CB7B585"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 xml:space="preserve">Professional development can be supported by a variety of opportunities and can be promoted to increase employability. Professional healthcare training </w:t>
      </w:r>
      <w:proofErr w:type="spellStart"/>
      <w:r w:rsidRPr="003129FD">
        <w:rPr>
          <w:rFonts w:ascii="Arial" w:eastAsia="Calibri" w:hAnsi="Arial"/>
        </w:rPr>
        <w:t>programmes</w:t>
      </w:r>
      <w:proofErr w:type="spellEnd"/>
      <w:r w:rsidRPr="003129FD">
        <w:rPr>
          <w:rFonts w:ascii="Arial" w:eastAsia="Calibri" w:hAnsi="Arial"/>
        </w:rPr>
        <w:t xml:space="preserve"> and skills development workshops are one of the opportunities (Coates and </w:t>
      </w:r>
      <w:proofErr w:type="spellStart"/>
      <w:r w:rsidRPr="003129FD">
        <w:rPr>
          <w:rFonts w:ascii="Arial" w:eastAsia="Calibri" w:hAnsi="Arial"/>
        </w:rPr>
        <w:t>Clerke</w:t>
      </w:r>
      <w:proofErr w:type="spellEnd"/>
      <w:r w:rsidRPr="003129FD">
        <w:rPr>
          <w:rFonts w:ascii="Arial" w:eastAsia="Calibri" w:hAnsi="Arial"/>
        </w:rPr>
        <w:t xml:space="preserve">, 2020). Such </w:t>
      </w:r>
      <w:proofErr w:type="spellStart"/>
      <w:r w:rsidRPr="003129FD">
        <w:rPr>
          <w:rFonts w:ascii="Arial" w:eastAsia="Calibri" w:hAnsi="Arial"/>
        </w:rPr>
        <w:t>programmes</w:t>
      </w:r>
      <w:proofErr w:type="spellEnd"/>
      <w:r w:rsidRPr="003129FD">
        <w:rPr>
          <w:rFonts w:ascii="Arial" w:eastAsia="Calibri" w:hAnsi="Arial"/>
        </w:rPr>
        <w:t xml:space="preserve"> enable participants to acquire clinical expertise, clinical communication skills and awareness of healthcare laws.</w:t>
      </w:r>
    </w:p>
    <w:p w14:paraId="0EBB9752"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lastRenderedPageBreak/>
        <w:t>The other opportunity is the alumni can use clinical placements or volunteer jobs in healthcare organisations. These experiences will give them good exposure to actual healthcare settings and enable them to witness professional practices (</w:t>
      </w:r>
      <w:proofErr w:type="spellStart"/>
      <w:r w:rsidRPr="003129FD">
        <w:rPr>
          <w:rFonts w:ascii="Arial" w:eastAsia="Calibri" w:hAnsi="Arial"/>
        </w:rPr>
        <w:t>Strkljevic</w:t>
      </w:r>
      <w:proofErr w:type="spellEnd"/>
      <w:r w:rsidRPr="003129FD">
        <w:rPr>
          <w:rFonts w:ascii="Arial" w:eastAsia="Calibri" w:hAnsi="Arial"/>
        </w:rPr>
        <w:t xml:space="preserve"> et al., 2024). Volunteering can also show commitment to the profession and enhance employability in seeking healthcare positions.</w:t>
      </w:r>
    </w:p>
    <w:p w14:paraId="4DA8DCC3"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Skills development is also possible because of technological advances in the healthcare field. Electronic patient records and telemedicine are becoming more widespread as well as digital healthcare systems (Singh et al., 2022). Digital literacy will thus enable medical workers to stay valuable and flexible in the contemporary healthcare setting.</w:t>
      </w:r>
    </w:p>
    <w:p w14:paraId="6229F29D"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Threats</w:t>
      </w:r>
    </w:p>
    <w:p w14:paraId="7E4D5FB3"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Career progression may also be affected by external issues. The high competition in the healthcare job market is one of the threats that might arise (</w:t>
      </w:r>
      <w:proofErr w:type="spellStart"/>
      <w:r w:rsidRPr="003129FD">
        <w:rPr>
          <w:rFonts w:ascii="Arial" w:eastAsia="Calibri" w:hAnsi="Arial"/>
        </w:rPr>
        <w:t>Garattini</w:t>
      </w:r>
      <w:proofErr w:type="spellEnd"/>
      <w:r w:rsidRPr="003129FD">
        <w:rPr>
          <w:rFonts w:ascii="Arial" w:eastAsia="Calibri" w:hAnsi="Arial"/>
        </w:rPr>
        <w:t xml:space="preserve"> and Padula, 2019). In the healthcare field, there are a lot of people who want to work, which is why the employers in this sector tend to seek people who possess powerful talents, appropriate experience and professional loyalty.</w:t>
      </w:r>
    </w:p>
    <w:p w14:paraId="795D6117"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The other difficulty is the emotional workload of healthcare provisions. There are people who are usually supported in order to alleviate pain or distress by healthcare professionals (Naggar et al., 2025). The emotional pressures can affect the well-being and the work performance unless the individual employs effective coping mechanisms and resilience.</w:t>
      </w:r>
    </w:p>
    <w:p w14:paraId="0E62B45B"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Readiness for Employability Evidence</w:t>
      </w:r>
    </w:p>
    <w:p w14:paraId="7BADCA6A"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Employment preparedness can be manifested by both school education and work experiences and personal growth (Farahmand et al., 2022). Scholarly research has given the necessary information that is connected with patient safety, ethical practice and professional communication. This theoretical knowledge contributes towards the provision of effective and safe healthcare services.</w:t>
      </w:r>
    </w:p>
    <w:p w14:paraId="553B5006"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Transferable skills like problem-solving, communication, and teamwork have been enhanced by the experiences interacting with people of different backgrounds. These competencies are good in the medical field where they need interpersonal skills and cultural sensitivity.</w:t>
      </w:r>
    </w:p>
    <w:p w14:paraId="5F79D869"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lastRenderedPageBreak/>
        <w:t>Employability readiness has also been achieved through participation in workshops and collaboration learning (</w:t>
      </w:r>
      <w:proofErr w:type="spellStart"/>
      <w:r w:rsidRPr="003129FD">
        <w:rPr>
          <w:rFonts w:ascii="Arial" w:eastAsia="Calibri" w:hAnsi="Arial"/>
        </w:rPr>
        <w:t>Leadbeatter</w:t>
      </w:r>
      <w:proofErr w:type="spellEnd"/>
      <w:r w:rsidRPr="003129FD">
        <w:rPr>
          <w:rFonts w:ascii="Arial" w:eastAsia="Calibri" w:hAnsi="Arial"/>
        </w:rPr>
        <w:t xml:space="preserve"> et al., 2023). These activities enable people to communicate professionally and work in a team and build confidence in their skills. Professional skills will be reinforced through continuous reflection and participation in learning opportunities that will help people work in the healthcare sector in the future.</w:t>
      </w:r>
    </w:p>
    <w:p w14:paraId="60701301" w14:textId="77777777" w:rsidR="003129FD" w:rsidRPr="003129FD" w:rsidRDefault="003129FD" w:rsidP="003129FD">
      <w:pPr>
        <w:pStyle w:val="Heading1"/>
        <w:spacing w:line="360" w:lineRule="auto"/>
        <w:jc w:val="both"/>
        <w:rPr>
          <w:rFonts w:ascii="Arial" w:hAnsi="Arial" w:cs="Arial"/>
          <w:b/>
          <w:color w:val="000000"/>
          <w:kern w:val="36"/>
          <w:sz w:val="22"/>
          <w:szCs w:val="22"/>
        </w:rPr>
      </w:pPr>
      <w:bookmarkStart w:id="3" w:name="_Toc224757057"/>
      <w:bookmarkStart w:id="4" w:name="_Toc224870160"/>
      <w:bookmarkEnd w:id="3"/>
      <w:r w:rsidRPr="003129FD">
        <w:rPr>
          <w:rFonts w:ascii="Arial" w:hAnsi="Arial" w:cs="Arial"/>
          <w:b/>
          <w:color w:val="000000"/>
          <w:kern w:val="36"/>
          <w:sz w:val="22"/>
          <w:szCs w:val="22"/>
        </w:rPr>
        <w:t>Task 3: Employment Goals and Personal Development Plan</w:t>
      </w:r>
      <w:bookmarkEnd w:id="4"/>
    </w:p>
    <w:p w14:paraId="4695E58E"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Self-Assessment</w:t>
      </w:r>
    </w:p>
    <w:p w14:paraId="7F944A67"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Some strengths identified during the SWOT analysis in Task 2 include communication skills, teamwork and adaptability that one can use to work in the healthcare setting. Nevertheless, it also revealed the areas of need of development. Those are acquiring a more practical experience in the clinical area, better management of time, pressure, and gaining more confidence in making professional decisions. It is necessary to address these areas in order to improve the employability and prepare well to become a professional in healthcare.</w:t>
      </w:r>
    </w:p>
    <w:p w14:paraId="76F75F1B"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Career Goals</w:t>
      </w:r>
    </w:p>
    <w:p w14:paraId="0B087B3C"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Short-Term Goals (6–12 months)</w:t>
      </w:r>
    </w:p>
    <w:p w14:paraId="5F6C59FA"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The main short-term objective is to gain practical experience in a healthcare setting, including serving as a healthcare assistant or performing voluntary work in a hospital or other facility in the community care setting. This will enable the acquisition of clinical skills and enhance the knowledge of patient care processes and confidence in dealing with patients and other medical practitioners.</w:t>
      </w:r>
    </w:p>
    <w:p w14:paraId="5AC4B9F7"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Long-Term Goals (2–5 years)</w:t>
      </w:r>
    </w:p>
    <w:p w14:paraId="481F1305" w14:textId="77777777" w:rsidR="003129FD" w:rsidRPr="003129FD" w:rsidRDefault="003129FD" w:rsidP="003129FD">
      <w:pPr>
        <w:spacing w:line="360" w:lineRule="auto"/>
        <w:jc w:val="both"/>
        <w:rPr>
          <w:rFonts w:ascii="Arial" w:eastAsia="Calibri" w:hAnsi="Arial"/>
        </w:rPr>
      </w:pPr>
      <w:r w:rsidRPr="003129FD">
        <w:rPr>
          <w:rFonts w:ascii="Arial" w:eastAsia="Calibri" w:hAnsi="Arial"/>
        </w:rPr>
        <w:t>The vision is to graduate as a qualified nursing professional in the UK healthcare system. To meet this objective, additional professional qualifications will be the way to go, acquisition of clinical competence, and making constant contributions to the knowledge and skills of health care.</w:t>
      </w:r>
    </w:p>
    <w:p w14:paraId="6B297BEF"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Development Objectives</w:t>
      </w:r>
    </w:p>
    <w:tbl>
      <w:tblPr>
        <w:tblStyle w:val="GridTable1Light-Accent41"/>
        <w:tblW w:w="0" w:type="auto"/>
        <w:tblInd w:w="0" w:type="dxa"/>
        <w:tblLook w:val="04A0" w:firstRow="1" w:lastRow="0" w:firstColumn="1" w:lastColumn="0" w:noHBand="0" w:noVBand="1"/>
      </w:tblPr>
      <w:tblGrid>
        <w:gridCol w:w="1609"/>
        <w:gridCol w:w="1764"/>
        <w:gridCol w:w="2421"/>
        <w:gridCol w:w="2505"/>
        <w:gridCol w:w="1051"/>
      </w:tblGrid>
      <w:tr w:rsidR="003129FD" w:rsidRPr="003129FD" w14:paraId="4F398629" w14:textId="77777777" w:rsidTr="003129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FE599"/>
              <w:left w:val="single" w:sz="4" w:space="0" w:color="FFE599"/>
              <w:right w:val="single" w:sz="4" w:space="0" w:color="FFE599"/>
            </w:tcBorders>
            <w:hideMark/>
          </w:tcPr>
          <w:p w14:paraId="318466DA" w14:textId="77777777" w:rsidR="003129FD" w:rsidRPr="003129FD" w:rsidRDefault="003129FD" w:rsidP="003129FD">
            <w:pPr>
              <w:spacing w:line="360" w:lineRule="auto"/>
              <w:jc w:val="both"/>
              <w:rPr>
                <w:rFonts w:ascii="Arial" w:eastAsia="Calibri" w:hAnsi="Arial"/>
                <w:b w:val="0"/>
                <w:sz w:val="22"/>
                <w:szCs w:val="22"/>
              </w:rPr>
            </w:pPr>
            <w:r w:rsidRPr="003129FD">
              <w:rPr>
                <w:rFonts w:ascii="Arial" w:eastAsia="Calibri" w:hAnsi="Arial"/>
                <w:b w:val="0"/>
                <w:sz w:val="22"/>
                <w:szCs w:val="22"/>
              </w:rPr>
              <w:t>Development Area</w:t>
            </w:r>
          </w:p>
        </w:tc>
        <w:tc>
          <w:tcPr>
            <w:tcW w:w="0" w:type="auto"/>
            <w:tcBorders>
              <w:top w:val="single" w:sz="4" w:space="0" w:color="FFE599"/>
              <w:left w:val="single" w:sz="4" w:space="0" w:color="FFE599"/>
              <w:right w:val="single" w:sz="4" w:space="0" w:color="FFE599"/>
            </w:tcBorders>
            <w:hideMark/>
          </w:tcPr>
          <w:p w14:paraId="3F6A89BE" w14:textId="77777777" w:rsidR="003129FD" w:rsidRPr="003129FD" w:rsidRDefault="003129FD" w:rsidP="003129F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b w:val="0"/>
                <w:bCs w:val="0"/>
                <w:sz w:val="22"/>
                <w:szCs w:val="22"/>
              </w:rPr>
            </w:pPr>
            <w:r w:rsidRPr="003129FD">
              <w:rPr>
                <w:rFonts w:ascii="Arial" w:eastAsia="Calibri" w:hAnsi="Arial"/>
                <w:b w:val="0"/>
                <w:sz w:val="22"/>
                <w:szCs w:val="22"/>
              </w:rPr>
              <w:t>Objective</w:t>
            </w:r>
          </w:p>
        </w:tc>
        <w:tc>
          <w:tcPr>
            <w:tcW w:w="0" w:type="auto"/>
            <w:tcBorders>
              <w:top w:val="single" w:sz="4" w:space="0" w:color="FFE599"/>
              <w:left w:val="single" w:sz="4" w:space="0" w:color="FFE599"/>
              <w:right w:val="single" w:sz="4" w:space="0" w:color="FFE599"/>
            </w:tcBorders>
            <w:hideMark/>
          </w:tcPr>
          <w:p w14:paraId="753321FA" w14:textId="77777777" w:rsidR="003129FD" w:rsidRPr="003129FD" w:rsidRDefault="003129FD" w:rsidP="003129F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b w:val="0"/>
                <w:sz w:val="22"/>
                <w:szCs w:val="22"/>
              </w:rPr>
            </w:pPr>
            <w:r w:rsidRPr="003129FD">
              <w:rPr>
                <w:rFonts w:ascii="Arial" w:eastAsia="Calibri" w:hAnsi="Arial"/>
                <w:b w:val="0"/>
                <w:sz w:val="22"/>
                <w:szCs w:val="22"/>
              </w:rPr>
              <w:t>Action Steps</w:t>
            </w:r>
          </w:p>
        </w:tc>
        <w:tc>
          <w:tcPr>
            <w:tcW w:w="0" w:type="auto"/>
            <w:tcBorders>
              <w:top w:val="single" w:sz="4" w:space="0" w:color="FFE599"/>
              <w:left w:val="single" w:sz="4" w:space="0" w:color="FFE599"/>
              <w:right w:val="single" w:sz="4" w:space="0" w:color="FFE599"/>
            </w:tcBorders>
            <w:hideMark/>
          </w:tcPr>
          <w:p w14:paraId="45AB597F" w14:textId="77777777" w:rsidR="003129FD" w:rsidRPr="003129FD" w:rsidRDefault="003129FD" w:rsidP="003129F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b w:val="0"/>
                <w:sz w:val="22"/>
                <w:szCs w:val="22"/>
              </w:rPr>
            </w:pPr>
            <w:r w:rsidRPr="003129FD">
              <w:rPr>
                <w:rFonts w:ascii="Arial" w:eastAsia="Calibri" w:hAnsi="Arial"/>
                <w:b w:val="0"/>
                <w:sz w:val="22"/>
                <w:szCs w:val="22"/>
              </w:rPr>
              <w:t>Resources/Support Needed</w:t>
            </w:r>
          </w:p>
        </w:tc>
        <w:tc>
          <w:tcPr>
            <w:tcW w:w="0" w:type="auto"/>
            <w:tcBorders>
              <w:top w:val="single" w:sz="4" w:space="0" w:color="FFE599"/>
              <w:left w:val="single" w:sz="4" w:space="0" w:color="FFE599"/>
              <w:right w:val="single" w:sz="4" w:space="0" w:color="FFE599"/>
            </w:tcBorders>
            <w:hideMark/>
          </w:tcPr>
          <w:p w14:paraId="599549B5" w14:textId="77777777" w:rsidR="003129FD" w:rsidRPr="003129FD" w:rsidRDefault="003129FD" w:rsidP="003129F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Calibri" w:hAnsi="Arial"/>
                <w:b w:val="0"/>
                <w:sz w:val="22"/>
                <w:szCs w:val="22"/>
              </w:rPr>
            </w:pPr>
            <w:r w:rsidRPr="003129FD">
              <w:rPr>
                <w:rFonts w:ascii="Arial" w:eastAsia="Calibri" w:hAnsi="Arial"/>
                <w:b w:val="0"/>
                <w:sz w:val="22"/>
                <w:szCs w:val="22"/>
              </w:rPr>
              <w:t>Target Date</w:t>
            </w:r>
          </w:p>
        </w:tc>
      </w:tr>
      <w:tr w:rsidR="003129FD" w:rsidRPr="003129FD" w14:paraId="1A0C552C" w14:textId="77777777" w:rsidTr="003129F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FE599"/>
              <w:left w:val="single" w:sz="4" w:space="0" w:color="FFE599"/>
              <w:bottom w:val="single" w:sz="4" w:space="0" w:color="FFE599"/>
              <w:right w:val="single" w:sz="4" w:space="0" w:color="FFE599"/>
            </w:tcBorders>
            <w:hideMark/>
          </w:tcPr>
          <w:p w14:paraId="6CDCB1D4" w14:textId="77777777" w:rsidR="003129FD" w:rsidRPr="003129FD" w:rsidRDefault="003129FD" w:rsidP="003129FD">
            <w:pPr>
              <w:spacing w:line="360" w:lineRule="auto"/>
              <w:jc w:val="both"/>
              <w:rPr>
                <w:rFonts w:ascii="Arial" w:eastAsia="Calibri" w:hAnsi="Arial"/>
                <w:b w:val="0"/>
                <w:sz w:val="22"/>
                <w:szCs w:val="22"/>
              </w:rPr>
            </w:pPr>
            <w:r w:rsidRPr="003129FD">
              <w:rPr>
                <w:rFonts w:ascii="Arial" w:eastAsia="Calibri" w:hAnsi="Arial"/>
                <w:b w:val="0"/>
                <w:bCs w:val="0"/>
                <w:sz w:val="22"/>
                <w:szCs w:val="22"/>
              </w:rPr>
              <w:lastRenderedPageBreak/>
              <w:t>Clinical experience</w:t>
            </w:r>
          </w:p>
        </w:tc>
        <w:tc>
          <w:tcPr>
            <w:tcW w:w="0" w:type="auto"/>
            <w:tcBorders>
              <w:top w:val="single" w:sz="4" w:space="0" w:color="FFE599"/>
              <w:left w:val="single" w:sz="4" w:space="0" w:color="FFE599"/>
              <w:bottom w:val="single" w:sz="4" w:space="0" w:color="FFE599"/>
              <w:right w:val="single" w:sz="4" w:space="0" w:color="FFE599"/>
            </w:tcBorders>
            <w:hideMark/>
          </w:tcPr>
          <w:p w14:paraId="699EF12C"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Secure working experience with patients</w:t>
            </w:r>
          </w:p>
        </w:tc>
        <w:tc>
          <w:tcPr>
            <w:tcW w:w="0" w:type="auto"/>
            <w:tcBorders>
              <w:top w:val="single" w:sz="4" w:space="0" w:color="FFE599"/>
              <w:left w:val="single" w:sz="4" w:space="0" w:color="FFE599"/>
              <w:bottom w:val="single" w:sz="4" w:space="0" w:color="FFE599"/>
              <w:right w:val="single" w:sz="4" w:space="0" w:color="FFE599"/>
            </w:tcBorders>
            <w:hideMark/>
          </w:tcPr>
          <w:p w14:paraId="11971934"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Apply to work as a healthcare assistant and take volunteer placements in care homes or hospitals (Fee et al., 2020)</w:t>
            </w:r>
          </w:p>
        </w:tc>
        <w:tc>
          <w:tcPr>
            <w:tcW w:w="0" w:type="auto"/>
            <w:tcBorders>
              <w:top w:val="single" w:sz="4" w:space="0" w:color="FFE599"/>
              <w:left w:val="single" w:sz="4" w:space="0" w:color="FFE599"/>
              <w:bottom w:val="single" w:sz="4" w:space="0" w:color="FFE599"/>
              <w:right w:val="single" w:sz="4" w:space="0" w:color="FFE599"/>
            </w:tcBorders>
            <w:hideMark/>
          </w:tcPr>
          <w:p w14:paraId="6CAE88CD"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University career services and healthcare organisations support.</w:t>
            </w:r>
          </w:p>
        </w:tc>
        <w:tc>
          <w:tcPr>
            <w:tcW w:w="0" w:type="auto"/>
            <w:tcBorders>
              <w:top w:val="single" w:sz="4" w:space="0" w:color="FFE599"/>
              <w:left w:val="single" w:sz="4" w:space="0" w:color="FFE599"/>
              <w:bottom w:val="single" w:sz="4" w:space="0" w:color="FFE599"/>
              <w:right w:val="single" w:sz="4" w:space="0" w:color="FFE599"/>
            </w:tcBorders>
            <w:hideMark/>
          </w:tcPr>
          <w:p w14:paraId="7EC3010D"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Within 6–12 months</w:t>
            </w:r>
          </w:p>
        </w:tc>
      </w:tr>
      <w:tr w:rsidR="003129FD" w:rsidRPr="003129FD" w14:paraId="0A2B341D" w14:textId="77777777" w:rsidTr="003129F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FE599"/>
              <w:left w:val="single" w:sz="4" w:space="0" w:color="FFE599"/>
              <w:bottom w:val="single" w:sz="4" w:space="0" w:color="FFE599"/>
              <w:right w:val="single" w:sz="4" w:space="0" w:color="FFE599"/>
            </w:tcBorders>
            <w:hideMark/>
          </w:tcPr>
          <w:p w14:paraId="662C3FCA" w14:textId="77777777" w:rsidR="003129FD" w:rsidRPr="003129FD" w:rsidRDefault="003129FD" w:rsidP="003129FD">
            <w:pPr>
              <w:spacing w:line="360" w:lineRule="auto"/>
              <w:jc w:val="both"/>
              <w:rPr>
                <w:rFonts w:ascii="Arial" w:eastAsia="Calibri" w:hAnsi="Arial"/>
                <w:sz w:val="22"/>
                <w:szCs w:val="22"/>
              </w:rPr>
            </w:pPr>
            <w:r w:rsidRPr="003129FD">
              <w:rPr>
                <w:rFonts w:ascii="Arial" w:eastAsia="Calibri" w:hAnsi="Arial"/>
                <w:b w:val="0"/>
                <w:bCs w:val="0"/>
                <w:sz w:val="22"/>
                <w:szCs w:val="22"/>
              </w:rPr>
              <w:t>Time management</w:t>
            </w:r>
          </w:p>
        </w:tc>
        <w:tc>
          <w:tcPr>
            <w:tcW w:w="0" w:type="auto"/>
            <w:tcBorders>
              <w:top w:val="single" w:sz="4" w:space="0" w:color="FFE599"/>
              <w:left w:val="single" w:sz="4" w:space="0" w:color="FFE599"/>
              <w:bottom w:val="single" w:sz="4" w:space="0" w:color="FFE599"/>
              <w:right w:val="single" w:sz="4" w:space="0" w:color="FFE599"/>
            </w:tcBorders>
            <w:hideMark/>
          </w:tcPr>
          <w:p w14:paraId="4A981B2C"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Enhance priority setting skills in time-constrained settings</w:t>
            </w:r>
          </w:p>
        </w:tc>
        <w:tc>
          <w:tcPr>
            <w:tcW w:w="0" w:type="auto"/>
            <w:tcBorders>
              <w:top w:val="single" w:sz="4" w:space="0" w:color="FFE599"/>
              <w:left w:val="single" w:sz="4" w:space="0" w:color="FFE599"/>
              <w:bottom w:val="single" w:sz="4" w:space="0" w:color="FFE599"/>
              <w:right w:val="single" w:sz="4" w:space="0" w:color="FFE599"/>
            </w:tcBorders>
            <w:hideMark/>
          </w:tcPr>
          <w:p w14:paraId="48574B50"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 xml:space="preserve">Use time scheduling, attend time-management courses and train on </w:t>
            </w:r>
            <w:proofErr w:type="spellStart"/>
            <w:r w:rsidRPr="003129FD">
              <w:rPr>
                <w:rFonts w:ascii="Arial" w:eastAsia="Calibri" w:hAnsi="Arial"/>
                <w:sz w:val="22"/>
                <w:szCs w:val="22"/>
              </w:rPr>
              <w:t>prioritisation</w:t>
            </w:r>
            <w:proofErr w:type="spellEnd"/>
            <w:r w:rsidRPr="003129FD">
              <w:rPr>
                <w:rFonts w:ascii="Arial" w:eastAsia="Calibri" w:hAnsi="Arial"/>
                <w:sz w:val="22"/>
                <w:szCs w:val="22"/>
              </w:rPr>
              <w:t xml:space="preserve"> skills.</w:t>
            </w:r>
          </w:p>
        </w:tc>
        <w:tc>
          <w:tcPr>
            <w:tcW w:w="0" w:type="auto"/>
            <w:tcBorders>
              <w:top w:val="single" w:sz="4" w:space="0" w:color="FFE599"/>
              <w:left w:val="single" w:sz="4" w:space="0" w:color="FFE599"/>
              <w:bottom w:val="single" w:sz="4" w:space="0" w:color="FFE599"/>
              <w:right w:val="single" w:sz="4" w:space="0" w:color="FFE599"/>
            </w:tcBorders>
            <w:hideMark/>
          </w:tcPr>
          <w:p w14:paraId="57F11E38"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University workshops and mentor guidance</w:t>
            </w:r>
          </w:p>
        </w:tc>
        <w:tc>
          <w:tcPr>
            <w:tcW w:w="0" w:type="auto"/>
            <w:tcBorders>
              <w:top w:val="single" w:sz="4" w:space="0" w:color="FFE599"/>
              <w:left w:val="single" w:sz="4" w:space="0" w:color="FFE599"/>
              <w:bottom w:val="single" w:sz="4" w:space="0" w:color="FFE599"/>
              <w:right w:val="single" w:sz="4" w:space="0" w:color="FFE599"/>
            </w:tcBorders>
            <w:hideMark/>
          </w:tcPr>
          <w:p w14:paraId="5821223C"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Within 6 months</w:t>
            </w:r>
          </w:p>
        </w:tc>
      </w:tr>
      <w:tr w:rsidR="003129FD" w:rsidRPr="003129FD" w14:paraId="4DBB1656" w14:textId="77777777" w:rsidTr="003129F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FE599"/>
              <w:left w:val="single" w:sz="4" w:space="0" w:color="FFE599"/>
              <w:bottom w:val="single" w:sz="4" w:space="0" w:color="FFE599"/>
              <w:right w:val="single" w:sz="4" w:space="0" w:color="FFE599"/>
            </w:tcBorders>
            <w:hideMark/>
          </w:tcPr>
          <w:p w14:paraId="367AE79F" w14:textId="77777777" w:rsidR="003129FD" w:rsidRPr="003129FD" w:rsidRDefault="003129FD" w:rsidP="003129FD">
            <w:pPr>
              <w:spacing w:line="360" w:lineRule="auto"/>
              <w:jc w:val="both"/>
              <w:rPr>
                <w:rFonts w:ascii="Arial" w:eastAsia="Calibri" w:hAnsi="Arial"/>
                <w:sz w:val="22"/>
                <w:szCs w:val="22"/>
              </w:rPr>
            </w:pPr>
            <w:r w:rsidRPr="003129FD">
              <w:rPr>
                <w:rFonts w:ascii="Arial" w:eastAsia="Calibri" w:hAnsi="Arial"/>
                <w:b w:val="0"/>
                <w:bCs w:val="0"/>
                <w:sz w:val="22"/>
                <w:szCs w:val="22"/>
              </w:rPr>
              <w:t>Professional confidence</w:t>
            </w:r>
          </w:p>
        </w:tc>
        <w:tc>
          <w:tcPr>
            <w:tcW w:w="0" w:type="auto"/>
            <w:tcBorders>
              <w:top w:val="single" w:sz="4" w:space="0" w:color="FFE599"/>
              <w:left w:val="single" w:sz="4" w:space="0" w:color="FFE599"/>
              <w:bottom w:val="single" w:sz="4" w:space="0" w:color="FFE599"/>
              <w:right w:val="single" w:sz="4" w:space="0" w:color="FFE599"/>
            </w:tcBorders>
            <w:hideMark/>
          </w:tcPr>
          <w:p w14:paraId="24148340"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Gain confidence in clinical decision-making</w:t>
            </w:r>
          </w:p>
        </w:tc>
        <w:tc>
          <w:tcPr>
            <w:tcW w:w="0" w:type="auto"/>
            <w:tcBorders>
              <w:top w:val="single" w:sz="4" w:space="0" w:color="FFE599"/>
              <w:left w:val="single" w:sz="4" w:space="0" w:color="FFE599"/>
              <w:bottom w:val="single" w:sz="4" w:space="0" w:color="FFE599"/>
              <w:right w:val="single" w:sz="4" w:space="0" w:color="FFE599"/>
            </w:tcBorders>
            <w:hideMark/>
          </w:tcPr>
          <w:p w14:paraId="41FBE27A"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Participate in training, observe senior healthcare clinicians and seek feedback (Alanazi et al., 2017).</w:t>
            </w:r>
          </w:p>
        </w:tc>
        <w:tc>
          <w:tcPr>
            <w:tcW w:w="0" w:type="auto"/>
            <w:tcBorders>
              <w:top w:val="single" w:sz="4" w:space="0" w:color="FFE599"/>
              <w:left w:val="single" w:sz="4" w:space="0" w:color="FFE599"/>
              <w:bottom w:val="single" w:sz="4" w:space="0" w:color="FFE599"/>
              <w:right w:val="single" w:sz="4" w:space="0" w:color="FFE599"/>
            </w:tcBorders>
            <w:hideMark/>
          </w:tcPr>
          <w:p w14:paraId="772C2CF2"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 xml:space="preserve">Mentors, professional training </w:t>
            </w:r>
            <w:proofErr w:type="spellStart"/>
            <w:r w:rsidRPr="003129FD">
              <w:rPr>
                <w:rFonts w:ascii="Arial" w:eastAsia="Calibri" w:hAnsi="Arial"/>
                <w:sz w:val="22"/>
                <w:szCs w:val="22"/>
              </w:rPr>
              <w:t>programmes</w:t>
            </w:r>
            <w:proofErr w:type="spellEnd"/>
            <w:r w:rsidRPr="003129FD">
              <w:rPr>
                <w:rFonts w:ascii="Arial" w:eastAsia="Calibri" w:hAnsi="Arial"/>
                <w:sz w:val="22"/>
                <w:szCs w:val="22"/>
              </w:rPr>
              <w:t xml:space="preserve"> and supervisors.</w:t>
            </w:r>
          </w:p>
        </w:tc>
        <w:tc>
          <w:tcPr>
            <w:tcW w:w="0" w:type="auto"/>
            <w:tcBorders>
              <w:top w:val="single" w:sz="4" w:space="0" w:color="FFE599"/>
              <w:left w:val="single" w:sz="4" w:space="0" w:color="FFE599"/>
              <w:bottom w:val="single" w:sz="4" w:space="0" w:color="FFE599"/>
              <w:right w:val="single" w:sz="4" w:space="0" w:color="FFE599"/>
            </w:tcBorders>
            <w:hideMark/>
          </w:tcPr>
          <w:p w14:paraId="74C53CD1" w14:textId="77777777" w:rsidR="003129FD" w:rsidRPr="003129FD" w:rsidRDefault="003129FD" w:rsidP="003129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sz w:val="22"/>
                <w:szCs w:val="22"/>
              </w:rPr>
            </w:pPr>
            <w:r w:rsidRPr="003129FD">
              <w:rPr>
                <w:rFonts w:ascii="Arial" w:eastAsia="Calibri" w:hAnsi="Arial"/>
                <w:sz w:val="22"/>
                <w:szCs w:val="22"/>
              </w:rPr>
              <w:t>Within 12 months</w:t>
            </w:r>
          </w:p>
        </w:tc>
      </w:tr>
    </w:tbl>
    <w:p w14:paraId="1D54B730"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 xml:space="preserve"> </w:t>
      </w:r>
    </w:p>
    <w:p w14:paraId="56046D06"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 xml:space="preserve"> </w:t>
      </w:r>
    </w:p>
    <w:p w14:paraId="02D76F0D"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 xml:space="preserve"> </w:t>
      </w:r>
    </w:p>
    <w:p w14:paraId="1DCC0078"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 xml:space="preserve"> </w:t>
      </w:r>
    </w:p>
    <w:p w14:paraId="363ABEA8"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 xml:space="preserve"> </w:t>
      </w:r>
    </w:p>
    <w:p w14:paraId="06B11351"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 xml:space="preserve"> </w:t>
      </w:r>
    </w:p>
    <w:p w14:paraId="523ECD90"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 xml:space="preserve"> </w:t>
      </w:r>
    </w:p>
    <w:p w14:paraId="4E60DD8F" w14:textId="77777777" w:rsidR="003129FD" w:rsidRPr="003129FD" w:rsidRDefault="003129FD" w:rsidP="003129FD">
      <w:pPr>
        <w:spacing w:line="360" w:lineRule="auto"/>
        <w:jc w:val="both"/>
        <w:rPr>
          <w:rFonts w:ascii="Arial" w:eastAsia="Calibri" w:hAnsi="Arial"/>
          <w:b/>
        </w:rPr>
      </w:pPr>
      <w:r w:rsidRPr="003129FD">
        <w:rPr>
          <w:rFonts w:ascii="Arial" w:eastAsia="Calibri" w:hAnsi="Arial"/>
          <w:b/>
        </w:rPr>
        <w:t xml:space="preserve"> </w:t>
      </w:r>
    </w:p>
    <w:p w14:paraId="53E3C99B" w14:textId="37E90667" w:rsidR="003129FD" w:rsidRPr="003129FD" w:rsidRDefault="003129FD" w:rsidP="003129FD">
      <w:pPr>
        <w:spacing w:line="360" w:lineRule="auto"/>
        <w:jc w:val="both"/>
        <w:rPr>
          <w:rFonts w:ascii="Arial" w:eastAsia="Calibri" w:hAnsi="Arial"/>
          <w:b/>
        </w:rPr>
      </w:pPr>
      <w:r w:rsidRPr="003129FD">
        <w:rPr>
          <w:rFonts w:ascii="Arial" w:eastAsia="Calibri" w:hAnsi="Arial"/>
          <w:b/>
        </w:rPr>
        <w:t xml:space="preserve"> </w:t>
      </w:r>
    </w:p>
    <w:p w14:paraId="64BA2C41" w14:textId="77777777" w:rsidR="003129FD" w:rsidRPr="003129FD" w:rsidRDefault="003129FD" w:rsidP="003129FD">
      <w:pPr>
        <w:pStyle w:val="Heading1"/>
        <w:spacing w:line="360" w:lineRule="auto"/>
        <w:jc w:val="both"/>
        <w:rPr>
          <w:rFonts w:ascii="Arial" w:hAnsi="Arial" w:cs="Arial"/>
          <w:b/>
          <w:color w:val="000000"/>
          <w:kern w:val="36"/>
          <w:sz w:val="22"/>
          <w:szCs w:val="22"/>
        </w:rPr>
      </w:pPr>
      <w:bookmarkStart w:id="5" w:name="_Toc224757058"/>
      <w:bookmarkStart w:id="6" w:name="_Toc224870161"/>
      <w:bookmarkEnd w:id="5"/>
      <w:r w:rsidRPr="003129FD">
        <w:rPr>
          <w:rFonts w:ascii="Arial" w:hAnsi="Arial" w:cs="Arial"/>
          <w:b/>
          <w:color w:val="000000"/>
          <w:kern w:val="36"/>
          <w:sz w:val="22"/>
          <w:szCs w:val="22"/>
        </w:rPr>
        <w:lastRenderedPageBreak/>
        <w:t>References</w:t>
      </w:r>
      <w:bookmarkEnd w:id="6"/>
    </w:p>
    <w:p w14:paraId="5540977F" w14:textId="77777777" w:rsidR="003129FD" w:rsidRPr="003129FD" w:rsidRDefault="003129FD" w:rsidP="003129FD">
      <w:pPr>
        <w:spacing w:after="0"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Alanazi, A.A., Nicholson, N. and Thomas, S., 2017. The use of simulation training to improve knowledge, skills, and confidence among healthcare students: a systematic review. </w:t>
      </w:r>
      <w:r w:rsidRPr="003129FD">
        <w:rPr>
          <w:rFonts w:ascii="Arial" w:eastAsia="Calibri" w:hAnsi="Arial"/>
          <w:i/>
          <w:iCs/>
          <w:color w:val="222222"/>
          <w:shd w:val="clear" w:color="auto" w:fill="FFFFFF"/>
        </w:rPr>
        <w:t>Internet Journal of Allied Health Sciences and Practice</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15</w:t>
      </w:r>
      <w:r w:rsidRPr="003129FD">
        <w:rPr>
          <w:rFonts w:ascii="Arial" w:eastAsia="Calibri" w:hAnsi="Arial"/>
          <w:color w:val="222222"/>
          <w:shd w:val="clear" w:color="auto" w:fill="FFFFFF"/>
        </w:rPr>
        <w:t>(3), p.2.</w:t>
      </w:r>
    </w:p>
    <w:p w14:paraId="2A00D3D5" w14:textId="77777777" w:rsidR="003129FD" w:rsidRPr="003129FD" w:rsidRDefault="003129FD" w:rsidP="003129FD">
      <w:pPr>
        <w:spacing w:after="100" w:afterAutospacing="1" w:line="360" w:lineRule="auto"/>
        <w:ind w:left="720" w:hanging="720"/>
        <w:jc w:val="both"/>
        <w:rPr>
          <w:rFonts w:ascii="Arial" w:eastAsia="Calibri" w:hAnsi="Arial"/>
          <w:color w:val="222222"/>
          <w:shd w:val="clear" w:color="auto" w:fill="FFFFFF"/>
        </w:rPr>
      </w:pPr>
      <w:proofErr w:type="spellStart"/>
      <w:r w:rsidRPr="003129FD">
        <w:rPr>
          <w:rFonts w:ascii="Arial" w:eastAsia="Calibri" w:hAnsi="Arial"/>
          <w:color w:val="222222"/>
          <w:shd w:val="clear" w:color="auto" w:fill="FFFFFF"/>
        </w:rPr>
        <w:t>Alarjani</w:t>
      </w:r>
      <w:proofErr w:type="spellEnd"/>
      <w:r w:rsidRPr="003129FD">
        <w:rPr>
          <w:rFonts w:ascii="Arial" w:eastAsia="Calibri" w:hAnsi="Arial"/>
          <w:color w:val="222222"/>
          <w:shd w:val="clear" w:color="auto" w:fill="FFFFFF"/>
        </w:rPr>
        <w:t xml:space="preserve">, N.O., Alharbi, N.H.M. and Alshammari, M.M., 2021. The significance of enhancing health workers' skills and knowledge in driving positive patient experiences. </w:t>
      </w:r>
      <w:r w:rsidRPr="003129FD">
        <w:rPr>
          <w:rFonts w:ascii="Arial" w:eastAsia="Calibri" w:hAnsi="Arial"/>
          <w:i/>
          <w:iCs/>
          <w:color w:val="222222"/>
          <w:shd w:val="clear" w:color="auto" w:fill="FFFFFF"/>
        </w:rPr>
        <w:t>International Journal of Health Sciences</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5</w:t>
      </w:r>
      <w:r w:rsidRPr="003129FD">
        <w:rPr>
          <w:rFonts w:ascii="Arial" w:eastAsia="Calibri" w:hAnsi="Arial"/>
          <w:color w:val="222222"/>
          <w:shd w:val="clear" w:color="auto" w:fill="FFFFFF"/>
        </w:rPr>
        <w:t>(S1), pp.1084-1093.</w:t>
      </w:r>
    </w:p>
    <w:p w14:paraId="7CCB4D0B" w14:textId="77777777" w:rsidR="003129FD" w:rsidRPr="003129FD" w:rsidRDefault="003129FD" w:rsidP="003129FD">
      <w:pPr>
        <w:spacing w:after="0"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Coates, D. and </w:t>
      </w:r>
      <w:proofErr w:type="spellStart"/>
      <w:r w:rsidRPr="003129FD">
        <w:rPr>
          <w:rFonts w:ascii="Arial" w:eastAsia="Calibri" w:hAnsi="Arial"/>
          <w:color w:val="222222"/>
          <w:shd w:val="clear" w:color="auto" w:fill="FFFFFF"/>
        </w:rPr>
        <w:t>Clerke</w:t>
      </w:r>
      <w:proofErr w:type="spellEnd"/>
      <w:r w:rsidRPr="003129FD">
        <w:rPr>
          <w:rFonts w:ascii="Arial" w:eastAsia="Calibri" w:hAnsi="Arial"/>
          <w:color w:val="222222"/>
          <w:shd w:val="clear" w:color="auto" w:fill="FFFFFF"/>
        </w:rPr>
        <w:t xml:space="preserve">, T., 2020. Training interventions to equip health care professionals with shared decision-making skills: a systematic scoping review. </w:t>
      </w:r>
      <w:r w:rsidRPr="003129FD">
        <w:rPr>
          <w:rFonts w:ascii="Arial" w:eastAsia="Calibri" w:hAnsi="Arial"/>
          <w:i/>
          <w:iCs/>
          <w:color w:val="222222"/>
          <w:shd w:val="clear" w:color="auto" w:fill="FFFFFF"/>
        </w:rPr>
        <w:t>Journal of Continuing Education in the Health Professions</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40</w:t>
      </w:r>
      <w:r w:rsidRPr="003129FD">
        <w:rPr>
          <w:rFonts w:ascii="Arial" w:eastAsia="Calibri" w:hAnsi="Arial"/>
          <w:color w:val="222222"/>
          <w:shd w:val="clear" w:color="auto" w:fill="FFFFFF"/>
        </w:rPr>
        <w:t>(2), pp.100-119.</w:t>
      </w:r>
    </w:p>
    <w:p w14:paraId="1E57A7D1" w14:textId="77777777" w:rsidR="003129FD" w:rsidRPr="003129FD" w:rsidRDefault="003129FD" w:rsidP="003129FD">
      <w:pPr>
        <w:spacing w:after="0" w:line="360" w:lineRule="auto"/>
        <w:ind w:left="720" w:hanging="720"/>
        <w:jc w:val="both"/>
        <w:rPr>
          <w:rFonts w:ascii="Arial" w:hAnsi="Arial"/>
          <w:color w:val="000000"/>
        </w:rPr>
      </w:pPr>
      <w:r w:rsidRPr="003129FD">
        <w:rPr>
          <w:rFonts w:ascii="Arial" w:eastAsia="Calibri" w:hAnsi="Arial"/>
          <w:color w:val="222222"/>
          <w:shd w:val="clear" w:color="auto" w:fill="FFFFFF"/>
        </w:rPr>
        <w:t xml:space="preserve">Farahmand, S., Rad, E.M. and Keshmiri, F., 2022. Exploring the effective elements on the personal and professional development among health-care providers: a qualitative study. </w:t>
      </w:r>
      <w:r w:rsidRPr="003129FD">
        <w:rPr>
          <w:rFonts w:ascii="Arial" w:eastAsia="Calibri" w:hAnsi="Arial"/>
          <w:i/>
          <w:iCs/>
          <w:color w:val="222222"/>
          <w:shd w:val="clear" w:color="auto" w:fill="FFFFFF"/>
        </w:rPr>
        <w:t>Journal of education and health promotion</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11</w:t>
      </w:r>
      <w:r w:rsidRPr="003129FD">
        <w:rPr>
          <w:rFonts w:ascii="Arial" w:eastAsia="Calibri" w:hAnsi="Arial"/>
          <w:color w:val="222222"/>
          <w:shd w:val="clear" w:color="auto" w:fill="FFFFFF"/>
        </w:rPr>
        <w:t>(1), p.256.</w:t>
      </w:r>
    </w:p>
    <w:p w14:paraId="23CDCA7B" w14:textId="77777777" w:rsidR="003129FD" w:rsidRPr="003129FD" w:rsidRDefault="003129FD" w:rsidP="003129FD">
      <w:pPr>
        <w:spacing w:after="0"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Fee, A., Muldrew, D., Slater, P., Payne, S., </w:t>
      </w:r>
      <w:proofErr w:type="spellStart"/>
      <w:r w:rsidRPr="003129FD">
        <w:rPr>
          <w:rFonts w:ascii="Arial" w:eastAsia="Calibri" w:hAnsi="Arial"/>
          <w:color w:val="222222"/>
          <w:shd w:val="clear" w:color="auto" w:fill="FFFFFF"/>
        </w:rPr>
        <w:t>McIlfatrick</w:t>
      </w:r>
      <w:proofErr w:type="spellEnd"/>
      <w:r w:rsidRPr="003129FD">
        <w:rPr>
          <w:rFonts w:ascii="Arial" w:eastAsia="Calibri" w:hAnsi="Arial"/>
          <w:color w:val="222222"/>
          <w:shd w:val="clear" w:color="auto" w:fill="FFFFFF"/>
        </w:rPr>
        <w:t xml:space="preserve">, S., McConnell, T., Finlay, D.A. and Hasson, F., 2020. The roles, responsibilities and practices of healthcare assistants in out-of-hours community palliative care: A systematic scoping review. </w:t>
      </w:r>
      <w:r w:rsidRPr="003129FD">
        <w:rPr>
          <w:rFonts w:ascii="Arial" w:eastAsia="Calibri" w:hAnsi="Arial"/>
          <w:i/>
          <w:iCs/>
          <w:color w:val="222222"/>
          <w:shd w:val="clear" w:color="auto" w:fill="FFFFFF"/>
        </w:rPr>
        <w:t>Palliative Medicine</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34</w:t>
      </w:r>
      <w:r w:rsidRPr="003129FD">
        <w:rPr>
          <w:rFonts w:ascii="Arial" w:eastAsia="Calibri" w:hAnsi="Arial"/>
          <w:color w:val="222222"/>
          <w:shd w:val="clear" w:color="auto" w:fill="FFFFFF"/>
        </w:rPr>
        <w:t>(8), pp.976-988.</w:t>
      </w:r>
    </w:p>
    <w:p w14:paraId="28DD8416" w14:textId="77777777" w:rsidR="003129FD" w:rsidRPr="003129FD" w:rsidRDefault="003129FD" w:rsidP="003129FD">
      <w:pPr>
        <w:spacing w:after="0"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Garattini, L. and Padula, A., 2019. Competition in health markets: is something </w:t>
      </w:r>
      <w:proofErr w:type="gramStart"/>
      <w:r w:rsidRPr="003129FD">
        <w:rPr>
          <w:rFonts w:ascii="Arial" w:eastAsia="Calibri" w:hAnsi="Arial"/>
          <w:color w:val="222222"/>
          <w:shd w:val="clear" w:color="auto" w:fill="FFFFFF"/>
        </w:rPr>
        <w:t>rotten?.</w:t>
      </w:r>
      <w:proofErr w:type="gramEnd"/>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Journal of the Royal Society of Medicine</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112</w:t>
      </w:r>
      <w:r w:rsidRPr="003129FD">
        <w:rPr>
          <w:rFonts w:ascii="Arial" w:eastAsia="Calibri" w:hAnsi="Arial"/>
          <w:color w:val="222222"/>
          <w:shd w:val="clear" w:color="auto" w:fill="FFFFFF"/>
        </w:rPr>
        <w:t>(1), pp.6-10.</w:t>
      </w:r>
    </w:p>
    <w:p w14:paraId="55210AB2" w14:textId="77777777" w:rsidR="003129FD" w:rsidRPr="003129FD" w:rsidRDefault="003129FD" w:rsidP="003129FD">
      <w:pPr>
        <w:spacing w:after="100" w:afterAutospacing="1" w:line="360" w:lineRule="auto"/>
        <w:ind w:left="720" w:hanging="720"/>
        <w:jc w:val="both"/>
        <w:rPr>
          <w:rFonts w:ascii="Arial" w:eastAsia="Calibri" w:hAnsi="Arial"/>
          <w:color w:val="222222"/>
          <w:shd w:val="clear" w:color="auto" w:fill="FFFFFF"/>
        </w:rPr>
      </w:pPr>
      <w:r w:rsidRPr="003129FD">
        <w:rPr>
          <w:rFonts w:ascii="Arial" w:hAnsi="Arial"/>
          <w:color w:val="000000"/>
        </w:rPr>
        <w:t xml:space="preserve">Gurel, E. and Tat, M. (2017). SWOT Analysis: a Theoretical Review. </w:t>
      </w:r>
      <w:r w:rsidRPr="003129FD">
        <w:rPr>
          <w:rFonts w:ascii="Arial" w:hAnsi="Arial"/>
          <w:i/>
          <w:iCs/>
          <w:color w:val="000000"/>
        </w:rPr>
        <w:t>Journal of International Social Research</w:t>
      </w:r>
      <w:r w:rsidRPr="003129FD">
        <w:rPr>
          <w:rFonts w:ascii="Arial" w:hAnsi="Arial"/>
          <w:color w:val="000000"/>
        </w:rPr>
        <w:t xml:space="preserve">, [online] 10(51), pp.994–1006. </w:t>
      </w:r>
      <w:proofErr w:type="spellStart"/>
      <w:proofErr w:type="gramStart"/>
      <w:r w:rsidRPr="003129FD">
        <w:rPr>
          <w:rFonts w:ascii="Arial" w:hAnsi="Arial"/>
          <w:color w:val="000000"/>
        </w:rPr>
        <w:t>doi:https</w:t>
      </w:r>
      <w:proofErr w:type="spellEnd"/>
      <w:r w:rsidRPr="003129FD">
        <w:rPr>
          <w:rFonts w:ascii="Arial" w:hAnsi="Arial"/>
          <w:color w:val="000000"/>
        </w:rPr>
        <w:t>://doi.org/10.17719/jisr.2017.1832</w:t>
      </w:r>
      <w:proofErr w:type="gramEnd"/>
      <w:r w:rsidRPr="003129FD">
        <w:rPr>
          <w:rFonts w:ascii="Arial" w:hAnsi="Arial"/>
          <w:color w:val="000000"/>
        </w:rPr>
        <w:t>.</w:t>
      </w:r>
    </w:p>
    <w:p w14:paraId="6FA42C2C" w14:textId="77777777" w:rsidR="003129FD" w:rsidRPr="003129FD" w:rsidRDefault="003129FD" w:rsidP="003129FD">
      <w:pPr>
        <w:spacing w:after="0" w:line="360" w:lineRule="auto"/>
        <w:ind w:left="720" w:hanging="720"/>
        <w:jc w:val="both"/>
        <w:rPr>
          <w:rFonts w:ascii="Arial" w:hAnsi="Arial"/>
          <w:color w:val="000000"/>
        </w:rPr>
      </w:pPr>
      <w:r w:rsidRPr="003129FD">
        <w:rPr>
          <w:rFonts w:ascii="Arial" w:hAnsi="Arial"/>
          <w:color w:val="000000"/>
        </w:rPr>
        <w:t xml:space="preserve">Huang, L. (2025). </w:t>
      </w:r>
      <w:r w:rsidRPr="003129FD">
        <w:rPr>
          <w:rFonts w:ascii="Arial" w:hAnsi="Arial"/>
          <w:i/>
          <w:iCs/>
          <w:color w:val="000000"/>
        </w:rPr>
        <w:t>Importance of Communication in Healthcare</w:t>
      </w:r>
      <w:r w:rsidRPr="003129FD">
        <w:rPr>
          <w:rFonts w:ascii="Arial" w:hAnsi="Arial"/>
          <w:color w:val="000000"/>
        </w:rPr>
        <w:t xml:space="preserve">. [online] </w:t>
      </w:r>
      <w:proofErr w:type="spellStart"/>
      <w:r w:rsidRPr="003129FD">
        <w:rPr>
          <w:rFonts w:ascii="Arial" w:hAnsi="Arial"/>
          <w:color w:val="000000"/>
        </w:rPr>
        <w:t>Cipherhealth</w:t>
      </w:r>
      <w:proofErr w:type="spellEnd"/>
      <w:r w:rsidRPr="003129FD">
        <w:rPr>
          <w:rFonts w:ascii="Arial" w:hAnsi="Arial"/>
          <w:color w:val="000000"/>
        </w:rPr>
        <w:t xml:space="preserve">. Available at: </w:t>
      </w:r>
      <w:hyperlink r:id="rId4" w:history="1">
        <w:r w:rsidRPr="003129FD">
          <w:rPr>
            <w:rStyle w:val="15"/>
            <w:rFonts w:ascii="Arial" w:hAnsi="Arial" w:cs="Arial"/>
          </w:rPr>
          <w:t>https://cipherhealth.com/blog/importance-of-communication-in-healthcare/</w:t>
        </w:r>
      </w:hyperlink>
      <w:r w:rsidRPr="003129FD">
        <w:rPr>
          <w:rFonts w:ascii="Arial" w:hAnsi="Arial"/>
          <w:color w:val="000000"/>
        </w:rPr>
        <w:t>.</w:t>
      </w:r>
    </w:p>
    <w:p w14:paraId="083F8834" w14:textId="77777777" w:rsidR="003129FD" w:rsidRPr="003129FD" w:rsidRDefault="003129FD" w:rsidP="003129FD">
      <w:pPr>
        <w:spacing w:after="100" w:afterAutospacing="1"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Kaini, B.K., 2017. Interprofessional team collaboration in health care. </w:t>
      </w:r>
      <w:r w:rsidRPr="003129FD">
        <w:rPr>
          <w:rFonts w:ascii="Arial" w:eastAsia="Calibri" w:hAnsi="Arial"/>
          <w:i/>
          <w:iCs/>
          <w:color w:val="222222"/>
          <w:shd w:val="clear" w:color="auto" w:fill="FFFFFF"/>
        </w:rPr>
        <w:t>Global Journal of Medical Research: K Interdisciplinary</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12</w:t>
      </w:r>
      <w:r w:rsidRPr="003129FD">
        <w:rPr>
          <w:rFonts w:ascii="Arial" w:eastAsia="Calibri" w:hAnsi="Arial"/>
          <w:color w:val="222222"/>
          <w:shd w:val="clear" w:color="auto" w:fill="FFFFFF"/>
        </w:rPr>
        <w:t>(2), pp.1-8.</w:t>
      </w:r>
    </w:p>
    <w:p w14:paraId="0858DBE1" w14:textId="77777777" w:rsidR="003129FD" w:rsidRPr="003129FD" w:rsidRDefault="003129FD" w:rsidP="003129FD">
      <w:pPr>
        <w:spacing w:after="0" w:line="360" w:lineRule="auto"/>
        <w:ind w:left="720" w:hanging="720"/>
        <w:jc w:val="both"/>
        <w:rPr>
          <w:rFonts w:ascii="Arial" w:hAnsi="Arial"/>
          <w:color w:val="000000"/>
        </w:rPr>
      </w:pPr>
      <w:r w:rsidRPr="003129FD">
        <w:rPr>
          <w:rFonts w:ascii="Arial" w:hAnsi="Arial"/>
          <w:color w:val="000000"/>
        </w:rPr>
        <w:lastRenderedPageBreak/>
        <w:t xml:space="preserve">Kim, Y., Lee, M.J., Choi, M., Cho, E. and Ryu, G.W. (2023). Exploring nurses’ multitasking in clinical settings using a multimethod study. </w:t>
      </w:r>
      <w:r w:rsidRPr="003129FD">
        <w:rPr>
          <w:rFonts w:ascii="Arial" w:hAnsi="Arial"/>
          <w:i/>
          <w:iCs/>
          <w:color w:val="000000"/>
        </w:rPr>
        <w:t>Scientific Reports</w:t>
      </w:r>
      <w:r w:rsidRPr="003129FD">
        <w:rPr>
          <w:rFonts w:ascii="Arial" w:hAnsi="Arial"/>
          <w:color w:val="000000"/>
        </w:rPr>
        <w:t xml:space="preserve">, 13(1), p.5704. </w:t>
      </w:r>
      <w:proofErr w:type="spellStart"/>
      <w:proofErr w:type="gramStart"/>
      <w:r w:rsidRPr="003129FD">
        <w:rPr>
          <w:rFonts w:ascii="Arial" w:hAnsi="Arial"/>
          <w:color w:val="000000"/>
        </w:rPr>
        <w:t>doi:https</w:t>
      </w:r>
      <w:proofErr w:type="spellEnd"/>
      <w:r w:rsidRPr="003129FD">
        <w:rPr>
          <w:rFonts w:ascii="Arial" w:hAnsi="Arial"/>
          <w:color w:val="000000"/>
        </w:rPr>
        <w:t>://doi.org/10.1038/s41598-023-32350-9</w:t>
      </w:r>
      <w:proofErr w:type="gramEnd"/>
      <w:r w:rsidRPr="003129FD">
        <w:rPr>
          <w:rFonts w:ascii="Arial" w:hAnsi="Arial"/>
          <w:color w:val="000000"/>
        </w:rPr>
        <w:t>.</w:t>
      </w:r>
    </w:p>
    <w:p w14:paraId="53F807ED" w14:textId="77777777" w:rsidR="003129FD" w:rsidRPr="003129FD" w:rsidRDefault="003129FD" w:rsidP="003129FD">
      <w:pPr>
        <w:spacing w:after="100" w:afterAutospacing="1"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Kristensen, N., Nymann, C. and Konradsen, H., 2017. Implementing research results in clinical practice-the experiences of healthcare professionals. </w:t>
      </w:r>
      <w:r w:rsidRPr="003129FD">
        <w:rPr>
          <w:rFonts w:ascii="Arial" w:eastAsia="Calibri" w:hAnsi="Arial"/>
          <w:i/>
          <w:iCs/>
          <w:color w:val="222222"/>
          <w:shd w:val="clear" w:color="auto" w:fill="FFFFFF"/>
        </w:rPr>
        <w:t>BMC health services research</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16</w:t>
      </w:r>
      <w:r w:rsidRPr="003129FD">
        <w:rPr>
          <w:rFonts w:ascii="Arial" w:eastAsia="Calibri" w:hAnsi="Arial"/>
          <w:color w:val="222222"/>
          <w:shd w:val="clear" w:color="auto" w:fill="FFFFFF"/>
        </w:rPr>
        <w:t>(1), p.48.</w:t>
      </w:r>
    </w:p>
    <w:p w14:paraId="6D54E9FC" w14:textId="77777777" w:rsidR="003129FD" w:rsidRPr="003129FD" w:rsidRDefault="003129FD" w:rsidP="003129FD">
      <w:pPr>
        <w:spacing w:after="0" w:line="360" w:lineRule="auto"/>
        <w:ind w:left="720" w:hanging="720"/>
        <w:jc w:val="both"/>
        <w:rPr>
          <w:rFonts w:ascii="Arial" w:eastAsia="Calibri" w:hAnsi="Arial"/>
          <w:color w:val="222222"/>
          <w:shd w:val="clear" w:color="auto" w:fill="FFFFFF"/>
        </w:rPr>
      </w:pPr>
      <w:proofErr w:type="spellStart"/>
      <w:r w:rsidRPr="003129FD">
        <w:rPr>
          <w:rFonts w:ascii="Arial" w:eastAsia="Calibri" w:hAnsi="Arial"/>
          <w:color w:val="222222"/>
          <w:shd w:val="clear" w:color="auto" w:fill="FFFFFF"/>
        </w:rPr>
        <w:t>Leadbeatter</w:t>
      </w:r>
      <w:proofErr w:type="spellEnd"/>
      <w:r w:rsidRPr="003129FD">
        <w:rPr>
          <w:rFonts w:ascii="Arial" w:eastAsia="Calibri" w:hAnsi="Arial"/>
          <w:color w:val="222222"/>
          <w:shd w:val="clear" w:color="auto" w:fill="FFFFFF"/>
        </w:rPr>
        <w:t xml:space="preserve">, D., Nanayakkara, S., Zhou, X. and Gao, J., 2023. Employability in health professional education: a scoping review. </w:t>
      </w:r>
      <w:r w:rsidRPr="003129FD">
        <w:rPr>
          <w:rFonts w:ascii="Arial" w:eastAsia="Calibri" w:hAnsi="Arial"/>
          <w:i/>
          <w:iCs/>
          <w:color w:val="222222"/>
          <w:shd w:val="clear" w:color="auto" w:fill="FFFFFF"/>
        </w:rPr>
        <w:t>BMC medical education</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23</w:t>
      </w:r>
      <w:r w:rsidRPr="003129FD">
        <w:rPr>
          <w:rFonts w:ascii="Arial" w:eastAsia="Calibri" w:hAnsi="Arial"/>
          <w:color w:val="222222"/>
          <w:shd w:val="clear" w:color="auto" w:fill="FFFFFF"/>
        </w:rPr>
        <w:t>(1), p.33.</w:t>
      </w:r>
    </w:p>
    <w:p w14:paraId="6DA14F0C" w14:textId="77777777" w:rsidR="003129FD" w:rsidRPr="003129FD" w:rsidRDefault="003129FD" w:rsidP="003129FD">
      <w:pPr>
        <w:spacing w:after="100" w:afterAutospacing="1"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McCorry, L.K. and Mason, J., 2020. </w:t>
      </w:r>
      <w:r w:rsidRPr="003129FD">
        <w:rPr>
          <w:rFonts w:ascii="Arial" w:eastAsia="Calibri" w:hAnsi="Arial"/>
          <w:i/>
          <w:iCs/>
          <w:color w:val="222222"/>
          <w:shd w:val="clear" w:color="auto" w:fill="FFFFFF"/>
        </w:rPr>
        <w:t>Communication skills for the healthcare professional</w:t>
      </w:r>
      <w:r w:rsidRPr="003129FD">
        <w:rPr>
          <w:rFonts w:ascii="Arial" w:eastAsia="Calibri" w:hAnsi="Arial"/>
          <w:color w:val="222222"/>
          <w:shd w:val="clear" w:color="auto" w:fill="FFFFFF"/>
        </w:rPr>
        <w:t>. Jones &amp; Bartlett Learning.</w:t>
      </w:r>
    </w:p>
    <w:p w14:paraId="60626BC7" w14:textId="77777777" w:rsidR="003129FD" w:rsidRPr="003129FD" w:rsidRDefault="003129FD" w:rsidP="003129FD">
      <w:pPr>
        <w:spacing w:after="0"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Naggar, M.A.E., Al-Mutairi, S.M., Al Saidan, A.A., Al-Rashedi, O.S., Al-Mutairi, T.A., Al-</w:t>
      </w:r>
      <w:proofErr w:type="spellStart"/>
      <w:r w:rsidRPr="003129FD">
        <w:rPr>
          <w:rFonts w:ascii="Arial" w:eastAsia="Calibri" w:hAnsi="Arial"/>
          <w:color w:val="222222"/>
          <w:shd w:val="clear" w:color="auto" w:fill="FFFFFF"/>
        </w:rPr>
        <w:t>Ruwaili</w:t>
      </w:r>
      <w:proofErr w:type="spellEnd"/>
      <w:r w:rsidRPr="003129FD">
        <w:rPr>
          <w:rFonts w:ascii="Arial" w:eastAsia="Calibri" w:hAnsi="Arial"/>
          <w:color w:val="222222"/>
          <w:shd w:val="clear" w:color="auto" w:fill="FFFFFF"/>
        </w:rPr>
        <w:t xml:space="preserve">, O.S., Al-Mutairi, B.Z., Al-Mutairi, N.M., Al-Mutairi, F.S. and </w:t>
      </w:r>
      <w:proofErr w:type="spellStart"/>
      <w:r w:rsidRPr="003129FD">
        <w:rPr>
          <w:rFonts w:ascii="Arial" w:eastAsia="Calibri" w:hAnsi="Arial"/>
          <w:color w:val="222222"/>
          <w:shd w:val="clear" w:color="auto" w:fill="FFFFFF"/>
        </w:rPr>
        <w:t>Alrashedi</w:t>
      </w:r>
      <w:proofErr w:type="spellEnd"/>
      <w:r w:rsidRPr="003129FD">
        <w:rPr>
          <w:rFonts w:ascii="Arial" w:eastAsia="Calibri" w:hAnsi="Arial"/>
          <w:color w:val="222222"/>
          <w:shd w:val="clear" w:color="auto" w:fill="FFFFFF"/>
        </w:rPr>
        <w:t xml:space="preserve">, A.S., 2025, July. Emotional intelligence and burnout in healthcare professionals: A hospital-based study. In </w:t>
      </w:r>
      <w:r w:rsidRPr="003129FD">
        <w:rPr>
          <w:rFonts w:ascii="Arial" w:eastAsia="Calibri" w:hAnsi="Arial"/>
          <w:i/>
          <w:iCs/>
          <w:color w:val="222222"/>
          <w:shd w:val="clear" w:color="auto" w:fill="FFFFFF"/>
        </w:rPr>
        <w:t>Healthcare</w:t>
      </w:r>
      <w:r w:rsidRPr="003129FD">
        <w:rPr>
          <w:rFonts w:ascii="Arial" w:eastAsia="Calibri" w:hAnsi="Arial"/>
          <w:color w:val="222222"/>
          <w:shd w:val="clear" w:color="auto" w:fill="FFFFFF"/>
        </w:rPr>
        <w:t xml:space="preserve"> (Vol. 13, No. 15, p. 1840). MDPI.</w:t>
      </w:r>
    </w:p>
    <w:p w14:paraId="3ACDAB34" w14:textId="77777777" w:rsidR="003129FD" w:rsidRPr="003129FD" w:rsidRDefault="003129FD" w:rsidP="003129FD">
      <w:pPr>
        <w:spacing w:after="100" w:afterAutospacing="1"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Sarangi, S., 2017. Team work and team talk as distributed and coordinated action in healthcare delivery. </w:t>
      </w:r>
      <w:r w:rsidRPr="003129FD">
        <w:rPr>
          <w:rFonts w:ascii="Arial" w:eastAsia="Calibri" w:hAnsi="Arial"/>
          <w:i/>
          <w:iCs/>
          <w:color w:val="222222"/>
          <w:shd w:val="clear" w:color="auto" w:fill="FFFFFF"/>
        </w:rPr>
        <w:t>Communication &amp; medicine</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13</w:t>
      </w:r>
      <w:r w:rsidRPr="003129FD">
        <w:rPr>
          <w:rFonts w:ascii="Arial" w:eastAsia="Calibri" w:hAnsi="Arial"/>
          <w:color w:val="222222"/>
          <w:shd w:val="clear" w:color="auto" w:fill="FFFFFF"/>
        </w:rPr>
        <w:t>(1), pp.1-7.</w:t>
      </w:r>
    </w:p>
    <w:p w14:paraId="7F2DB1AB" w14:textId="77777777" w:rsidR="003129FD" w:rsidRPr="003129FD" w:rsidRDefault="003129FD" w:rsidP="003129FD">
      <w:pPr>
        <w:spacing w:after="100" w:afterAutospacing="1"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Sheehan, J., Laver, K., </w:t>
      </w:r>
      <w:proofErr w:type="spellStart"/>
      <w:r w:rsidRPr="003129FD">
        <w:rPr>
          <w:rFonts w:ascii="Arial" w:eastAsia="Calibri" w:hAnsi="Arial"/>
          <w:color w:val="222222"/>
          <w:shd w:val="clear" w:color="auto" w:fill="FFFFFF"/>
        </w:rPr>
        <w:t>Bhopti</w:t>
      </w:r>
      <w:proofErr w:type="spellEnd"/>
      <w:r w:rsidRPr="003129FD">
        <w:rPr>
          <w:rFonts w:ascii="Arial" w:eastAsia="Calibri" w:hAnsi="Arial"/>
          <w:color w:val="222222"/>
          <w:shd w:val="clear" w:color="auto" w:fill="FFFFFF"/>
        </w:rPr>
        <w:t xml:space="preserve">, A., Rahja, M., Usherwood, T., Clemson, L. and Lannin, N.A., 2021. Methods and effectiveness of communication between hospital allied health and primary care practitioners: a systematic narrative review. </w:t>
      </w:r>
      <w:r w:rsidRPr="003129FD">
        <w:rPr>
          <w:rFonts w:ascii="Arial" w:eastAsia="Calibri" w:hAnsi="Arial"/>
          <w:i/>
          <w:iCs/>
          <w:color w:val="222222"/>
          <w:shd w:val="clear" w:color="auto" w:fill="FFFFFF"/>
        </w:rPr>
        <w:t>Journal of multidisciplinary healthcare</w:t>
      </w:r>
      <w:r w:rsidRPr="003129FD">
        <w:rPr>
          <w:rFonts w:ascii="Arial" w:eastAsia="Calibri" w:hAnsi="Arial"/>
          <w:color w:val="222222"/>
          <w:shd w:val="clear" w:color="auto" w:fill="FFFFFF"/>
        </w:rPr>
        <w:t>, pp.493-511.</w:t>
      </w:r>
    </w:p>
    <w:p w14:paraId="1705EDC7" w14:textId="77777777" w:rsidR="003129FD" w:rsidRPr="003129FD" w:rsidRDefault="003129FD" w:rsidP="003129FD">
      <w:pPr>
        <w:spacing w:after="100" w:afterAutospacing="1"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Singh, S., Kumar, P., Rehman, F. and Vashishta, P., 2022. Telemedicine, telehealth, and e-health: a digital transfiguration of standard healthcare system. In </w:t>
      </w:r>
      <w:r w:rsidRPr="003129FD">
        <w:rPr>
          <w:rFonts w:ascii="Arial" w:eastAsia="Calibri" w:hAnsi="Arial"/>
          <w:i/>
          <w:iCs/>
          <w:color w:val="222222"/>
          <w:shd w:val="clear" w:color="auto" w:fill="FFFFFF"/>
        </w:rPr>
        <w:t>Cloud IoT</w:t>
      </w:r>
      <w:r w:rsidRPr="003129FD">
        <w:rPr>
          <w:rFonts w:ascii="Arial" w:eastAsia="Calibri" w:hAnsi="Arial"/>
          <w:color w:val="222222"/>
          <w:shd w:val="clear" w:color="auto" w:fill="FFFFFF"/>
        </w:rPr>
        <w:t xml:space="preserve"> (pp. 143-161). Chapman and Hall/CRC.</w:t>
      </w:r>
    </w:p>
    <w:p w14:paraId="597F9A1F" w14:textId="77777777" w:rsidR="003129FD" w:rsidRPr="003129FD" w:rsidRDefault="003129FD" w:rsidP="003129FD">
      <w:pPr>
        <w:spacing w:after="0" w:line="360" w:lineRule="auto"/>
        <w:ind w:left="720" w:hanging="720"/>
        <w:jc w:val="both"/>
        <w:rPr>
          <w:rFonts w:ascii="Arial" w:hAnsi="Arial"/>
          <w:b/>
          <w:bCs/>
          <w:color w:val="000000"/>
        </w:rPr>
      </w:pPr>
      <w:proofErr w:type="spellStart"/>
      <w:r w:rsidRPr="003129FD">
        <w:rPr>
          <w:rFonts w:ascii="Arial" w:eastAsia="Calibri" w:hAnsi="Arial"/>
          <w:color w:val="222222"/>
          <w:shd w:val="clear" w:color="auto" w:fill="FFFFFF"/>
        </w:rPr>
        <w:t>Souvatzi</w:t>
      </w:r>
      <w:proofErr w:type="spellEnd"/>
      <w:r w:rsidRPr="003129FD">
        <w:rPr>
          <w:rFonts w:ascii="Arial" w:eastAsia="Calibri" w:hAnsi="Arial"/>
          <w:color w:val="222222"/>
          <w:shd w:val="clear" w:color="auto" w:fill="FFFFFF"/>
        </w:rPr>
        <w:t xml:space="preserve">, E., </w:t>
      </w:r>
      <w:proofErr w:type="spellStart"/>
      <w:r w:rsidRPr="003129FD">
        <w:rPr>
          <w:rFonts w:ascii="Arial" w:eastAsia="Calibri" w:hAnsi="Arial"/>
          <w:color w:val="222222"/>
          <w:shd w:val="clear" w:color="auto" w:fill="FFFFFF"/>
        </w:rPr>
        <w:t>Katsikidou</w:t>
      </w:r>
      <w:proofErr w:type="spellEnd"/>
      <w:r w:rsidRPr="003129FD">
        <w:rPr>
          <w:rFonts w:ascii="Arial" w:eastAsia="Calibri" w:hAnsi="Arial"/>
          <w:color w:val="222222"/>
          <w:shd w:val="clear" w:color="auto" w:fill="FFFFFF"/>
        </w:rPr>
        <w:t xml:space="preserve">, M., Arvaniti, A., </w:t>
      </w:r>
      <w:proofErr w:type="spellStart"/>
      <w:r w:rsidRPr="003129FD">
        <w:rPr>
          <w:rFonts w:ascii="Arial" w:eastAsia="Calibri" w:hAnsi="Arial"/>
          <w:color w:val="222222"/>
          <w:shd w:val="clear" w:color="auto" w:fill="FFFFFF"/>
        </w:rPr>
        <w:t>Plakias</w:t>
      </w:r>
      <w:proofErr w:type="spellEnd"/>
      <w:r w:rsidRPr="003129FD">
        <w:rPr>
          <w:rFonts w:ascii="Arial" w:eastAsia="Calibri" w:hAnsi="Arial"/>
          <w:color w:val="222222"/>
          <w:shd w:val="clear" w:color="auto" w:fill="FFFFFF"/>
        </w:rPr>
        <w:t xml:space="preserve">, S., </w:t>
      </w:r>
      <w:proofErr w:type="spellStart"/>
      <w:r w:rsidRPr="003129FD">
        <w:rPr>
          <w:rFonts w:ascii="Arial" w:eastAsia="Calibri" w:hAnsi="Arial"/>
          <w:color w:val="222222"/>
          <w:shd w:val="clear" w:color="auto" w:fill="FFFFFF"/>
        </w:rPr>
        <w:t>Tsiakiri</w:t>
      </w:r>
      <w:proofErr w:type="spellEnd"/>
      <w:r w:rsidRPr="003129FD">
        <w:rPr>
          <w:rFonts w:ascii="Arial" w:eastAsia="Calibri" w:hAnsi="Arial"/>
          <w:color w:val="222222"/>
          <w:shd w:val="clear" w:color="auto" w:fill="FFFFFF"/>
        </w:rPr>
        <w:t xml:space="preserve">, A. and </w:t>
      </w:r>
      <w:proofErr w:type="spellStart"/>
      <w:r w:rsidRPr="003129FD">
        <w:rPr>
          <w:rFonts w:ascii="Arial" w:eastAsia="Calibri" w:hAnsi="Arial"/>
          <w:color w:val="222222"/>
          <w:shd w:val="clear" w:color="auto" w:fill="FFFFFF"/>
        </w:rPr>
        <w:t>Samakouri</w:t>
      </w:r>
      <w:proofErr w:type="spellEnd"/>
      <w:r w:rsidRPr="003129FD">
        <w:rPr>
          <w:rFonts w:ascii="Arial" w:eastAsia="Calibri" w:hAnsi="Arial"/>
          <w:color w:val="222222"/>
          <w:shd w:val="clear" w:color="auto" w:fill="FFFFFF"/>
        </w:rPr>
        <w:t xml:space="preserve">, M., 2024. Trust in healthcare, medical mistrust, and health outcomes in times of health crisis: a narrative review. </w:t>
      </w:r>
      <w:r w:rsidRPr="003129FD">
        <w:rPr>
          <w:rFonts w:ascii="Arial" w:eastAsia="Calibri" w:hAnsi="Arial"/>
          <w:i/>
          <w:iCs/>
          <w:color w:val="222222"/>
          <w:shd w:val="clear" w:color="auto" w:fill="FFFFFF"/>
        </w:rPr>
        <w:t>Societies</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14</w:t>
      </w:r>
      <w:r w:rsidRPr="003129FD">
        <w:rPr>
          <w:rFonts w:ascii="Arial" w:eastAsia="Calibri" w:hAnsi="Arial"/>
          <w:color w:val="222222"/>
          <w:shd w:val="clear" w:color="auto" w:fill="FFFFFF"/>
        </w:rPr>
        <w:t>(12), p.269.</w:t>
      </w:r>
    </w:p>
    <w:p w14:paraId="0F488542" w14:textId="77777777" w:rsidR="003129FD" w:rsidRPr="003129FD" w:rsidRDefault="003129FD" w:rsidP="003129FD">
      <w:pPr>
        <w:spacing w:after="0" w:line="360" w:lineRule="auto"/>
        <w:ind w:left="720" w:hanging="720"/>
        <w:jc w:val="both"/>
        <w:rPr>
          <w:rFonts w:ascii="Arial" w:hAnsi="Arial"/>
          <w:b/>
          <w:bCs/>
          <w:color w:val="000000"/>
        </w:rPr>
      </w:pPr>
      <w:proofErr w:type="spellStart"/>
      <w:r w:rsidRPr="003129FD">
        <w:rPr>
          <w:rFonts w:ascii="Arial" w:eastAsia="Calibri" w:hAnsi="Arial"/>
          <w:color w:val="222222"/>
          <w:shd w:val="clear" w:color="auto" w:fill="FFFFFF"/>
        </w:rPr>
        <w:lastRenderedPageBreak/>
        <w:t>Strkljevic</w:t>
      </w:r>
      <w:proofErr w:type="spellEnd"/>
      <w:r w:rsidRPr="003129FD">
        <w:rPr>
          <w:rFonts w:ascii="Arial" w:eastAsia="Calibri" w:hAnsi="Arial"/>
          <w:color w:val="222222"/>
          <w:shd w:val="clear" w:color="auto" w:fill="FFFFFF"/>
        </w:rPr>
        <w:t xml:space="preserve">, I., Tiedemann, A., Souza de Oliveira, J., Haynes, A. and Sherrington, C., 2024. Health professionals’ involvement in volunteering their professional skills: a scoping review. </w:t>
      </w:r>
      <w:r w:rsidRPr="003129FD">
        <w:rPr>
          <w:rFonts w:ascii="Arial" w:eastAsia="Calibri" w:hAnsi="Arial"/>
          <w:i/>
          <w:iCs/>
          <w:color w:val="222222"/>
          <w:shd w:val="clear" w:color="auto" w:fill="FFFFFF"/>
        </w:rPr>
        <w:t>Frontiers in medicine</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11</w:t>
      </w:r>
      <w:r w:rsidRPr="003129FD">
        <w:rPr>
          <w:rFonts w:ascii="Arial" w:eastAsia="Calibri" w:hAnsi="Arial"/>
          <w:color w:val="222222"/>
          <w:shd w:val="clear" w:color="auto" w:fill="FFFFFF"/>
        </w:rPr>
        <w:t>, p.1368661.</w:t>
      </w:r>
    </w:p>
    <w:p w14:paraId="6C2D0153" w14:textId="77777777" w:rsidR="003129FD" w:rsidRPr="003129FD" w:rsidRDefault="003129FD" w:rsidP="003129FD">
      <w:pPr>
        <w:spacing w:after="100" w:afterAutospacing="1"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Van Loon, M.H., 2019. Self-assessment and self-reflection to measure and improve self-regulated learning in the workplace. </w:t>
      </w:r>
      <w:r w:rsidRPr="003129FD">
        <w:rPr>
          <w:rFonts w:ascii="Arial" w:eastAsia="Calibri" w:hAnsi="Arial"/>
          <w:i/>
          <w:iCs/>
          <w:color w:val="222222"/>
          <w:shd w:val="clear" w:color="auto" w:fill="FFFFFF"/>
        </w:rPr>
        <w:t>Handbook of vocational education and training. Developments in a changing world of work</w:t>
      </w:r>
      <w:r w:rsidRPr="003129FD">
        <w:rPr>
          <w:rFonts w:ascii="Arial" w:eastAsia="Calibri" w:hAnsi="Arial"/>
          <w:color w:val="222222"/>
          <w:shd w:val="clear" w:color="auto" w:fill="FFFFFF"/>
        </w:rPr>
        <w:t>, pp.1-34.</w:t>
      </w:r>
    </w:p>
    <w:p w14:paraId="1598D0E1" w14:textId="77777777" w:rsidR="003129FD" w:rsidRPr="003129FD" w:rsidRDefault="003129FD" w:rsidP="003129FD">
      <w:pPr>
        <w:spacing w:after="0" w:line="360" w:lineRule="auto"/>
        <w:ind w:left="720" w:hanging="720"/>
        <w:jc w:val="both"/>
        <w:rPr>
          <w:rFonts w:ascii="Arial" w:eastAsia="Calibri" w:hAnsi="Arial"/>
          <w:color w:val="222222"/>
          <w:shd w:val="clear" w:color="auto" w:fill="FFFFFF"/>
        </w:rPr>
      </w:pPr>
      <w:r w:rsidRPr="003129FD">
        <w:rPr>
          <w:rFonts w:ascii="Arial" w:eastAsia="Calibri" w:hAnsi="Arial"/>
          <w:color w:val="222222"/>
          <w:shd w:val="clear" w:color="auto" w:fill="FFFFFF"/>
        </w:rPr>
        <w:t xml:space="preserve">Wilde, A., 2014. Trust, uncertainty and identity in health-related decision-making: the role of key professionals. </w:t>
      </w:r>
      <w:r w:rsidRPr="003129FD">
        <w:rPr>
          <w:rFonts w:ascii="Arial" w:eastAsia="Calibri" w:hAnsi="Arial"/>
          <w:i/>
          <w:iCs/>
          <w:color w:val="222222"/>
          <w:shd w:val="clear" w:color="auto" w:fill="FFFFFF"/>
        </w:rPr>
        <w:t>Disability &amp; Society</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29</w:t>
      </w:r>
      <w:r w:rsidRPr="003129FD">
        <w:rPr>
          <w:rFonts w:ascii="Arial" w:eastAsia="Calibri" w:hAnsi="Arial"/>
          <w:color w:val="222222"/>
          <w:shd w:val="clear" w:color="auto" w:fill="FFFFFF"/>
        </w:rPr>
        <w:t>(2), pp.198-212.</w:t>
      </w:r>
    </w:p>
    <w:p w14:paraId="229207CE" w14:textId="77777777" w:rsidR="003129FD" w:rsidRPr="003129FD" w:rsidRDefault="003129FD" w:rsidP="003129FD">
      <w:pPr>
        <w:spacing w:after="100" w:afterAutospacing="1" w:line="360" w:lineRule="auto"/>
        <w:ind w:left="720" w:hanging="720"/>
        <w:jc w:val="both"/>
        <w:rPr>
          <w:rFonts w:ascii="Arial" w:hAnsi="Arial"/>
          <w:color w:val="000000"/>
        </w:rPr>
      </w:pPr>
      <w:r w:rsidRPr="003129FD">
        <w:rPr>
          <w:rFonts w:ascii="Arial" w:eastAsia="Calibri" w:hAnsi="Arial"/>
          <w:color w:val="222222"/>
          <w:shd w:val="clear" w:color="auto" w:fill="FFFFFF"/>
        </w:rPr>
        <w:t xml:space="preserve">Zank, S., de Araujo, L.G. and </w:t>
      </w:r>
      <w:proofErr w:type="spellStart"/>
      <w:r w:rsidRPr="003129FD">
        <w:rPr>
          <w:rFonts w:ascii="Arial" w:eastAsia="Calibri" w:hAnsi="Arial"/>
          <w:color w:val="222222"/>
          <w:shd w:val="clear" w:color="auto" w:fill="FFFFFF"/>
        </w:rPr>
        <w:t>Hanazaki</w:t>
      </w:r>
      <w:proofErr w:type="spellEnd"/>
      <w:r w:rsidRPr="003129FD">
        <w:rPr>
          <w:rFonts w:ascii="Arial" w:eastAsia="Calibri" w:hAnsi="Arial"/>
          <w:color w:val="222222"/>
          <w:shd w:val="clear" w:color="auto" w:fill="FFFFFF"/>
        </w:rPr>
        <w:t xml:space="preserve">, N., 2019. Resilience and adaptability of traditional healthcare systems. </w:t>
      </w:r>
      <w:r w:rsidRPr="003129FD">
        <w:rPr>
          <w:rFonts w:ascii="Arial" w:eastAsia="Calibri" w:hAnsi="Arial"/>
          <w:i/>
          <w:iCs/>
          <w:color w:val="222222"/>
          <w:shd w:val="clear" w:color="auto" w:fill="FFFFFF"/>
        </w:rPr>
        <w:t>Ecology and Society</w:t>
      </w:r>
      <w:r w:rsidRPr="003129FD">
        <w:rPr>
          <w:rFonts w:ascii="Arial" w:eastAsia="Calibri" w:hAnsi="Arial"/>
          <w:color w:val="222222"/>
          <w:shd w:val="clear" w:color="auto" w:fill="FFFFFF"/>
        </w:rPr>
        <w:t xml:space="preserve">, </w:t>
      </w:r>
      <w:r w:rsidRPr="003129FD">
        <w:rPr>
          <w:rFonts w:ascii="Arial" w:eastAsia="Calibri" w:hAnsi="Arial"/>
          <w:i/>
          <w:iCs/>
          <w:color w:val="222222"/>
          <w:shd w:val="clear" w:color="auto" w:fill="FFFFFF"/>
        </w:rPr>
        <w:t>24</w:t>
      </w:r>
      <w:r w:rsidRPr="003129FD">
        <w:rPr>
          <w:rFonts w:ascii="Arial" w:eastAsia="Calibri" w:hAnsi="Arial"/>
          <w:color w:val="222222"/>
          <w:shd w:val="clear" w:color="auto" w:fill="FFFFFF"/>
        </w:rPr>
        <w:t>(1).</w:t>
      </w:r>
      <w:r w:rsidRPr="003129FD">
        <w:rPr>
          <w:rFonts w:ascii="Arial" w:hAnsi="Arial"/>
          <w:color w:val="000000"/>
        </w:rPr>
        <w:t>‌</w:t>
      </w:r>
    </w:p>
    <w:p w14:paraId="4D255F09" w14:textId="77777777" w:rsidR="003129FD" w:rsidRDefault="003129FD"/>
    <w:sectPr w:rsidR="003129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9FD"/>
    <w:rsid w:val="001A41F9"/>
    <w:rsid w:val="002E334D"/>
    <w:rsid w:val="003129FD"/>
    <w:rsid w:val="00D51C4E"/>
    <w:rsid w:val="00D84D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96BA6"/>
  <w15:chartTrackingRefBased/>
  <w15:docId w15:val="{3D2F643D-D043-41D4-B4B6-AD6AE9A84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9FD"/>
    <w:pPr>
      <w:spacing w:before="100" w:beforeAutospacing="1" w:line="256" w:lineRule="auto"/>
    </w:pPr>
    <w:rPr>
      <w:rFonts w:ascii="Calibri" w:eastAsia="Times New Roman" w:hAnsi="Calibri" w:cs="Arial"/>
    </w:rPr>
  </w:style>
  <w:style w:type="paragraph" w:styleId="Heading1">
    <w:name w:val="heading 1"/>
    <w:basedOn w:val="Normal"/>
    <w:next w:val="Normal"/>
    <w:link w:val="Heading1Char"/>
    <w:uiPriority w:val="99"/>
    <w:qFormat/>
    <w:rsid w:val="003129FD"/>
    <w:pPr>
      <w:keepNext/>
      <w:keepLines/>
      <w:widowControl w:val="0"/>
      <w:spacing w:before="240" w:beforeAutospacing="0" w:after="0"/>
      <w:outlineLvl w:val="0"/>
    </w:pPr>
    <w:rPr>
      <w:rFonts w:ascii="Calibri Light" w:eastAsia="DengXian Light" w:hAnsi="Calibri Light" w:cs="Times New Roman"/>
      <w:color w:val="2F5496"/>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129FD"/>
    <w:rPr>
      <w:rFonts w:ascii="Calibri Light" w:eastAsia="DengXian Light" w:hAnsi="Calibri Light" w:cs="Times New Roman"/>
      <w:color w:val="2F5496"/>
      <w:sz w:val="32"/>
      <w:szCs w:val="32"/>
    </w:rPr>
  </w:style>
  <w:style w:type="character" w:customStyle="1" w:styleId="15">
    <w:name w:val="15"/>
    <w:basedOn w:val="DefaultParagraphFont"/>
    <w:rsid w:val="003129FD"/>
    <w:rPr>
      <w:rFonts w:ascii="Calibri" w:hAnsi="Calibri" w:cs="Calibri" w:hint="default"/>
      <w:color w:val="0563C1"/>
      <w:u w:val="single"/>
    </w:rPr>
  </w:style>
  <w:style w:type="table" w:customStyle="1" w:styleId="GridTable1Light-Accent41">
    <w:name w:val="Grid Table 1 Light - Accent 41"/>
    <w:basedOn w:val="TableNormal"/>
    <w:rsid w:val="003129FD"/>
    <w:pPr>
      <w:spacing w:after="0" w:line="240" w:lineRule="auto"/>
    </w:pPr>
    <w:rPr>
      <w:rFonts w:ascii="Times New Roman" w:eastAsia="Times New Roman" w:hAnsi="Times New Roman" w:cs="Times New Roman"/>
      <w:sz w:val="20"/>
      <w:szCs w:val="20"/>
    </w:rPr>
    <w:tblPr>
      <w:tblInd w:w="0" w:type="nil"/>
      <w:tblBorders>
        <w:top w:val="single" w:sz="4" w:space="0" w:color="FFE599"/>
        <w:left w:val="single" w:sz="4" w:space="0" w:color="FFE599"/>
        <w:bottom w:val="single" w:sz="4" w:space="0" w:color="FFE599"/>
        <w:right w:val="single" w:sz="4" w:space="0" w:color="FFE599"/>
        <w:insideH w:val="single" w:sz="4" w:space="0" w:color="FFE599"/>
        <w:insideV w:val="single" w:sz="4" w:space="0" w:color="FFE599"/>
      </w:tblBorders>
    </w:tblPr>
    <w:tblStylePr w:type="firstRow">
      <w:rPr>
        <w:rFonts w:ascii="Times New Roman" w:hAnsi="Times New Roman" w:cs="Times New Roman" w:hint="default"/>
        <w:b/>
        <w:bCs/>
      </w:rPr>
      <w:tblPr/>
      <w:tcPr>
        <w:tcBorders>
          <w:bottom w:val="single" w:sz="12" w:space="0" w:color="FFD965"/>
        </w:tcBorders>
      </w:tcPr>
    </w:tblStylePr>
    <w:tblStylePr w:type="lastRow">
      <w:rPr>
        <w:rFonts w:ascii="Times New Roman" w:hAnsi="Times New Roman" w:cs="Times New Roman" w:hint="default"/>
        <w:b/>
        <w:bCs/>
      </w:rPr>
      <w:tblPr/>
      <w:tcPr>
        <w:tcBorders>
          <w:top w:val="double" w:sz="2" w:space="0" w:color="FFD965"/>
        </w:tcBorders>
      </w:tcPr>
    </w:tblStylePr>
    <w:tblStylePr w:type="firstCol">
      <w:rPr>
        <w:rFonts w:ascii="Times New Roman" w:hAnsi="Times New Roman" w:cs="Times New Roman" w:hint="default"/>
        <w:b/>
        <w:bCs/>
      </w:rPr>
    </w:tblStylePr>
    <w:tblStylePr w:type="lastCol">
      <w:rPr>
        <w:rFonts w:ascii="Times New Roman" w:hAnsi="Times New Roman" w:cs="Times New Roman" w:hint="default"/>
        <w:b/>
        <w:bCs/>
      </w:rPr>
    </w:tblStylePr>
  </w:style>
  <w:style w:type="paragraph" w:styleId="TOCHeading">
    <w:name w:val="TOC Heading"/>
    <w:basedOn w:val="Heading1"/>
    <w:next w:val="Normal"/>
    <w:uiPriority w:val="39"/>
    <w:unhideWhenUsed/>
    <w:qFormat/>
    <w:rsid w:val="003129FD"/>
    <w:pPr>
      <w:widowControl/>
      <w:spacing w:line="259" w:lineRule="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3129FD"/>
    <w:pPr>
      <w:spacing w:after="100"/>
    </w:pPr>
  </w:style>
  <w:style w:type="character" w:styleId="Hyperlink">
    <w:name w:val="Hyperlink"/>
    <w:basedOn w:val="DefaultParagraphFont"/>
    <w:uiPriority w:val="99"/>
    <w:unhideWhenUsed/>
    <w:rsid w:val="003129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432316">
      <w:bodyDiv w:val="1"/>
      <w:marLeft w:val="0"/>
      <w:marRight w:val="0"/>
      <w:marTop w:val="0"/>
      <w:marBottom w:val="0"/>
      <w:divBdr>
        <w:top w:val="none" w:sz="0" w:space="0" w:color="auto"/>
        <w:left w:val="none" w:sz="0" w:space="0" w:color="auto"/>
        <w:bottom w:val="none" w:sz="0" w:space="0" w:color="auto"/>
        <w:right w:val="none" w:sz="0" w:space="0" w:color="auto"/>
      </w:divBdr>
    </w:div>
    <w:div w:id="1176262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cipherhealth.com/blog/importance-of-communication-in-health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2582</Words>
  <Characters>14721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 User</cp:lastModifiedBy>
  <cp:revision>3</cp:revision>
  <dcterms:created xsi:type="dcterms:W3CDTF">2026-03-18T18:11:00Z</dcterms:created>
  <dcterms:modified xsi:type="dcterms:W3CDTF">2026-03-19T22:35:00Z</dcterms:modified>
</cp:coreProperties>
</file>