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9C23F" w14:textId="77777777" w:rsidR="002E3C2A" w:rsidRDefault="002E3C2A" w:rsidP="002E3C2A">
      <w:pPr>
        <w:spacing w:line="480" w:lineRule="auto"/>
        <w:jc w:val="both"/>
        <w:rPr>
          <w:rFonts w:ascii="Times New Roman" w:hAnsi="Times New Roman" w:cs="Times New Roman"/>
          <w:b/>
          <w:bCs/>
          <w:sz w:val="24"/>
          <w:szCs w:val="24"/>
          <w:lang w:val="en-US"/>
        </w:rPr>
      </w:pPr>
    </w:p>
    <w:p w14:paraId="413BF404" w14:textId="77777777" w:rsidR="003E5BC3" w:rsidRDefault="002E3C2A" w:rsidP="003E5BC3">
      <w:pPr>
        <w:spacing w:line="480" w:lineRule="auto"/>
        <w:rPr>
          <w:rFonts w:ascii="Times New Roman" w:hAnsi="Times New Roman" w:cs="Times New Roman"/>
          <w:sz w:val="24"/>
          <w:szCs w:val="24"/>
          <w:lang w:val="en-US"/>
        </w:rPr>
      </w:pPr>
      <w:r w:rsidRPr="002E3C2A">
        <w:rPr>
          <w:rFonts w:ascii="Times New Roman" w:hAnsi="Times New Roman" w:cs="Times New Roman"/>
          <w:sz w:val="24"/>
          <w:szCs w:val="24"/>
          <w:lang w:val="en-US"/>
        </w:rPr>
        <w:t xml:space="preserve">By </w:t>
      </w:r>
      <w:r w:rsidR="003E5BC3">
        <w:rPr>
          <w:rFonts w:ascii="Times New Roman" w:hAnsi="Times New Roman" w:cs="Times New Roman"/>
          <w:sz w:val="24"/>
          <w:szCs w:val="24"/>
          <w:lang w:val="en-US"/>
        </w:rPr>
        <w:t xml:space="preserve">Nagina Bibi                </w:t>
      </w:r>
    </w:p>
    <w:p w14:paraId="5F271221" w14:textId="31691051" w:rsidR="002E3C2A" w:rsidRPr="002E3C2A" w:rsidRDefault="002E3C2A" w:rsidP="003E5BC3">
      <w:pPr>
        <w:spacing w:line="480" w:lineRule="auto"/>
        <w:rPr>
          <w:rFonts w:ascii="Times New Roman" w:hAnsi="Times New Roman" w:cs="Times New Roman"/>
          <w:sz w:val="24"/>
          <w:szCs w:val="24"/>
          <w:lang w:val="en-US"/>
        </w:rPr>
      </w:pPr>
      <w:r w:rsidRPr="002E3C2A">
        <w:rPr>
          <w:rFonts w:ascii="Times New Roman" w:hAnsi="Times New Roman" w:cs="Times New Roman"/>
          <w:sz w:val="24"/>
          <w:szCs w:val="24"/>
          <w:lang w:val="en-US"/>
        </w:rPr>
        <w:t>Date</w:t>
      </w:r>
      <w:r w:rsidR="00982E8D">
        <w:rPr>
          <w:rFonts w:ascii="Times New Roman" w:hAnsi="Times New Roman" w:cs="Times New Roman"/>
          <w:sz w:val="24"/>
          <w:szCs w:val="24"/>
          <w:lang w:val="en-US"/>
        </w:rPr>
        <w:t>: Thursday 6</w:t>
      </w:r>
      <w:r w:rsidR="00982E8D" w:rsidRPr="00982E8D">
        <w:rPr>
          <w:rFonts w:ascii="Times New Roman" w:hAnsi="Times New Roman" w:cs="Times New Roman"/>
          <w:sz w:val="24"/>
          <w:szCs w:val="24"/>
          <w:vertAlign w:val="superscript"/>
          <w:lang w:val="en-US"/>
        </w:rPr>
        <w:t>th</w:t>
      </w:r>
      <w:r w:rsidR="00982E8D">
        <w:rPr>
          <w:rFonts w:ascii="Times New Roman" w:hAnsi="Times New Roman" w:cs="Times New Roman"/>
          <w:sz w:val="24"/>
          <w:szCs w:val="24"/>
          <w:lang w:val="en-US"/>
        </w:rPr>
        <w:t xml:space="preserve"> </w:t>
      </w:r>
      <w:r w:rsidR="005E1F88">
        <w:rPr>
          <w:rFonts w:ascii="Times New Roman" w:hAnsi="Times New Roman" w:cs="Times New Roman"/>
          <w:sz w:val="24"/>
          <w:szCs w:val="24"/>
          <w:lang w:val="en-US"/>
        </w:rPr>
        <w:t>May 2021</w:t>
      </w:r>
    </w:p>
    <w:p w14:paraId="046E09E7" w14:textId="77F2F63D" w:rsidR="002E3C2A" w:rsidRPr="008B3C97" w:rsidRDefault="002E3C2A" w:rsidP="002E3C2A">
      <w:pPr>
        <w:spacing w:line="480" w:lineRule="auto"/>
        <w:jc w:val="both"/>
        <w:rPr>
          <w:rFonts w:ascii="Times New Roman" w:hAnsi="Times New Roman" w:cs="Times New Roman"/>
          <w:b/>
          <w:bCs/>
          <w:sz w:val="24"/>
          <w:szCs w:val="24"/>
          <w:lang w:val="en-US"/>
        </w:rPr>
      </w:pPr>
      <w:r w:rsidRPr="008B3C97">
        <w:rPr>
          <w:rFonts w:ascii="Times New Roman" w:hAnsi="Times New Roman" w:cs="Times New Roman"/>
          <w:b/>
          <w:bCs/>
          <w:sz w:val="24"/>
          <w:szCs w:val="24"/>
          <w:lang w:val="en-US"/>
        </w:rPr>
        <w:t>Question 1</w:t>
      </w:r>
    </w:p>
    <w:p w14:paraId="0C7E974C" w14:textId="0F61AC2F"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The plea of insanity is used as a defense in many criminal cases to remove liability of the crime</w:t>
      </w:r>
      <w:r w:rsidR="005E1F88">
        <w:rPr>
          <w:rFonts w:ascii="Times New Roman" w:hAnsi="Times New Roman" w:cs="Times New Roman"/>
          <w:sz w:val="24"/>
          <w:szCs w:val="24"/>
          <w:lang w:val="en-US"/>
        </w:rPr>
        <w:t xml:space="preserve"> </w:t>
      </w:r>
      <w:r w:rsidRPr="008B3C97">
        <w:rPr>
          <w:rFonts w:ascii="Times New Roman" w:hAnsi="Times New Roman" w:cs="Times New Roman"/>
          <w:sz w:val="24"/>
          <w:szCs w:val="24"/>
          <w:lang w:val="en-US"/>
        </w:rPr>
        <w:t xml:space="preserve">from the accused person. There are various requirements arising from the case of </w:t>
      </w:r>
      <w:proofErr w:type="spellStart"/>
      <w:r w:rsidRPr="008B3C97">
        <w:rPr>
          <w:rFonts w:ascii="Times New Roman" w:hAnsi="Times New Roman" w:cs="Times New Roman"/>
          <w:i/>
          <w:iCs/>
          <w:sz w:val="24"/>
          <w:szCs w:val="24"/>
          <w:lang w:val="en-US"/>
        </w:rPr>
        <w:t>M’Naghten</w:t>
      </w:r>
      <w:proofErr w:type="spellEnd"/>
      <w:r w:rsidRPr="008B3C97">
        <w:rPr>
          <w:rFonts w:ascii="Times New Roman" w:hAnsi="Times New Roman" w:cs="Times New Roman"/>
          <w:i/>
          <w:iCs/>
          <w:sz w:val="24"/>
          <w:szCs w:val="24"/>
          <w:lang w:val="en-US"/>
        </w:rPr>
        <w:t xml:space="preserve"> (1843) 8 ER 178</w:t>
      </w:r>
      <w:r w:rsidRPr="008B3C97">
        <w:rPr>
          <w:rFonts w:ascii="Times New Roman" w:hAnsi="Times New Roman" w:cs="Times New Roman"/>
          <w:sz w:val="24"/>
          <w:szCs w:val="24"/>
          <w:lang w:val="en-US"/>
        </w:rPr>
        <w:t xml:space="preserve"> that </w:t>
      </w:r>
      <w:proofErr w:type="gramStart"/>
      <w:r w:rsidRPr="008B3C97">
        <w:rPr>
          <w:rFonts w:ascii="Times New Roman" w:hAnsi="Times New Roman" w:cs="Times New Roman"/>
          <w:sz w:val="24"/>
          <w:szCs w:val="24"/>
          <w:lang w:val="en-US"/>
        </w:rPr>
        <w:t>have to</w:t>
      </w:r>
      <w:proofErr w:type="gramEnd"/>
      <w:r w:rsidRPr="008B3C97">
        <w:rPr>
          <w:rFonts w:ascii="Times New Roman" w:hAnsi="Times New Roman" w:cs="Times New Roman"/>
          <w:sz w:val="24"/>
          <w:szCs w:val="24"/>
          <w:lang w:val="en-US"/>
        </w:rPr>
        <w:t xml:space="preserve"> be established in order for the plea of insanity to be successful. In the </w:t>
      </w:r>
      <w:proofErr w:type="spellStart"/>
      <w:r w:rsidRPr="008B3C97">
        <w:rPr>
          <w:rFonts w:ascii="Times New Roman" w:hAnsi="Times New Roman" w:cs="Times New Roman"/>
          <w:sz w:val="24"/>
          <w:szCs w:val="24"/>
          <w:lang w:val="en-US"/>
        </w:rPr>
        <w:t>M’Naghten</w:t>
      </w:r>
      <w:proofErr w:type="spellEnd"/>
      <w:r w:rsidRPr="008B3C97">
        <w:rPr>
          <w:rFonts w:ascii="Times New Roman" w:hAnsi="Times New Roman" w:cs="Times New Roman"/>
          <w:sz w:val="24"/>
          <w:szCs w:val="24"/>
          <w:lang w:val="en-US"/>
        </w:rPr>
        <w:t xml:space="preserve"> case, the court held that one must prove that that when a crime was being committed, the defendant was operating from a defect of reason and he or she was suffering from a disease of the mind. The accused should not have been aware of the quality and nature of his actions. He or she should not be aware that their actions were wrong. There is a difference between insanity and non-insane automatism. The non-insane automatism defense differs greatly from insanity </w:t>
      </w:r>
      <w:proofErr w:type="spellStart"/>
      <w:r w:rsidRPr="008B3C97">
        <w:rPr>
          <w:rFonts w:ascii="Times New Roman" w:hAnsi="Times New Roman" w:cs="Times New Roman"/>
          <w:sz w:val="24"/>
          <w:szCs w:val="24"/>
          <w:lang w:val="en-US"/>
        </w:rPr>
        <w:t>defence</w:t>
      </w:r>
      <w:proofErr w:type="spellEnd"/>
      <w:sdt>
        <w:sdtPr>
          <w:rPr>
            <w:rFonts w:ascii="Times New Roman" w:hAnsi="Times New Roman" w:cs="Times New Roman"/>
            <w:sz w:val="24"/>
            <w:szCs w:val="24"/>
            <w:lang w:val="en-US"/>
          </w:rPr>
          <w:id w:val="430551514"/>
          <w:citation/>
        </w:sdtPr>
        <w:sdtEndPr/>
        <w:sdtContent>
          <w:r w:rsidRPr="008B3C97">
            <w:rPr>
              <w:rFonts w:ascii="Times New Roman" w:hAnsi="Times New Roman" w:cs="Times New Roman"/>
              <w:sz w:val="24"/>
              <w:szCs w:val="24"/>
              <w:lang w:val="en-US"/>
            </w:rPr>
            <w:fldChar w:fldCharType="begin"/>
          </w:r>
          <w:r w:rsidRPr="008B3C97">
            <w:rPr>
              <w:rFonts w:ascii="Times New Roman" w:hAnsi="Times New Roman" w:cs="Times New Roman"/>
              <w:sz w:val="24"/>
              <w:szCs w:val="24"/>
              <w:lang w:val="en-US"/>
            </w:rPr>
            <w:instrText xml:space="preserve"> CITATION ELe85 \l 1033 </w:instrText>
          </w:r>
          <w:r w:rsidRPr="008B3C97">
            <w:rPr>
              <w:rFonts w:ascii="Times New Roman" w:hAnsi="Times New Roman" w:cs="Times New Roman"/>
              <w:sz w:val="24"/>
              <w:szCs w:val="24"/>
              <w:lang w:val="en-US"/>
            </w:rPr>
            <w:fldChar w:fldCharType="separate"/>
          </w:r>
          <w:r w:rsidRPr="008B3C97">
            <w:rPr>
              <w:rFonts w:ascii="Times New Roman" w:hAnsi="Times New Roman" w:cs="Times New Roman"/>
              <w:noProof/>
              <w:sz w:val="24"/>
              <w:szCs w:val="24"/>
              <w:lang w:val="en-US"/>
            </w:rPr>
            <w:t xml:space="preserve"> (Lederman, 1985)</w:t>
          </w:r>
          <w:r w:rsidRPr="008B3C97">
            <w:rPr>
              <w:rFonts w:ascii="Times New Roman" w:hAnsi="Times New Roman" w:cs="Times New Roman"/>
              <w:sz w:val="24"/>
              <w:szCs w:val="24"/>
              <w:lang w:val="en-US"/>
            </w:rPr>
            <w:fldChar w:fldCharType="end"/>
          </w:r>
        </w:sdtContent>
      </w:sdt>
      <w:r w:rsidRPr="008B3C97">
        <w:rPr>
          <w:rFonts w:ascii="Times New Roman" w:hAnsi="Times New Roman" w:cs="Times New Roman"/>
          <w:sz w:val="24"/>
          <w:szCs w:val="24"/>
          <w:lang w:val="en-US"/>
        </w:rPr>
        <w:t xml:space="preserve">. When proven successfully, it is used as </w:t>
      </w:r>
      <w:proofErr w:type="spellStart"/>
      <w:r w:rsidRPr="008B3C97">
        <w:rPr>
          <w:rFonts w:ascii="Times New Roman" w:hAnsi="Times New Roman" w:cs="Times New Roman"/>
          <w:sz w:val="24"/>
          <w:szCs w:val="24"/>
          <w:lang w:val="en-US"/>
        </w:rPr>
        <w:t>defence</w:t>
      </w:r>
      <w:proofErr w:type="spellEnd"/>
      <w:r w:rsidRPr="008B3C97">
        <w:rPr>
          <w:rFonts w:ascii="Times New Roman" w:hAnsi="Times New Roman" w:cs="Times New Roman"/>
          <w:sz w:val="24"/>
          <w:szCs w:val="24"/>
          <w:lang w:val="en-US"/>
        </w:rPr>
        <w:t xml:space="preserve"> in removing criminal liability from an accused person. It is different from insane automatism </w:t>
      </w:r>
      <w:proofErr w:type="spellStart"/>
      <w:r w:rsidRPr="008B3C97">
        <w:rPr>
          <w:rFonts w:ascii="Times New Roman" w:hAnsi="Times New Roman" w:cs="Times New Roman"/>
          <w:sz w:val="24"/>
          <w:szCs w:val="24"/>
          <w:lang w:val="en-US"/>
        </w:rPr>
        <w:t>defence</w:t>
      </w:r>
      <w:proofErr w:type="spellEnd"/>
      <w:r w:rsidRPr="008B3C97">
        <w:rPr>
          <w:rFonts w:ascii="Times New Roman" w:hAnsi="Times New Roman" w:cs="Times New Roman"/>
          <w:sz w:val="24"/>
          <w:szCs w:val="24"/>
          <w:lang w:val="en-US"/>
        </w:rPr>
        <w:t xml:space="preserve"> as the defendant cannot be detained in mental health facility and no order can be made against the accused person. The non-insane automatism defense is used in instances where an individual commits a crime in a situation where such actions are deemed to be involuntary.</w:t>
      </w:r>
    </w:p>
    <w:p w14:paraId="6F7EF0CF" w14:textId="65DA261D"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 xml:space="preserve">On the element of proving defect of reason, the accused must prove that he or she had been deprived their power to reason. This does not include absentmindedness or distraction that was temporary. In the case of </w:t>
      </w:r>
      <w:r w:rsidRPr="008B3C97">
        <w:rPr>
          <w:rFonts w:ascii="Times New Roman" w:hAnsi="Times New Roman" w:cs="Times New Roman"/>
          <w:i/>
          <w:iCs/>
          <w:sz w:val="24"/>
          <w:szCs w:val="24"/>
          <w:lang w:val="en-US"/>
        </w:rPr>
        <w:t>R v Clarke (1972) 1 All ER 219</w:t>
      </w:r>
      <w:r w:rsidRPr="008B3C97">
        <w:rPr>
          <w:rFonts w:ascii="Times New Roman" w:hAnsi="Times New Roman" w:cs="Times New Roman"/>
          <w:sz w:val="24"/>
          <w:szCs w:val="24"/>
          <w:lang w:val="en-US"/>
        </w:rPr>
        <w:t xml:space="preserve">, the accused had been charged with the crime of theft. She admitted </w:t>
      </w:r>
      <w:r w:rsidR="005E1F88" w:rsidRPr="008B3C97">
        <w:rPr>
          <w:rFonts w:ascii="Times New Roman" w:hAnsi="Times New Roman" w:cs="Times New Roman"/>
          <w:sz w:val="24"/>
          <w:szCs w:val="24"/>
          <w:lang w:val="en-US"/>
        </w:rPr>
        <w:t>having</w:t>
      </w:r>
      <w:r w:rsidRPr="008B3C97">
        <w:rPr>
          <w:rFonts w:ascii="Times New Roman" w:hAnsi="Times New Roman" w:cs="Times New Roman"/>
          <w:sz w:val="24"/>
          <w:szCs w:val="24"/>
          <w:lang w:val="en-US"/>
        </w:rPr>
        <w:t xml:space="preserve"> taken the goods as she was absentminded which was caused by depression that she was suffering from. The court held that absentmindedness could not be deemed to be defect of reason.</w:t>
      </w:r>
    </w:p>
    <w:p w14:paraId="73E929DC" w14:textId="3694E214"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lastRenderedPageBreak/>
        <w:t xml:space="preserve">Another element that </w:t>
      </w:r>
      <w:r w:rsidR="005E1F88" w:rsidRPr="008B3C97">
        <w:rPr>
          <w:rFonts w:ascii="Times New Roman" w:hAnsi="Times New Roman" w:cs="Times New Roman"/>
          <w:sz w:val="24"/>
          <w:szCs w:val="24"/>
          <w:lang w:val="en-US"/>
        </w:rPr>
        <w:t>needs</w:t>
      </w:r>
      <w:r w:rsidRPr="008B3C97">
        <w:rPr>
          <w:rFonts w:ascii="Times New Roman" w:hAnsi="Times New Roman" w:cs="Times New Roman"/>
          <w:sz w:val="24"/>
          <w:szCs w:val="24"/>
          <w:lang w:val="en-US"/>
        </w:rPr>
        <w:t xml:space="preserve"> to be satisfied to plea insanity is proving that the defendant suffered from a disease of the mind. In the case of </w:t>
      </w:r>
      <w:r w:rsidRPr="008B3C97">
        <w:rPr>
          <w:rFonts w:ascii="Times New Roman" w:hAnsi="Times New Roman" w:cs="Times New Roman"/>
          <w:i/>
          <w:iCs/>
          <w:sz w:val="24"/>
          <w:szCs w:val="24"/>
          <w:lang w:val="en-US"/>
        </w:rPr>
        <w:t>R v Sullivan (1984) AC 156</w:t>
      </w:r>
      <w:r w:rsidRPr="008B3C97">
        <w:rPr>
          <w:rFonts w:ascii="Times New Roman" w:hAnsi="Times New Roman" w:cs="Times New Roman"/>
          <w:sz w:val="24"/>
          <w:szCs w:val="24"/>
          <w:lang w:val="en-US"/>
        </w:rPr>
        <w:t xml:space="preserve">, a disease of the mind is defined as an illness that affects the mental aspects of memory, reason and understanding and cannot emerge from a cause that is external. In the case of </w:t>
      </w:r>
      <w:r w:rsidRPr="008B3C97">
        <w:rPr>
          <w:rFonts w:ascii="Times New Roman" w:hAnsi="Times New Roman" w:cs="Times New Roman"/>
          <w:i/>
          <w:iCs/>
          <w:sz w:val="24"/>
          <w:szCs w:val="24"/>
          <w:lang w:val="en-US"/>
        </w:rPr>
        <w:t>R v Kemp (1957) 1 QB 399</w:t>
      </w:r>
      <w:r w:rsidRPr="008B3C97">
        <w:rPr>
          <w:rFonts w:ascii="Times New Roman" w:hAnsi="Times New Roman" w:cs="Times New Roman"/>
          <w:sz w:val="24"/>
          <w:szCs w:val="24"/>
          <w:lang w:val="en-US"/>
        </w:rPr>
        <w:t xml:space="preserve">, the court held that hardening of arteries could be classified as disease of the mind within the scope of the Rules of M’ </w:t>
      </w:r>
      <w:proofErr w:type="spellStart"/>
      <w:r w:rsidRPr="008B3C97">
        <w:rPr>
          <w:rFonts w:ascii="Times New Roman" w:hAnsi="Times New Roman" w:cs="Times New Roman"/>
          <w:sz w:val="24"/>
          <w:szCs w:val="24"/>
          <w:lang w:val="en-US"/>
        </w:rPr>
        <w:t>Naghten</w:t>
      </w:r>
      <w:proofErr w:type="spellEnd"/>
      <w:r w:rsidRPr="008B3C97">
        <w:rPr>
          <w:rFonts w:ascii="Times New Roman" w:hAnsi="Times New Roman" w:cs="Times New Roman"/>
          <w:sz w:val="24"/>
          <w:szCs w:val="24"/>
          <w:lang w:val="en-US"/>
        </w:rPr>
        <w:t xml:space="preserve"> regardless of it not leading to the brain’s degeneration. The court further held that the defendant’s state of mind was the imperative matter and not the cause of disease of mind. In addition, the court stated that mind and brain </w:t>
      </w:r>
      <w:proofErr w:type="gramStart"/>
      <w:r w:rsidRPr="008B3C97">
        <w:rPr>
          <w:rFonts w:ascii="Times New Roman" w:hAnsi="Times New Roman" w:cs="Times New Roman"/>
          <w:sz w:val="24"/>
          <w:szCs w:val="24"/>
          <w:lang w:val="en-US"/>
        </w:rPr>
        <w:t>were</w:t>
      </w:r>
      <w:proofErr w:type="gramEnd"/>
      <w:r w:rsidRPr="008B3C97">
        <w:rPr>
          <w:rFonts w:ascii="Times New Roman" w:hAnsi="Times New Roman" w:cs="Times New Roman"/>
          <w:sz w:val="24"/>
          <w:szCs w:val="24"/>
          <w:lang w:val="en-US"/>
        </w:rPr>
        <w:t xml:space="preserve"> not synonymous hence mind is linked the ordinary mental aspects of memory, reason and understanding. Also, in the case of </w:t>
      </w:r>
      <w:r w:rsidRPr="008B3C97">
        <w:rPr>
          <w:rFonts w:ascii="Times New Roman" w:hAnsi="Times New Roman" w:cs="Times New Roman"/>
          <w:i/>
          <w:iCs/>
          <w:sz w:val="24"/>
          <w:szCs w:val="24"/>
          <w:lang w:val="en-US"/>
        </w:rPr>
        <w:t>R v Burgess (1991) 2 WLR 1206</w:t>
      </w:r>
      <w:r w:rsidRPr="008B3C97">
        <w:rPr>
          <w:rFonts w:ascii="Times New Roman" w:hAnsi="Times New Roman" w:cs="Times New Roman"/>
          <w:sz w:val="24"/>
          <w:szCs w:val="24"/>
          <w:lang w:val="en-US"/>
        </w:rPr>
        <w:t xml:space="preserve">, the court held that sleepwalking could be classified as a disease of the mind. </w:t>
      </w:r>
    </w:p>
    <w:p w14:paraId="52F7D615" w14:textId="068210C9" w:rsidR="002E3C2A" w:rsidRPr="008B3C97" w:rsidRDefault="002E3C2A" w:rsidP="002E3C2A">
      <w:pPr>
        <w:spacing w:line="480" w:lineRule="auto"/>
        <w:jc w:val="both"/>
        <w:rPr>
          <w:rFonts w:ascii="Times New Roman" w:hAnsi="Times New Roman" w:cs="Times New Roman"/>
          <w:i/>
          <w:iCs/>
          <w:sz w:val="24"/>
          <w:szCs w:val="24"/>
          <w:lang w:val="en-US"/>
        </w:rPr>
      </w:pPr>
      <w:r w:rsidRPr="008B3C97">
        <w:rPr>
          <w:rFonts w:ascii="Times New Roman" w:hAnsi="Times New Roman" w:cs="Times New Roman"/>
          <w:sz w:val="24"/>
          <w:szCs w:val="24"/>
          <w:lang w:val="en-US"/>
        </w:rPr>
        <w:t xml:space="preserve">The defendant not being aware of the nature and quality of their actions, </w:t>
      </w:r>
      <w:proofErr w:type="gramStart"/>
      <w:r w:rsidRPr="008B3C97">
        <w:rPr>
          <w:rFonts w:ascii="Times New Roman" w:hAnsi="Times New Roman" w:cs="Times New Roman"/>
          <w:sz w:val="24"/>
          <w:szCs w:val="24"/>
          <w:lang w:val="en-US"/>
        </w:rPr>
        <w:t>has to</w:t>
      </w:r>
      <w:proofErr w:type="gramEnd"/>
      <w:r w:rsidRPr="008B3C97">
        <w:rPr>
          <w:rFonts w:ascii="Times New Roman" w:hAnsi="Times New Roman" w:cs="Times New Roman"/>
          <w:sz w:val="24"/>
          <w:szCs w:val="24"/>
          <w:lang w:val="en-US"/>
        </w:rPr>
        <w:t xml:space="preserve"> be proven to enable a successful plea of insanity. Nature and quality refer to the ability of the defendant to acknowledge his or her actions and the implications of their actions. In the case of </w:t>
      </w:r>
      <w:r w:rsidRPr="008B3C97">
        <w:rPr>
          <w:rFonts w:ascii="Times New Roman" w:hAnsi="Times New Roman" w:cs="Times New Roman"/>
          <w:i/>
          <w:iCs/>
          <w:sz w:val="24"/>
          <w:szCs w:val="24"/>
          <w:lang w:val="en-US"/>
        </w:rPr>
        <w:t xml:space="preserve">R vs </w:t>
      </w:r>
      <w:proofErr w:type="spellStart"/>
      <w:r w:rsidRPr="008B3C97">
        <w:rPr>
          <w:rFonts w:ascii="Times New Roman" w:hAnsi="Times New Roman" w:cs="Times New Roman"/>
          <w:i/>
          <w:iCs/>
          <w:sz w:val="24"/>
          <w:szCs w:val="24"/>
          <w:lang w:val="en-US"/>
        </w:rPr>
        <w:t>Codere</w:t>
      </w:r>
      <w:proofErr w:type="spellEnd"/>
      <w:r w:rsidRPr="008B3C97">
        <w:rPr>
          <w:rFonts w:ascii="Times New Roman" w:hAnsi="Times New Roman" w:cs="Times New Roman"/>
          <w:i/>
          <w:iCs/>
          <w:sz w:val="24"/>
          <w:szCs w:val="24"/>
          <w:lang w:val="en-US"/>
        </w:rPr>
        <w:t xml:space="preserve"> (1916) 12 Cr. App. R. 21</w:t>
      </w:r>
      <w:r w:rsidRPr="008B3C97">
        <w:rPr>
          <w:rFonts w:ascii="Times New Roman" w:hAnsi="Times New Roman" w:cs="Times New Roman"/>
          <w:sz w:val="24"/>
          <w:szCs w:val="24"/>
          <w:lang w:val="en-US"/>
        </w:rPr>
        <w:t xml:space="preserve">, the defendant had been charged with murder and plead insanity. The court affirmed the element of the defendant having knowledge of the nature and quality of their actions in accordance </w:t>
      </w:r>
      <w:r w:rsidR="005E1F88" w:rsidRPr="008B3C97">
        <w:rPr>
          <w:rFonts w:ascii="Times New Roman" w:hAnsi="Times New Roman" w:cs="Times New Roman"/>
          <w:sz w:val="24"/>
          <w:szCs w:val="24"/>
          <w:lang w:val="en-US"/>
        </w:rPr>
        <w:t>with</w:t>
      </w:r>
      <w:r w:rsidRPr="008B3C97">
        <w:rPr>
          <w:rFonts w:ascii="Times New Roman" w:hAnsi="Times New Roman" w:cs="Times New Roman"/>
          <w:sz w:val="24"/>
          <w:szCs w:val="24"/>
          <w:lang w:val="en-US"/>
        </w:rPr>
        <w:t xml:space="preserve"> </w:t>
      </w:r>
      <w:proofErr w:type="spellStart"/>
      <w:r w:rsidRPr="008B3C97">
        <w:rPr>
          <w:rFonts w:ascii="Times New Roman" w:hAnsi="Times New Roman" w:cs="Times New Roman"/>
          <w:sz w:val="24"/>
          <w:szCs w:val="24"/>
          <w:lang w:val="en-US"/>
        </w:rPr>
        <w:t>M’Naghten</w:t>
      </w:r>
      <w:proofErr w:type="spellEnd"/>
      <w:r w:rsidRPr="008B3C97">
        <w:rPr>
          <w:rFonts w:ascii="Times New Roman" w:hAnsi="Times New Roman" w:cs="Times New Roman"/>
          <w:sz w:val="24"/>
          <w:szCs w:val="24"/>
          <w:lang w:val="en-US"/>
        </w:rPr>
        <w:t xml:space="preserve"> rules was not based on moral or legal dimensions but was based on physical dimensions. On the element on the defendant being aware that his or her actions was wrong. In the case of </w:t>
      </w:r>
      <w:r w:rsidRPr="008B3C97">
        <w:rPr>
          <w:rFonts w:ascii="Times New Roman" w:hAnsi="Times New Roman" w:cs="Times New Roman"/>
          <w:i/>
          <w:iCs/>
          <w:sz w:val="24"/>
          <w:szCs w:val="24"/>
          <w:lang w:val="en-US"/>
        </w:rPr>
        <w:t>R v Windle (1952) 2 QB 82</w:t>
      </w:r>
      <w:r w:rsidRPr="008B3C97">
        <w:rPr>
          <w:rFonts w:ascii="Times New Roman" w:hAnsi="Times New Roman" w:cs="Times New Roman"/>
          <w:sz w:val="24"/>
          <w:szCs w:val="24"/>
          <w:lang w:val="en-US"/>
        </w:rPr>
        <w:t xml:space="preserve">, the court held that the wrong had to be legal in nature and morally.  </w:t>
      </w:r>
    </w:p>
    <w:p w14:paraId="08DCB288" w14:textId="77777777"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When a defendant pleads insanity, a witness who is a medical expert will be required to explain the mental illness during the court proceedings. This is in order to deal with any confusion pertaining to the matter and the ways in the effects of the brain can lead to a human being engaging in a criminal activity</w:t>
      </w:r>
      <w:sdt>
        <w:sdtPr>
          <w:rPr>
            <w:rFonts w:ascii="Times New Roman" w:hAnsi="Times New Roman" w:cs="Times New Roman"/>
            <w:sz w:val="24"/>
            <w:szCs w:val="24"/>
            <w:lang w:val="en-US"/>
          </w:rPr>
          <w:id w:val="-1861046923"/>
          <w:citation/>
        </w:sdtPr>
        <w:sdtEndPr/>
        <w:sdtContent>
          <w:r w:rsidRPr="008B3C97">
            <w:rPr>
              <w:rFonts w:ascii="Times New Roman" w:hAnsi="Times New Roman" w:cs="Times New Roman"/>
              <w:sz w:val="24"/>
              <w:szCs w:val="24"/>
              <w:lang w:val="en-US"/>
            </w:rPr>
            <w:fldChar w:fldCharType="begin"/>
          </w:r>
          <w:r w:rsidRPr="008B3C97">
            <w:rPr>
              <w:rFonts w:ascii="Times New Roman" w:hAnsi="Times New Roman" w:cs="Times New Roman"/>
              <w:sz w:val="24"/>
              <w:szCs w:val="24"/>
              <w:lang w:val="en-US"/>
            </w:rPr>
            <w:instrText xml:space="preserve"> CITATION RJS83 \l 1033 </w:instrText>
          </w:r>
          <w:r w:rsidRPr="008B3C97">
            <w:rPr>
              <w:rFonts w:ascii="Times New Roman" w:hAnsi="Times New Roman" w:cs="Times New Roman"/>
              <w:sz w:val="24"/>
              <w:szCs w:val="24"/>
              <w:lang w:val="en-US"/>
            </w:rPr>
            <w:fldChar w:fldCharType="separate"/>
          </w:r>
          <w:r w:rsidRPr="008B3C97">
            <w:rPr>
              <w:rFonts w:ascii="Times New Roman" w:hAnsi="Times New Roman" w:cs="Times New Roman"/>
              <w:noProof/>
              <w:sz w:val="24"/>
              <w:szCs w:val="24"/>
              <w:lang w:val="en-US"/>
            </w:rPr>
            <w:t xml:space="preserve"> (Simon, 1983)</w:t>
          </w:r>
          <w:r w:rsidRPr="008B3C97">
            <w:rPr>
              <w:rFonts w:ascii="Times New Roman" w:hAnsi="Times New Roman" w:cs="Times New Roman"/>
              <w:sz w:val="24"/>
              <w:szCs w:val="24"/>
              <w:lang w:val="en-US"/>
            </w:rPr>
            <w:fldChar w:fldCharType="end"/>
          </w:r>
        </w:sdtContent>
      </w:sdt>
      <w:r w:rsidRPr="008B3C97">
        <w:rPr>
          <w:rFonts w:ascii="Times New Roman" w:hAnsi="Times New Roman" w:cs="Times New Roman"/>
          <w:sz w:val="24"/>
          <w:szCs w:val="24"/>
          <w:lang w:val="en-US"/>
        </w:rPr>
        <w:t xml:space="preserve">. The knowledge and expertise of the medical person on human brain and behavior aids him or her in explaining the case of the disease and </w:t>
      </w:r>
      <w:r w:rsidRPr="008B3C97">
        <w:rPr>
          <w:rFonts w:ascii="Times New Roman" w:hAnsi="Times New Roman" w:cs="Times New Roman"/>
          <w:sz w:val="24"/>
          <w:szCs w:val="24"/>
          <w:lang w:val="en-US"/>
        </w:rPr>
        <w:lastRenderedPageBreak/>
        <w:t>its effects on a person. The medical expert has the obligation of refuting a claim or supporting a plea that the accused may be suffering from a disease of the mind.</w:t>
      </w:r>
    </w:p>
    <w:p w14:paraId="15B9C926" w14:textId="77777777"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The plea of insanity has been greatly criticized. Some of the arguments against insanity defense is that it may lead to an individual who is deemed to be dangerous being released from a psychiatric facility</w:t>
      </w:r>
      <w:sdt>
        <w:sdtPr>
          <w:rPr>
            <w:rFonts w:ascii="Times New Roman" w:hAnsi="Times New Roman" w:cs="Times New Roman"/>
            <w:sz w:val="24"/>
            <w:szCs w:val="24"/>
            <w:lang w:val="en-US"/>
          </w:rPr>
          <w:id w:val="-1203238400"/>
          <w:citation/>
        </w:sdtPr>
        <w:sdtEndPr/>
        <w:sdtContent>
          <w:r w:rsidRPr="008B3C97">
            <w:rPr>
              <w:rFonts w:ascii="Times New Roman" w:hAnsi="Times New Roman" w:cs="Times New Roman"/>
              <w:sz w:val="24"/>
              <w:szCs w:val="24"/>
              <w:lang w:val="en-US"/>
            </w:rPr>
            <w:fldChar w:fldCharType="begin"/>
          </w:r>
          <w:r w:rsidRPr="008B3C97">
            <w:rPr>
              <w:rFonts w:ascii="Times New Roman" w:hAnsi="Times New Roman" w:cs="Times New Roman"/>
              <w:sz w:val="24"/>
              <w:szCs w:val="24"/>
              <w:lang w:val="en-US"/>
            </w:rPr>
            <w:instrText xml:space="preserve"> CITATION Dol19 \l 1033 </w:instrText>
          </w:r>
          <w:r w:rsidRPr="008B3C97">
            <w:rPr>
              <w:rFonts w:ascii="Times New Roman" w:hAnsi="Times New Roman" w:cs="Times New Roman"/>
              <w:sz w:val="24"/>
              <w:szCs w:val="24"/>
              <w:lang w:val="en-US"/>
            </w:rPr>
            <w:fldChar w:fldCharType="separate"/>
          </w:r>
          <w:r w:rsidRPr="008B3C97">
            <w:rPr>
              <w:rFonts w:ascii="Times New Roman" w:hAnsi="Times New Roman" w:cs="Times New Roman"/>
              <w:noProof/>
              <w:sz w:val="24"/>
              <w:szCs w:val="24"/>
              <w:lang w:val="en-US"/>
            </w:rPr>
            <w:t xml:space="preserve"> (Dolan, 2019)</w:t>
          </w:r>
          <w:r w:rsidRPr="008B3C97">
            <w:rPr>
              <w:rFonts w:ascii="Times New Roman" w:hAnsi="Times New Roman" w:cs="Times New Roman"/>
              <w:sz w:val="24"/>
              <w:szCs w:val="24"/>
              <w:lang w:val="en-US"/>
            </w:rPr>
            <w:fldChar w:fldCharType="end"/>
          </w:r>
        </w:sdtContent>
      </w:sdt>
      <w:r w:rsidRPr="008B3C97">
        <w:rPr>
          <w:rFonts w:ascii="Times New Roman" w:hAnsi="Times New Roman" w:cs="Times New Roman"/>
          <w:sz w:val="24"/>
          <w:szCs w:val="24"/>
          <w:lang w:val="en-US"/>
        </w:rPr>
        <w:t xml:space="preserve">. Also, critics state the jury may not have the ability to distinguish between the psychiatric testimony that is conflicting concerning the mental state of the defendant at the time when the crime was being committed. There is also an issue of the subjectivity of the opinion of the psychiatric. It has also been argued that the defense is only available to defendants who are rich as it entails psychiatric testimony and testing which is quite costly. Another criticism is that the insanity plea is perceived to be very punitive to the defendants who are mentally ill as the burden of proof lies on them. </w:t>
      </w:r>
    </w:p>
    <w:p w14:paraId="1366840F" w14:textId="77777777"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In order to mitigate the weaknesses associated with the insanity plea, many jurisdictions favor the use of diminished responsibility or diminished capacity. A contributing factor of this shift has been the high burden of proof that is placed on the defendants. Diminished responsibility is also as a defense for the purposes of removing liability from a defendant. This defense is embedded in the Homicide Act 1957</w:t>
      </w:r>
      <w:sdt>
        <w:sdtPr>
          <w:rPr>
            <w:rFonts w:ascii="Times New Roman" w:hAnsi="Times New Roman" w:cs="Times New Roman"/>
            <w:sz w:val="24"/>
            <w:szCs w:val="24"/>
            <w:lang w:val="en-US"/>
          </w:rPr>
          <w:id w:val="1250003233"/>
          <w:citation/>
        </w:sdtPr>
        <w:sdtEndPr/>
        <w:sdtContent>
          <w:r w:rsidRPr="008B3C97">
            <w:rPr>
              <w:rFonts w:ascii="Times New Roman" w:hAnsi="Times New Roman" w:cs="Times New Roman"/>
              <w:sz w:val="24"/>
              <w:szCs w:val="24"/>
              <w:lang w:val="en-US"/>
            </w:rPr>
            <w:fldChar w:fldCharType="begin"/>
          </w:r>
          <w:r w:rsidRPr="008B3C97">
            <w:rPr>
              <w:rFonts w:ascii="Times New Roman" w:hAnsi="Times New Roman" w:cs="Times New Roman"/>
              <w:sz w:val="24"/>
              <w:szCs w:val="24"/>
              <w:lang w:val="en-US"/>
            </w:rPr>
            <w:instrText xml:space="preserve"> CITATION SPr57 \l 1033 </w:instrText>
          </w:r>
          <w:r w:rsidRPr="008B3C97">
            <w:rPr>
              <w:rFonts w:ascii="Times New Roman" w:hAnsi="Times New Roman" w:cs="Times New Roman"/>
              <w:sz w:val="24"/>
              <w:szCs w:val="24"/>
              <w:lang w:val="en-US"/>
            </w:rPr>
            <w:fldChar w:fldCharType="separate"/>
          </w:r>
          <w:r w:rsidRPr="008B3C97">
            <w:rPr>
              <w:rFonts w:ascii="Times New Roman" w:hAnsi="Times New Roman" w:cs="Times New Roman"/>
              <w:noProof/>
              <w:sz w:val="24"/>
              <w:szCs w:val="24"/>
              <w:lang w:val="en-US"/>
            </w:rPr>
            <w:t xml:space="preserve"> (Prevezer, 1957)</w:t>
          </w:r>
          <w:r w:rsidRPr="008B3C97">
            <w:rPr>
              <w:rFonts w:ascii="Times New Roman" w:hAnsi="Times New Roman" w:cs="Times New Roman"/>
              <w:sz w:val="24"/>
              <w:szCs w:val="24"/>
              <w:lang w:val="en-US"/>
            </w:rPr>
            <w:fldChar w:fldCharType="end"/>
          </w:r>
        </w:sdtContent>
      </w:sdt>
      <w:r w:rsidRPr="008B3C97">
        <w:rPr>
          <w:rFonts w:ascii="Times New Roman" w:hAnsi="Times New Roman" w:cs="Times New Roman"/>
          <w:sz w:val="24"/>
          <w:szCs w:val="24"/>
          <w:lang w:val="en-US"/>
        </w:rPr>
        <w:t>.</w:t>
      </w:r>
    </w:p>
    <w:p w14:paraId="5EE4F157" w14:textId="77777777" w:rsidR="002E3C2A"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The plea of insanity is one of the commonly used defenses by individuals accused of committing a particular crime. This entails proving disease of the mind, defect of reason, lack of knowledge of the nature and quality of one’s actions and not being aware that their actions were wrong. However, this defense places a high burden of proof to accused persons who are mentally ill hence many jurisdictions are opting for the defense of diminished responsibility.</w:t>
      </w:r>
    </w:p>
    <w:p w14:paraId="100B71CC" w14:textId="77777777" w:rsidR="002E3C2A" w:rsidRPr="002E3C2A" w:rsidRDefault="002E3C2A" w:rsidP="002E3C2A">
      <w:pPr>
        <w:spacing w:line="480" w:lineRule="auto"/>
        <w:jc w:val="center"/>
        <w:rPr>
          <w:rFonts w:ascii="Times New Roman" w:hAnsi="Times New Roman" w:cs="Times New Roman"/>
          <w:b/>
          <w:bCs/>
          <w:sz w:val="24"/>
          <w:szCs w:val="24"/>
          <w:lang w:val="en-US"/>
        </w:rPr>
      </w:pPr>
      <w:r w:rsidRPr="002E3C2A">
        <w:rPr>
          <w:rFonts w:ascii="Times New Roman" w:hAnsi="Times New Roman" w:cs="Times New Roman"/>
          <w:b/>
          <w:bCs/>
          <w:sz w:val="24"/>
          <w:szCs w:val="24"/>
          <w:lang w:val="en-US"/>
        </w:rPr>
        <w:t>References</w:t>
      </w:r>
    </w:p>
    <w:p w14:paraId="221954C3" w14:textId="77777777" w:rsidR="002E3C2A" w:rsidRPr="008B3C97" w:rsidRDefault="002E3C2A" w:rsidP="002E3C2A">
      <w:pPr>
        <w:spacing w:line="480" w:lineRule="auto"/>
        <w:jc w:val="both"/>
        <w:rPr>
          <w:rFonts w:ascii="Times New Roman" w:hAnsi="Times New Roman" w:cs="Times New Roman"/>
          <w:sz w:val="24"/>
          <w:szCs w:val="24"/>
          <w:lang w:val="en-US"/>
        </w:rPr>
      </w:pPr>
      <w:proofErr w:type="spellStart"/>
      <w:r w:rsidRPr="008B3C97">
        <w:rPr>
          <w:rFonts w:ascii="Times New Roman" w:hAnsi="Times New Roman" w:cs="Times New Roman"/>
          <w:sz w:val="24"/>
          <w:szCs w:val="24"/>
          <w:lang w:val="en-US"/>
        </w:rPr>
        <w:t>M’Naghten</w:t>
      </w:r>
      <w:proofErr w:type="spellEnd"/>
      <w:r w:rsidRPr="008B3C97">
        <w:rPr>
          <w:rFonts w:ascii="Times New Roman" w:hAnsi="Times New Roman" w:cs="Times New Roman"/>
          <w:sz w:val="24"/>
          <w:szCs w:val="24"/>
          <w:lang w:val="en-US"/>
        </w:rPr>
        <w:t xml:space="preserve"> (1843) 8 ER 178</w:t>
      </w:r>
    </w:p>
    <w:p w14:paraId="40D5726A" w14:textId="77777777"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R v Burgess (1991) 2 WLR 1206</w:t>
      </w:r>
    </w:p>
    <w:p w14:paraId="5793217A" w14:textId="77777777"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lastRenderedPageBreak/>
        <w:t>R v Kemp (1957) 1 QB 399</w:t>
      </w:r>
    </w:p>
    <w:p w14:paraId="42781E69" w14:textId="77777777"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R v Clarke (1972) 1 All ER 219</w:t>
      </w:r>
    </w:p>
    <w:p w14:paraId="15337ADD" w14:textId="77777777"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 xml:space="preserve">R vs </w:t>
      </w:r>
      <w:proofErr w:type="spellStart"/>
      <w:r w:rsidRPr="008B3C97">
        <w:rPr>
          <w:rFonts w:ascii="Times New Roman" w:hAnsi="Times New Roman" w:cs="Times New Roman"/>
          <w:sz w:val="24"/>
          <w:szCs w:val="24"/>
          <w:lang w:val="en-US"/>
        </w:rPr>
        <w:t>Codere</w:t>
      </w:r>
      <w:proofErr w:type="spellEnd"/>
      <w:r w:rsidRPr="008B3C97">
        <w:rPr>
          <w:rFonts w:ascii="Times New Roman" w:hAnsi="Times New Roman" w:cs="Times New Roman"/>
          <w:sz w:val="24"/>
          <w:szCs w:val="24"/>
          <w:lang w:val="en-US"/>
        </w:rPr>
        <w:t xml:space="preserve"> (1916) 12 Cr. App. R. 21</w:t>
      </w:r>
    </w:p>
    <w:p w14:paraId="72FD2628" w14:textId="77777777"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R v Sullivan (1984) AC 156</w:t>
      </w:r>
    </w:p>
    <w:p w14:paraId="74ADBD5F" w14:textId="77777777" w:rsidR="002E3C2A" w:rsidRPr="008B3C97" w:rsidRDefault="002E3C2A" w:rsidP="002E3C2A">
      <w:pPr>
        <w:pStyle w:val="Bibliography"/>
        <w:spacing w:line="480" w:lineRule="auto"/>
        <w:jc w:val="both"/>
        <w:rPr>
          <w:rFonts w:ascii="Times New Roman" w:hAnsi="Times New Roman" w:cs="Times New Roman"/>
          <w:noProof/>
          <w:sz w:val="24"/>
          <w:szCs w:val="24"/>
          <w:lang w:val="en-US"/>
        </w:rPr>
      </w:pPr>
      <w:r w:rsidRPr="008B3C97">
        <w:rPr>
          <w:rFonts w:ascii="Times New Roman" w:hAnsi="Times New Roman" w:cs="Times New Roman"/>
          <w:noProof/>
          <w:sz w:val="24"/>
          <w:szCs w:val="24"/>
          <w:lang w:val="en-US"/>
        </w:rPr>
        <w:t xml:space="preserve">Dolan, E. F., 2019. </w:t>
      </w:r>
      <w:r w:rsidRPr="008B3C97">
        <w:rPr>
          <w:rFonts w:ascii="Times New Roman" w:hAnsi="Times New Roman" w:cs="Times New Roman"/>
          <w:i/>
          <w:iCs/>
          <w:noProof/>
          <w:sz w:val="24"/>
          <w:szCs w:val="24"/>
          <w:lang w:val="en-US"/>
        </w:rPr>
        <w:t xml:space="preserve">Insanity Plea. </w:t>
      </w:r>
      <w:r w:rsidRPr="008B3C97">
        <w:rPr>
          <w:rFonts w:ascii="Times New Roman" w:hAnsi="Times New Roman" w:cs="Times New Roman"/>
          <w:noProof/>
          <w:sz w:val="24"/>
          <w:szCs w:val="24"/>
          <w:lang w:val="en-US"/>
        </w:rPr>
        <w:t xml:space="preserve">[Online] </w:t>
      </w:r>
      <w:r w:rsidRPr="008B3C97">
        <w:rPr>
          <w:rFonts w:ascii="Times New Roman" w:hAnsi="Times New Roman" w:cs="Times New Roman"/>
          <w:noProof/>
          <w:sz w:val="24"/>
          <w:szCs w:val="24"/>
          <w:lang w:val="en-US"/>
        </w:rPr>
        <w:br/>
        <w:t xml:space="preserve">Available at: </w:t>
      </w:r>
      <w:r w:rsidRPr="008B3C97">
        <w:rPr>
          <w:rFonts w:ascii="Times New Roman" w:hAnsi="Times New Roman" w:cs="Times New Roman"/>
          <w:noProof/>
          <w:sz w:val="24"/>
          <w:szCs w:val="24"/>
          <w:u w:val="single"/>
          <w:lang w:val="en-US"/>
        </w:rPr>
        <w:t>https://www.ojp.gov/ncjrs/virtual-library/abstracts/insanity-plea</w:t>
      </w:r>
      <w:r w:rsidRPr="008B3C97">
        <w:rPr>
          <w:rFonts w:ascii="Times New Roman" w:hAnsi="Times New Roman" w:cs="Times New Roman"/>
          <w:noProof/>
          <w:sz w:val="24"/>
          <w:szCs w:val="24"/>
          <w:lang w:val="en-US"/>
        </w:rPr>
        <w:br/>
        <w:t>[Accessed 3rd May 2021].</w:t>
      </w:r>
    </w:p>
    <w:p w14:paraId="4846D4A1" w14:textId="77777777" w:rsidR="002E3C2A" w:rsidRPr="008B3C97" w:rsidRDefault="002E3C2A" w:rsidP="002E3C2A">
      <w:pPr>
        <w:pStyle w:val="Bibliography"/>
        <w:spacing w:line="480" w:lineRule="auto"/>
        <w:jc w:val="both"/>
        <w:rPr>
          <w:rFonts w:ascii="Times New Roman" w:hAnsi="Times New Roman" w:cs="Times New Roman"/>
          <w:noProof/>
          <w:sz w:val="24"/>
          <w:szCs w:val="24"/>
          <w:lang w:val="en-US"/>
        </w:rPr>
      </w:pPr>
      <w:r w:rsidRPr="008B3C97">
        <w:rPr>
          <w:rFonts w:ascii="Times New Roman" w:hAnsi="Times New Roman" w:cs="Times New Roman"/>
          <w:noProof/>
          <w:sz w:val="24"/>
          <w:szCs w:val="24"/>
          <w:lang w:val="en-US"/>
        </w:rPr>
        <w:t xml:space="preserve">Lederman, E., 1985. Non-insane and insane automatism: reducing the significance of a problematic distinction. </w:t>
      </w:r>
      <w:r w:rsidRPr="008B3C97">
        <w:rPr>
          <w:rFonts w:ascii="Times New Roman" w:hAnsi="Times New Roman" w:cs="Times New Roman"/>
          <w:i/>
          <w:iCs/>
          <w:noProof/>
          <w:sz w:val="24"/>
          <w:szCs w:val="24"/>
          <w:lang w:val="en-US"/>
        </w:rPr>
        <w:t xml:space="preserve">International and Comparative Law Quarterly, </w:t>
      </w:r>
      <w:r w:rsidRPr="008B3C97">
        <w:rPr>
          <w:rFonts w:ascii="Times New Roman" w:hAnsi="Times New Roman" w:cs="Times New Roman"/>
          <w:noProof/>
          <w:sz w:val="24"/>
          <w:szCs w:val="24"/>
          <w:lang w:val="en-US"/>
        </w:rPr>
        <w:t>pp. 819-837.</w:t>
      </w:r>
    </w:p>
    <w:p w14:paraId="60580CB6" w14:textId="77777777" w:rsidR="002E3C2A" w:rsidRPr="008B3C97" w:rsidRDefault="002E3C2A" w:rsidP="002E3C2A">
      <w:pPr>
        <w:pStyle w:val="Bibliography"/>
        <w:spacing w:line="480" w:lineRule="auto"/>
        <w:jc w:val="both"/>
        <w:rPr>
          <w:rFonts w:ascii="Times New Roman" w:hAnsi="Times New Roman" w:cs="Times New Roman"/>
          <w:noProof/>
          <w:sz w:val="24"/>
          <w:szCs w:val="24"/>
          <w:lang w:val="en-US"/>
        </w:rPr>
      </w:pPr>
      <w:r w:rsidRPr="008B3C97">
        <w:rPr>
          <w:rFonts w:ascii="Times New Roman" w:hAnsi="Times New Roman" w:cs="Times New Roman"/>
          <w:noProof/>
          <w:sz w:val="24"/>
          <w:szCs w:val="24"/>
          <w:lang w:val="en-US"/>
        </w:rPr>
        <w:t xml:space="preserve">Simon, R. J., 1983. The defense of Insanity. </w:t>
      </w:r>
      <w:r w:rsidRPr="008B3C97">
        <w:rPr>
          <w:rFonts w:ascii="Times New Roman" w:hAnsi="Times New Roman" w:cs="Times New Roman"/>
          <w:i/>
          <w:iCs/>
          <w:noProof/>
          <w:sz w:val="24"/>
          <w:szCs w:val="24"/>
          <w:lang w:val="en-US"/>
        </w:rPr>
        <w:t xml:space="preserve">The Journal of Psychiatry &amp; Law, </w:t>
      </w:r>
      <w:r w:rsidRPr="008B3C97">
        <w:rPr>
          <w:rFonts w:ascii="Times New Roman" w:hAnsi="Times New Roman" w:cs="Times New Roman"/>
          <w:noProof/>
          <w:sz w:val="24"/>
          <w:szCs w:val="24"/>
          <w:lang w:val="en-US"/>
        </w:rPr>
        <w:t>11(2), pp. 183 - 201.</w:t>
      </w:r>
    </w:p>
    <w:p w14:paraId="2CEC955C" w14:textId="77777777" w:rsidR="002E3C2A" w:rsidRPr="008B3C97" w:rsidRDefault="002E3C2A" w:rsidP="002E3C2A">
      <w:pPr>
        <w:spacing w:line="480" w:lineRule="auto"/>
        <w:jc w:val="both"/>
        <w:rPr>
          <w:rFonts w:ascii="Times New Roman" w:hAnsi="Times New Roman" w:cs="Times New Roman"/>
          <w:sz w:val="24"/>
          <w:szCs w:val="24"/>
          <w:lang w:val="en-US"/>
        </w:rPr>
      </w:pPr>
    </w:p>
    <w:p w14:paraId="0B2AABD6" w14:textId="77777777" w:rsidR="002E3C2A" w:rsidRPr="008B3C97" w:rsidRDefault="002E3C2A" w:rsidP="002E3C2A">
      <w:pPr>
        <w:spacing w:line="480" w:lineRule="auto"/>
        <w:jc w:val="both"/>
        <w:rPr>
          <w:rFonts w:ascii="Times New Roman" w:hAnsi="Times New Roman" w:cs="Times New Roman"/>
          <w:sz w:val="24"/>
          <w:szCs w:val="24"/>
          <w:lang w:val="en-US"/>
        </w:rPr>
      </w:pPr>
    </w:p>
    <w:p w14:paraId="7F0EFA2B" w14:textId="77777777" w:rsidR="002E3C2A" w:rsidRPr="008B3C97" w:rsidRDefault="002E3C2A" w:rsidP="002E3C2A">
      <w:pPr>
        <w:spacing w:line="480" w:lineRule="auto"/>
        <w:jc w:val="both"/>
        <w:rPr>
          <w:rFonts w:ascii="Times New Roman" w:hAnsi="Times New Roman" w:cs="Times New Roman"/>
          <w:sz w:val="24"/>
          <w:szCs w:val="24"/>
          <w:lang w:val="en-US"/>
        </w:rPr>
      </w:pPr>
    </w:p>
    <w:p w14:paraId="7CA0441F" w14:textId="77777777" w:rsidR="002E3C2A" w:rsidRPr="008B3C97" w:rsidRDefault="002E3C2A" w:rsidP="002E3C2A">
      <w:pPr>
        <w:spacing w:line="480" w:lineRule="auto"/>
        <w:jc w:val="both"/>
        <w:rPr>
          <w:rFonts w:ascii="Times New Roman" w:hAnsi="Times New Roman" w:cs="Times New Roman"/>
          <w:sz w:val="24"/>
          <w:szCs w:val="24"/>
          <w:lang w:val="en-US"/>
        </w:rPr>
      </w:pPr>
    </w:p>
    <w:p w14:paraId="2B6246E2" w14:textId="77777777" w:rsidR="002E3C2A" w:rsidRDefault="002E3C2A" w:rsidP="002E3C2A">
      <w:pPr>
        <w:spacing w:line="480" w:lineRule="auto"/>
        <w:jc w:val="both"/>
        <w:rPr>
          <w:rFonts w:ascii="Times New Roman" w:hAnsi="Times New Roman" w:cs="Times New Roman"/>
          <w:i/>
          <w:iCs/>
          <w:sz w:val="24"/>
          <w:szCs w:val="24"/>
          <w:lang w:val="en-US"/>
        </w:rPr>
      </w:pPr>
    </w:p>
    <w:p w14:paraId="74461C0C" w14:textId="77777777" w:rsidR="002E3C2A" w:rsidRDefault="002E3C2A" w:rsidP="002E3C2A">
      <w:pPr>
        <w:spacing w:line="480" w:lineRule="auto"/>
        <w:jc w:val="both"/>
        <w:rPr>
          <w:rFonts w:ascii="Times New Roman" w:hAnsi="Times New Roman" w:cs="Times New Roman"/>
          <w:i/>
          <w:iCs/>
          <w:sz w:val="24"/>
          <w:szCs w:val="24"/>
          <w:lang w:val="en-US"/>
        </w:rPr>
      </w:pPr>
    </w:p>
    <w:p w14:paraId="40AEF14B" w14:textId="77777777" w:rsidR="002E3C2A" w:rsidRDefault="002E3C2A" w:rsidP="002E3C2A">
      <w:pPr>
        <w:spacing w:line="480" w:lineRule="auto"/>
        <w:jc w:val="both"/>
        <w:rPr>
          <w:rFonts w:ascii="Times New Roman" w:hAnsi="Times New Roman" w:cs="Times New Roman"/>
          <w:i/>
          <w:iCs/>
          <w:sz w:val="24"/>
          <w:szCs w:val="24"/>
          <w:lang w:val="en-US"/>
        </w:rPr>
      </w:pPr>
    </w:p>
    <w:p w14:paraId="126BAAAF" w14:textId="77777777" w:rsidR="002E3C2A" w:rsidRDefault="002E3C2A" w:rsidP="002E3C2A">
      <w:pPr>
        <w:spacing w:line="480" w:lineRule="auto"/>
        <w:jc w:val="both"/>
        <w:rPr>
          <w:rFonts w:ascii="Times New Roman" w:hAnsi="Times New Roman" w:cs="Times New Roman"/>
          <w:i/>
          <w:iCs/>
          <w:sz w:val="24"/>
          <w:szCs w:val="24"/>
          <w:lang w:val="en-US"/>
        </w:rPr>
      </w:pPr>
    </w:p>
    <w:p w14:paraId="477FA649" w14:textId="77777777" w:rsidR="002E3C2A" w:rsidRDefault="002E3C2A" w:rsidP="002E3C2A">
      <w:pPr>
        <w:spacing w:line="480" w:lineRule="auto"/>
        <w:jc w:val="both"/>
        <w:rPr>
          <w:rFonts w:ascii="Times New Roman" w:hAnsi="Times New Roman" w:cs="Times New Roman"/>
          <w:i/>
          <w:iCs/>
          <w:sz w:val="24"/>
          <w:szCs w:val="24"/>
          <w:lang w:val="en-US"/>
        </w:rPr>
      </w:pPr>
    </w:p>
    <w:p w14:paraId="071B0688" w14:textId="77777777" w:rsidR="002E3C2A" w:rsidRDefault="002E3C2A" w:rsidP="002E3C2A">
      <w:pPr>
        <w:spacing w:line="480" w:lineRule="auto"/>
        <w:jc w:val="both"/>
        <w:rPr>
          <w:rFonts w:ascii="Times New Roman" w:hAnsi="Times New Roman" w:cs="Times New Roman"/>
          <w:i/>
          <w:iCs/>
          <w:sz w:val="24"/>
          <w:szCs w:val="24"/>
          <w:lang w:val="en-US"/>
        </w:rPr>
      </w:pPr>
    </w:p>
    <w:p w14:paraId="32D631E0" w14:textId="77777777" w:rsidR="002E3C2A" w:rsidRPr="008B3C97" w:rsidRDefault="002E3C2A" w:rsidP="002E3C2A">
      <w:pPr>
        <w:spacing w:line="480" w:lineRule="auto"/>
        <w:jc w:val="both"/>
        <w:rPr>
          <w:rFonts w:ascii="Times New Roman" w:hAnsi="Times New Roman" w:cs="Times New Roman"/>
          <w:i/>
          <w:iCs/>
          <w:sz w:val="24"/>
          <w:szCs w:val="24"/>
          <w:lang w:val="en-US"/>
        </w:rPr>
      </w:pPr>
    </w:p>
    <w:p w14:paraId="5E442721" w14:textId="77777777" w:rsidR="002E3C2A" w:rsidRPr="008B3C97" w:rsidRDefault="002E3C2A" w:rsidP="002E3C2A">
      <w:pPr>
        <w:spacing w:line="480" w:lineRule="auto"/>
        <w:jc w:val="both"/>
        <w:rPr>
          <w:rFonts w:ascii="Times New Roman" w:hAnsi="Times New Roman" w:cs="Times New Roman"/>
          <w:b/>
          <w:bCs/>
          <w:sz w:val="24"/>
          <w:szCs w:val="24"/>
          <w:lang w:val="en-US"/>
        </w:rPr>
      </w:pPr>
      <w:r w:rsidRPr="008B3C97">
        <w:rPr>
          <w:rFonts w:ascii="Times New Roman" w:hAnsi="Times New Roman" w:cs="Times New Roman"/>
          <w:b/>
          <w:bCs/>
          <w:sz w:val="24"/>
          <w:szCs w:val="24"/>
          <w:lang w:val="en-US"/>
        </w:rPr>
        <w:t>Question 2</w:t>
      </w:r>
    </w:p>
    <w:p w14:paraId="779E0523" w14:textId="77777777" w:rsidR="002E3C2A" w:rsidRPr="008B3C97" w:rsidRDefault="002E3C2A" w:rsidP="002E3C2A">
      <w:pPr>
        <w:pStyle w:val="ListParagraph"/>
        <w:numPr>
          <w:ilvl w:val="0"/>
          <w:numId w:val="1"/>
        </w:numPr>
        <w:spacing w:line="480" w:lineRule="auto"/>
        <w:jc w:val="both"/>
        <w:rPr>
          <w:rFonts w:ascii="Times New Roman" w:hAnsi="Times New Roman" w:cs="Times New Roman"/>
          <w:b/>
          <w:bCs/>
          <w:sz w:val="24"/>
          <w:szCs w:val="24"/>
          <w:lang w:val="en-US"/>
        </w:rPr>
      </w:pPr>
      <w:r w:rsidRPr="008B3C97">
        <w:rPr>
          <w:rFonts w:ascii="Times New Roman" w:hAnsi="Times New Roman" w:cs="Times New Roman"/>
          <w:b/>
          <w:bCs/>
          <w:sz w:val="24"/>
          <w:szCs w:val="24"/>
          <w:lang w:val="en-US"/>
        </w:rPr>
        <w:t xml:space="preserve">Lee </w:t>
      </w:r>
    </w:p>
    <w:p w14:paraId="0437FBFD" w14:textId="77777777" w:rsidR="002E3C2A" w:rsidRPr="008B3C97" w:rsidRDefault="002E3C2A" w:rsidP="002E3C2A">
      <w:pPr>
        <w:spacing w:line="480" w:lineRule="auto"/>
        <w:jc w:val="both"/>
        <w:rPr>
          <w:rFonts w:ascii="Times New Roman" w:hAnsi="Times New Roman" w:cs="Times New Roman"/>
          <w:b/>
          <w:bCs/>
          <w:sz w:val="24"/>
          <w:szCs w:val="24"/>
          <w:lang w:val="en-US"/>
        </w:rPr>
      </w:pPr>
      <w:r w:rsidRPr="008B3C97">
        <w:rPr>
          <w:rFonts w:ascii="Times New Roman" w:hAnsi="Times New Roman" w:cs="Times New Roman"/>
          <w:b/>
          <w:bCs/>
          <w:sz w:val="24"/>
          <w:szCs w:val="24"/>
          <w:lang w:val="en-US"/>
        </w:rPr>
        <w:t>Offence 1 – Battery</w:t>
      </w:r>
    </w:p>
    <w:p w14:paraId="72CADE84" w14:textId="77777777" w:rsidR="002E3C2A" w:rsidRPr="008B3C97" w:rsidRDefault="002E3C2A" w:rsidP="002E3C2A">
      <w:pPr>
        <w:spacing w:line="480" w:lineRule="auto"/>
        <w:jc w:val="both"/>
        <w:rPr>
          <w:rFonts w:ascii="Times New Roman" w:hAnsi="Times New Roman" w:cs="Times New Roman"/>
          <w:i/>
          <w:iCs/>
          <w:sz w:val="24"/>
          <w:szCs w:val="24"/>
          <w:lang w:val="en-US"/>
        </w:rPr>
      </w:pPr>
      <w:r w:rsidRPr="008B3C97">
        <w:rPr>
          <w:rFonts w:ascii="Times New Roman" w:hAnsi="Times New Roman" w:cs="Times New Roman"/>
          <w:i/>
          <w:iCs/>
          <w:sz w:val="24"/>
          <w:szCs w:val="24"/>
          <w:lang w:val="en-US"/>
        </w:rPr>
        <w:t>Actus reus</w:t>
      </w:r>
    </w:p>
    <w:p w14:paraId="6BC76456" w14:textId="77777777"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 xml:space="preserve">The Actus Reus of Battery entails using force that is unlawful on another. This involves both direct and indirect application of force which causes grievously bodily harm to the victim. This is demonstrated in the case of </w:t>
      </w:r>
      <w:r w:rsidRPr="008B3C97">
        <w:rPr>
          <w:rFonts w:ascii="Times New Roman" w:hAnsi="Times New Roman" w:cs="Times New Roman"/>
          <w:i/>
          <w:iCs/>
          <w:sz w:val="24"/>
          <w:szCs w:val="24"/>
          <w:lang w:val="en-US"/>
        </w:rPr>
        <w:t>Collins v Wilcock (1984) 3 All ER 37</w:t>
      </w:r>
      <w:r w:rsidRPr="008B3C97">
        <w:rPr>
          <w:rFonts w:ascii="Times New Roman" w:hAnsi="Times New Roman" w:cs="Times New Roman"/>
          <w:sz w:val="24"/>
          <w:szCs w:val="24"/>
          <w:lang w:val="en-US"/>
        </w:rPr>
        <w:t xml:space="preserve"> where a police arm grabbed the arm of a woman forcefully with the aim of stopping her from walking away as she questioned her. In retaliation, the woman scratched the policewoman. Thereafter, she was charged with assaulting the policewoman during her course of duty. The court held the actions of the policewoman amounted to battery and the defendant was acting in self-defense. In this case, when Lee asked Ali and Collin to leave, Ali punched Lee with so much force which caused Lee to fall on the floor unconscious. Ali’s actions satisfy the actus reus element of battery.</w:t>
      </w:r>
    </w:p>
    <w:p w14:paraId="5B613725" w14:textId="77777777" w:rsidR="002E3C2A" w:rsidRPr="008B3C97" w:rsidRDefault="002E3C2A" w:rsidP="002E3C2A">
      <w:pPr>
        <w:spacing w:line="480" w:lineRule="auto"/>
        <w:jc w:val="both"/>
        <w:rPr>
          <w:rFonts w:ascii="Times New Roman" w:hAnsi="Times New Roman" w:cs="Times New Roman"/>
          <w:i/>
          <w:iCs/>
          <w:sz w:val="24"/>
          <w:szCs w:val="24"/>
          <w:lang w:val="en-US"/>
        </w:rPr>
      </w:pPr>
      <w:proofErr w:type="spellStart"/>
      <w:r w:rsidRPr="008B3C97">
        <w:rPr>
          <w:rFonts w:ascii="Times New Roman" w:hAnsi="Times New Roman" w:cs="Times New Roman"/>
          <w:i/>
          <w:iCs/>
          <w:sz w:val="24"/>
          <w:szCs w:val="24"/>
          <w:lang w:val="en-US"/>
        </w:rPr>
        <w:t>Mens</w:t>
      </w:r>
      <w:proofErr w:type="spellEnd"/>
      <w:r w:rsidRPr="008B3C97">
        <w:rPr>
          <w:rFonts w:ascii="Times New Roman" w:hAnsi="Times New Roman" w:cs="Times New Roman"/>
          <w:i/>
          <w:iCs/>
          <w:sz w:val="24"/>
          <w:szCs w:val="24"/>
          <w:lang w:val="en-US"/>
        </w:rPr>
        <w:t xml:space="preserve"> rea</w:t>
      </w:r>
    </w:p>
    <w:p w14:paraId="3B8D62AE" w14:textId="77777777" w:rsidR="002E3C2A" w:rsidRPr="008B3C97" w:rsidRDefault="002E3C2A" w:rsidP="002E3C2A">
      <w:pPr>
        <w:spacing w:line="480" w:lineRule="auto"/>
        <w:jc w:val="both"/>
        <w:rPr>
          <w:rFonts w:ascii="Times New Roman" w:hAnsi="Times New Roman" w:cs="Times New Roman"/>
          <w:color w:val="404040"/>
          <w:sz w:val="24"/>
          <w:szCs w:val="24"/>
          <w:shd w:val="clear" w:color="auto" w:fill="FFFFFF"/>
          <w:lang w:val="en-US"/>
        </w:rPr>
      </w:pPr>
      <w:proofErr w:type="spellStart"/>
      <w:r w:rsidRPr="008B3C97">
        <w:rPr>
          <w:rFonts w:ascii="Times New Roman" w:hAnsi="Times New Roman" w:cs="Times New Roman"/>
          <w:sz w:val="24"/>
          <w:szCs w:val="24"/>
          <w:lang w:val="en-US"/>
        </w:rPr>
        <w:t>Mens</w:t>
      </w:r>
      <w:proofErr w:type="spellEnd"/>
      <w:r w:rsidRPr="008B3C97">
        <w:rPr>
          <w:rFonts w:ascii="Times New Roman" w:hAnsi="Times New Roman" w:cs="Times New Roman"/>
          <w:sz w:val="24"/>
          <w:szCs w:val="24"/>
          <w:lang w:val="en-US"/>
        </w:rPr>
        <w:t xml:space="preserve"> rea of battery entails the recklessness or intention pertaining to the use of unlawful force. This element is established when the action done by the accused was done with the intention to cause injury to another.</w:t>
      </w:r>
      <w:r w:rsidRPr="008B3C97">
        <w:rPr>
          <w:rFonts w:ascii="Times New Roman" w:hAnsi="Times New Roman" w:cs="Times New Roman"/>
          <w:color w:val="404040"/>
          <w:sz w:val="24"/>
          <w:szCs w:val="24"/>
          <w:shd w:val="clear" w:color="auto" w:fill="FFFFFF"/>
        </w:rPr>
        <w:t> </w:t>
      </w:r>
      <w:r w:rsidRPr="008B3C97">
        <w:rPr>
          <w:rFonts w:ascii="Times New Roman" w:hAnsi="Times New Roman" w:cs="Times New Roman"/>
          <w:color w:val="404040"/>
          <w:sz w:val="24"/>
          <w:szCs w:val="24"/>
          <w:shd w:val="clear" w:color="auto" w:fill="FFFFFF"/>
          <w:lang w:val="en-US"/>
        </w:rPr>
        <w:t xml:space="preserve">‘In the case of </w:t>
      </w:r>
      <w:r w:rsidRPr="008B3C97">
        <w:rPr>
          <w:rFonts w:ascii="Times New Roman" w:hAnsi="Times New Roman" w:cs="Times New Roman"/>
          <w:i/>
          <w:iCs/>
          <w:color w:val="404040"/>
          <w:sz w:val="24"/>
          <w:szCs w:val="24"/>
          <w:shd w:val="clear" w:color="auto" w:fill="FFFFFF"/>
          <w:lang w:val="en-US"/>
        </w:rPr>
        <w:t>R v Roberts (1971) ECWCA Crim 4 Court of Appeal</w:t>
      </w:r>
      <w:r w:rsidRPr="008B3C97">
        <w:rPr>
          <w:rFonts w:ascii="Times New Roman" w:hAnsi="Times New Roman" w:cs="Times New Roman"/>
          <w:color w:val="404040"/>
          <w:sz w:val="24"/>
          <w:szCs w:val="24"/>
          <w:shd w:val="clear" w:color="auto" w:fill="FFFFFF"/>
          <w:lang w:val="en-US"/>
        </w:rPr>
        <w:t xml:space="preserve">, the accused was charged </w:t>
      </w:r>
      <w:proofErr w:type="gramStart"/>
      <w:r w:rsidRPr="008B3C97">
        <w:rPr>
          <w:rFonts w:ascii="Times New Roman" w:hAnsi="Times New Roman" w:cs="Times New Roman"/>
          <w:color w:val="404040"/>
          <w:sz w:val="24"/>
          <w:szCs w:val="24"/>
          <w:shd w:val="clear" w:color="auto" w:fill="FFFFFF"/>
          <w:lang w:val="en-US"/>
        </w:rPr>
        <w:t>witch</w:t>
      </w:r>
      <w:proofErr w:type="gramEnd"/>
      <w:r w:rsidRPr="008B3C97">
        <w:rPr>
          <w:rFonts w:ascii="Times New Roman" w:hAnsi="Times New Roman" w:cs="Times New Roman"/>
          <w:color w:val="404040"/>
          <w:sz w:val="24"/>
          <w:szCs w:val="24"/>
          <w:shd w:val="clear" w:color="auto" w:fill="FFFFFF"/>
          <w:lang w:val="en-US"/>
        </w:rPr>
        <w:t xml:space="preserve"> battery under section 47 of the Offences Against the Person Act 1974. The court held that the intention of inflicting bodily harm </w:t>
      </w:r>
      <w:proofErr w:type="gramStart"/>
      <w:r w:rsidRPr="008B3C97">
        <w:rPr>
          <w:rFonts w:ascii="Times New Roman" w:hAnsi="Times New Roman" w:cs="Times New Roman"/>
          <w:color w:val="404040"/>
          <w:sz w:val="24"/>
          <w:szCs w:val="24"/>
          <w:shd w:val="clear" w:color="auto" w:fill="FFFFFF"/>
          <w:lang w:val="en-US"/>
        </w:rPr>
        <w:t>has to</w:t>
      </w:r>
      <w:proofErr w:type="gramEnd"/>
      <w:r w:rsidRPr="008B3C97">
        <w:rPr>
          <w:rFonts w:ascii="Times New Roman" w:hAnsi="Times New Roman" w:cs="Times New Roman"/>
          <w:color w:val="404040"/>
          <w:sz w:val="24"/>
          <w:szCs w:val="24"/>
          <w:shd w:val="clear" w:color="auto" w:fill="FFFFFF"/>
          <w:lang w:val="en-US"/>
        </w:rPr>
        <w:t xml:space="preserve"> be established. </w:t>
      </w:r>
      <w:proofErr w:type="spellStart"/>
      <w:r w:rsidRPr="008B3C97">
        <w:rPr>
          <w:rFonts w:ascii="Times New Roman" w:hAnsi="Times New Roman" w:cs="Times New Roman"/>
          <w:color w:val="404040"/>
          <w:sz w:val="24"/>
          <w:szCs w:val="24"/>
          <w:shd w:val="clear" w:color="auto" w:fill="FFFFFF"/>
          <w:lang w:val="en-US"/>
        </w:rPr>
        <w:t>Mens</w:t>
      </w:r>
      <w:proofErr w:type="spellEnd"/>
      <w:r w:rsidRPr="008B3C97">
        <w:rPr>
          <w:rFonts w:ascii="Times New Roman" w:hAnsi="Times New Roman" w:cs="Times New Roman"/>
          <w:color w:val="404040"/>
          <w:sz w:val="24"/>
          <w:szCs w:val="24"/>
          <w:shd w:val="clear" w:color="auto" w:fill="FFFFFF"/>
          <w:lang w:val="en-US"/>
        </w:rPr>
        <w:t xml:space="preserve"> rea is demonstrated in this case through Ali retaliated when Lee asked him to leave the bar. </w:t>
      </w:r>
    </w:p>
    <w:p w14:paraId="3A0F77B1" w14:textId="77777777" w:rsidR="002E3C2A" w:rsidRPr="008B3C97" w:rsidRDefault="002E3C2A" w:rsidP="002E3C2A">
      <w:pPr>
        <w:spacing w:line="480" w:lineRule="auto"/>
        <w:jc w:val="both"/>
        <w:rPr>
          <w:rFonts w:ascii="Times New Roman" w:hAnsi="Times New Roman" w:cs="Times New Roman"/>
          <w:i/>
          <w:iCs/>
          <w:color w:val="404040"/>
          <w:sz w:val="24"/>
          <w:szCs w:val="24"/>
          <w:shd w:val="clear" w:color="auto" w:fill="FFFFFF"/>
          <w:lang w:val="en-US"/>
        </w:rPr>
      </w:pPr>
      <w:r w:rsidRPr="008B3C97">
        <w:rPr>
          <w:rFonts w:ascii="Times New Roman" w:hAnsi="Times New Roman" w:cs="Times New Roman"/>
          <w:i/>
          <w:iCs/>
          <w:color w:val="404040"/>
          <w:sz w:val="24"/>
          <w:szCs w:val="24"/>
          <w:shd w:val="clear" w:color="auto" w:fill="FFFFFF"/>
          <w:lang w:val="en-US"/>
        </w:rPr>
        <w:t>Criminal liability.</w:t>
      </w:r>
    </w:p>
    <w:p w14:paraId="7E6F89E7" w14:textId="77777777" w:rsidR="002E3C2A" w:rsidRPr="008B3C97" w:rsidRDefault="002E3C2A" w:rsidP="002E3C2A">
      <w:pPr>
        <w:spacing w:line="480" w:lineRule="auto"/>
        <w:jc w:val="both"/>
        <w:rPr>
          <w:rFonts w:ascii="Times New Roman" w:hAnsi="Times New Roman" w:cs="Times New Roman"/>
          <w:color w:val="404040"/>
          <w:sz w:val="24"/>
          <w:szCs w:val="24"/>
          <w:shd w:val="clear" w:color="auto" w:fill="FFFFFF"/>
          <w:lang w:val="en-US"/>
        </w:rPr>
      </w:pPr>
      <w:r w:rsidRPr="008B3C97">
        <w:rPr>
          <w:rFonts w:ascii="Times New Roman" w:hAnsi="Times New Roman" w:cs="Times New Roman"/>
          <w:color w:val="404040"/>
          <w:sz w:val="24"/>
          <w:szCs w:val="24"/>
          <w:shd w:val="clear" w:color="auto" w:fill="FFFFFF"/>
          <w:lang w:val="en-US"/>
        </w:rPr>
        <w:lastRenderedPageBreak/>
        <w:t xml:space="preserve">Both actus reus and </w:t>
      </w:r>
      <w:proofErr w:type="spellStart"/>
      <w:r w:rsidRPr="008B3C97">
        <w:rPr>
          <w:rFonts w:ascii="Times New Roman" w:hAnsi="Times New Roman" w:cs="Times New Roman"/>
          <w:color w:val="404040"/>
          <w:sz w:val="24"/>
          <w:szCs w:val="24"/>
          <w:shd w:val="clear" w:color="auto" w:fill="FFFFFF"/>
          <w:lang w:val="en-US"/>
        </w:rPr>
        <w:t>mens</w:t>
      </w:r>
      <w:proofErr w:type="spellEnd"/>
      <w:r w:rsidRPr="008B3C97">
        <w:rPr>
          <w:rFonts w:ascii="Times New Roman" w:hAnsi="Times New Roman" w:cs="Times New Roman"/>
          <w:color w:val="404040"/>
          <w:sz w:val="24"/>
          <w:szCs w:val="24"/>
          <w:shd w:val="clear" w:color="auto" w:fill="FFFFFF"/>
          <w:lang w:val="en-US"/>
        </w:rPr>
        <w:t xml:space="preserve"> rea have been satisfied, therefore Ali is liable for battery.</w:t>
      </w:r>
    </w:p>
    <w:p w14:paraId="180A637F" w14:textId="77777777" w:rsidR="002E3C2A" w:rsidRPr="008B3C97" w:rsidRDefault="002E3C2A" w:rsidP="002E3C2A">
      <w:pPr>
        <w:spacing w:line="480" w:lineRule="auto"/>
        <w:jc w:val="both"/>
        <w:rPr>
          <w:rFonts w:ascii="Times New Roman" w:hAnsi="Times New Roman" w:cs="Times New Roman"/>
          <w:color w:val="404040"/>
          <w:sz w:val="24"/>
          <w:szCs w:val="24"/>
          <w:shd w:val="clear" w:color="auto" w:fill="FFFFFF"/>
          <w:lang w:val="en-US"/>
        </w:rPr>
      </w:pPr>
    </w:p>
    <w:p w14:paraId="6197CD49" w14:textId="77777777" w:rsidR="002E3C2A" w:rsidRPr="008B3C97" w:rsidRDefault="002E3C2A" w:rsidP="002E3C2A">
      <w:pPr>
        <w:spacing w:line="480" w:lineRule="auto"/>
        <w:jc w:val="both"/>
        <w:rPr>
          <w:rFonts w:ascii="Times New Roman" w:hAnsi="Times New Roman" w:cs="Times New Roman"/>
          <w:b/>
          <w:bCs/>
          <w:color w:val="404040"/>
          <w:sz w:val="24"/>
          <w:szCs w:val="24"/>
          <w:shd w:val="clear" w:color="auto" w:fill="FFFFFF"/>
          <w:lang w:val="en-US"/>
        </w:rPr>
      </w:pPr>
      <w:r w:rsidRPr="008B3C97">
        <w:rPr>
          <w:rFonts w:ascii="Times New Roman" w:hAnsi="Times New Roman" w:cs="Times New Roman"/>
          <w:b/>
          <w:bCs/>
          <w:color w:val="404040"/>
          <w:sz w:val="24"/>
          <w:szCs w:val="24"/>
          <w:shd w:val="clear" w:color="auto" w:fill="FFFFFF"/>
          <w:lang w:val="en-US"/>
        </w:rPr>
        <w:t>Offence 2 – Involuntary Manslaughter</w:t>
      </w:r>
    </w:p>
    <w:p w14:paraId="17AB54AB" w14:textId="77777777" w:rsidR="002E3C2A" w:rsidRPr="008B3C97" w:rsidRDefault="002E3C2A" w:rsidP="002E3C2A">
      <w:pPr>
        <w:spacing w:line="480" w:lineRule="auto"/>
        <w:jc w:val="both"/>
        <w:rPr>
          <w:rFonts w:ascii="Times New Roman" w:hAnsi="Times New Roman" w:cs="Times New Roman"/>
          <w:i/>
          <w:iCs/>
          <w:sz w:val="24"/>
          <w:szCs w:val="24"/>
          <w:lang w:val="en-US"/>
        </w:rPr>
      </w:pPr>
      <w:r w:rsidRPr="008B3C97">
        <w:rPr>
          <w:rFonts w:ascii="Times New Roman" w:hAnsi="Times New Roman" w:cs="Times New Roman"/>
          <w:i/>
          <w:iCs/>
          <w:sz w:val="24"/>
          <w:szCs w:val="24"/>
          <w:lang w:val="en-US"/>
        </w:rPr>
        <w:t xml:space="preserve">Acts Reus </w:t>
      </w:r>
    </w:p>
    <w:p w14:paraId="22DBF439" w14:textId="77777777"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 xml:space="preserve">The following are elements of actus reus that </w:t>
      </w:r>
      <w:proofErr w:type="gramStart"/>
      <w:r w:rsidRPr="008B3C97">
        <w:rPr>
          <w:rFonts w:ascii="Times New Roman" w:hAnsi="Times New Roman" w:cs="Times New Roman"/>
          <w:sz w:val="24"/>
          <w:szCs w:val="24"/>
          <w:lang w:val="en-US"/>
        </w:rPr>
        <w:t>have to</w:t>
      </w:r>
      <w:proofErr w:type="gramEnd"/>
      <w:r w:rsidRPr="008B3C97">
        <w:rPr>
          <w:rFonts w:ascii="Times New Roman" w:hAnsi="Times New Roman" w:cs="Times New Roman"/>
          <w:sz w:val="24"/>
          <w:szCs w:val="24"/>
          <w:lang w:val="en-US"/>
        </w:rPr>
        <w:t xml:space="preserve"> be satisfied in proving involuntary manslaughter. The accused must perform an act. This was illustrated in the case of </w:t>
      </w:r>
      <w:r w:rsidRPr="008B3C97">
        <w:rPr>
          <w:rFonts w:ascii="Times New Roman" w:hAnsi="Times New Roman" w:cs="Times New Roman"/>
          <w:i/>
          <w:iCs/>
          <w:sz w:val="24"/>
          <w:szCs w:val="24"/>
          <w:lang w:val="en-US"/>
        </w:rPr>
        <w:t>R v Lowe (1973) QB 702</w:t>
      </w:r>
      <w:r w:rsidRPr="008B3C97">
        <w:rPr>
          <w:rFonts w:ascii="Times New Roman" w:hAnsi="Times New Roman" w:cs="Times New Roman"/>
          <w:sz w:val="24"/>
          <w:szCs w:val="24"/>
          <w:lang w:val="en-US"/>
        </w:rPr>
        <w:t xml:space="preserve">, the court held that actus reus is affirmative if the accused engages in an act. The action </w:t>
      </w:r>
      <w:proofErr w:type="gramStart"/>
      <w:r w:rsidRPr="008B3C97">
        <w:rPr>
          <w:rFonts w:ascii="Times New Roman" w:hAnsi="Times New Roman" w:cs="Times New Roman"/>
          <w:sz w:val="24"/>
          <w:szCs w:val="24"/>
          <w:lang w:val="en-US"/>
        </w:rPr>
        <w:t>has to</w:t>
      </w:r>
      <w:proofErr w:type="gramEnd"/>
      <w:r w:rsidRPr="008B3C97">
        <w:rPr>
          <w:rFonts w:ascii="Times New Roman" w:hAnsi="Times New Roman" w:cs="Times New Roman"/>
          <w:sz w:val="24"/>
          <w:szCs w:val="24"/>
          <w:lang w:val="en-US"/>
        </w:rPr>
        <w:t xml:space="preserve"> be a criminal offense as held in the case of </w:t>
      </w:r>
      <w:r w:rsidRPr="008B3C97">
        <w:rPr>
          <w:rFonts w:ascii="Times New Roman" w:hAnsi="Times New Roman" w:cs="Times New Roman"/>
          <w:i/>
          <w:iCs/>
          <w:sz w:val="24"/>
          <w:szCs w:val="24"/>
          <w:lang w:val="en-US"/>
        </w:rPr>
        <w:t>R v Franklin (1883) 15 Cox CC 163</w:t>
      </w:r>
      <w:r w:rsidRPr="008B3C97">
        <w:rPr>
          <w:rFonts w:ascii="Times New Roman" w:hAnsi="Times New Roman" w:cs="Times New Roman"/>
          <w:sz w:val="24"/>
          <w:szCs w:val="24"/>
          <w:lang w:val="en-US"/>
        </w:rPr>
        <w:t xml:space="preserve">. The act should be dangerous. In the case of </w:t>
      </w:r>
      <w:r w:rsidRPr="008B3C97">
        <w:rPr>
          <w:rFonts w:ascii="Times New Roman" w:hAnsi="Times New Roman" w:cs="Times New Roman"/>
          <w:i/>
          <w:iCs/>
          <w:sz w:val="24"/>
          <w:szCs w:val="24"/>
          <w:lang w:val="en-US"/>
        </w:rPr>
        <w:t>R v Church (1966) 1 QB 59</w:t>
      </w:r>
      <w:r w:rsidRPr="008B3C97">
        <w:rPr>
          <w:rFonts w:ascii="Times New Roman" w:hAnsi="Times New Roman" w:cs="Times New Roman"/>
          <w:sz w:val="24"/>
          <w:szCs w:val="24"/>
          <w:lang w:val="en-US"/>
        </w:rPr>
        <w:t>, the court held that act can be deemed to be dangerous if harm could arise from a risk that is objective. The final element is that the act should lead to a person’s death. In this case, Ali performed an illegal and dangerous act through punching Lee’s stomach with so much force that made Lee to be unconscious. This act is classified as battery. Later, Lee died in the hospital due to being punched by Ali. Therefore, Ali’s action satisfies the four elements of Actus Reus.</w:t>
      </w:r>
    </w:p>
    <w:p w14:paraId="6B34E8D9" w14:textId="77777777" w:rsidR="002E3C2A" w:rsidRPr="008B3C97" w:rsidRDefault="002E3C2A" w:rsidP="002E3C2A">
      <w:pPr>
        <w:spacing w:line="480" w:lineRule="auto"/>
        <w:jc w:val="both"/>
        <w:rPr>
          <w:rFonts w:ascii="Times New Roman" w:hAnsi="Times New Roman" w:cs="Times New Roman"/>
          <w:i/>
          <w:iCs/>
          <w:sz w:val="24"/>
          <w:szCs w:val="24"/>
          <w:lang w:val="en-US"/>
        </w:rPr>
      </w:pPr>
      <w:proofErr w:type="spellStart"/>
      <w:r w:rsidRPr="008B3C97">
        <w:rPr>
          <w:rFonts w:ascii="Times New Roman" w:hAnsi="Times New Roman" w:cs="Times New Roman"/>
          <w:i/>
          <w:iCs/>
          <w:sz w:val="24"/>
          <w:szCs w:val="24"/>
          <w:lang w:val="en-US"/>
        </w:rPr>
        <w:t>Mens</w:t>
      </w:r>
      <w:proofErr w:type="spellEnd"/>
      <w:r w:rsidRPr="008B3C97">
        <w:rPr>
          <w:rFonts w:ascii="Times New Roman" w:hAnsi="Times New Roman" w:cs="Times New Roman"/>
          <w:i/>
          <w:iCs/>
          <w:sz w:val="24"/>
          <w:szCs w:val="24"/>
          <w:lang w:val="en-US"/>
        </w:rPr>
        <w:t xml:space="preserve"> Rea</w:t>
      </w:r>
    </w:p>
    <w:p w14:paraId="67D5CB3C" w14:textId="77777777"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 xml:space="preserve">It must be proven that the accused had the </w:t>
      </w:r>
      <w:proofErr w:type="spellStart"/>
      <w:r w:rsidRPr="008B3C97">
        <w:rPr>
          <w:rFonts w:ascii="Times New Roman" w:hAnsi="Times New Roman" w:cs="Times New Roman"/>
          <w:sz w:val="24"/>
          <w:szCs w:val="24"/>
          <w:lang w:val="en-US"/>
        </w:rPr>
        <w:t>mens</w:t>
      </w:r>
      <w:proofErr w:type="spellEnd"/>
      <w:r w:rsidRPr="008B3C97">
        <w:rPr>
          <w:rFonts w:ascii="Times New Roman" w:hAnsi="Times New Roman" w:cs="Times New Roman"/>
          <w:sz w:val="24"/>
          <w:szCs w:val="24"/>
          <w:lang w:val="en-US"/>
        </w:rPr>
        <w:t xml:space="preserve"> rea of the illegal act that was committed. It is not a requirement that the </w:t>
      </w:r>
      <w:proofErr w:type="spellStart"/>
      <w:r w:rsidRPr="008B3C97">
        <w:rPr>
          <w:rFonts w:ascii="Times New Roman" w:hAnsi="Times New Roman" w:cs="Times New Roman"/>
          <w:sz w:val="24"/>
          <w:szCs w:val="24"/>
          <w:lang w:val="en-US"/>
        </w:rPr>
        <w:t>mens</w:t>
      </w:r>
      <w:proofErr w:type="spellEnd"/>
      <w:r w:rsidRPr="008B3C97">
        <w:rPr>
          <w:rFonts w:ascii="Times New Roman" w:hAnsi="Times New Roman" w:cs="Times New Roman"/>
          <w:sz w:val="24"/>
          <w:szCs w:val="24"/>
          <w:lang w:val="en-US"/>
        </w:rPr>
        <w:t xml:space="preserve"> rea should have a connection to the death. In the case of </w:t>
      </w:r>
      <w:r w:rsidRPr="008B3C97">
        <w:rPr>
          <w:rFonts w:ascii="Times New Roman" w:hAnsi="Times New Roman" w:cs="Times New Roman"/>
          <w:i/>
          <w:iCs/>
          <w:sz w:val="24"/>
          <w:szCs w:val="24"/>
          <w:lang w:val="en-US"/>
        </w:rPr>
        <w:t>DPP vs Newbury (1977) AC 500</w:t>
      </w:r>
      <w:r w:rsidRPr="008B3C97">
        <w:rPr>
          <w:rFonts w:ascii="Times New Roman" w:hAnsi="Times New Roman" w:cs="Times New Roman"/>
          <w:sz w:val="24"/>
          <w:szCs w:val="24"/>
          <w:lang w:val="en-US"/>
        </w:rPr>
        <w:t xml:space="preserve">, the court held that defendant not foreseeing that harm may be a consequence of his action is immaterial. In this case, Ali did not foresee that the punch would lead to the death of Lee. However, this is immaterial and is considered to have formed the </w:t>
      </w:r>
      <w:proofErr w:type="spellStart"/>
      <w:r w:rsidRPr="008B3C97">
        <w:rPr>
          <w:rFonts w:ascii="Times New Roman" w:hAnsi="Times New Roman" w:cs="Times New Roman"/>
          <w:sz w:val="24"/>
          <w:szCs w:val="24"/>
          <w:lang w:val="en-US"/>
        </w:rPr>
        <w:t>mens</w:t>
      </w:r>
      <w:proofErr w:type="spellEnd"/>
      <w:r w:rsidRPr="008B3C97">
        <w:rPr>
          <w:rFonts w:ascii="Times New Roman" w:hAnsi="Times New Roman" w:cs="Times New Roman"/>
          <w:sz w:val="24"/>
          <w:szCs w:val="24"/>
          <w:lang w:val="en-US"/>
        </w:rPr>
        <w:t xml:space="preserve"> rea to harm Lee. </w:t>
      </w:r>
    </w:p>
    <w:p w14:paraId="0FE2A720" w14:textId="77777777" w:rsidR="002E3C2A" w:rsidRPr="008B3C97" w:rsidRDefault="002E3C2A" w:rsidP="002E3C2A">
      <w:pPr>
        <w:spacing w:line="480" w:lineRule="auto"/>
        <w:jc w:val="both"/>
        <w:rPr>
          <w:rFonts w:ascii="Times New Roman" w:hAnsi="Times New Roman" w:cs="Times New Roman"/>
          <w:i/>
          <w:iCs/>
          <w:sz w:val="24"/>
          <w:szCs w:val="24"/>
          <w:lang w:val="en-US"/>
        </w:rPr>
      </w:pPr>
      <w:r w:rsidRPr="008B3C97">
        <w:rPr>
          <w:rFonts w:ascii="Times New Roman" w:hAnsi="Times New Roman" w:cs="Times New Roman"/>
          <w:i/>
          <w:iCs/>
          <w:sz w:val="24"/>
          <w:szCs w:val="24"/>
          <w:lang w:val="en-US"/>
        </w:rPr>
        <w:t>Liability.</w:t>
      </w:r>
    </w:p>
    <w:p w14:paraId="05322070" w14:textId="52464F26" w:rsidR="002E3C2A"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Ali is liable for involuntary manslaughter.</w:t>
      </w:r>
    </w:p>
    <w:p w14:paraId="6E5751AC" w14:textId="77777777" w:rsidR="002E3C2A" w:rsidRPr="008B3C97" w:rsidRDefault="002E3C2A" w:rsidP="002E3C2A">
      <w:pPr>
        <w:spacing w:line="480" w:lineRule="auto"/>
        <w:jc w:val="both"/>
        <w:rPr>
          <w:rFonts w:ascii="Times New Roman" w:hAnsi="Times New Roman" w:cs="Times New Roman"/>
          <w:sz w:val="24"/>
          <w:szCs w:val="24"/>
          <w:lang w:val="en-US"/>
        </w:rPr>
      </w:pPr>
    </w:p>
    <w:p w14:paraId="6F1329CC" w14:textId="77777777" w:rsidR="002E3C2A" w:rsidRPr="002E3C2A" w:rsidRDefault="002E3C2A" w:rsidP="002E3C2A">
      <w:pPr>
        <w:pStyle w:val="ListParagraph"/>
        <w:numPr>
          <w:ilvl w:val="0"/>
          <w:numId w:val="1"/>
        </w:numPr>
        <w:spacing w:line="480" w:lineRule="auto"/>
        <w:jc w:val="both"/>
        <w:rPr>
          <w:rFonts w:ascii="Times New Roman" w:hAnsi="Times New Roman" w:cs="Times New Roman"/>
          <w:b/>
          <w:bCs/>
          <w:sz w:val="24"/>
          <w:szCs w:val="24"/>
          <w:lang w:val="en-US"/>
        </w:rPr>
      </w:pPr>
      <w:r w:rsidRPr="002E3C2A">
        <w:rPr>
          <w:rFonts w:ascii="Times New Roman" w:hAnsi="Times New Roman" w:cs="Times New Roman"/>
          <w:b/>
          <w:bCs/>
          <w:sz w:val="24"/>
          <w:szCs w:val="24"/>
          <w:lang w:val="en-US"/>
        </w:rPr>
        <w:t>Collin</w:t>
      </w:r>
    </w:p>
    <w:p w14:paraId="4D377164" w14:textId="77777777" w:rsidR="002E3C2A" w:rsidRPr="002E3C2A" w:rsidRDefault="002E3C2A" w:rsidP="002E3C2A">
      <w:pPr>
        <w:spacing w:line="480" w:lineRule="auto"/>
        <w:jc w:val="both"/>
        <w:rPr>
          <w:rFonts w:ascii="Times New Roman" w:hAnsi="Times New Roman" w:cs="Times New Roman"/>
          <w:b/>
          <w:bCs/>
          <w:sz w:val="24"/>
          <w:szCs w:val="24"/>
          <w:lang w:val="en-US"/>
        </w:rPr>
      </w:pPr>
      <w:r w:rsidRPr="002E3C2A">
        <w:rPr>
          <w:rFonts w:ascii="Times New Roman" w:hAnsi="Times New Roman" w:cs="Times New Roman"/>
          <w:b/>
          <w:bCs/>
          <w:sz w:val="24"/>
          <w:szCs w:val="24"/>
          <w:lang w:val="en-US"/>
        </w:rPr>
        <w:t>Offence – Murder</w:t>
      </w:r>
    </w:p>
    <w:p w14:paraId="6305F3F3" w14:textId="77777777"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Actus Reus</w:t>
      </w:r>
    </w:p>
    <w:p w14:paraId="766C9D52" w14:textId="77777777"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 xml:space="preserve">To establish actus reus of murder it must be proven that the defendant illegal killed another person. </w:t>
      </w:r>
      <w:proofErr w:type="gramStart"/>
      <w:r w:rsidRPr="008B3C97">
        <w:rPr>
          <w:rFonts w:ascii="Times New Roman" w:hAnsi="Times New Roman" w:cs="Times New Roman"/>
          <w:sz w:val="24"/>
          <w:szCs w:val="24"/>
          <w:lang w:val="en-US"/>
        </w:rPr>
        <w:t>In order for</w:t>
      </w:r>
      <w:proofErr w:type="gramEnd"/>
      <w:r w:rsidRPr="008B3C97">
        <w:rPr>
          <w:rFonts w:ascii="Times New Roman" w:hAnsi="Times New Roman" w:cs="Times New Roman"/>
          <w:sz w:val="24"/>
          <w:szCs w:val="24"/>
          <w:lang w:val="en-US"/>
        </w:rPr>
        <w:t xml:space="preserve"> killing to be classified as murder committed by an accused, during the time of the victim’s death, the actions or omissions of the death should be the substantial cause of the death of the victim. There should be no interference in the chain of causation. In addition, it should be proven that defendant caused the death a human being. The case of </w:t>
      </w:r>
      <w:r w:rsidRPr="008B3C97">
        <w:rPr>
          <w:rFonts w:ascii="Times New Roman" w:hAnsi="Times New Roman" w:cs="Times New Roman"/>
          <w:i/>
          <w:iCs/>
          <w:sz w:val="24"/>
          <w:szCs w:val="24"/>
          <w:lang w:val="en-US"/>
        </w:rPr>
        <w:t xml:space="preserve">R v </w:t>
      </w:r>
      <w:proofErr w:type="spellStart"/>
      <w:r w:rsidRPr="008B3C97">
        <w:rPr>
          <w:rFonts w:ascii="Times New Roman" w:hAnsi="Times New Roman" w:cs="Times New Roman"/>
          <w:i/>
          <w:iCs/>
          <w:sz w:val="24"/>
          <w:szCs w:val="24"/>
          <w:lang w:val="en-US"/>
        </w:rPr>
        <w:t>Ingis</w:t>
      </w:r>
      <w:proofErr w:type="spellEnd"/>
      <w:r w:rsidRPr="008B3C97">
        <w:rPr>
          <w:rFonts w:ascii="Times New Roman" w:hAnsi="Times New Roman" w:cs="Times New Roman"/>
          <w:i/>
          <w:iCs/>
          <w:sz w:val="24"/>
          <w:szCs w:val="24"/>
          <w:lang w:val="en-US"/>
        </w:rPr>
        <w:t xml:space="preserve"> (2011) 1 WLR 1110, </w:t>
      </w:r>
      <w:r w:rsidRPr="008B3C97">
        <w:rPr>
          <w:rFonts w:ascii="Times New Roman" w:hAnsi="Times New Roman" w:cs="Times New Roman"/>
          <w:sz w:val="24"/>
          <w:szCs w:val="24"/>
          <w:lang w:val="en-US"/>
        </w:rPr>
        <w:t xml:space="preserve">the court held that the defendant was guilty of murdering her son. In this case, Ali followed Colin on his way home from work where he asked Colin if he had disclosed to the police any information concerning the incident. Colin refuted and walked off. Ali grabbed Collin’s hand and stabbed him. This led to Collin bleeding profusely which ultimately led to his death. Ali’s action establishes the actus reus element of murder. </w:t>
      </w:r>
    </w:p>
    <w:p w14:paraId="3FDC5025" w14:textId="77777777" w:rsidR="002E3C2A" w:rsidRPr="008B3C97" w:rsidRDefault="002E3C2A" w:rsidP="002E3C2A">
      <w:pPr>
        <w:spacing w:line="480" w:lineRule="auto"/>
        <w:jc w:val="both"/>
        <w:rPr>
          <w:rFonts w:ascii="Times New Roman" w:hAnsi="Times New Roman" w:cs="Times New Roman"/>
          <w:sz w:val="24"/>
          <w:szCs w:val="24"/>
          <w:lang w:val="en-US"/>
        </w:rPr>
      </w:pPr>
      <w:proofErr w:type="spellStart"/>
      <w:r w:rsidRPr="008B3C97">
        <w:rPr>
          <w:rFonts w:ascii="Times New Roman" w:hAnsi="Times New Roman" w:cs="Times New Roman"/>
          <w:sz w:val="24"/>
          <w:szCs w:val="24"/>
          <w:lang w:val="en-US"/>
        </w:rPr>
        <w:t>Mens</w:t>
      </w:r>
      <w:proofErr w:type="spellEnd"/>
      <w:r w:rsidRPr="008B3C97">
        <w:rPr>
          <w:rFonts w:ascii="Times New Roman" w:hAnsi="Times New Roman" w:cs="Times New Roman"/>
          <w:sz w:val="24"/>
          <w:szCs w:val="24"/>
          <w:lang w:val="en-US"/>
        </w:rPr>
        <w:t xml:space="preserve"> Rea</w:t>
      </w:r>
    </w:p>
    <w:p w14:paraId="01FB70F0" w14:textId="77777777"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 xml:space="preserve">According to the case of </w:t>
      </w:r>
      <w:r w:rsidRPr="008B3C97">
        <w:rPr>
          <w:rFonts w:ascii="Times New Roman" w:hAnsi="Times New Roman" w:cs="Times New Roman"/>
          <w:i/>
          <w:iCs/>
          <w:sz w:val="24"/>
          <w:szCs w:val="24"/>
          <w:lang w:val="en-US"/>
        </w:rPr>
        <w:t>R v Cunningham (1957) 2 QB 396</w:t>
      </w:r>
      <w:r w:rsidRPr="008B3C97">
        <w:rPr>
          <w:rFonts w:ascii="Times New Roman" w:hAnsi="Times New Roman" w:cs="Times New Roman"/>
          <w:sz w:val="24"/>
          <w:szCs w:val="24"/>
          <w:lang w:val="en-US"/>
        </w:rPr>
        <w:t xml:space="preserve">, the court held that malice refers to an intent to do a specific type of harm that was </w:t>
      </w:r>
      <w:proofErr w:type="gramStart"/>
      <w:r w:rsidRPr="008B3C97">
        <w:rPr>
          <w:rFonts w:ascii="Times New Roman" w:hAnsi="Times New Roman" w:cs="Times New Roman"/>
          <w:sz w:val="24"/>
          <w:szCs w:val="24"/>
          <w:lang w:val="en-US"/>
        </w:rPr>
        <w:t>actually committed</w:t>
      </w:r>
      <w:proofErr w:type="gramEnd"/>
      <w:r w:rsidRPr="008B3C97">
        <w:rPr>
          <w:rFonts w:ascii="Times New Roman" w:hAnsi="Times New Roman" w:cs="Times New Roman"/>
          <w:sz w:val="24"/>
          <w:szCs w:val="24"/>
          <w:lang w:val="en-US"/>
        </w:rPr>
        <w:t xml:space="preserve">. It also refers to recklessness on where harm took place or not, the defendant had anticipated that the specific harm could be done and still went ahead to engage in the risky act.  In the case of </w:t>
      </w:r>
      <w:r w:rsidRPr="008B3C97">
        <w:rPr>
          <w:rFonts w:ascii="Times New Roman" w:hAnsi="Times New Roman" w:cs="Times New Roman"/>
          <w:i/>
          <w:iCs/>
          <w:sz w:val="24"/>
          <w:szCs w:val="24"/>
          <w:lang w:val="en-US"/>
        </w:rPr>
        <w:t>R vs Mathews &amp; Alleyne (2003) EWCA 192</w:t>
      </w:r>
      <w:r w:rsidRPr="008B3C97">
        <w:rPr>
          <w:rFonts w:ascii="Times New Roman" w:hAnsi="Times New Roman" w:cs="Times New Roman"/>
          <w:sz w:val="24"/>
          <w:szCs w:val="24"/>
          <w:lang w:val="en-US"/>
        </w:rPr>
        <w:t xml:space="preserve">, the court defined </w:t>
      </w:r>
      <w:proofErr w:type="spellStart"/>
      <w:r w:rsidRPr="008B3C97">
        <w:rPr>
          <w:rFonts w:ascii="Times New Roman" w:hAnsi="Times New Roman" w:cs="Times New Roman"/>
          <w:sz w:val="24"/>
          <w:szCs w:val="24"/>
          <w:lang w:val="en-US"/>
        </w:rPr>
        <w:t>mens</w:t>
      </w:r>
      <w:proofErr w:type="spellEnd"/>
      <w:r w:rsidRPr="008B3C97">
        <w:rPr>
          <w:rFonts w:ascii="Times New Roman" w:hAnsi="Times New Roman" w:cs="Times New Roman"/>
          <w:sz w:val="24"/>
          <w:szCs w:val="24"/>
          <w:lang w:val="en-US"/>
        </w:rPr>
        <w:t xml:space="preserve"> rea of murder as an intent to kill another person. It further held that in order for an accused to be deemed to have formed the </w:t>
      </w:r>
      <w:proofErr w:type="spellStart"/>
      <w:r w:rsidRPr="008B3C97">
        <w:rPr>
          <w:rFonts w:ascii="Times New Roman" w:hAnsi="Times New Roman" w:cs="Times New Roman"/>
          <w:sz w:val="24"/>
          <w:szCs w:val="24"/>
          <w:lang w:val="en-US"/>
        </w:rPr>
        <w:t>mens</w:t>
      </w:r>
      <w:proofErr w:type="spellEnd"/>
      <w:r w:rsidRPr="008B3C97">
        <w:rPr>
          <w:rFonts w:ascii="Times New Roman" w:hAnsi="Times New Roman" w:cs="Times New Roman"/>
          <w:sz w:val="24"/>
          <w:szCs w:val="24"/>
          <w:lang w:val="en-US"/>
        </w:rPr>
        <w:t xml:space="preserve"> rea of murder, it is imperative for it to be more than being aware of the grievous bodily harm or death or foresight as a consequence of his or her actions, </w:t>
      </w:r>
      <w:proofErr w:type="gramStart"/>
      <w:r w:rsidRPr="008B3C97">
        <w:rPr>
          <w:rFonts w:ascii="Times New Roman" w:hAnsi="Times New Roman" w:cs="Times New Roman"/>
          <w:sz w:val="24"/>
          <w:szCs w:val="24"/>
          <w:lang w:val="en-US"/>
        </w:rPr>
        <w:t>There</w:t>
      </w:r>
      <w:proofErr w:type="gramEnd"/>
      <w:r w:rsidRPr="008B3C97">
        <w:rPr>
          <w:rFonts w:ascii="Times New Roman" w:hAnsi="Times New Roman" w:cs="Times New Roman"/>
          <w:sz w:val="24"/>
          <w:szCs w:val="24"/>
          <w:lang w:val="en-US"/>
        </w:rPr>
        <w:t xml:space="preserve"> should be evidence that depicts the intention of the accused. In </w:t>
      </w:r>
      <w:proofErr w:type="spellStart"/>
      <w:r w:rsidRPr="008B3C97">
        <w:rPr>
          <w:rFonts w:ascii="Times New Roman" w:hAnsi="Times New Roman" w:cs="Times New Roman"/>
          <w:sz w:val="24"/>
          <w:szCs w:val="24"/>
          <w:lang w:val="en-US"/>
        </w:rPr>
        <w:t>Hyan</w:t>
      </w:r>
      <w:proofErr w:type="spellEnd"/>
      <w:r w:rsidRPr="008B3C97">
        <w:rPr>
          <w:rFonts w:ascii="Times New Roman" w:hAnsi="Times New Roman" w:cs="Times New Roman"/>
          <w:sz w:val="24"/>
          <w:szCs w:val="24"/>
          <w:lang w:val="en-US"/>
        </w:rPr>
        <w:t xml:space="preserve"> vs DPP (1974) UKHL 2, it was held by the jury that the </w:t>
      </w:r>
      <w:r w:rsidRPr="008B3C97">
        <w:rPr>
          <w:rFonts w:ascii="Times New Roman" w:hAnsi="Times New Roman" w:cs="Times New Roman"/>
          <w:sz w:val="24"/>
          <w:szCs w:val="24"/>
          <w:lang w:val="en-US"/>
        </w:rPr>
        <w:lastRenderedPageBreak/>
        <w:t xml:space="preserve">prosecution bears the burden of proof in demonstrating beyond reasonable doubt that the accused had the intent to causing grievous bodily harm to the victim or killing him or her. In this case, Ali was in possession of weapon when he had gone to confront Collin concerning the incident in the bar that led to the death of Lee. He used that weapon to stab Collin which resulted into Collin bleeding profusely and eventually dying. This is a clear indication that Ali had the </w:t>
      </w:r>
      <w:proofErr w:type="spellStart"/>
      <w:r w:rsidRPr="008B3C97">
        <w:rPr>
          <w:rFonts w:ascii="Times New Roman" w:hAnsi="Times New Roman" w:cs="Times New Roman"/>
          <w:sz w:val="24"/>
          <w:szCs w:val="24"/>
          <w:lang w:val="en-US"/>
        </w:rPr>
        <w:t>mens</w:t>
      </w:r>
      <w:proofErr w:type="spellEnd"/>
      <w:r w:rsidRPr="008B3C97">
        <w:rPr>
          <w:rFonts w:ascii="Times New Roman" w:hAnsi="Times New Roman" w:cs="Times New Roman"/>
          <w:sz w:val="24"/>
          <w:szCs w:val="24"/>
          <w:lang w:val="en-US"/>
        </w:rPr>
        <w:t xml:space="preserve"> rea of causing grievous bodily harm to Collin or to kill him. Ali’s action satisfies the element of </w:t>
      </w:r>
      <w:proofErr w:type="spellStart"/>
      <w:r w:rsidRPr="008B3C97">
        <w:rPr>
          <w:rFonts w:ascii="Times New Roman" w:hAnsi="Times New Roman" w:cs="Times New Roman"/>
          <w:sz w:val="24"/>
          <w:szCs w:val="24"/>
          <w:lang w:val="en-US"/>
        </w:rPr>
        <w:t>mens</w:t>
      </w:r>
      <w:proofErr w:type="spellEnd"/>
      <w:r w:rsidRPr="008B3C97">
        <w:rPr>
          <w:rFonts w:ascii="Times New Roman" w:hAnsi="Times New Roman" w:cs="Times New Roman"/>
          <w:sz w:val="24"/>
          <w:szCs w:val="24"/>
          <w:lang w:val="en-US"/>
        </w:rPr>
        <w:t xml:space="preserve"> rea.</w:t>
      </w:r>
    </w:p>
    <w:p w14:paraId="26286455" w14:textId="77777777"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Liability</w:t>
      </w:r>
    </w:p>
    <w:p w14:paraId="769DCCBF" w14:textId="77777777"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 xml:space="preserve">Ali is liable for the murder of Collin. </w:t>
      </w:r>
    </w:p>
    <w:p w14:paraId="418C9DA7" w14:textId="0A08E090" w:rsidR="002E3C2A" w:rsidRPr="002E3C2A" w:rsidRDefault="002E3C2A" w:rsidP="002E3C2A">
      <w:pPr>
        <w:spacing w:line="480" w:lineRule="auto"/>
        <w:jc w:val="center"/>
        <w:rPr>
          <w:rFonts w:ascii="Times New Roman" w:hAnsi="Times New Roman" w:cs="Times New Roman"/>
          <w:b/>
          <w:bCs/>
          <w:sz w:val="24"/>
          <w:szCs w:val="24"/>
          <w:lang w:val="en-US"/>
        </w:rPr>
      </w:pPr>
      <w:r w:rsidRPr="002E3C2A">
        <w:rPr>
          <w:rFonts w:ascii="Times New Roman" w:hAnsi="Times New Roman" w:cs="Times New Roman"/>
          <w:b/>
          <w:bCs/>
          <w:sz w:val="24"/>
          <w:szCs w:val="24"/>
          <w:lang w:val="en-US"/>
        </w:rPr>
        <w:t>References</w:t>
      </w:r>
    </w:p>
    <w:p w14:paraId="7AD0B372" w14:textId="26E530C4" w:rsidR="002E3C2A" w:rsidRPr="008B3C97" w:rsidRDefault="002E3C2A" w:rsidP="002E3C2A">
      <w:pPr>
        <w:spacing w:line="480" w:lineRule="auto"/>
        <w:jc w:val="both"/>
        <w:rPr>
          <w:rFonts w:ascii="Times New Roman" w:hAnsi="Times New Roman" w:cs="Times New Roman"/>
          <w:i/>
          <w:iCs/>
          <w:sz w:val="24"/>
          <w:szCs w:val="24"/>
          <w:lang w:val="en-US"/>
        </w:rPr>
      </w:pPr>
      <w:r w:rsidRPr="008B3C97">
        <w:rPr>
          <w:rFonts w:ascii="Times New Roman" w:hAnsi="Times New Roman" w:cs="Times New Roman"/>
          <w:i/>
          <w:iCs/>
          <w:sz w:val="24"/>
          <w:szCs w:val="24"/>
          <w:lang w:val="en-US"/>
        </w:rPr>
        <w:t>Collins v Wilcock (1984) 3 All ER 37</w:t>
      </w:r>
    </w:p>
    <w:p w14:paraId="33811C65" w14:textId="77777777"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sz w:val="24"/>
          <w:szCs w:val="24"/>
          <w:lang w:val="en-US"/>
        </w:rPr>
        <w:t>DPP vs Newbury (1977) AC 500</w:t>
      </w:r>
    </w:p>
    <w:p w14:paraId="7B2B0B74" w14:textId="77777777" w:rsidR="002E3C2A" w:rsidRPr="008B3C97" w:rsidRDefault="002E3C2A" w:rsidP="002E3C2A">
      <w:pPr>
        <w:spacing w:line="480" w:lineRule="auto"/>
        <w:jc w:val="both"/>
        <w:rPr>
          <w:rFonts w:ascii="Times New Roman" w:hAnsi="Times New Roman" w:cs="Times New Roman"/>
          <w:sz w:val="24"/>
          <w:szCs w:val="24"/>
          <w:lang w:val="en-US"/>
        </w:rPr>
      </w:pPr>
      <w:proofErr w:type="spellStart"/>
      <w:r w:rsidRPr="008B3C97">
        <w:rPr>
          <w:rFonts w:ascii="Times New Roman" w:hAnsi="Times New Roman" w:cs="Times New Roman"/>
          <w:sz w:val="24"/>
          <w:szCs w:val="24"/>
          <w:lang w:val="en-US"/>
        </w:rPr>
        <w:t>Hyan</w:t>
      </w:r>
      <w:proofErr w:type="spellEnd"/>
      <w:r w:rsidRPr="008B3C97">
        <w:rPr>
          <w:rFonts w:ascii="Times New Roman" w:hAnsi="Times New Roman" w:cs="Times New Roman"/>
          <w:sz w:val="24"/>
          <w:szCs w:val="24"/>
          <w:lang w:val="en-US"/>
        </w:rPr>
        <w:t xml:space="preserve"> vs DPP (1974) UKHL 2</w:t>
      </w:r>
    </w:p>
    <w:p w14:paraId="3D636D42" w14:textId="77777777" w:rsidR="002E3C2A" w:rsidRPr="008B3C97" w:rsidRDefault="002E3C2A" w:rsidP="002E3C2A">
      <w:pPr>
        <w:spacing w:line="480" w:lineRule="auto"/>
        <w:jc w:val="both"/>
        <w:rPr>
          <w:rFonts w:ascii="Times New Roman" w:hAnsi="Times New Roman" w:cs="Times New Roman"/>
          <w:i/>
          <w:iCs/>
          <w:sz w:val="24"/>
          <w:szCs w:val="24"/>
          <w:lang w:val="en-US"/>
        </w:rPr>
      </w:pPr>
      <w:r w:rsidRPr="008B3C97">
        <w:rPr>
          <w:rFonts w:ascii="Times New Roman" w:hAnsi="Times New Roman" w:cs="Times New Roman"/>
          <w:i/>
          <w:iCs/>
          <w:sz w:val="24"/>
          <w:szCs w:val="24"/>
          <w:lang w:val="en-US"/>
        </w:rPr>
        <w:t>R v Church (1966) 1 QB 59</w:t>
      </w:r>
    </w:p>
    <w:p w14:paraId="2A634A3B" w14:textId="77777777" w:rsidR="002E3C2A" w:rsidRPr="008B3C97" w:rsidRDefault="002E3C2A" w:rsidP="002E3C2A">
      <w:pPr>
        <w:spacing w:line="480" w:lineRule="auto"/>
        <w:jc w:val="both"/>
        <w:rPr>
          <w:rFonts w:ascii="Times New Roman" w:hAnsi="Times New Roman" w:cs="Times New Roman"/>
          <w:sz w:val="24"/>
          <w:szCs w:val="24"/>
          <w:lang w:val="en-US"/>
        </w:rPr>
      </w:pPr>
      <w:r w:rsidRPr="008B3C97">
        <w:rPr>
          <w:rFonts w:ascii="Times New Roman" w:hAnsi="Times New Roman" w:cs="Times New Roman"/>
          <w:i/>
          <w:iCs/>
          <w:sz w:val="24"/>
          <w:szCs w:val="24"/>
          <w:lang w:val="en-US"/>
        </w:rPr>
        <w:t>R v Clarke (1972) 1 All ER 219</w:t>
      </w:r>
      <w:r w:rsidRPr="008B3C97">
        <w:rPr>
          <w:rFonts w:ascii="Times New Roman" w:hAnsi="Times New Roman" w:cs="Times New Roman"/>
          <w:sz w:val="24"/>
          <w:szCs w:val="24"/>
          <w:lang w:val="en-US"/>
        </w:rPr>
        <w:t>,</w:t>
      </w:r>
    </w:p>
    <w:p w14:paraId="3E237753" w14:textId="77777777" w:rsidR="002E3C2A" w:rsidRPr="008B3C97" w:rsidRDefault="002E3C2A" w:rsidP="002E3C2A">
      <w:pPr>
        <w:spacing w:line="480" w:lineRule="auto"/>
        <w:jc w:val="both"/>
        <w:rPr>
          <w:rFonts w:ascii="Times New Roman" w:hAnsi="Times New Roman" w:cs="Times New Roman"/>
          <w:i/>
          <w:iCs/>
          <w:sz w:val="24"/>
          <w:szCs w:val="24"/>
          <w:lang w:val="en-US"/>
        </w:rPr>
      </w:pPr>
      <w:r w:rsidRPr="008B3C97">
        <w:rPr>
          <w:rFonts w:ascii="Times New Roman" w:hAnsi="Times New Roman" w:cs="Times New Roman"/>
          <w:i/>
          <w:iCs/>
          <w:sz w:val="24"/>
          <w:szCs w:val="24"/>
          <w:lang w:val="en-US"/>
        </w:rPr>
        <w:t>R v Cunningham (1957) 2 QB 396</w:t>
      </w:r>
    </w:p>
    <w:p w14:paraId="71A58656" w14:textId="77777777" w:rsidR="002E3C2A" w:rsidRPr="008B3C97" w:rsidRDefault="002E3C2A" w:rsidP="002E3C2A">
      <w:pPr>
        <w:spacing w:line="480" w:lineRule="auto"/>
        <w:jc w:val="both"/>
        <w:rPr>
          <w:rFonts w:ascii="Times New Roman" w:hAnsi="Times New Roman" w:cs="Times New Roman"/>
          <w:i/>
          <w:iCs/>
          <w:sz w:val="24"/>
          <w:szCs w:val="24"/>
          <w:lang w:val="en-US"/>
        </w:rPr>
      </w:pPr>
      <w:r w:rsidRPr="008B3C97">
        <w:rPr>
          <w:rFonts w:ascii="Times New Roman" w:hAnsi="Times New Roman" w:cs="Times New Roman"/>
          <w:i/>
          <w:iCs/>
          <w:sz w:val="24"/>
          <w:szCs w:val="24"/>
          <w:lang w:val="en-US"/>
        </w:rPr>
        <w:t>R v Franklin (1883) 15 Cox CC 163</w:t>
      </w:r>
    </w:p>
    <w:p w14:paraId="761F939D" w14:textId="77777777" w:rsidR="002E3C2A" w:rsidRPr="008B3C97" w:rsidRDefault="002E3C2A" w:rsidP="002E3C2A">
      <w:pPr>
        <w:spacing w:line="480" w:lineRule="auto"/>
        <w:jc w:val="both"/>
        <w:rPr>
          <w:rFonts w:ascii="Times New Roman" w:hAnsi="Times New Roman" w:cs="Times New Roman"/>
          <w:i/>
          <w:iCs/>
          <w:sz w:val="24"/>
          <w:szCs w:val="24"/>
          <w:lang w:val="en-US"/>
        </w:rPr>
      </w:pPr>
      <w:r w:rsidRPr="008B3C97">
        <w:rPr>
          <w:rFonts w:ascii="Times New Roman" w:hAnsi="Times New Roman" w:cs="Times New Roman"/>
          <w:i/>
          <w:iCs/>
          <w:sz w:val="24"/>
          <w:szCs w:val="24"/>
          <w:lang w:val="en-US"/>
        </w:rPr>
        <w:t xml:space="preserve">R v </w:t>
      </w:r>
      <w:proofErr w:type="spellStart"/>
      <w:r w:rsidRPr="008B3C97">
        <w:rPr>
          <w:rFonts w:ascii="Times New Roman" w:hAnsi="Times New Roman" w:cs="Times New Roman"/>
          <w:i/>
          <w:iCs/>
          <w:sz w:val="24"/>
          <w:szCs w:val="24"/>
          <w:lang w:val="en-US"/>
        </w:rPr>
        <w:t>Ingis</w:t>
      </w:r>
      <w:proofErr w:type="spellEnd"/>
      <w:r w:rsidRPr="008B3C97">
        <w:rPr>
          <w:rFonts w:ascii="Times New Roman" w:hAnsi="Times New Roman" w:cs="Times New Roman"/>
          <w:i/>
          <w:iCs/>
          <w:sz w:val="24"/>
          <w:szCs w:val="24"/>
          <w:lang w:val="en-US"/>
        </w:rPr>
        <w:t xml:space="preserve"> (2011) 1 WLR 1110</w:t>
      </w:r>
    </w:p>
    <w:p w14:paraId="346EF056" w14:textId="77777777" w:rsidR="002E3C2A" w:rsidRPr="008B3C97" w:rsidRDefault="002E3C2A" w:rsidP="002E3C2A">
      <w:pPr>
        <w:spacing w:line="480" w:lineRule="auto"/>
        <w:jc w:val="both"/>
        <w:rPr>
          <w:rFonts w:ascii="Times New Roman" w:hAnsi="Times New Roman" w:cs="Times New Roman"/>
          <w:i/>
          <w:iCs/>
          <w:sz w:val="24"/>
          <w:szCs w:val="24"/>
          <w:lang w:val="en-US"/>
        </w:rPr>
      </w:pPr>
      <w:r w:rsidRPr="008B3C97">
        <w:rPr>
          <w:rFonts w:ascii="Times New Roman" w:hAnsi="Times New Roman" w:cs="Times New Roman"/>
          <w:i/>
          <w:iCs/>
          <w:sz w:val="24"/>
          <w:szCs w:val="24"/>
          <w:lang w:val="en-US"/>
        </w:rPr>
        <w:t>R v Lowe (1973) QB 702</w:t>
      </w:r>
    </w:p>
    <w:p w14:paraId="1F06E84A" w14:textId="77777777" w:rsidR="002E3C2A" w:rsidRPr="008B3C97" w:rsidRDefault="002E3C2A" w:rsidP="002E3C2A">
      <w:pPr>
        <w:spacing w:line="480" w:lineRule="auto"/>
        <w:jc w:val="both"/>
        <w:rPr>
          <w:rFonts w:ascii="Times New Roman" w:hAnsi="Times New Roman" w:cs="Times New Roman"/>
          <w:i/>
          <w:iCs/>
          <w:sz w:val="24"/>
          <w:szCs w:val="24"/>
          <w:lang w:val="en-US"/>
        </w:rPr>
      </w:pPr>
      <w:r w:rsidRPr="008B3C97">
        <w:rPr>
          <w:rFonts w:ascii="Times New Roman" w:hAnsi="Times New Roman" w:cs="Times New Roman"/>
          <w:i/>
          <w:iCs/>
          <w:sz w:val="24"/>
          <w:szCs w:val="24"/>
          <w:lang w:val="en-US"/>
        </w:rPr>
        <w:t>R v Sullivan (1984) AC 156</w:t>
      </w:r>
    </w:p>
    <w:p w14:paraId="670A1893" w14:textId="77777777" w:rsidR="002E3C2A" w:rsidRPr="008B3C97" w:rsidRDefault="002E3C2A" w:rsidP="002E3C2A">
      <w:pPr>
        <w:spacing w:line="480" w:lineRule="auto"/>
        <w:jc w:val="both"/>
        <w:rPr>
          <w:rFonts w:ascii="Times New Roman" w:hAnsi="Times New Roman" w:cs="Times New Roman"/>
          <w:i/>
          <w:iCs/>
          <w:sz w:val="24"/>
          <w:szCs w:val="24"/>
          <w:lang w:val="en-US"/>
        </w:rPr>
      </w:pPr>
      <w:r w:rsidRPr="008B3C97">
        <w:rPr>
          <w:rFonts w:ascii="Times New Roman" w:hAnsi="Times New Roman" w:cs="Times New Roman"/>
          <w:i/>
          <w:iCs/>
          <w:sz w:val="24"/>
          <w:szCs w:val="24"/>
          <w:lang w:val="en-US"/>
        </w:rPr>
        <w:t>R v Windle (1952) 2 QB 82</w:t>
      </w:r>
    </w:p>
    <w:p w14:paraId="095DBA5D" w14:textId="77777777" w:rsidR="002E3C2A" w:rsidRPr="008B3C97" w:rsidRDefault="002E3C2A" w:rsidP="002E3C2A">
      <w:pPr>
        <w:spacing w:line="480" w:lineRule="auto"/>
        <w:jc w:val="both"/>
        <w:rPr>
          <w:rFonts w:ascii="Times New Roman" w:hAnsi="Times New Roman" w:cs="Times New Roman"/>
          <w:i/>
          <w:iCs/>
          <w:color w:val="404040"/>
          <w:sz w:val="24"/>
          <w:szCs w:val="24"/>
          <w:shd w:val="clear" w:color="auto" w:fill="FFFFFF"/>
          <w:lang w:val="en-US"/>
        </w:rPr>
      </w:pPr>
      <w:r w:rsidRPr="008B3C97">
        <w:rPr>
          <w:rFonts w:ascii="Times New Roman" w:hAnsi="Times New Roman" w:cs="Times New Roman"/>
          <w:i/>
          <w:iCs/>
          <w:color w:val="404040"/>
          <w:sz w:val="24"/>
          <w:szCs w:val="24"/>
          <w:shd w:val="clear" w:color="auto" w:fill="FFFFFF"/>
          <w:lang w:val="en-US"/>
        </w:rPr>
        <w:lastRenderedPageBreak/>
        <w:t>R v Roberts (1971) ECWCA Crim 4 Court of Appeal</w:t>
      </w:r>
    </w:p>
    <w:p w14:paraId="6BC33808" w14:textId="77777777" w:rsidR="002E3C2A" w:rsidRPr="008B3C97" w:rsidRDefault="002E3C2A" w:rsidP="002E3C2A">
      <w:pPr>
        <w:pStyle w:val="Bibliography"/>
        <w:spacing w:line="480" w:lineRule="auto"/>
        <w:jc w:val="both"/>
        <w:rPr>
          <w:rFonts w:ascii="Times New Roman" w:hAnsi="Times New Roman" w:cs="Times New Roman"/>
          <w:noProof/>
          <w:sz w:val="24"/>
          <w:szCs w:val="24"/>
          <w:lang w:val="en-US"/>
        </w:rPr>
      </w:pPr>
      <w:r w:rsidRPr="008B3C97">
        <w:rPr>
          <w:rFonts w:ascii="Times New Roman" w:hAnsi="Times New Roman" w:cs="Times New Roman"/>
          <w:noProof/>
          <w:sz w:val="24"/>
          <w:szCs w:val="24"/>
          <w:lang w:val="en-US"/>
        </w:rPr>
        <w:t xml:space="preserve">Prevezer, S., 1957. The English Homicide Act: A New Attempt to Revise the Law of Murder. </w:t>
      </w:r>
      <w:r w:rsidRPr="008B3C97">
        <w:rPr>
          <w:rFonts w:ascii="Times New Roman" w:hAnsi="Times New Roman" w:cs="Times New Roman"/>
          <w:i/>
          <w:iCs/>
          <w:noProof/>
          <w:sz w:val="24"/>
          <w:szCs w:val="24"/>
          <w:lang w:val="en-US"/>
        </w:rPr>
        <w:t xml:space="preserve">Columbia Law Review, </w:t>
      </w:r>
      <w:r w:rsidRPr="008B3C97">
        <w:rPr>
          <w:rFonts w:ascii="Times New Roman" w:hAnsi="Times New Roman" w:cs="Times New Roman"/>
          <w:noProof/>
          <w:sz w:val="24"/>
          <w:szCs w:val="24"/>
          <w:lang w:val="en-US"/>
        </w:rPr>
        <w:t>57(5), pp. 624 - 652.</w:t>
      </w:r>
    </w:p>
    <w:p w14:paraId="3B49783A" w14:textId="77777777" w:rsidR="002E3C2A" w:rsidRPr="008B3C97" w:rsidRDefault="002E3C2A" w:rsidP="002E3C2A">
      <w:pPr>
        <w:spacing w:line="480" w:lineRule="auto"/>
        <w:jc w:val="both"/>
        <w:rPr>
          <w:rFonts w:ascii="Times New Roman" w:hAnsi="Times New Roman" w:cs="Times New Roman"/>
          <w:i/>
          <w:iCs/>
          <w:sz w:val="24"/>
          <w:szCs w:val="24"/>
          <w:lang w:val="en-US"/>
        </w:rPr>
      </w:pPr>
    </w:p>
    <w:p w14:paraId="0C962383" w14:textId="77777777" w:rsidR="002E3C2A" w:rsidRPr="008B3C97" w:rsidRDefault="002E3C2A" w:rsidP="002E3C2A">
      <w:pPr>
        <w:spacing w:line="480" w:lineRule="auto"/>
        <w:jc w:val="both"/>
        <w:rPr>
          <w:rFonts w:ascii="Times New Roman" w:hAnsi="Times New Roman" w:cs="Times New Roman"/>
          <w:i/>
          <w:iCs/>
          <w:sz w:val="24"/>
          <w:szCs w:val="24"/>
          <w:lang w:val="en-US"/>
        </w:rPr>
      </w:pPr>
    </w:p>
    <w:p w14:paraId="76DD1547" w14:textId="77777777" w:rsidR="002E3C2A" w:rsidRPr="008B3C97" w:rsidRDefault="002E3C2A" w:rsidP="002E3C2A">
      <w:pPr>
        <w:spacing w:line="480" w:lineRule="auto"/>
        <w:jc w:val="both"/>
        <w:rPr>
          <w:rFonts w:ascii="Times New Roman" w:hAnsi="Times New Roman" w:cs="Times New Roman"/>
          <w:sz w:val="24"/>
          <w:szCs w:val="24"/>
          <w:lang w:val="en-US"/>
        </w:rPr>
      </w:pPr>
    </w:p>
    <w:p w14:paraId="1A8649F1" w14:textId="77777777" w:rsidR="002E3C2A" w:rsidRPr="008B3C97" w:rsidRDefault="002E3C2A" w:rsidP="002E3C2A">
      <w:pPr>
        <w:spacing w:line="480" w:lineRule="auto"/>
        <w:jc w:val="both"/>
        <w:rPr>
          <w:rFonts w:ascii="Times New Roman" w:hAnsi="Times New Roman" w:cs="Times New Roman"/>
          <w:sz w:val="24"/>
          <w:szCs w:val="24"/>
          <w:lang w:val="en-US"/>
        </w:rPr>
      </w:pPr>
    </w:p>
    <w:p w14:paraId="2CCF73D9" w14:textId="77777777" w:rsidR="002E3C2A" w:rsidRPr="008B3C97" w:rsidRDefault="002E3C2A" w:rsidP="002E3C2A">
      <w:pPr>
        <w:spacing w:line="480" w:lineRule="auto"/>
        <w:jc w:val="both"/>
        <w:rPr>
          <w:rFonts w:ascii="Times New Roman" w:hAnsi="Times New Roman" w:cs="Times New Roman"/>
          <w:color w:val="000000"/>
          <w:sz w:val="24"/>
          <w:szCs w:val="24"/>
          <w:shd w:val="clear" w:color="auto" w:fill="FFFFFF"/>
        </w:rPr>
      </w:pPr>
    </w:p>
    <w:p w14:paraId="2D9C28BF" w14:textId="77777777" w:rsidR="002E3C2A" w:rsidRPr="008B3C97" w:rsidRDefault="002E3C2A" w:rsidP="002E3C2A">
      <w:pPr>
        <w:spacing w:line="480" w:lineRule="auto"/>
        <w:jc w:val="both"/>
        <w:rPr>
          <w:rFonts w:ascii="Times New Roman" w:hAnsi="Times New Roman" w:cs="Times New Roman"/>
          <w:sz w:val="24"/>
          <w:szCs w:val="24"/>
          <w:lang w:val="en-US"/>
        </w:rPr>
      </w:pPr>
    </w:p>
    <w:p w14:paraId="5AD3E3DA" w14:textId="77777777" w:rsidR="002E3C2A" w:rsidRPr="008B3C97" w:rsidRDefault="002E3C2A" w:rsidP="002E3C2A">
      <w:pPr>
        <w:spacing w:line="480" w:lineRule="auto"/>
        <w:jc w:val="both"/>
        <w:rPr>
          <w:rFonts w:ascii="Times New Roman" w:hAnsi="Times New Roman" w:cs="Times New Roman"/>
          <w:sz w:val="24"/>
          <w:szCs w:val="24"/>
          <w:lang w:val="en-US"/>
        </w:rPr>
      </w:pPr>
    </w:p>
    <w:p w14:paraId="0DD91271" w14:textId="77777777" w:rsidR="002E3C2A" w:rsidRPr="008B3C97" w:rsidRDefault="002E3C2A" w:rsidP="002E3C2A">
      <w:pPr>
        <w:spacing w:line="480" w:lineRule="auto"/>
        <w:jc w:val="both"/>
        <w:rPr>
          <w:rFonts w:ascii="Times New Roman" w:hAnsi="Times New Roman" w:cs="Times New Roman"/>
          <w:sz w:val="24"/>
          <w:szCs w:val="24"/>
        </w:rPr>
      </w:pPr>
    </w:p>
    <w:p w14:paraId="64AD6477" w14:textId="77777777" w:rsidR="00EA18F5" w:rsidRDefault="00EA18F5"/>
    <w:sectPr w:rsidR="00EA18F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2E41B" w14:textId="77777777" w:rsidR="00B758BF" w:rsidRDefault="00B758BF" w:rsidP="00981362">
      <w:pPr>
        <w:spacing w:after="0" w:line="240" w:lineRule="auto"/>
      </w:pPr>
      <w:r>
        <w:separator/>
      </w:r>
    </w:p>
  </w:endnote>
  <w:endnote w:type="continuationSeparator" w:id="0">
    <w:p w14:paraId="52B0127C" w14:textId="77777777" w:rsidR="00B758BF" w:rsidRDefault="00B758BF" w:rsidP="00981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0E67A" w14:textId="5AEC44EB" w:rsidR="00981362" w:rsidRPr="005E1F88" w:rsidRDefault="005E1F88">
    <w:pPr>
      <w:pStyle w:val="Footer"/>
    </w:pPr>
    <w:r>
      <w:t>Nagina Bib</w:t>
    </w:r>
    <w:r w:rsidR="0060320D">
      <w:t>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CDE5C" w14:textId="77777777" w:rsidR="00B758BF" w:rsidRDefault="00B758BF" w:rsidP="00981362">
      <w:pPr>
        <w:spacing w:after="0" w:line="240" w:lineRule="auto"/>
      </w:pPr>
      <w:r>
        <w:separator/>
      </w:r>
    </w:p>
  </w:footnote>
  <w:footnote w:type="continuationSeparator" w:id="0">
    <w:p w14:paraId="7C763580" w14:textId="77777777" w:rsidR="00B758BF" w:rsidRDefault="00B758BF" w:rsidP="009813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F44D70"/>
    <w:multiLevelType w:val="hybridMultilevel"/>
    <w:tmpl w:val="2EA0071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C2A"/>
    <w:rsid w:val="002E3C2A"/>
    <w:rsid w:val="003E5BC3"/>
    <w:rsid w:val="005E1F88"/>
    <w:rsid w:val="0060320D"/>
    <w:rsid w:val="00981362"/>
    <w:rsid w:val="00982E8D"/>
    <w:rsid w:val="00B758BF"/>
    <w:rsid w:val="00B9246B"/>
    <w:rsid w:val="00C81C66"/>
    <w:rsid w:val="00EA18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A4BE8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C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3C2A"/>
    <w:pPr>
      <w:ind w:left="720"/>
      <w:contextualSpacing/>
    </w:pPr>
  </w:style>
  <w:style w:type="paragraph" w:styleId="Bibliography">
    <w:name w:val="Bibliography"/>
    <w:basedOn w:val="Normal"/>
    <w:next w:val="Normal"/>
    <w:uiPriority w:val="37"/>
    <w:unhideWhenUsed/>
    <w:rsid w:val="002E3C2A"/>
  </w:style>
  <w:style w:type="paragraph" w:styleId="Header">
    <w:name w:val="header"/>
    <w:basedOn w:val="Normal"/>
    <w:link w:val="HeaderChar"/>
    <w:uiPriority w:val="99"/>
    <w:unhideWhenUsed/>
    <w:rsid w:val="009813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1362"/>
  </w:style>
  <w:style w:type="paragraph" w:styleId="Footer">
    <w:name w:val="footer"/>
    <w:basedOn w:val="Normal"/>
    <w:link w:val="FooterChar"/>
    <w:uiPriority w:val="99"/>
    <w:unhideWhenUsed/>
    <w:rsid w:val="009813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13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1893</Words>
  <Characters>10795</Characters>
  <Application>Microsoft Office Word</Application>
  <DocSecurity>0</DocSecurity>
  <Lines>89</Lines>
  <Paragraphs>25</Paragraphs>
  <ScaleCrop>false</ScaleCrop>
  <Company/>
  <LinksUpToDate>false</LinksUpToDate>
  <CharactersWithSpaces>12663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2021-05-07T09:06:00Z</dcterms:created>
  <dcterms:modified xsi:type="dcterms:W3CDTF">2021-05-07T09:06:00Z</dcterms:modified>
</cp:coreProperties>
</file>