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pPr>
            <w:rPr>
              <w:rFonts w:hint="default" w:ascii="Arial" w:hAnsi="Arial" w:cs="Arial"/>
              <w:b/>
              <w:bCs/>
              <w:sz w:val="24"/>
              <w:szCs w:val="24"/>
            </w:rPr>
          </w:pPr>
          <w: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1"/>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4"/>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Strategic Marketing</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4"/>
                                        <w:rPr>
                                          <w:rFonts w:hint="default" w:ascii="Arial" w:hAnsi="Arial" w:cs="Arial" w:eastAsiaTheme="minorEastAsia"/>
                                          <w:color w:val="44546A" w:themeColor="text2"/>
                                          <w:sz w:val="24"/>
                                          <w:szCs w:val="24"/>
                                          <w:lang w:val="en-US" w:eastAsia="zh-CN"/>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w:t>
                                      </w:r>
                                      <w:r>
                                        <w:rPr>
                                          <w:rFonts w:hint="eastAsia" w:ascii="Arial" w:hAnsi="Arial" w:cs="Arial"/>
                                          <w:color w:val="44546A" w:themeColor="text2"/>
                                          <w:sz w:val="24"/>
                                          <w:szCs w:val="24"/>
                                          <w:lang w:val="en-US" w:eastAsia="zh-CN"/>
                                          <w14:textFill>
                                            <w14:solidFill>
                                              <w14:schemeClr w14:val="tx2"/>
                                            </w14:solidFill>
                                          </w14:textFill>
                                        </w:rPr>
                                        <w:t>16</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Strategic Marketing</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4"/>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w:t>
                                      </w:r>
                                      <w:r>
                                        <w:rPr>
                                          <w:rFonts w:hint="eastAsia" w:ascii="Arial" w:hAnsi="Arial" w:cs="Arial"/>
                                          <w:color w:val="44546A" w:themeColor="text2"/>
                                          <w:sz w:val="24"/>
                                          <w:szCs w:val="24"/>
                                          <w:lang w:val="en-US" w:eastAsia="zh-CN"/>
                                          <w14:textFill>
                                            <w14:solidFill>
                                              <w14:schemeClr w14:val="tx2"/>
                                            </w14:solidFill>
                                          </w14:textFill>
                                        </w:rPr>
                                        <w:t>655</w:t>
                                      </w:r>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60288;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11"/>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17"/>
                            <w:gridCol w:w="5794"/>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4"/>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Strategic Marketing</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4"/>
                                  <w:rPr>
                                    <w:rFonts w:hint="default" w:ascii="Arial" w:hAnsi="Arial" w:cs="Arial" w:eastAsiaTheme="minorEastAsia"/>
                                    <w:color w:val="44546A" w:themeColor="text2"/>
                                    <w:sz w:val="24"/>
                                    <w:szCs w:val="24"/>
                                    <w:lang w:val="en-US" w:eastAsia="zh-CN"/>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w:t>
                                </w:r>
                                <w:r>
                                  <w:rPr>
                                    <w:rFonts w:hint="eastAsia" w:ascii="Arial" w:hAnsi="Arial" w:cs="Arial"/>
                                    <w:color w:val="44546A" w:themeColor="text2"/>
                                    <w:sz w:val="24"/>
                                    <w:szCs w:val="24"/>
                                    <w:lang w:val="en-US" w:eastAsia="zh-CN"/>
                                    <w14:textFill>
                                      <w14:solidFill>
                                        <w14:schemeClr w14:val="tx2"/>
                                      </w14:solidFill>
                                    </w14:textFill>
                                  </w:rPr>
                                  <w:t>16</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Strategic Marketing</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4"/>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4"/>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w:t>
                                </w:r>
                                <w:r>
                                  <w:rPr>
                                    <w:rFonts w:hint="eastAsia" w:ascii="Arial" w:hAnsi="Arial" w:cs="Arial"/>
                                    <w:color w:val="44546A" w:themeColor="text2"/>
                                    <w:sz w:val="24"/>
                                    <w:szCs w:val="24"/>
                                    <w:lang w:val="en-US" w:eastAsia="zh-CN"/>
                                    <w14:textFill>
                                      <w14:solidFill>
                                        <w14:schemeClr w14:val="tx2"/>
                                      </w14:solidFill>
                                    </w14:textFill>
                                  </w:rPr>
                                  <w:t>655</w:t>
                                </w:r>
                              </w:p>
                            </w:tc>
                          </w:tr>
                        </w:tbl>
                        <w:p/>
                      </w:txbxContent>
                    </v:textbox>
                  </v:shape>
                </w:pict>
              </mc:Fallback>
            </mc:AlternateContent>
          </w:r>
          <w:r>
            <w:br w:type="page"/>
          </w:r>
        </w:p>
      </w:sdtContent>
    </w:sdt>
    <w:p>
      <w:pPr>
        <w:pBdr>
          <w:bottom w:val="single" w:color="auto" w:sz="4" w:space="1"/>
        </w:pBdr>
        <w:rPr>
          <w:rFonts w:hint="default" w:ascii="Arial" w:hAnsi="Arial" w:cs="Arial"/>
          <w:b/>
          <w:bCs/>
          <w:sz w:val="24"/>
          <w:szCs w:val="24"/>
        </w:rPr>
      </w:pPr>
      <w:r>
        <w:rPr>
          <w:rFonts w:hint="default" w:ascii="Arial" w:hAnsi="Arial" w:cs="Arial"/>
          <w:b/>
          <w:bCs/>
          <w:sz w:val="24"/>
          <w:szCs w:val="24"/>
        </w:rPr>
        <w:t>Content Page</w:t>
      </w:r>
    </w:p>
    <w:sdt>
      <w:sdtPr>
        <w:rPr>
          <w:rFonts w:ascii="宋体" w:hAnsi="宋体" w:eastAsia="宋体" w:cstheme="minorBidi"/>
          <w:b/>
          <w:bCs/>
          <w:color w:val="0000FF"/>
          <w:sz w:val="21"/>
          <w:szCs w:val="22"/>
          <w:lang w:val="en-GB" w:eastAsia="zh-CN" w:bidi="ar-SA"/>
        </w:rPr>
        <w:id w:val="147457095"/>
        <w15:color w:val="DBDBDB"/>
        <w:docPartObj>
          <w:docPartGallery w:val="Table of Contents"/>
          <w:docPartUnique/>
        </w:docPartObj>
      </w:sdtPr>
      <w:sdtEndPr>
        <w:rPr>
          <w:rFonts w:hint="default" w:ascii="Arial" w:hAnsi="Arial" w:cs="Arial" w:eastAsiaTheme="minorEastAsia"/>
          <w:b/>
          <w:bCs w:val="0"/>
          <w:color w:val="0000FF"/>
          <w:sz w:val="22"/>
          <w:szCs w:val="24"/>
          <w:lang w:val="en-GB" w:eastAsia="zh-CN" w:bidi="ar-SA"/>
        </w:rPr>
      </w:sdtEndPr>
      <w:sdtContent>
        <w:p>
          <w:pPr>
            <w:spacing w:before="0" w:beforeLines="0" w:after="0" w:afterLines="0" w:line="240" w:lineRule="auto"/>
            <w:ind w:left="0" w:leftChars="0" w:right="0" w:rightChars="0" w:firstLine="0" w:firstLineChars="0"/>
            <w:jc w:val="center"/>
            <w:rPr>
              <w:b/>
              <w:bCs/>
              <w:color w:val="0000FF"/>
            </w:rPr>
          </w:pPr>
        </w:p>
        <w:p>
          <w:pPr>
            <w:pStyle w:val="8"/>
            <w:tabs>
              <w:tab w:val="right" w:leader="dot" w:pos="9026"/>
            </w:tabs>
            <w:rPr>
              <w:b/>
              <w:bCs/>
              <w:color w:val="0000FF"/>
            </w:rPr>
          </w:pPr>
          <w:r>
            <w:rPr>
              <w:rFonts w:hint="default" w:ascii="Arial" w:hAnsi="Arial" w:cs="Arial"/>
              <w:b/>
              <w:bCs w:val="0"/>
              <w:color w:val="0000FF"/>
              <w:sz w:val="24"/>
              <w:szCs w:val="24"/>
            </w:rPr>
            <w:fldChar w:fldCharType="begin"/>
          </w:r>
          <w:r>
            <w:rPr>
              <w:rFonts w:hint="default" w:ascii="Arial" w:hAnsi="Arial" w:cs="Arial"/>
              <w:b/>
              <w:bCs w:val="0"/>
              <w:color w:val="0000FF"/>
              <w:sz w:val="24"/>
              <w:szCs w:val="24"/>
            </w:rPr>
            <w:instrText xml:space="preserve">TOC \o "1-3" \h \u </w:instrText>
          </w:r>
          <w:r>
            <w:rPr>
              <w:rFonts w:hint="default" w:ascii="Arial" w:hAnsi="Arial" w:cs="Arial"/>
              <w:b/>
              <w:bCs w:val="0"/>
              <w:color w:val="0000FF"/>
              <w:sz w:val="24"/>
              <w:szCs w:val="24"/>
            </w:rPr>
            <w:fldChar w:fldCharType="separate"/>
          </w: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_Toc283 </w:instrText>
          </w:r>
          <w:r>
            <w:rPr>
              <w:rFonts w:hint="default" w:ascii="Arial" w:hAnsi="Arial" w:cs="Arial"/>
              <w:b/>
              <w:bCs/>
              <w:color w:val="0000FF"/>
              <w:szCs w:val="24"/>
            </w:rPr>
            <w:fldChar w:fldCharType="separate"/>
          </w:r>
          <w:r>
            <w:rPr>
              <w:rFonts w:hint="default"/>
              <w:b/>
              <w:bCs/>
              <w:color w:val="0000FF"/>
            </w:rPr>
            <w:t>Executive Summary</w:t>
          </w:r>
          <w:r>
            <w:rPr>
              <w:b/>
              <w:bCs/>
              <w:color w:val="0000FF"/>
            </w:rPr>
            <w:tab/>
          </w:r>
          <w:r>
            <w:rPr>
              <w:b/>
              <w:bCs/>
              <w:color w:val="0000FF"/>
            </w:rPr>
            <w:fldChar w:fldCharType="begin"/>
          </w:r>
          <w:r>
            <w:rPr>
              <w:b/>
              <w:bCs/>
              <w:color w:val="0000FF"/>
            </w:rPr>
            <w:instrText xml:space="preserve"> PAGEREF _Toc283 \h </w:instrText>
          </w:r>
          <w:r>
            <w:rPr>
              <w:b/>
              <w:bCs/>
              <w:color w:val="0000FF"/>
            </w:rPr>
            <w:fldChar w:fldCharType="separate"/>
          </w:r>
          <w:r>
            <w:rPr>
              <w:b/>
              <w:bCs/>
              <w:color w:val="0000FF"/>
            </w:rPr>
            <w:t>2</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_Toc20219 </w:instrText>
          </w:r>
          <w:r>
            <w:rPr>
              <w:rFonts w:hint="default" w:ascii="Arial" w:hAnsi="Arial" w:cs="Arial"/>
              <w:b/>
              <w:bCs/>
              <w:color w:val="0000FF"/>
              <w:szCs w:val="24"/>
            </w:rPr>
            <w:fldChar w:fldCharType="separate"/>
          </w:r>
          <w:r>
            <w:rPr>
              <w:rFonts w:hint="default"/>
              <w:b/>
              <w:bCs/>
              <w:color w:val="0000FF"/>
            </w:rPr>
            <w:t>1.0 Introduction</w:t>
          </w:r>
          <w:r>
            <w:rPr>
              <w:b/>
              <w:bCs/>
              <w:color w:val="0000FF"/>
            </w:rPr>
            <w:tab/>
          </w:r>
          <w:r>
            <w:rPr>
              <w:b/>
              <w:bCs/>
              <w:color w:val="0000FF"/>
            </w:rPr>
            <w:fldChar w:fldCharType="begin"/>
          </w:r>
          <w:r>
            <w:rPr>
              <w:b/>
              <w:bCs/>
              <w:color w:val="0000FF"/>
            </w:rPr>
            <w:instrText xml:space="preserve"> PAGEREF _Toc20219 \h </w:instrText>
          </w:r>
          <w:r>
            <w:rPr>
              <w:b/>
              <w:bCs/>
              <w:color w:val="0000FF"/>
            </w:rPr>
            <w:fldChar w:fldCharType="separate"/>
          </w:r>
          <w:r>
            <w:rPr>
              <w:b/>
              <w:bCs/>
              <w:color w:val="0000FF"/>
            </w:rPr>
            <w:t>3</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_Toc21315 </w:instrText>
          </w:r>
          <w:r>
            <w:rPr>
              <w:rFonts w:hint="default" w:ascii="Arial" w:hAnsi="Arial" w:cs="Arial"/>
              <w:b/>
              <w:bCs/>
              <w:color w:val="0000FF"/>
              <w:szCs w:val="24"/>
            </w:rPr>
            <w:fldChar w:fldCharType="separate"/>
          </w:r>
          <w:r>
            <w:rPr>
              <w:rFonts w:hint="default"/>
              <w:b/>
              <w:bCs/>
              <w:color w:val="0000FF"/>
            </w:rPr>
            <w:t>2.0 Situation Analysis</w:t>
          </w:r>
          <w:r>
            <w:rPr>
              <w:b/>
              <w:bCs/>
              <w:color w:val="0000FF"/>
            </w:rPr>
            <w:tab/>
          </w:r>
          <w:r>
            <w:rPr>
              <w:b/>
              <w:bCs/>
              <w:color w:val="0000FF"/>
            </w:rPr>
            <w:fldChar w:fldCharType="begin"/>
          </w:r>
          <w:r>
            <w:rPr>
              <w:b/>
              <w:bCs/>
              <w:color w:val="0000FF"/>
            </w:rPr>
            <w:instrText xml:space="preserve"> PAGEREF _Toc21315 \h </w:instrText>
          </w:r>
          <w:r>
            <w:rPr>
              <w:b/>
              <w:bCs/>
              <w:color w:val="0000FF"/>
            </w:rPr>
            <w:fldChar w:fldCharType="separate"/>
          </w:r>
          <w:r>
            <w:rPr>
              <w:b/>
              <w:bCs/>
              <w:color w:val="0000FF"/>
            </w:rPr>
            <w:t>3</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_Toc18078 </w:instrText>
          </w:r>
          <w:r>
            <w:rPr>
              <w:rFonts w:hint="default" w:ascii="Arial" w:hAnsi="Arial" w:cs="Arial"/>
              <w:b/>
              <w:bCs/>
              <w:color w:val="0000FF"/>
              <w:szCs w:val="24"/>
            </w:rPr>
            <w:fldChar w:fldCharType="separate"/>
          </w:r>
          <w:r>
            <w:rPr>
              <w:rFonts w:hint="default"/>
              <w:b/>
              <w:bCs/>
              <w:color w:val="0000FF"/>
            </w:rPr>
            <w:t>3.0 Objectives</w:t>
          </w:r>
          <w:r>
            <w:rPr>
              <w:b/>
              <w:bCs/>
              <w:color w:val="0000FF"/>
            </w:rPr>
            <w:tab/>
          </w:r>
          <w:r>
            <w:rPr>
              <w:b/>
              <w:bCs/>
              <w:color w:val="0000FF"/>
            </w:rPr>
            <w:fldChar w:fldCharType="begin"/>
          </w:r>
          <w:r>
            <w:rPr>
              <w:b/>
              <w:bCs/>
              <w:color w:val="0000FF"/>
            </w:rPr>
            <w:instrText xml:space="preserve"> PAGEREF _Toc18078 \h </w:instrText>
          </w:r>
          <w:r>
            <w:rPr>
              <w:b/>
              <w:bCs/>
              <w:color w:val="0000FF"/>
            </w:rPr>
            <w:fldChar w:fldCharType="separate"/>
          </w:r>
          <w:r>
            <w:rPr>
              <w:b/>
              <w:bCs/>
              <w:color w:val="0000FF"/>
            </w:rPr>
            <w:t>4</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_Toc20005 </w:instrText>
          </w:r>
          <w:r>
            <w:rPr>
              <w:rFonts w:hint="default" w:ascii="Arial" w:hAnsi="Arial" w:cs="Arial"/>
              <w:b/>
              <w:bCs/>
              <w:color w:val="0000FF"/>
              <w:szCs w:val="24"/>
            </w:rPr>
            <w:fldChar w:fldCharType="separate"/>
          </w:r>
          <w:r>
            <w:rPr>
              <w:rFonts w:hint="default"/>
              <w:b/>
              <w:bCs/>
              <w:color w:val="0000FF"/>
            </w:rPr>
            <w:t>4.0 Strategy</w:t>
          </w:r>
          <w:r>
            <w:rPr>
              <w:b/>
              <w:bCs/>
              <w:color w:val="0000FF"/>
            </w:rPr>
            <w:tab/>
          </w:r>
          <w:r>
            <w:rPr>
              <w:b/>
              <w:bCs/>
              <w:color w:val="0000FF"/>
            </w:rPr>
            <w:fldChar w:fldCharType="begin"/>
          </w:r>
          <w:r>
            <w:rPr>
              <w:b/>
              <w:bCs/>
              <w:color w:val="0000FF"/>
            </w:rPr>
            <w:instrText xml:space="preserve"> PAGEREF _Toc20005 \h </w:instrText>
          </w:r>
          <w:r>
            <w:rPr>
              <w:b/>
              <w:bCs/>
              <w:color w:val="0000FF"/>
            </w:rPr>
            <w:fldChar w:fldCharType="separate"/>
          </w:r>
          <w:r>
            <w:rPr>
              <w:b/>
              <w:bCs/>
              <w:color w:val="0000FF"/>
            </w:rPr>
            <w:t>5</w:t>
          </w:r>
          <w:r>
            <w:rPr>
              <w:b/>
              <w:bCs/>
              <w:color w:val="0000FF"/>
            </w:rPr>
            <w:fldChar w:fldCharType="end"/>
          </w:r>
          <w:r>
            <w:rPr>
              <w:rFonts w:hint="default" w:ascii="Arial" w:hAnsi="Arial" w:cs="Arial"/>
              <w:b/>
              <w:bCs/>
              <w:color w:val="0000FF"/>
              <w:szCs w:val="24"/>
            </w:rPr>
            <w:fldChar w:fldCharType="end"/>
          </w:r>
        </w:p>
        <w:p>
          <w:pPr>
            <w:pStyle w:val="9"/>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_Toc11322 </w:instrText>
          </w:r>
          <w:r>
            <w:rPr>
              <w:rFonts w:hint="default" w:ascii="Arial" w:hAnsi="Arial" w:cs="Arial"/>
              <w:b/>
              <w:bCs/>
              <w:color w:val="0000FF"/>
              <w:szCs w:val="24"/>
            </w:rPr>
            <w:fldChar w:fldCharType="separate"/>
          </w:r>
          <w:r>
            <w:rPr>
              <w:rFonts w:hint="eastAsia"/>
              <w:b/>
              <w:bCs/>
              <w:color w:val="0000FF"/>
              <w:szCs w:val="24"/>
              <w:lang w:val="en-US" w:eastAsia="zh-CN"/>
            </w:rPr>
            <w:t>4.1 Ansoff Growth Matrix</w:t>
          </w:r>
          <w:r>
            <w:rPr>
              <w:b/>
              <w:bCs/>
              <w:color w:val="0000FF"/>
            </w:rPr>
            <w:tab/>
          </w:r>
          <w:r>
            <w:rPr>
              <w:b/>
              <w:bCs/>
              <w:color w:val="0000FF"/>
            </w:rPr>
            <w:fldChar w:fldCharType="begin"/>
          </w:r>
          <w:r>
            <w:rPr>
              <w:b/>
              <w:bCs/>
              <w:color w:val="0000FF"/>
            </w:rPr>
            <w:instrText xml:space="preserve"> PAGEREF _Toc11322 \h </w:instrText>
          </w:r>
          <w:r>
            <w:rPr>
              <w:b/>
              <w:bCs/>
              <w:color w:val="0000FF"/>
            </w:rPr>
            <w:fldChar w:fldCharType="separate"/>
          </w:r>
          <w:r>
            <w:rPr>
              <w:b/>
              <w:bCs/>
              <w:color w:val="0000FF"/>
            </w:rPr>
            <w:t>5</w:t>
          </w:r>
          <w:r>
            <w:rPr>
              <w:b/>
              <w:bCs/>
              <w:color w:val="0000FF"/>
            </w:rPr>
            <w:fldChar w:fldCharType="end"/>
          </w:r>
          <w:r>
            <w:rPr>
              <w:rFonts w:hint="default" w:ascii="Arial" w:hAnsi="Arial" w:cs="Arial"/>
              <w:b/>
              <w:bCs/>
              <w:color w:val="0000FF"/>
              <w:szCs w:val="24"/>
            </w:rPr>
            <w:fldChar w:fldCharType="end"/>
          </w:r>
        </w:p>
        <w:p>
          <w:pPr>
            <w:pStyle w:val="9"/>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_Toc10160 </w:instrText>
          </w:r>
          <w:r>
            <w:rPr>
              <w:rFonts w:hint="default" w:ascii="Arial" w:hAnsi="Arial" w:cs="Arial"/>
              <w:b/>
              <w:bCs/>
              <w:color w:val="0000FF"/>
              <w:szCs w:val="24"/>
            </w:rPr>
            <w:fldChar w:fldCharType="separate"/>
          </w:r>
          <w:r>
            <w:rPr>
              <w:rFonts w:hint="eastAsia"/>
              <w:b/>
              <w:bCs/>
              <w:color w:val="0000FF"/>
              <w:szCs w:val="24"/>
              <w:lang w:val="en-US" w:eastAsia="zh-CN"/>
            </w:rPr>
            <w:t>4.2 Ansoff Growth Matrix</w:t>
          </w:r>
          <w:r>
            <w:rPr>
              <w:b/>
              <w:bCs/>
              <w:color w:val="0000FF"/>
            </w:rPr>
            <w:tab/>
          </w:r>
          <w:r>
            <w:rPr>
              <w:b/>
              <w:bCs/>
              <w:color w:val="0000FF"/>
            </w:rPr>
            <w:fldChar w:fldCharType="begin"/>
          </w:r>
          <w:r>
            <w:rPr>
              <w:b/>
              <w:bCs/>
              <w:color w:val="0000FF"/>
            </w:rPr>
            <w:instrText xml:space="preserve"> PAGEREF _Toc10160 \h </w:instrText>
          </w:r>
          <w:r>
            <w:rPr>
              <w:b/>
              <w:bCs/>
              <w:color w:val="0000FF"/>
            </w:rPr>
            <w:fldChar w:fldCharType="separate"/>
          </w:r>
          <w:r>
            <w:rPr>
              <w:b/>
              <w:bCs/>
              <w:color w:val="0000FF"/>
            </w:rPr>
            <w:t>6</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_Toc22814 </w:instrText>
          </w:r>
          <w:r>
            <w:rPr>
              <w:rFonts w:hint="default" w:ascii="Arial" w:hAnsi="Arial" w:cs="Arial"/>
              <w:b/>
              <w:bCs/>
              <w:color w:val="0000FF"/>
              <w:szCs w:val="24"/>
            </w:rPr>
            <w:fldChar w:fldCharType="separate"/>
          </w:r>
          <w:r>
            <w:rPr>
              <w:rFonts w:hint="default"/>
              <w:b/>
              <w:bCs/>
              <w:color w:val="0000FF"/>
            </w:rPr>
            <w:t>5.0 Tactics</w:t>
          </w:r>
          <w:r>
            <w:rPr>
              <w:b/>
              <w:bCs/>
              <w:color w:val="0000FF"/>
            </w:rPr>
            <w:tab/>
          </w:r>
          <w:r>
            <w:rPr>
              <w:b/>
              <w:bCs/>
              <w:color w:val="0000FF"/>
            </w:rPr>
            <w:fldChar w:fldCharType="begin"/>
          </w:r>
          <w:r>
            <w:rPr>
              <w:b/>
              <w:bCs/>
              <w:color w:val="0000FF"/>
            </w:rPr>
            <w:instrText xml:space="preserve"> PAGEREF _Toc22814 \h </w:instrText>
          </w:r>
          <w:r>
            <w:rPr>
              <w:b/>
              <w:bCs/>
              <w:color w:val="0000FF"/>
            </w:rPr>
            <w:fldChar w:fldCharType="separate"/>
          </w:r>
          <w:r>
            <w:rPr>
              <w:b/>
              <w:bCs/>
              <w:color w:val="0000FF"/>
            </w:rPr>
            <w:t>7</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_Toc27277 </w:instrText>
          </w:r>
          <w:r>
            <w:rPr>
              <w:rFonts w:hint="default" w:ascii="Arial" w:hAnsi="Arial" w:cs="Arial"/>
              <w:b/>
              <w:bCs/>
              <w:color w:val="0000FF"/>
              <w:szCs w:val="24"/>
            </w:rPr>
            <w:fldChar w:fldCharType="separate"/>
          </w:r>
          <w:r>
            <w:rPr>
              <w:rFonts w:hint="default"/>
              <w:b/>
              <w:bCs/>
              <w:color w:val="0000FF"/>
            </w:rPr>
            <w:t>6.0 Operations</w:t>
          </w:r>
          <w:r>
            <w:rPr>
              <w:b/>
              <w:bCs/>
              <w:color w:val="0000FF"/>
            </w:rPr>
            <w:tab/>
          </w:r>
          <w:r>
            <w:rPr>
              <w:b/>
              <w:bCs/>
              <w:color w:val="0000FF"/>
            </w:rPr>
            <w:fldChar w:fldCharType="begin"/>
          </w:r>
          <w:r>
            <w:rPr>
              <w:b/>
              <w:bCs/>
              <w:color w:val="0000FF"/>
            </w:rPr>
            <w:instrText xml:space="preserve"> PAGEREF _Toc27277 \h </w:instrText>
          </w:r>
          <w:r>
            <w:rPr>
              <w:b/>
              <w:bCs/>
              <w:color w:val="0000FF"/>
            </w:rPr>
            <w:fldChar w:fldCharType="separate"/>
          </w:r>
          <w:r>
            <w:rPr>
              <w:b/>
              <w:bCs/>
              <w:color w:val="0000FF"/>
            </w:rPr>
            <w:t>9</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b/>
              <w:bCs/>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_Toc20872 </w:instrText>
          </w:r>
          <w:r>
            <w:rPr>
              <w:rFonts w:hint="default" w:ascii="Arial" w:hAnsi="Arial" w:cs="Arial"/>
              <w:b/>
              <w:bCs/>
              <w:color w:val="0000FF"/>
              <w:szCs w:val="24"/>
            </w:rPr>
            <w:fldChar w:fldCharType="separate"/>
          </w:r>
          <w:r>
            <w:rPr>
              <w:rFonts w:hint="default"/>
              <w:b/>
              <w:bCs/>
              <w:color w:val="0000FF"/>
            </w:rPr>
            <w:t>7.0 Control</w:t>
          </w:r>
          <w:r>
            <w:rPr>
              <w:b/>
              <w:bCs/>
              <w:color w:val="0000FF"/>
            </w:rPr>
            <w:tab/>
          </w:r>
          <w:r>
            <w:rPr>
              <w:b/>
              <w:bCs/>
              <w:color w:val="0000FF"/>
            </w:rPr>
            <w:fldChar w:fldCharType="begin"/>
          </w:r>
          <w:r>
            <w:rPr>
              <w:b/>
              <w:bCs/>
              <w:color w:val="0000FF"/>
            </w:rPr>
            <w:instrText xml:space="preserve"> PAGEREF _Toc20872 \h </w:instrText>
          </w:r>
          <w:r>
            <w:rPr>
              <w:b/>
              <w:bCs/>
              <w:color w:val="0000FF"/>
            </w:rPr>
            <w:fldChar w:fldCharType="separate"/>
          </w:r>
          <w:r>
            <w:rPr>
              <w:b/>
              <w:bCs/>
              <w:color w:val="0000FF"/>
            </w:rPr>
            <w:t>9</w:t>
          </w:r>
          <w:r>
            <w:rPr>
              <w:b/>
              <w:bCs/>
              <w:color w:val="0000FF"/>
            </w:rPr>
            <w:fldChar w:fldCharType="end"/>
          </w:r>
          <w:r>
            <w:rPr>
              <w:rFonts w:hint="default" w:ascii="Arial" w:hAnsi="Arial" w:cs="Arial"/>
              <w:b/>
              <w:bCs/>
              <w:color w:val="0000FF"/>
              <w:szCs w:val="24"/>
            </w:rPr>
            <w:fldChar w:fldCharType="end"/>
          </w:r>
        </w:p>
        <w:p>
          <w:pPr>
            <w:pStyle w:val="8"/>
            <w:tabs>
              <w:tab w:val="right" w:leader="dot" w:pos="9026"/>
            </w:tabs>
            <w:rPr>
              <w:color w:val="0000FF"/>
            </w:rPr>
          </w:pPr>
          <w:r>
            <w:rPr>
              <w:rFonts w:hint="default" w:ascii="Arial" w:hAnsi="Arial" w:cs="Arial"/>
              <w:b/>
              <w:bCs/>
              <w:color w:val="0000FF"/>
              <w:szCs w:val="24"/>
            </w:rPr>
            <w:fldChar w:fldCharType="begin"/>
          </w:r>
          <w:r>
            <w:rPr>
              <w:rFonts w:hint="default" w:ascii="Arial" w:hAnsi="Arial" w:cs="Arial"/>
              <w:b/>
              <w:bCs/>
              <w:color w:val="0000FF"/>
              <w:szCs w:val="24"/>
            </w:rPr>
            <w:instrText xml:space="preserve"> HYPERLINK \l _Toc25969 </w:instrText>
          </w:r>
          <w:r>
            <w:rPr>
              <w:rFonts w:hint="default" w:ascii="Arial" w:hAnsi="Arial" w:cs="Arial"/>
              <w:b/>
              <w:bCs/>
              <w:color w:val="0000FF"/>
              <w:szCs w:val="24"/>
            </w:rPr>
            <w:fldChar w:fldCharType="separate"/>
          </w:r>
          <w:r>
            <w:rPr>
              <w:rFonts w:hint="eastAsia"/>
              <w:b/>
              <w:bCs/>
              <w:color w:val="0000FF"/>
              <w:lang w:val="en-US" w:eastAsia="zh-CN"/>
            </w:rPr>
            <w:t>8.0 References</w:t>
          </w:r>
          <w:r>
            <w:rPr>
              <w:b/>
              <w:bCs/>
              <w:color w:val="0000FF"/>
            </w:rPr>
            <w:tab/>
          </w:r>
          <w:r>
            <w:rPr>
              <w:b/>
              <w:bCs/>
              <w:color w:val="0000FF"/>
            </w:rPr>
            <w:fldChar w:fldCharType="begin"/>
          </w:r>
          <w:r>
            <w:rPr>
              <w:b/>
              <w:bCs/>
              <w:color w:val="0000FF"/>
            </w:rPr>
            <w:instrText xml:space="preserve"> PAGEREF _Toc25969 \h </w:instrText>
          </w:r>
          <w:r>
            <w:rPr>
              <w:b/>
              <w:bCs/>
              <w:color w:val="0000FF"/>
            </w:rPr>
            <w:fldChar w:fldCharType="separate"/>
          </w:r>
          <w:r>
            <w:rPr>
              <w:b/>
              <w:bCs/>
              <w:color w:val="0000FF"/>
            </w:rPr>
            <w:t>10</w:t>
          </w:r>
          <w:r>
            <w:rPr>
              <w:b/>
              <w:bCs/>
              <w:color w:val="0000FF"/>
            </w:rPr>
            <w:fldChar w:fldCharType="end"/>
          </w:r>
          <w:r>
            <w:rPr>
              <w:rFonts w:hint="default" w:ascii="Arial" w:hAnsi="Arial" w:cs="Arial"/>
              <w:b/>
              <w:bCs/>
              <w:color w:val="0000FF"/>
              <w:szCs w:val="24"/>
            </w:rPr>
            <w:fldChar w:fldCharType="end"/>
          </w:r>
        </w:p>
        <w:p>
          <w:pPr>
            <w:rPr>
              <w:rFonts w:hint="default" w:ascii="Arial" w:hAnsi="Arial" w:cs="Arial"/>
              <w:b/>
              <w:bCs w:val="0"/>
              <w:sz w:val="24"/>
              <w:szCs w:val="24"/>
            </w:rPr>
          </w:pPr>
          <w:r>
            <w:rPr>
              <w:rFonts w:hint="default" w:ascii="Arial" w:hAnsi="Arial" w:cs="Arial"/>
              <w:bCs w:val="0"/>
              <w:color w:val="0000FF"/>
              <w:szCs w:val="24"/>
            </w:rPr>
            <w:fldChar w:fldCharType="end"/>
          </w:r>
        </w:p>
      </w:sdtContent>
    </w:sdt>
    <w:p>
      <w:pPr>
        <w:rPr>
          <w:rFonts w:hint="default" w:ascii="Arial" w:hAnsi="Arial" w:cs="Arial"/>
          <w:sz w:val="24"/>
          <w:szCs w:val="24"/>
        </w:rPr>
      </w:pPr>
      <w:bookmarkStart w:id="13" w:name="_GoBack"/>
      <w:bookmarkEnd w:id="13"/>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b/>
          <w:bCs/>
          <w:lang w:val="en-US" w:eastAsia="zh-CN"/>
        </w:rPr>
      </w:pPr>
      <w:bookmarkStart w:id="0" w:name="OLE_LINK2"/>
    </w:p>
    <w:bookmarkEnd w:id="0"/>
    <w:p>
      <w:pPr>
        <w:rPr>
          <w:rFonts w:hint="default" w:ascii="Arial" w:hAnsi="Arial" w:cs="Arial"/>
          <w:sz w:val="24"/>
          <w:szCs w:val="24"/>
        </w:rPr>
      </w:pPr>
    </w:p>
    <w:p>
      <w:pPr>
        <w:rPr>
          <w:rFonts w:hint="default" w:ascii="Arial" w:hAnsi="Arial" w:cs="Arial"/>
          <w:sz w:val="24"/>
          <w:szCs w:val="24"/>
        </w:rPr>
      </w:pPr>
    </w:p>
    <w:p>
      <w:pPr>
        <w:pStyle w:val="2"/>
        <w:bidi w:val="0"/>
        <w:rPr>
          <w:rFonts w:hint="default"/>
          <w:b/>
          <w:bCs/>
        </w:rPr>
      </w:pPr>
      <w:bookmarkStart w:id="1" w:name="_Toc283"/>
      <w:r>
        <w:rPr>
          <w:rFonts w:hint="default"/>
          <w:b/>
          <w:bCs/>
        </w:rPr>
        <w:t>Executive Summary</w:t>
      </w:r>
      <w:bookmarkEnd w:id="1"/>
    </w:p>
    <w:p>
      <w:pPr>
        <w:rPr>
          <w:rFonts w:hint="default" w:ascii="Arial" w:hAnsi="Arial" w:cs="Arial"/>
          <w:sz w:val="24"/>
          <w:szCs w:val="24"/>
        </w:rPr>
      </w:pPr>
      <w:r>
        <w:rPr>
          <w:rFonts w:hint="default" w:ascii="Arial" w:hAnsi="Arial" w:cs="Arial"/>
          <w:sz w:val="24"/>
          <w:szCs w:val="24"/>
        </w:rPr>
        <w:t>This report provides a comprehensive analysis of Tesco's marketing strategy in light of the current global economic challenges and presents a detailed marketing plan for the period from September 2024 to August 2025. By applying the SOSTAC and SMART models, this report will develop a detailed plan for Tesco's future market performance and competitive position.</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b/>
          <w:bCs/>
        </w:rPr>
      </w:pPr>
      <w:bookmarkStart w:id="2" w:name="_Toc20219"/>
      <w:r>
        <w:rPr>
          <w:rFonts w:hint="default"/>
          <w:b/>
          <w:bCs/>
        </w:rPr>
        <w:t>1.0 Introduction</w:t>
      </w:r>
      <w:bookmarkEnd w:id="2"/>
    </w:p>
    <w:p>
      <w:pPr>
        <w:rPr>
          <w:rFonts w:hint="default" w:ascii="Arial" w:hAnsi="Arial" w:cs="Arial"/>
          <w:sz w:val="24"/>
          <w:szCs w:val="24"/>
        </w:rPr>
      </w:pPr>
      <w:r>
        <w:rPr>
          <w:rFonts w:hint="default" w:ascii="Arial" w:hAnsi="Arial" w:cs="Arial"/>
          <w:sz w:val="24"/>
          <w:szCs w:val="24"/>
        </w:rPr>
        <w:t>With the ever-changing global economy and the evolution of consumer demands, Tesco, the leading supermarket chain in the UK, is facing unprecedented challenges and opportunities. The purpose of this report is to identify the company's strategic marketing objectives by critically analysing Tesco's external and internal environments and to develop a corresponding marketing plan to enhance market performance and competitive position. To this end, this report will use the SOSTAC and SMART frameworks to ensure that the marketing objectives are specific, measurable, achievable, relevant and timely. Covering a 12-month period from September 2024 to August 2025</w:t>
      </w:r>
    </w:p>
    <w:p>
      <w:pPr>
        <w:rPr>
          <w:rFonts w:hint="default" w:ascii="Arial" w:hAnsi="Arial" w:cs="Arial"/>
          <w:sz w:val="24"/>
          <w:szCs w:val="24"/>
        </w:rPr>
      </w:pPr>
    </w:p>
    <w:p>
      <w:pPr>
        <w:pStyle w:val="2"/>
        <w:bidi w:val="0"/>
        <w:rPr>
          <w:rFonts w:hint="default"/>
          <w:b/>
          <w:bCs/>
        </w:rPr>
      </w:pPr>
      <w:bookmarkStart w:id="3" w:name="_Toc21315"/>
      <w:r>
        <w:rPr>
          <w:rFonts w:hint="default"/>
          <w:b/>
          <w:bCs/>
        </w:rPr>
        <w:t>2.0 Situation Analysis</w:t>
      </w:r>
      <w:bookmarkEnd w:id="3"/>
    </w:p>
    <w:p>
      <w:pPr>
        <w:rPr>
          <w:rFonts w:hint="default" w:ascii="Arial" w:hAnsi="Arial" w:cs="Arial"/>
          <w:sz w:val="24"/>
          <w:szCs w:val="24"/>
        </w:rPr>
      </w:pPr>
      <w:r>
        <w:rPr>
          <w:rFonts w:hint="default" w:ascii="Arial" w:hAnsi="Arial" w:cs="Arial"/>
          <w:sz w:val="24"/>
          <w:szCs w:val="24"/>
        </w:rPr>
        <w:t>TOWS analysis is a strategic management tool designed to help organisations understand their internal strengths and weaknesses in relation to external opportunities and threats.TOWS analysis is an extension of SWOT analysis and provides deeper strategic insight and guidance by combining internal and external factors of the organisation (MasterClass, 2022). However, TOWS analysis focuses on combining opportunities and threats in the external environment with the organisation's internal strengths and weaknesses in order to determine the appropriate strategic direction for the organisation. This method of analysis helps organisations to make the best use of their strengths while addressing the challenges of the external environment and seizing opportunities (Momin, 2022).The four types of strategies analysed by TOWS include SO strategies (Strengths-Opportunities), ST strategies (Strengths-Threats), WO strategies ( Weaknesses-Opportunities), and WT Strategy (Weaknesses-Threats).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SO strategy (Strengths-Opportunities): use the organisation's internal strengths to seize opportunities in the external environment. This strategy uses the organisation's strengths to maximise the use of external opportunities to drive organisational development and growth. Examples include strengthening online retail platforms and enhancing digital service capabilities to meet the growing demand for online shopping.</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ST strategy (Strengths-Threats): leveraging the organisation's internal strengths to address threats in the external environment. This strategy protects the organisation's core competencies and market position by leveraging the organisation's strengths to mitigate the impact of external threats. Examples include improving supply chain efficiency in response to competitors' price competition and strengthening reputation management and risk control in response to potential regulatory and policy risks.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WO strategy (Weaknesses-Opportunities): overcoming the organisation's internal weaknesses and seizing opportunities in the external environment. This strategy enhances the organisation's competitiveness and growth potential by addressing the organisation's weaknesses and taking advantage of external opportunities. For example, by improving shop positioning and service and enhancing consumer experience to meet competitors' challenges.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WT strategy (Weaknesses-Threats): overcoming the organisation's internal weaknesses and responding to threats in the external environment. This strategy is designed to circumvent organisational weaknesses while effectively addressing external threats, reducing risks and protecting the organisation's interests. Examples include continuously monitoring changes in consumer demand and flexibly adjusting products and services to meet market challenges.</w:t>
      </w:r>
    </w:p>
    <w:p>
      <w:pPr>
        <w:rPr>
          <w:rFonts w:hint="default" w:ascii="Arial" w:hAnsi="Arial" w:cs="Arial"/>
          <w:sz w:val="24"/>
          <w:szCs w:val="24"/>
        </w:rPr>
      </w:pPr>
    </w:p>
    <w:p>
      <w:pPr>
        <w:pStyle w:val="2"/>
        <w:bidi w:val="0"/>
        <w:rPr>
          <w:rFonts w:hint="default"/>
          <w:b/>
          <w:bCs/>
        </w:rPr>
      </w:pPr>
      <w:bookmarkStart w:id="4" w:name="_Toc18078"/>
      <w:r>
        <w:rPr>
          <w:rFonts w:hint="default"/>
          <w:b/>
          <w:bCs/>
        </w:rPr>
        <w:t>3.0 Objectives</w:t>
      </w:r>
      <w:bookmarkEnd w:id="4"/>
    </w:p>
    <w:p>
      <w:pPr>
        <w:rPr>
          <w:rFonts w:hint="default" w:ascii="Arial" w:hAnsi="Arial" w:cs="Arial"/>
          <w:sz w:val="24"/>
          <w:szCs w:val="24"/>
        </w:rPr>
      </w:pPr>
      <w:r>
        <w:rPr>
          <w:rFonts w:hint="default" w:ascii="Arial" w:hAnsi="Arial" w:cs="Arial"/>
          <w:sz w:val="24"/>
          <w:szCs w:val="24"/>
        </w:rPr>
        <w:t>The SMART theory is a methodology for goal setting and management that helps individuals and organisations to achieve goals and succeed by establishing Specific, Measurable, Achievable, Relevant and Time-bound goals (G. T, 1981). Specifically, the SMART theory requires that goals be set to ensure that they are specific and clear, measurable and achievable, related to the overall goal, and set clear time limits (Leonard, 2022). By following the SMART principles, the goals set are more feasible and measurable, which helps to improve efficiency and results (Bhat, 2023). For goal setting increase Tesco's sales in the plant-based food market by increasing it by 20% through the end of 2025.</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Specificity (Specific), objectives must be clear and unambiguous, avoiding vague and ambiguous descriptions. Objectives should clearly specify the results to be achieved, providing clear direction and focus. The objective targets the plant-based food market, which is a well-defined product category.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Measurable, the objective must be quantifiable and measurable so that progress can be tracked and the degree to which the objective is reached can be assessed. Setting measurable targets can help determine how well the goals are being achieved. By comparing sales figures for 2024 and 2025, it is possible to clearly measure whether the 20 per cent growth has been achieved.</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Achievable, goals should be realistic and feasible, set based on the company's resources, capabilities and environmental conditions. Setting overly high or unrealistic targets can lead to frustration and disappointment. Given the increased global demand for healthy and environmentally friendly food and Tesco's capabilities in supply chain management and market penetration, the target is realistic and feasible.</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Relevant, the objective must be relevant and meaningful in alignment with the organisation's mission, vision and strategic objectives. Ensure that the objective is meaningful and contributes to the overall development of the organisation. Enhancing its performance in the plant-based food market will help Tesco to maintain its market leadership position and meet the changing market demands as consumer interest in healthy and sustainable products increases.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timeliness (Time-bound), objectives must set clear time frames and deadlines in order to clarify work plans and schedules. By setting a time-bound it is possible to drive action and progress towards the goal. Setting a specific time-bound (end of 2025) helps the team stay focused and prioritise relevant marketing strategies.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Successful achievement of this objective will benefit Tesco for a number of reasons including:Market trends:The global plant-based market is growing rapidly and is expected to continue to expand over the next few years.Tesco's expansion of its market share in this sector captures the growth opportunities presented by this trend. Consumer Behaviour: Plant-based food products meet the needs of an increasing number of consumers who prefer a healthier, more environmentally friendly lifestyle, and increasing sales of these products will help to attract a new customer base and maintain the loyalty of existing consumers. Competitive advantage: By increasing its market share of plant-based foods, Tesco can stay ahead of the competition, especially as rivals are also aggressively expanding their healthy and environmentally friendly product lines. Sustainability: Increasing sales of plant-based foods will not only help the environment, but is also in line with Tesco's corporate responsibility and long-term strategic objectives regarding sustainability.</w:t>
      </w:r>
    </w:p>
    <w:p>
      <w:pPr>
        <w:pStyle w:val="2"/>
        <w:bidi w:val="0"/>
        <w:rPr>
          <w:rFonts w:hint="default"/>
          <w:b/>
          <w:bCs/>
        </w:rPr>
      </w:pPr>
      <w:bookmarkStart w:id="5" w:name="_Toc20005"/>
      <w:r>
        <w:rPr>
          <w:rFonts w:hint="default"/>
          <w:b/>
          <w:bCs/>
        </w:rPr>
        <w:t>4.0 Strategy</w:t>
      </w:r>
      <w:bookmarkEnd w:id="5"/>
    </w:p>
    <w:p>
      <w:pPr>
        <w:pStyle w:val="3"/>
        <w:bidi w:val="0"/>
        <w:rPr>
          <w:rFonts w:hint="default"/>
          <w:b/>
          <w:bCs w:val="0"/>
          <w:sz w:val="24"/>
          <w:szCs w:val="24"/>
          <w:lang w:val="en-US" w:eastAsia="zh-CN"/>
        </w:rPr>
      </w:pPr>
      <w:bookmarkStart w:id="6" w:name="_Toc11322"/>
      <w:r>
        <w:rPr>
          <w:rFonts w:hint="eastAsia"/>
          <w:b/>
          <w:bCs w:val="0"/>
          <w:sz w:val="24"/>
          <w:szCs w:val="24"/>
          <w:lang w:val="en-US" w:eastAsia="zh-CN"/>
        </w:rPr>
        <w:t>4.1 Ansoff Growth Matrix</w:t>
      </w:r>
      <w:bookmarkEnd w:id="6"/>
    </w:p>
    <w:p>
      <w:pPr>
        <w:rPr>
          <w:rFonts w:hint="default" w:ascii="Arial" w:hAnsi="Arial" w:cs="Arial"/>
          <w:sz w:val="24"/>
          <w:szCs w:val="24"/>
        </w:rPr>
      </w:pPr>
      <w:bookmarkStart w:id="7" w:name="OLE_LINK1"/>
      <w:r>
        <w:rPr>
          <w:rFonts w:hint="default" w:ascii="Arial" w:hAnsi="Arial" w:cs="Arial"/>
          <w:sz w:val="24"/>
          <w:szCs w:val="24"/>
        </w:rPr>
        <w:t>Ansoff Growth Matrix</w:t>
      </w:r>
      <w:bookmarkEnd w:id="7"/>
      <w:r>
        <w:rPr>
          <w:rFonts w:hint="default" w:ascii="Arial" w:hAnsi="Arial" w:cs="Arial"/>
          <w:sz w:val="24"/>
          <w:szCs w:val="24"/>
        </w:rPr>
        <w:t xml:space="preserve"> is a market growth matrix proposed by American scholar Ansoff to help firms determine their growth strategies (Ansoff, H. Igor ,1957). The Ansoff growth matrix consists of four main strategic directions: market penetration, market development, product development and diversification (Peterdy,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Market Penetration: firms increase market share and sales by promoting existing products or services to existing markets.Tesco achieves market penetration in a number of ways such as offering competitive prices, increasing the quality of customer service, holding promotional events and increasing customer loyalty through the Tesco Clubcard. Tesco Clubcard allows Tesco to collect customer shopping data for market research and personalised marketing to drive sales growth more effectively (Admin,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Market Development: a business expands its market reach and develops a new customer base by promoting existing products or services to new markets.Tesco can develop markets by introducing new products or services to existing customers. For example Tesco has adopted this strategy for international expansion by entering markets in a number of countries including Poland, Hungary, Thailand and China. While Tesco's attempts in some countries such as the United States and China were ultimately unsuccessful, it has been relatively successful in other countries such as Thailand and Central European countries, showing that the market development strategy is both fruitful and challenging (Kar et al., 2021).</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Product Development (Product Development): firms increase sales by developing new products or services to meet new needs of existing customers or to provide more choices. esco can improve existing products or services in order to increase competitiveness and meet customer needs. For example Tesco has also invested heavily in technological innovations such as Tesco Direct, an online shopping service, and mobile shopping solutions offered through apps to adapt to the digital age (CC, 2016).</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Diversification (Diversification): firms diversify their business by developing new products or services and entering new markets to reduce risk and dependence (Peterdy, 2023). Diversification strategy involves launching new products into new markets and is the riskiest growth strategy. For example, Tesco has tried a variety of diversification strategies including opening Tesco Bank to provide financial services and moving into a variety of sectors such as home appliances, furniture and telecoms (Tesco, 2024). This strategy has enabled Tesco to transform itself from a single retailer to a diversified service provider, but it has also increased operational complexity and management challenges.</w:t>
      </w:r>
    </w:p>
    <w:p>
      <w:pPr>
        <w:pStyle w:val="3"/>
        <w:bidi w:val="0"/>
        <w:rPr>
          <w:rFonts w:hint="default"/>
          <w:sz w:val="24"/>
          <w:szCs w:val="24"/>
          <w:lang w:val="en-US" w:eastAsia="zh-CN"/>
        </w:rPr>
      </w:pPr>
      <w:bookmarkStart w:id="8" w:name="_Toc10160"/>
      <w:r>
        <w:rPr>
          <w:rFonts w:hint="eastAsia"/>
          <w:sz w:val="24"/>
          <w:szCs w:val="24"/>
          <w:lang w:val="en-US" w:eastAsia="zh-CN"/>
        </w:rPr>
        <w:t>4.2 Ansoff Growth Matrix</w:t>
      </w:r>
      <w:bookmarkEnd w:id="8"/>
    </w:p>
    <w:p>
      <w:pPr>
        <w:rPr>
          <w:rFonts w:hint="default" w:ascii="Arial" w:hAnsi="Arial" w:cs="Arial"/>
          <w:sz w:val="24"/>
          <w:szCs w:val="24"/>
        </w:rPr>
      </w:pPr>
      <w:r>
        <w:rPr>
          <w:rFonts w:hint="default" w:ascii="Arial" w:hAnsi="Arial" w:cs="Arial"/>
          <w:sz w:val="24"/>
          <w:szCs w:val="24"/>
        </w:rPr>
        <w:t>Porter's Competitive Strategy, also known as Porter's Competitive Theory, was developed by the famous management scientist Michael Porter (Porter, Michael E. 1980). Porter believes that companies should gain competitive advantage in competition by choosing different competitive strategies. Porter proposed three basic competitive strategies: cost leadership strategy, differentiation strategy, and focus strategy (De Bruin, 2021).</w:t>
      </w:r>
    </w:p>
    <w:p>
      <w:pPr>
        <w:rPr>
          <w:rFonts w:hint="default" w:ascii="Arial" w:hAnsi="Arial" w:cs="Arial"/>
          <w:sz w:val="24"/>
          <w:szCs w:val="24"/>
        </w:rPr>
      </w:pPr>
      <w:r>
        <w:rPr>
          <w:rFonts w:hint="default" w:ascii="Arial" w:hAnsi="Arial" w:cs="Arial"/>
          <w:sz w:val="24"/>
          <w:szCs w:val="24"/>
        </w:rPr>
        <w:t>For cost leadership strategy: firms improve their production efficiency by reducing production costs, thus offering more competitively priced products or services in the market. The advantage of this strategy is that it can attract price-sensitive consumers and also gain a larger share of the market. For example, Tesco has realised a scale advantage in costs by establishing an efficient supply chain system and using large-scale purchasing. This has enabled Tesco to offer products at relatively low prices, attracting price-sensitive consumers (Titus,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the differentiation strategy: firms attract consumers and build brand loyalty by creating unique products or services that differentiate them from competitors in the market. The advantage of this strategy is that it creates higher value added and higher price elasticity for the firm. For example, Tesco has implemented a differentiation strategy in its retail business, creating unique value for consumers by introducing a diversified product line, providing a personalised shopping experience and launching a membership scheme (Hua &amp; Byfield-Green, 2024).</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focus strategy: firms gain competitive advantage by focusing on specific market segments or product areas to meet the needs of specific groups of consumers. Focused strategies can be in the form of cost leadership or differentiation, but are achieved in a specific area. For example Tesco has achieved the focus strategy in the UK retail market by opening different types of shops (e.g. Tesco Extra, Tesco Express, etc.) to meet the needs of different groups of consumers and provide a more focused and personalised service (TheBigMarketing.com, 2024).</w:t>
      </w:r>
    </w:p>
    <w:p>
      <w:pPr>
        <w:rPr>
          <w:rFonts w:hint="default" w:ascii="Arial" w:hAnsi="Arial" w:cs="Arial"/>
          <w:sz w:val="24"/>
          <w:szCs w:val="24"/>
        </w:rPr>
      </w:pPr>
    </w:p>
    <w:p>
      <w:pPr>
        <w:pStyle w:val="2"/>
        <w:bidi w:val="0"/>
        <w:rPr>
          <w:rFonts w:hint="default"/>
          <w:b/>
          <w:bCs/>
        </w:rPr>
      </w:pPr>
      <w:bookmarkStart w:id="9" w:name="_Toc22814"/>
      <w:r>
        <w:rPr>
          <w:rFonts w:hint="default"/>
          <w:b/>
          <w:bCs/>
        </w:rPr>
        <w:t>5.0 Tactics</w:t>
      </w:r>
      <w:bookmarkEnd w:id="9"/>
    </w:p>
    <w:p>
      <w:pPr>
        <w:rPr>
          <w:rFonts w:hint="default" w:ascii="Arial" w:hAnsi="Arial" w:cs="Arial"/>
          <w:sz w:val="24"/>
          <w:szCs w:val="24"/>
        </w:rPr>
      </w:pPr>
      <w:r>
        <w:rPr>
          <w:rFonts w:hint="default" w:ascii="Arial" w:hAnsi="Arial" w:cs="Arial"/>
          <w:sz w:val="24"/>
          <w:szCs w:val="24"/>
        </w:rPr>
        <w:t>In the field of marketing, the marketing mix is the combination of controls that a firm uses to pursue its marketing objectives. The original marketing mix model consisted of the 4Ps, Product, Price, Promotion, and Place, proposed by E. Jerome McCarthy in the 1960s and later widely disseminated by Philip Kotler and others (McCarthy, 1960). This model was mainly applied to traditional consumer goods markets. With the rise of the service industry and the complexity of the market environment, the 4P model was extended into a 7P model to cover the characteristics of service marketing more comprehensively. These 7Ps include the original four Ps, and three new Ps: People, Process, and Physical Evidence (Booms &amp; Bitner, 1982).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Product: Product is the actual product or service that a firm provides to consumers. In product decision-making, firms need to consider the features, characteristics, quality, packaging and other factors of the product to ensure that the product meets the needs of the target market.Tesco offers a diverse range of product lines, including food, fresh food, daily necessities, electronics and so on. By constantly innovating and improving the quality of its products, Tesco meets the consumers' demand for quality and choice (Chan &amp; Chan, 2024).</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Price (Price): price is the exchange value of money or other resources that consumers pay to get a product or service. In price decision making, firms need to consider factors such as market positioning, competitive landscape, cost structure, etc. to formulate an appropriate price strategy.Tesco implements a competitive pricing strategy by reducing costs through large-scale purchasing and optimising supply chain management in order to offer more competitive prices. In addition, Tesco also attracts consumers through promotions, membership offers, etc. (Kolev et al.,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channel (Place): channel is the distribution path of the product from the producer to the consumer. In channel decision making, firms need to choose appropriate sales channels and distribution strategies to ensure that the products can effectively reach the target market.Tesco has a wide range of sales channels, including physical retail shops, online shopping malls and so on. By diversifying its sales channels, Tesco ensures that its products reach the consumers conveniently (Gavrilescu,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Promotion: Promotion is a means for enterprises to disseminate product information to consumers and promote sales through various marketing activities. In promotional decision-making, companies can choose advertising, promotional activities, public relations and other means to increase product awareness and sales.Tesco actively carries out a variety of promotional activities, such as discounts, giveaways, promotions, etc., in order to attract consumers and increase sales. Meanwhile, Tesco also spreads its brand message through advertising, social media and other channels (TheBigMarketing.com, 2024b).</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people (People): people are the employees of the business and the service personnel who come in contact with the consumers. In the people decision, companies need to train their staff to improve their professionalism and service level to enhance the consumer's buying experience.Tesco focuses on staff training and service level to provide a professional shopping experience. The warm and considerate service of the shop staff can enhance consumers' shopping experience and increase loyalty (BRIDGE, 2020).</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process (Process): process refers to the various links and processes of the enterprise to provide products or services. In process decision making, firms need to optimise production processes and improve service efficiency to ensure the quality and reliability of their products or services.Tesco has optimised the processes of purchasing, inventory management and billing to improve efficiency and service quality. Through automation technology and intelligent systems, Tesco has achieved supply chain optimisation and cost control (foodnavigator.com, 2022).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Entity (Physical Evidence): an entity is the physical environment and physical evidence presented when a firm provides a product or service. In physical decision making, firms need to design a comfortable, neat and branded physical environment to enhance consumers' buying experience and brand recognition.Tesco's physical shops are neat and well laid out to provide a comfortable shopping experience. In addition, Tesco pays attention to details such as product packaging and display to show professionalism and quality (Tesco, 2021).</w:t>
      </w:r>
    </w:p>
    <w:p>
      <w:pPr>
        <w:rPr>
          <w:rFonts w:hint="default" w:ascii="Arial" w:hAnsi="Arial" w:cs="Arial"/>
          <w:sz w:val="24"/>
          <w:szCs w:val="24"/>
        </w:rPr>
      </w:pPr>
    </w:p>
    <w:p>
      <w:pPr>
        <w:pStyle w:val="2"/>
        <w:bidi w:val="0"/>
        <w:rPr>
          <w:rFonts w:hint="default"/>
          <w:b/>
          <w:bCs/>
        </w:rPr>
      </w:pPr>
      <w:bookmarkStart w:id="10" w:name="_Toc27277"/>
      <w:r>
        <w:rPr>
          <w:rFonts w:hint="default"/>
          <w:b/>
          <w:bCs/>
        </w:rPr>
        <w:t>6.0 Operations</w:t>
      </w:r>
      <w:bookmarkEnd w:id="10"/>
    </w:p>
    <w:p>
      <w:pPr>
        <w:rPr>
          <w:rFonts w:hint="default" w:ascii="Arial" w:hAnsi="Arial" w:cs="Arial"/>
          <w:sz w:val="24"/>
          <w:szCs w:val="24"/>
        </w:rPr>
      </w:pPr>
      <w:r>
        <w:rPr>
          <w:rFonts w:hint="default" w:ascii="Arial" w:hAnsi="Arial" w:cs="Arial"/>
          <w:sz w:val="24"/>
          <w:szCs w:val="24"/>
        </w:rPr>
        <w:t>To ensure the smooth execution of a Tesco marketing plan, a Gantt chart can be used to organise tasks and responsibilities. Here are some step-by-step suggestions:Identify the objectives and key tasks of the Tesco marketing plan: firstly, identify the objectives and key tasks of the marketing plan, including market research, developing a marketing strategy, and promotional activities. List all the tasks and the time required: list all the tasks and identify the time and sequence required for each task. Ensure that the dependencies between tasks are clear and unambiguous. Assign responsibilities and resources: identify who is responsible for each task, as well as the resources and budget required. Ensure that team members are aware of their tasks and deadlines. Create a Gantt Chart: Use the Gantt Chart tool to plot all tasks and key milestones onto a timeline. Ensure that the start and finish times for each task are clearly visible.</w:t>
      </w:r>
    </w:p>
    <w:p>
      <w:pPr>
        <w:pStyle w:val="2"/>
        <w:bidi w:val="0"/>
        <w:rPr>
          <w:rFonts w:hint="default"/>
          <w:b/>
          <w:bCs/>
        </w:rPr>
      </w:pPr>
      <w:bookmarkStart w:id="11" w:name="_Toc20872"/>
      <w:r>
        <w:rPr>
          <w:rFonts w:hint="default"/>
          <w:b/>
          <w:bCs/>
        </w:rPr>
        <w:t>7.0 Control</w:t>
      </w:r>
      <w:bookmarkEnd w:id="11"/>
    </w:p>
    <w:p>
      <w:pPr>
        <w:rPr>
          <w:rFonts w:hint="default" w:ascii="Arial" w:hAnsi="Arial" w:cs="Arial"/>
          <w:sz w:val="24"/>
          <w:szCs w:val="24"/>
        </w:rPr>
      </w:pPr>
      <w:r>
        <w:rPr>
          <w:rFonts w:hint="default" w:ascii="Arial" w:hAnsi="Arial" w:cs="Arial"/>
          <w:sz w:val="24"/>
          <w:szCs w:val="24"/>
        </w:rPr>
        <w:t>The monitoring and evaluation mechanism will ensure effective implementation of the marketing plan. Key Performance Indicators (KPIs) include monthly online sales growth rates, customer satisfaction scores and market share changes. These metrics will be reviewed on a quarterly basis to ensure that marketing objectives are met. And an evaluation plan is in place. Regular monitoring and evaluation will help us make timely adjustments to our strategies to ensure steady progress towards our goals.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eastAsia"/>
          <w:b/>
          <w:bCs/>
          <w:lang w:val="en-US" w:eastAsia="zh-CN"/>
        </w:rPr>
      </w:pPr>
      <w:bookmarkStart w:id="12" w:name="_Toc25969"/>
      <w:r>
        <w:rPr>
          <w:rFonts w:hint="eastAsia"/>
          <w:b/>
          <w:bCs/>
          <w:lang w:val="en-US" w:eastAsia="zh-CN"/>
        </w:rPr>
        <w:t>8.0 References</w:t>
      </w:r>
      <w:bookmarkEnd w:id="12"/>
    </w:p>
    <w:p>
      <w:pPr>
        <w:rPr>
          <w:rFonts w:hint="eastAsia"/>
          <w:b/>
          <w:bCs/>
          <w:lang w:val="en-US" w:eastAsia="zh-CN"/>
        </w:rPr>
      </w:pPr>
    </w:p>
    <w:p>
      <w:pPr>
        <w:pStyle w:val="10"/>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 Porter, Michael E. (1980). Competitive Strategy. Free Press. ISBN 0-684-84148-7.</w:t>
      </w:r>
    </w:p>
    <w:p>
      <w:pPr>
        <w:pStyle w:val="10"/>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Peterdy, K., Ansoff Matrix, Corporate Finance Institute, updated 24 November 2022, accessed 12 January 2023</w:t>
      </w:r>
    </w:p>
    <w:p>
      <w:pPr>
        <w:pStyle w:val="10"/>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Peterdy, K., Ansoff Matrix, Corporate Finance Institute, updated 24 November 2022, accessed 12 January 2023</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Admin. (2023, August 25). </w:t>
      </w:r>
      <w:r>
        <w:rPr>
          <w:rFonts w:hint="default" w:ascii="Times New Roman" w:hAnsi="Times New Roman" w:cs="Times New Roman"/>
          <w:i/>
          <w:iCs/>
          <w:sz w:val="24"/>
          <w:szCs w:val="24"/>
        </w:rPr>
        <w:t>How Tesco uses Data-Driven Marketing to increase customer Loyalty</w:t>
      </w:r>
      <w:r>
        <w:rPr>
          <w:rFonts w:hint="default" w:ascii="Times New Roman" w:hAnsi="Times New Roman" w:cs="Times New Roman"/>
          <w:sz w:val="24"/>
          <w:szCs w:val="24"/>
        </w:rPr>
        <w:t xml:space="preserve">. World Brand Affairs.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"https://worldbrandaffairs.com/how-tesco-uses-data-driven-marketing-to-increase-customer-loyalty/#:~:text=By%20analyzing%20Clubcard%20data%2C%20Tesco%20is%20able%20to,to%20better%20meet%20the%20needs%20of%20individual%20customers."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https://worldbrandaffairs.com/how-tesco-uses-data-driven-marketing-to-increase-customer-loyalty/#:~:text=By%20analyzing%20Clubcard%20data%2C%20Tesco%20is%20able%20to,to%20better%20meet%20the%20needs%20of%20individual%20customers.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Barrington, R. (2024, March 6). </w:t>
      </w:r>
      <w:r>
        <w:rPr>
          <w:rFonts w:hint="default" w:ascii="Times New Roman" w:hAnsi="Times New Roman" w:cs="Times New Roman"/>
          <w:i/>
          <w:iCs/>
          <w:sz w:val="24"/>
          <w:szCs w:val="24"/>
        </w:rPr>
        <w:t>The 7Ps of the Marketing mix | Oxford College of Marketing</w:t>
      </w:r>
      <w:r>
        <w:rPr>
          <w:rFonts w:hint="default" w:ascii="Times New Roman" w:hAnsi="Times New Roman" w:cs="Times New Roman"/>
          <w:sz w:val="24"/>
          <w:szCs w:val="24"/>
        </w:rPr>
        <w:t xml:space="preserve">. Oxford College of Marketing Blog.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"https://blog.oxfordcollegeofmarketing.com/2020/10/08/understanding-the-7ps-of-the-marketing-mix/"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https://blog.oxfordcollegeofmarketing.com/2020/10/08/understanding-the-7ps-of-the-marketing-mix/</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Bhat, A. (2023, August 16). </w:t>
      </w:r>
      <w:r>
        <w:rPr>
          <w:rFonts w:hint="default" w:ascii="Times New Roman" w:hAnsi="Times New Roman" w:cs="Times New Roman"/>
          <w:i/>
          <w:iCs/>
          <w:sz w:val="24"/>
          <w:szCs w:val="24"/>
        </w:rPr>
        <w:t>SMART Goals and Objectives: Definition, Characteristics, and examples</w:t>
      </w:r>
      <w:r>
        <w:rPr>
          <w:rFonts w:hint="default" w:ascii="Times New Roman" w:hAnsi="Times New Roman" w:cs="Times New Roman"/>
          <w:sz w:val="24"/>
          <w:szCs w:val="24"/>
        </w:rPr>
        <w:t xml:space="preserve">. QuestionPro.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"https://www.questionpro.com/blog/smart-objectives-and-goals/"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https://www.questionpro.com/blog/smart-objectives-and-goals/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BRIDGE. (2020, February 6). </w:t>
      </w:r>
      <w:r>
        <w:rPr>
          <w:rFonts w:hint="default" w:ascii="Times New Roman" w:hAnsi="Times New Roman" w:cs="Times New Roman"/>
          <w:i/>
          <w:iCs/>
          <w:sz w:val="24"/>
          <w:szCs w:val="24"/>
        </w:rPr>
        <w:t>How Tescos trained thousands to deliver exceptional service</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"https://bridge-partnership.com/case-studies/how-tesco-delivered-exceptional-service/"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https://bridge-partnership.com/case-studies/how-tesco-delivered-exceptional-service/</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CC. (2016, November 16). </w:t>
      </w:r>
      <w:r>
        <w:rPr>
          <w:rFonts w:hint="default" w:ascii="Times New Roman" w:hAnsi="Times New Roman" w:cs="Times New Roman"/>
          <w:i/>
          <w:iCs/>
          <w:sz w:val="24"/>
          <w:szCs w:val="24"/>
        </w:rPr>
        <w:t>Tesco: a Digital Transformation - Technology and Operations Management</w:t>
      </w:r>
      <w:r>
        <w:rPr>
          <w:rFonts w:hint="default" w:ascii="Times New Roman" w:hAnsi="Times New Roman" w:cs="Times New Roman"/>
          <w:sz w:val="24"/>
          <w:szCs w:val="24"/>
        </w:rPr>
        <w:t xml:space="preserve">. Technology and Operations Management.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"https://d3.harvard.edu/platform-rctom/submission/tesco-a-digital-transformation/"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https://d3.harvard.edu/platform-rctom/submission/tesco-a-digital-transformation/</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Chan, W., &amp; Chan, W. (2024, April 24). </w:t>
      </w:r>
      <w:r>
        <w:rPr>
          <w:rFonts w:hint="default" w:ascii="Times New Roman" w:hAnsi="Times New Roman" w:cs="Times New Roman"/>
          <w:i/>
          <w:iCs/>
          <w:sz w:val="24"/>
          <w:szCs w:val="24"/>
        </w:rPr>
        <w:t>The powerful impact of Tesco’s supply chain: A closer look</w:t>
      </w:r>
      <w:r>
        <w:rPr>
          <w:rFonts w:hint="default" w:ascii="Times New Roman" w:hAnsi="Times New Roman" w:cs="Times New Roman"/>
          <w:sz w:val="24"/>
          <w:szCs w:val="24"/>
        </w:rPr>
        <w:t xml:space="preserve">. Permutable.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"https://permutable.ai/the-powerful-impact-of-tescos-supply-chain-a-closer-look/"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https://permutable.ai/the-powerful-impact-of-tescos-supply-chain-a-closer-look/</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De Bruin, L. (2021, May 4). </w:t>
      </w:r>
      <w:r>
        <w:rPr>
          <w:rFonts w:hint="default" w:ascii="Times New Roman" w:hAnsi="Times New Roman" w:cs="Times New Roman"/>
          <w:i/>
          <w:iCs/>
          <w:sz w:val="24"/>
          <w:szCs w:val="24"/>
        </w:rPr>
        <w:t>Porter’s Generic Strategies: Differentiation, Cost Leadership and Focus</w:t>
      </w:r>
      <w:r>
        <w:rPr>
          <w:rFonts w:hint="default" w:ascii="Times New Roman" w:hAnsi="Times New Roman" w:cs="Times New Roman"/>
          <w:sz w:val="24"/>
          <w:szCs w:val="24"/>
        </w:rPr>
        <w:t xml:space="preserve">. B2U - Business-to-you.com.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"https://www.business-to-you.com/porter-generic-strategies-differentiation-cost-leadership-focus/"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https://www.business-to-you.com/porter-generic-strategies-differentiation-cost-leadership-focus/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foodnavigator.com. (2022, May 10). </w:t>
      </w:r>
      <w:r>
        <w:rPr>
          <w:rFonts w:hint="default" w:ascii="Times New Roman" w:hAnsi="Times New Roman" w:cs="Times New Roman"/>
          <w:i/>
          <w:iCs/>
          <w:sz w:val="24"/>
          <w:szCs w:val="24"/>
        </w:rPr>
        <w:t>The Innovation Connections accelerator: Inside Tesco’s plan to fast-track sustainable innovation in its supply chain</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"https://www.foodnavigator.com/Article/2022/05/10/Tesco-s-plan-to-fast-track-sustainable-innovation-in-its-supply-chain"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https://www.foodnavigator.com/Article/2022/05/10/Tesco-s-plan-to-fast-track-sustainable-innovation-in-its-supply-chain</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Gavrilescu, A. (2023, October 16). Tesco business model explained - What makes it successful? - Business Chronicler. </w:t>
      </w:r>
      <w:r>
        <w:rPr>
          <w:rFonts w:hint="default" w:ascii="Times New Roman" w:hAnsi="Times New Roman" w:cs="Times New Roman"/>
          <w:i/>
          <w:iCs/>
          <w:sz w:val="24"/>
          <w:szCs w:val="24"/>
        </w:rPr>
        <w:t>Business Chronicler</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"https://businesschronicler.com/business-strategy/tesco-business-model-explained/#:~:text=Tesco%20operates%20through%20the%20following%20types%20of%20selling,to%20expand%20their%20brand%20and%20differentiate%20their%20strategy."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https://businesschronicler.com/business-strategy/tesco-business-model-explained/#:~:text=Tesco%20operates%20through%20the%20following%20types%20of%20selling,to%20expand%20their%20brand%20and%20differentiate%20their%20strategy.</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Hua, H., &amp; Byfield-Green, L. (2024, April 4). </w:t>
      </w:r>
      <w:r>
        <w:rPr>
          <w:rFonts w:hint="default" w:ascii="Times New Roman" w:hAnsi="Times New Roman" w:cs="Times New Roman"/>
          <w:i/>
          <w:iCs/>
          <w:sz w:val="24"/>
          <w:szCs w:val="24"/>
        </w:rPr>
        <w:t>Strategy spotlight: Five ways Tesco is storming ahead of its big four peers</w:t>
      </w:r>
      <w:r>
        <w:rPr>
          <w:rFonts w:hint="default" w:ascii="Times New Roman" w:hAnsi="Times New Roman" w:cs="Times New Roman"/>
          <w:sz w:val="24"/>
          <w:szCs w:val="24"/>
        </w:rPr>
        <w:t xml:space="preserve">. Retail Week.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"https://www.retail-week.com/grocery/strategy-spotlight-five-ways-tesco-is-storming-ahead-of-its-big-four-peers/7044314.article"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https://www.retail-week.com/grocery/strategy-spotlight-five-ways-tesco-is-storming-ahead-of-its-big-four-peers/7044314.article</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Kar, S. K., Bansal, R., &amp; Mishra, S. K. (2021). Tesco: Entry and expansion strategy in India. </w:t>
      </w:r>
      <w:r>
        <w:rPr>
          <w:rFonts w:hint="default" w:ascii="Times New Roman" w:hAnsi="Times New Roman" w:cs="Times New Roman"/>
          <w:i/>
          <w:iCs/>
          <w:sz w:val="24"/>
          <w:szCs w:val="24"/>
        </w:rPr>
        <w:t>Emerging Economies Cases Journal</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3</w:t>
      </w:r>
      <w:r>
        <w:rPr>
          <w:rFonts w:hint="default" w:ascii="Times New Roman" w:hAnsi="Times New Roman" w:cs="Times New Roman"/>
          <w:sz w:val="24"/>
          <w:szCs w:val="24"/>
        </w:rPr>
        <w:t xml:space="preserve">(2), 65–76.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"https://doi.org/10.1177/25166042211038465"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https://doi.org/10.1177/25166042211038465</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Kolev, A., Hart, R., &amp; Arafailova, E. (2023). Tesco: Reduced to clear. </w:t>
      </w:r>
      <w:r>
        <w:rPr>
          <w:rFonts w:hint="default" w:ascii="Times New Roman" w:hAnsi="Times New Roman" w:cs="Times New Roman"/>
          <w:i/>
          <w:iCs/>
          <w:sz w:val="24"/>
          <w:szCs w:val="24"/>
        </w:rPr>
        <w:t>Impact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2023</w:t>
      </w:r>
      <w:r>
        <w:rPr>
          <w:rFonts w:hint="default" w:ascii="Times New Roman" w:hAnsi="Times New Roman" w:cs="Times New Roman"/>
          <w:sz w:val="24"/>
          <w:szCs w:val="24"/>
        </w:rPr>
        <w:t xml:space="preserve">(1), 7–10.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"https://doi.org/10.1080/2058802x.2023.2202575"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https://doi.org/10.1080/2058802x.2023.2202575</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Leonard, K. (2022a, May 4). The ultimate guide to S.M.A.R.T. goals. </w:t>
      </w:r>
      <w:r>
        <w:rPr>
          <w:rFonts w:hint="default" w:ascii="Times New Roman" w:hAnsi="Times New Roman" w:cs="Times New Roman"/>
          <w:i/>
          <w:iCs/>
          <w:sz w:val="24"/>
          <w:szCs w:val="24"/>
        </w:rPr>
        <w:t>Forbes Advisor</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"https://www.forbes.com/advisor/business/smart-goals/"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https://www.forbes.com/advisor/business/smart-goals/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Leonard, K. (2022b, May 4). The ultimate guide to S.M.A.R.T. goals. </w:t>
      </w:r>
      <w:r>
        <w:rPr>
          <w:rFonts w:hint="default" w:ascii="Times New Roman" w:hAnsi="Times New Roman" w:cs="Times New Roman"/>
          <w:i/>
          <w:iCs/>
          <w:sz w:val="24"/>
          <w:szCs w:val="24"/>
        </w:rPr>
        <w:t>Forbes Advisor</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"https://www.forbes.com/advisor/business/smart-goals/"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https://www.forbes.com/advisor/business/smart-goals/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MasterClass. (2022, June 8). </w:t>
      </w:r>
      <w:r>
        <w:rPr>
          <w:rFonts w:hint="default" w:ascii="Times New Roman" w:hAnsi="Times New Roman" w:cs="Times New Roman"/>
          <w:i/>
          <w:iCs/>
          <w:sz w:val="24"/>
          <w:szCs w:val="24"/>
        </w:rPr>
        <w:t>TOWS Analysis: Using a TOWS Matrix for Strategic Planning - 2024 - MasterClass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"https://www.masterclass.com/articles/tows-analysis"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https://www.masterclass.com/articles/tows-analysis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Momin, A. (2022, January 31). TOWS Analysis: The Framework and How it Works in 4 Steps. </w:t>
      </w:r>
      <w:r>
        <w:rPr>
          <w:rFonts w:hint="default" w:ascii="Times New Roman" w:hAnsi="Times New Roman" w:cs="Times New Roman"/>
          <w:i/>
          <w:iCs/>
          <w:sz w:val="24"/>
          <w:szCs w:val="24"/>
        </w:rPr>
        <w:t>PESTLE Analysis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"https://pestleanalysis.com/tows-analysis/"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https://pestleanalysis.com/tows-analysis/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Peterdy, K. (2023, October 26). </w:t>
      </w:r>
      <w:r>
        <w:rPr>
          <w:rFonts w:hint="default" w:ascii="Times New Roman" w:hAnsi="Times New Roman" w:cs="Times New Roman"/>
          <w:i/>
          <w:iCs/>
          <w:sz w:val="24"/>
          <w:szCs w:val="24"/>
        </w:rPr>
        <w:t>Ansoff Matrix</w:t>
      </w:r>
      <w:r>
        <w:rPr>
          <w:rFonts w:hint="default" w:ascii="Times New Roman" w:hAnsi="Times New Roman" w:cs="Times New Roman"/>
          <w:sz w:val="24"/>
          <w:szCs w:val="24"/>
        </w:rPr>
        <w:t>. Corporate Finance Institute. https://corporatefinanceinstitute.com/resources/management/ansoff-matrix/</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Tesco. (2021, May 20). </w:t>
      </w:r>
      <w:r>
        <w:rPr>
          <w:rFonts w:hint="default" w:ascii="Times New Roman" w:hAnsi="Times New Roman" w:cs="Times New Roman"/>
          <w:i/>
          <w:iCs/>
          <w:sz w:val="24"/>
          <w:szCs w:val="24"/>
        </w:rPr>
        <w:t>Improving energy efficiency in our stores and distribution</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"https://www.tescoplc.com/sustainability/documents/policies/improving-energy-efficiency-in-our-stores-and-distribution/"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https://www.tescoplc.com/sustainability/documents/policies/improving-energy-efficiency-in-our-stores-and-distribution/</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Tesco. (2024, May 9). </w:t>
      </w:r>
      <w:r>
        <w:rPr>
          <w:rFonts w:hint="default" w:ascii="Times New Roman" w:hAnsi="Times New Roman" w:cs="Times New Roman"/>
          <w:i/>
          <w:iCs/>
          <w:sz w:val="24"/>
          <w:szCs w:val="24"/>
        </w:rPr>
        <w:t>Tesco agrees long-term strategic partnership with Barclays to provide customers with Tesco-branded banking products and services. Existing Tesco banking operations to be sold to Barclays with majority of cash to be returned to shareholders.  https://tescoplc.com/tesco-agrees-long-term-strategic-partnership-with-barclays/ Tesco agrees long-term strategic partnership with Barclays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"https://www.tescoplc.com/tesco-agrees-long-term-strategic-partnership-with-barclays/"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https://www.tescoplc.com/tesco-agrees-long-term-strategic-partnership-with-barclays/</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TheBigMarketing.com. (2024a, April 29). Tesco Marketing Strategy 2024: A case Study - TheBigMarketing.com. </w:t>
      </w:r>
      <w:r>
        <w:rPr>
          <w:rFonts w:hint="default" w:ascii="Times New Roman" w:hAnsi="Times New Roman" w:cs="Times New Roman"/>
          <w:i/>
          <w:iCs/>
          <w:sz w:val="24"/>
          <w:szCs w:val="24"/>
        </w:rPr>
        <w:t>TheBigMarketing.com - Marketing Insights to Keep You Ahead of the Curve</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"https://thebigmarketing.com/tesco-marketing-strategy/?utm_content=cmp-true"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https://thebigmarketing.com/tesco-marketing-strategy/?utm_content=cmp-true</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TheBigMarketing.com. (2024b, April 29). Tesco Marketing Strategy 2024: A case Study - TheBigMarketing.com. </w:t>
      </w:r>
      <w:r>
        <w:rPr>
          <w:rFonts w:hint="default" w:ascii="Times New Roman" w:hAnsi="Times New Roman" w:cs="Times New Roman"/>
          <w:i/>
          <w:iCs/>
          <w:sz w:val="24"/>
          <w:szCs w:val="24"/>
        </w:rPr>
        <w:t>TheBigMarketing.com - Marketing Insights to Keep You Ahead of the Curve</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"https://thebigmarketing.com/tesco-marketing-strategy/"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https://thebigmarketing.com/tesco-marketing-strategy/</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pStyle w:val="10"/>
        <w:keepNext w:val="0"/>
        <w:keepLines w:val="0"/>
        <w:widowControl/>
        <w:suppressLineNumbers w:val="0"/>
        <w:spacing w:before="0" w:beforeAutospacing="0" w:after="0" w:afterAutospacing="0" w:line="480" w:lineRule="auto"/>
        <w:ind w:left="0" w:hanging="720"/>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Titus, B. P. (2023, November 2). </w:t>
      </w:r>
      <w:r>
        <w:rPr>
          <w:rFonts w:hint="default" w:ascii="Times New Roman" w:hAnsi="Times New Roman" w:cs="Times New Roman"/>
          <w:i/>
          <w:iCs/>
          <w:sz w:val="24"/>
          <w:szCs w:val="24"/>
        </w:rPr>
        <w:t>Tesco Competitive Advantages and Strategy - Financial Falconet</w:t>
      </w:r>
      <w:r>
        <w:rPr>
          <w:rFonts w:hint="default" w:ascii="Times New Roman" w:hAnsi="Times New Roman" w:cs="Times New Roman"/>
          <w:sz w:val="24"/>
          <w:szCs w:val="24"/>
        </w:rPr>
        <w:t xml:space="preserve">. Financial Falconet.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"https://www.financialfalconet.com/tesco-competitive-advantages-strategies/?utm_content=cmp-true"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https://www.financialfalconet.com/tesco-competitive-advantages-strategies/?utm_content=cmp-true</w:t>
      </w:r>
      <w:r>
        <w:rPr>
          <w:rFonts w:hint="default" w:ascii="Times New Roman" w:hAnsi="Times New Roman" w:cs="Times New Roman"/>
          <w:sz w:val="24"/>
          <w:szCs w:val="24"/>
        </w:rPr>
        <w:fldChar w:fldCharType="end"/>
      </w:r>
      <w:r>
        <w:rPr>
          <w:rFonts w:hint="eastAsia" w:ascii="Times New Roman" w:hAnsi="Times New Roman" w:cs="Times New Roman"/>
          <w:sz w:val="24"/>
          <w:szCs w:val="24"/>
          <w:lang w:val="en-US" w:eastAsia="zh-CN"/>
        </w:rPr>
        <w:t xml:space="preserve"> </w:t>
      </w:r>
    </w:p>
    <w:p>
      <w:pPr>
        <w:rPr>
          <w:rFonts w:hint="default"/>
          <w:b w:val="0"/>
          <w:bCs w:val="0"/>
          <w:lang w:val="en-US" w:eastAsia="zh-CN"/>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571F12"/>
    <w:rsid w:val="00102068"/>
    <w:rsid w:val="001652C1"/>
    <w:rsid w:val="00390E8A"/>
    <w:rsid w:val="00571F12"/>
    <w:rsid w:val="007C4355"/>
    <w:rsid w:val="00905F82"/>
    <w:rsid w:val="00A85BB5"/>
    <w:rsid w:val="00D86589"/>
    <w:rsid w:val="00F81595"/>
    <w:rsid w:val="0D130634"/>
    <w:rsid w:val="1ECC014C"/>
    <w:rsid w:val="260D5FFF"/>
    <w:rsid w:val="5ED152D0"/>
    <w:rsid w:val="622625BD"/>
    <w:rsid w:val="670D5158"/>
    <w:rsid w:val="6BF22D14"/>
    <w:rsid w:val="7CE41A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7"/>
    <w:autoRedefine/>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autoRedefine/>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autoRedefine/>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12">
    <w:name w:val="Default Paragraph Font"/>
    <w:autoRedefine/>
    <w:semiHidden/>
    <w:unhideWhenUsed/>
    <w:qFormat/>
    <w:uiPriority w:val="1"/>
  </w:style>
  <w:style w:type="table" w:default="1" w:styleId="11">
    <w:name w:val="Normal Table"/>
    <w:autoRedefine/>
    <w:semiHidden/>
    <w:unhideWhenUsed/>
    <w:qFormat/>
    <w:uiPriority w:val="99"/>
    <w:tblPr>
      <w:tblCellMar>
        <w:top w:w="0" w:type="dxa"/>
        <w:left w:w="108" w:type="dxa"/>
        <w:bottom w:w="0" w:type="dxa"/>
        <w:right w:w="108" w:type="dxa"/>
      </w:tblCellMar>
    </w:tblPr>
  </w:style>
  <w:style w:type="paragraph" w:styleId="5">
    <w:name w:val="toc 3"/>
    <w:basedOn w:val="1"/>
    <w:next w:val="1"/>
    <w:autoRedefine/>
    <w:semiHidden/>
    <w:unhideWhenUsed/>
    <w:qFormat/>
    <w:uiPriority w:val="39"/>
    <w:pPr>
      <w:ind w:left="840" w:leftChars="400"/>
    </w:pPr>
  </w:style>
  <w:style w:type="paragraph" w:styleId="6">
    <w:name w:val="footer"/>
    <w:basedOn w:val="1"/>
    <w:autoRedefine/>
    <w:semiHidden/>
    <w:unhideWhenUsed/>
    <w:qFormat/>
    <w:uiPriority w:val="99"/>
    <w:pPr>
      <w:tabs>
        <w:tab w:val="center" w:pos="4153"/>
        <w:tab w:val="right" w:pos="8306"/>
      </w:tabs>
      <w:snapToGrid w:val="0"/>
      <w:jc w:val="left"/>
    </w:pPr>
    <w:rPr>
      <w:sz w:val="18"/>
    </w:rPr>
  </w:style>
  <w:style w:type="paragraph" w:styleId="7">
    <w:name w:val="header"/>
    <w:basedOn w:val="1"/>
    <w:autoRedefine/>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autoRedefine/>
    <w:semiHidden/>
    <w:unhideWhenUsed/>
    <w:qFormat/>
    <w:uiPriority w:val="39"/>
  </w:style>
  <w:style w:type="paragraph" w:styleId="9">
    <w:name w:val="toc 2"/>
    <w:basedOn w:val="1"/>
    <w:next w:val="1"/>
    <w:autoRedefine/>
    <w:semiHidden/>
    <w:unhideWhenUsed/>
    <w:qFormat/>
    <w:uiPriority w:val="39"/>
    <w:pPr>
      <w:ind w:left="420" w:leftChars="200"/>
    </w:pPr>
  </w:style>
  <w:style w:type="paragraph" w:styleId="10">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13">
    <w:name w:val="Hyperlink"/>
    <w:basedOn w:val="12"/>
    <w:autoRedefine/>
    <w:qFormat/>
    <w:uiPriority w:val="0"/>
    <w:rPr>
      <w:color w:val="0000FF"/>
      <w:u w:val="single"/>
    </w:rPr>
  </w:style>
  <w:style w:type="paragraph" w:styleId="14">
    <w:name w:val="No Spacing"/>
    <w:link w:val="15"/>
    <w:autoRedefine/>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12"/>
    <w:link w:val="14"/>
    <w:autoRedefine/>
    <w:qFormat/>
    <w:uiPriority w:val="1"/>
    <w:rPr>
      <w:lang w:val="en-US" w:eastAsia="en-US"/>
    </w:rPr>
  </w:style>
  <w:style w:type="paragraph" w:styleId="16">
    <w:name w:val="List Paragraph"/>
    <w:basedOn w:val="1"/>
    <w:autoRedefine/>
    <w:qFormat/>
    <w:uiPriority w:val="34"/>
    <w:pPr>
      <w:ind w:left="720"/>
      <w:contextualSpacing/>
    </w:pPr>
  </w:style>
  <w:style w:type="character" w:customStyle="1" w:styleId="17">
    <w:name w:val="Heading 1 Char"/>
    <w:basedOn w:val="12"/>
    <w:link w:val="2"/>
    <w:autoRedefine/>
    <w:qFormat/>
    <w:uiPriority w:val="9"/>
    <w:rPr>
      <w:rFonts w:asciiTheme="majorHAnsi" w:hAnsiTheme="majorHAnsi" w:eastAsiaTheme="majorEastAsia" w:cstheme="majorBidi"/>
      <w:color w:val="2F5597" w:themeColor="accent1" w:themeShade="BF"/>
      <w:sz w:val="32"/>
      <w:szCs w:val="32"/>
    </w:rPr>
  </w:style>
  <w:style w:type="paragraph" w:customStyle="1" w:styleId="18">
    <w:name w:val="TOC Heading"/>
    <w:basedOn w:val="2"/>
    <w:next w:val="1"/>
    <w:autoRedefine/>
    <w:unhideWhenUsed/>
    <w:qFormat/>
    <w:uiPriority w:val="39"/>
    <w:pPr>
      <w:outlineLvl w:val="9"/>
    </w:pPr>
    <w:rPr>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14</Pages>
  <Words>206</Words>
  <Characters>1175</Characters>
  <Lines>9</Lines>
  <Paragraphs>2</Paragraphs>
  <TotalTime>8</TotalTime>
  <ScaleCrop>false</ScaleCrop>
  <LinksUpToDate>false</LinksUpToDate>
  <CharactersWithSpaces>1379</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2023-10-23T22:25:00Z</dcterms:created>
  <dc:creator>Gwyneth Jones</dc:creator>
  <cp:lastModifiedBy>WPS_1340919765</cp:lastModifiedBy>
  <dcterms:modified xsi:type="dcterms:W3CDTF">2024-05-10T13:42:05Z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A1F8A2CFD91B4868BC3D03637F4F4CD5_13</vt:lpwstr>
  </property>
</Properties>
</file>