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7A72A1" w:rsidR="00A62684" w:rsidP="000C6562" w:rsidRDefault="00A62684" w14:paraId="0C5D0FE1" w14:textId="07788AA4">
      <w:pPr>
        <w:spacing w:before="0" w:after="0"/>
        <w:jc w:val="center"/>
      </w:pPr>
    </w:p>
    <w:p w:rsidRPr="007A72A1" w:rsidR="00A62684" w:rsidP="000C6562" w:rsidRDefault="00A62684" w14:paraId="78E6766D" w14:textId="77777777">
      <w:pPr>
        <w:spacing w:before="0" w:after="0"/>
        <w:jc w:val="center"/>
      </w:pPr>
    </w:p>
    <w:p w:rsidRPr="007A72A1" w:rsidR="00A62684" w:rsidP="000C6562" w:rsidRDefault="00A62684" w14:paraId="6965A988" w14:textId="77777777">
      <w:pPr>
        <w:spacing w:before="0" w:after="0"/>
        <w:jc w:val="center"/>
      </w:pPr>
    </w:p>
    <w:p w:rsidR="000C6562" w:rsidP="000C6562" w:rsidRDefault="000C6562" w14:paraId="450A821E" w14:textId="77777777">
      <w:pPr>
        <w:spacing w:before="0" w:after="0" w:line="360" w:lineRule="auto"/>
        <w:jc w:val="center"/>
        <w:rPr>
          <w:b/>
          <w:bCs/>
          <w:sz w:val="36"/>
          <w:szCs w:val="36"/>
        </w:rPr>
      </w:pPr>
    </w:p>
    <w:p w:rsidR="000C6562" w:rsidP="000C6562" w:rsidRDefault="000C6562" w14:paraId="76F722E4" w14:textId="77777777">
      <w:pPr>
        <w:spacing w:before="0" w:after="0" w:line="360" w:lineRule="auto"/>
        <w:jc w:val="center"/>
        <w:rPr>
          <w:b/>
          <w:bCs/>
          <w:sz w:val="36"/>
          <w:szCs w:val="36"/>
        </w:rPr>
      </w:pPr>
    </w:p>
    <w:p w:rsidR="000C6562" w:rsidP="000C6562" w:rsidRDefault="000C6562" w14:paraId="361AF134" w14:textId="77777777">
      <w:pPr>
        <w:spacing w:before="0" w:after="0" w:line="360" w:lineRule="auto"/>
        <w:jc w:val="center"/>
        <w:rPr>
          <w:b/>
          <w:bCs/>
          <w:sz w:val="36"/>
          <w:szCs w:val="36"/>
        </w:rPr>
      </w:pPr>
    </w:p>
    <w:p w:rsidR="000C6562" w:rsidP="000C6562" w:rsidRDefault="000C6562" w14:paraId="2DBBF6A4" w14:textId="77777777">
      <w:pPr>
        <w:spacing w:before="0" w:after="0" w:line="360" w:lineRule="auto"/>
        <w:jc w:val="center"/>
        <w:rPr>
          <w:b/>
          <w:bCs/>
          <w:sz w:val="36"/>
          <w:szCs w:val="36"/>
        </w:rPr>
      </w:pPr>
    </w:p>
    <w:p w:rsidR="000C6562" w:rsidP="000C6562" w:rsidRDefault="000C6562" w14:paraId="3880CE4F" w14:textId="77777777">
      <w:pPr>
        <w:spacing w:before="0" w:after="0" w:line="360" w:lineRule="auto"/>
        <w:jc w:val="center"/>
        <w:rPr>
          <w:b/>
          <w:bCs/>
          <w:sz w:val="36"/>
          <w:szCs w:val="36"/>
        </w:rPr>
      </w:pPr>
    </w:p>
    <w:p w:rsidRPr="007A72A1" w:rsidR="00A62684" w:rsidP="000C6562" w:rsidRDefault="00A62684" w14:paraId="5562C3B6" w14:textId="1EF1ACD9">
      <w:pPr>
        <w:spacing w:before="0" w:after="0" w:line="360" w:lineRule="auto"/>
        <w:jc w:val="center"/>
        <w:rPr>
          <w:b/>
          <w:bCs/>
          <w:sz w:val="36"/>
          <w:szCs w:val="36"/>
        </w:rPr>
      </w:pPr>
      <w:r w:rsidRPr="007A72A1">
        <w:rPr>
          <w:b/>
          <w:bCs/>
          <w:sz w:val="36"/>
          <w:szCs w:val="36"/>
        </w:rPr>
        <w:t>Module: International Business Communications</w:t>
      </w:r>
    </w:p>
    <w:p w:rsidRPr="007A72A1" w:rsidR="00A62684" w:rsidP="000C6562" w:rsidRDefault="00A62684" w14:paraId="229BE22C" w14:textId="7DBF2147">
      <w:pPr>
        <w:spacing w:before="0" w:after="0" w:line="360" w:lineRule="auto"/>
        <w:jc w:val="center"/>
        <w:rPr>
          <w:b/>
          <w:bCs/>
          <w:sz w:val="36"/>
          <w:szCs w:val="36"/>
        </w:rPr>
      </w:pPr>
      <w:r w:rsidRPr="007A72A1">
        <w:rPr>
          <w:b/>
          <w:bCs/>
          <w:sz w:val="36"/>
          <w:szCs w:val="36"/>
        </w:rPr>
        <w:t>Module code: LCBB6023</w:t>
      </w:r>
    </w:p>
    <w:p w:rsidRPr="007A72A1" w:rsidR="00A62684" w:rsidP="000C6562" w:rsidRDefault="00A62684" w14:paraId="670DAEFA" w14:textId="6ADF18A6">
      <w:pPr>
        <w:spacing w:before="0" w:after="0" w:line="360" w:lineRule="auto"/>
        <w:jc w:val="center"/>
        <w:rPr>
          <w:b w:val="1"/>
          <w:bCs w:val="1"/>
          <w:sz w:val="36"/>
          <w:szCs w:val="36"/>
        </w:rPr>
      </w:pPr>
      <w:r w:rsidRPr="33C42844" w:rsidR="00A62684">
        <w:rPr>
          <w:b w:val="1"/>
          <w:bCs w:val="1"/>
          <w:sz w:val="36"/>
          <w:szCs w:val="36"/>
        </w:rPr>
        <w:t>Student Name:</w:t>
      </w:r>
      <w:r w:rsidRPr="33C42844" w:rsidR="6BD256A2">
        <w:rPr>
          <w:b w:val="1"/>
          <w:bCs w:val="1"/>
          <w:sz w:val="36"/>
          <w:szCs w:val="36"/>
        </w:rPr>
        <w:t xml:space="preserve"> Miss Kiren Nisar</w:t>
      </w:r>
    </w:p>
    <w:p w:rsidRPr="007A72A1" w:rsidR="00A62684" w:rsidP="000C6562" w:rsidRDefault="00A62684" w14:paraId="603B0954" w14:textId="20ABCC74">
      <w:pPr>
        <w:spacing w:before="0" w:after="0" w:line="360" w:lineRule="auto"/>
        <w:jc w:val="center"/>
        <w:rPr>
          <w:b w:val="1"/>
          <w:bCs w:val="1"/>
          <w:sz w:val="36"/>
          <w:szCs w:val="36"/>
        </w:rPr>
      </w:pPr>
      <w:r w:rsidRPr="33C42844" w:rsidR="00A62684">
        <w:rPr>
          <w:b w:val="1"/>
          <w:bCs w:val="1"/>
          <w:sz w:val="36"/>
          <w:szCs w:val="36"/>
        </w:rPr>
        <w:t>Student ID:</w:t>
      </w:r>
      <w:r w:rsidRPr="33C42844" w:rsidR="6C768224">
        <w:rPr>
          <w:b w:val="1"/>
          <w:bCs w:val="1"/>
          <w:sz w:val="36"/>
          <w:szCs w:val="36"/>
        </w:rPr>
        <w:t xml:space="preserve"> 2220781</w:t>
      </w:r>
    </w:p>
    <w:p w:rsidRPr="007A72A1" w:rsidR="00A62684" w:rsidP="000C6562" w:rsidRDefault="00A62684" w14:paraId="307B1AC7" w14:textId="77777777">
      <w:pPr>
        <w:spacing w:before="0" w:after="0"/>
        <w:jc w:val="center"/>
      </w:pPr>
      <w:r w:rsidRPr="007A72A1">
        <w:br w:type="page"/>
      </w:r>
    </w:p>
    <w:p w:rsidRPr="001D2C39" w:rsidR="001D2C39" w:rsidP="000C6562" w:rsidRDefault="001D2C39" w14:paraId="7ABD01D4" w14:textId="1F968E49">
      <w:pPr>
        <w:pStyle w:val="Heading1"/>
        <w:spacing w:before="0" w:after="0"/>
      </w:pPr>
      <w:bookmarkStart w:name="_voq7e3wbkbvv" w:colFirst="0" w:colLast="0" w:id="0"/>
      <w:bookmarkEnd w:id="0"/>
      <w:r w:rsidRPr="00250BCE">
        <w:t xml:space="preserve">Introduction </w:t>
      </w:r>
    </w:p>
    <w:p w:rsidRPr="00250BCE" w:rsidR="001D2C39" w:rsidP="000C6562" w:rsidRDefault="001D2C39" w14:paraId="3FFC1DB9" w14:textId="77777777">
      <w:pPr>
        <w:spacing w:before="0" w:after="0"/>
      </w:pPr>
      <w:r w:rsidRPr="00250BCE">
        <w:t xml:space="preserve">This essay will focus on the international business communication of AstraZeneca as it expands its business in the Japanese market. The requirement of effective business communication in a global context is significant for expanding business. It eliminates cross-cultural barriers, prevents misunderstanding, and improves business operations in the global market (Cumming et al., 2023). Meanwhile, this aspect allows the company to develop proper marketing strategies that consider local preferences and team collaboration. The Japanese market is an ideal destination for expanding business as it ensures safety, quality, and long-term relationships that are vital for business </w:t>
      </w:r>
      <w:sdt>
        <w:sdtPr>
          <w:id w:val="330412888"/>
          <w:citation/>
        </w:sdtPr>
        <w:sdtEndPr/>
        <w:sdtContent>
          <w:r w:rsidRPr="00250BCE">
            <w:fldChar w:fldCharType="begin"/>
          </w:r>
          <w:r w:rsidRPr="00250BCE">
            <w:instrText xml:space="preserve"> CITATION Tra251 \l 1033 </w:instrText>
          </w:r>
          <w:r w:rsidRPr="00250BCE">
            <w:fldChar w:fldCharType="separate"/>
          </w:r>
          <w:r w:rsidRPr="00250BCE">
            <w:t>(Trade, 2025)</w:t>
          </w:r>
          <w:r w:rsidRPr="00250BCE">
            <w:fldChar w:fldCharType="end"/>
          </w:r>
        </w:sdtContent>
      </w:sdt>
      <w:r w:rsidRPr="00250BCE">
        <w:t>. This market is highly evolved with automation and robotics systems that provide an advantage in the decision-making process. On the other side, AstraZeneca is a selected UK-based global business working on the development, research, and medical needs. Oncology, immunology, and critical disease are the main therapeutic areas for which the company achieved a special position. The organisation can improve customer experience and drive market expansion through the development of global business communication. This essay will analyse the variation of communication style between the UK and the Japanese team while AstraZeneca starts a business partnership with Daiichi Sankyo. Additionally, it will highlight the influence of miscommunication and misunderstanding on both businesses in the UK and Japan. Therefore, the relevant cultural dimension model will be included that aligns with the organisation's objective.</w:t>
      </w:r>
    </w:p>
    <w:p w:rsidR="00B7574D" w:rsidP="33C42844" w:rsidRDefault="004941E3" w14:paraId="00000002" w14:textId="04E2A083">
      <w:pPr>
        <w:pStyle w:val="Normal"/>
      </w:pPr>
      <w:r w:rsidRPr="33C42844" w:rsidR="004941E3">
        <w:rPr>
          <w:lang w:val="en-US"/>
        </w:rPr>
        <w:t xml:space="preserve">Feedback and criticism </w:t>
      </w:r>
      <w:r w:rsidRPr="33C42844" w:rsidR="61D50E86">
        <w:rPr>
          <w:lang w:val="en-US"/>
        </w:rPr>
        <w:t>processes</w:t>
      </w:r>
      <w:r w:rsidRPr="33C42844" w:rsidR="004941E3">
        <w:rPr>
          <w:lang w:val="en-US"/>
        </w:rPr>
        <w:t xml:space="preserve"> in both countries </w:t>
      </w:r>
      <w:r w:rsidRPr="33C42844" w:rsidR="628B4B77">
        <w:rPr>
          <w:lang w:val="en-US"/>
        </w:rPr>
        <w:t>are</w:t>
      </w:r>
      <w:r w:rsidRPr="33C42844" w:rsidR="004941E3">
        <w:rPr>
          <w:lang w:val="en-US"/>
        </w:rPr>
        <w:t xml:space="preserve"> different from each other</w:t>
      </w:r>
      <w:r w:rsidRPr="33C42844" w:rsidR="004941E3">
        <w:rPr>
          <w:lang w:val="en-US"/>
        </w:rPr>
        <w:t xml:space="preserve">.  </w:t>
      </w:r>
      <w:r w:rsidRPr="33C42844" w:rsidR="004941E3">
        <w:rPr>
          <w:lang w:val="en-US"/>
        </w:rPr>
        <w:t xml:space="preserve">The UK believes in providing direct feedback, not sugar-coating things. The </w:t>
      </w:r>
      <w:r w:rsidRPr="33C42844" w:rsidR="000C6562">
        <w:rPr>
          <w:lang w:val="en-US"/>
        </w:rPr>
        <w:t>region</w:t>
      </w:r>
      <w:r w:rsidRPr="33C42844" w:rsidR="004941E3">
        <w:rPr>
          <w:lang w:val="en-US"/>
        </w:rPr>
        <w:t xml:space="preserve"> and their people do not obsess over irrelevant details. Their approach is to always be prepared; people come to the meeting after </w:t>
      </w:r>
      <w:r w:rsidRPr="33C42844" w:rsidR="43110A65">
        <w:rPr>
          <w:lang w:val="en-US"/>
        </w:rPr>
        <w:t>they have already decided</w:t>
      </w:r>
      <w:r w:rsidRPr="33C42844" w:rsidR="004941E3">
        <w:rPr>
          <w:lang w:val="en-US"/>
        </w:rPr>
        <w:t xml:space="preserve">. The British communication style is often seen as direct, </w:t>
      </w:r>
      <w:r w:rsidRPr="33C42844" w:rsidR="004941E3">
        <w:rPr>
          <w:lang w:val="en-US"/>
        </w:rPr>
        <w:t>poli</w:t>
      </w:r>
      <w:r w:rsidRPr="33C42844" w:rsidR="004941E3">
        <w:rPr>
          <w:lang w:val="en-US"/>
        </w:rPr>
        <w:t>te</w:t>
      </w:r>
      <w:r w:rsidRPr="33C42844" w:rsidR="004941E3">
        <w:rPr>
          <w:lang w:val="en-US"/>
        </w:rPr>
        <w:t xml:space="preserve"> and</w:t>
      </w:r>
      <w:r w:rsidRPr="33C42844" w:rsidR="004941E3">
        <w:rPr>
          <w:lang w:val="en-US"/>
        </w:rPr>
        <w:t xml:space="preserve"> shaped with context rather than providing specific wording. This makes it difficult for international professionals or staff to accurately interpret their meanings. Compared to Asian countries, Japan's communication style is direct; however, compared to other cultures, it can be a bit more indi</w:t>
      </w:r>
      <w:r w:rsidRPr="33C42844" w:rsidR="004941E3">
        <w:rPr>
          <w:lang w:val="en-US"/>
        </w:rPr>
        <w:t>rect</w:t>
      </w:r>
      <w:r>
        <w:fldChar w:fldCharType="begin"/>
      </w:r>
      <w:r>
        <w:instrText xml:space="preserve"> CITATION Com25 \l 1033 </w:instrText>
      </w:r>
      <w:r>
        <w:fldChar w:fldCharType="separate"/>
      </w:r>
      <w:sdt>
        <w:sdtPr>
          <w:id w:val="-586143761"/>
          <w:placeholder>
            <w:docPart w:val="DefaultPlaceholder_1081868574"/>
          </w:placeholder>
        </w:sdtPr>
        <w:sdtContent>
          <w:r w:rsidRPr="33C42844" w:rsidR="00A62684">
            <w:rPr>
              <w:lang w:val="en-US"/>
            </w:rPr>
            <w:t xml:space="preserve"> (Commisceo, 2025)</w:t>
          </w:r>
          <w:r>
            <w:fldChar w:fldCharType="end"/>
          </w:r>
        </w:sdtContent>
      </w:sdt>
      <w:r w:rsidRPr="33C42844" w:rsidR="004941E3">
        <w:rPr>
          <w:lang w:val="en-US"/>
        </w:rPr>
        <w:t xml:space="preserve">. Nevertheless, the British people are also known for their politeness and </w:t>
      </w:r>
      <w:r w:rsidRPr="33C42844" w:rsidR="004941E3">
        <w:rPr>
          <w:lang w:val="en-US"/>
        </w:rPr>
        <w:t>prio</w:t>
      </w:r>
      <w:r w:rsidRPr="33C42844" w:rsidR="004941E3">
        <w:rPr>
          <w:lang w:val="en-US"/>
        </w:rPr>
        <w:t>ritising</w:t>
      </w:r>
      <w:r w:rsidRPr="33C42844" w:rsidR="004941E3">
        <w:rPr>
          <w:lang w:val="en-US"/>
        </w:rPr>
        <w:t xml:space="preserve"> rel</w:t>
      </w:r>
      <w:r w:rsidRPr="33C42844" w:rsidR="004941E3">
        <w:rPr>
          <w:lang w:val="en-US"/>
        </w:rPr>
        <w:t xml:space="preserve">ationship management. This means that Britain provides opinions without hesitation, with a slightly softened tone. Within a professional context, disagreement is usually framed with diplomacy. The culture is not to say no while still expressing disagreement, and it has also been </w:t>
      </w:r>
      <w:r w:rsidRPr="33C42844" w:rsidR="004941E3">
        <w:rPr>
          <w:lang w:val="en-US"/>
        </w:rPr>
        <w:t>obse</w:t>
      </w:r>
      <w:r w:rsidRPr="33C42844" w:rsidR="004941E3">
        <w:rPr>
          <w:lang w:val="en-US"/>
        </w:rPr>
        <w:t>rved</w:t>
      </w:r>
      <w:r w:rsidRPr="33C42844" w:rsidR="004941E3">
        <w:rPr>
          <w:lang w:val="en-US"/>
        </w:rPr>
        <w:t xml:space="preserve"> tha</w:t>
      </w:r>
      <w:r w:rsidRPr="33C42844" w:rsidR="004941E3">
        <w:rPr>
          <w:lang w:val="en-US"/>
        </w:rPr>
        <w:t>t British work culture expresses its disagreement directly to the person concerned. Their communication style, however, avoids op</w:t>
      </w:r>
      <w:r w:rsidRPr="33C42844" w:rsidR="004941E3">
        <w:rPr>
          <w:lang w:val="en-US"/>
        </w:rPr>
        <w:t xml:space="preserve">en confrontation in workplaces, particularly within mixed-group scenarios. The concerns are raised </w:t>
      </w:r>
      <w:r w:rsidRPr="33C42844" w:rsidR="004941E3">
        <w:rPr>
          <w:lang w:val="en-US"/>
        </w:rPr>
        <w:t>rath</w:t>
      </w:r>
      <w:r w:rsidRPr="33C42844" w:rsidR="004941E3">
        <w:rPr>
          <w:lang w:val="en-US"/>
        </w:rPr>
        <w:t>er indirectly</w:t>
      </w:r>
      <w:r w:rsidRPr="33C42844" w:rsidR="004941E3">
        <w:rPr>
          <w:lang w:val="en-US"/>
        </w:rPr>
        <w:t xml:space="preserve"> or </w:t>
      </w:r>
      <w:r w:rsidRPr="33C42844" w:rsidR="004941E3">
        <w:rPr>
          <w:lang w:val="en-US"/>
        </w:rPr>
        <w:t xml:space="preserve">within private settings. Therefore, the decision-making process of the country is </w:t>
      </w:r>
      <w:r w:rsidRPr="33C42844" w:rsidR="004941E3">
        <w:rPr>
          <w:lang w:val="en-US"/>
        </w:rPr>
        <w:t>rath</w:t>
      </w:r>
      <w:r w:rsidRPr="33C42844" w:rsidR="004941E3">
        <w:rPr>
          <w:lang w:val="en-US"/>
        </w:rPr>
        <w:t>er swift</w:t>
      </w:r>
      <w:r w:rsidRPr="33C42844" w:rsidR="004941E3">
        <w:rPr>
          <w:lang w:val="en-US"/>
        </w:rPr>
        <w:t xml:space="preserve"> in </w:t>
      </w:r>
      <w:r w:rsidRPr="33C42844" w:rsidR="004941E3">
        <w:rPr>
          <w:lang w:val="en-US"/>
        </w:rPr>
        <w:t xml:space="preserve">comparison, as often agreements are not implied </w:t>
      </w:r>
      <w:r w:rsidRPr="33C42844" w:rsidR="004941E3">
        <w:rPr>
          <w:lang w:val="en-US"/>
        </w:rPr>
        <w:t>rath</w:t>
      </w:r>
      <w:r w:rsidRPr="33C42844" w:rsidR="004941E3">
        <w:rPr>
          <w:lang w:val="en-US"/>
        </w:rPr>
        <w:t>er given</w:t>
      </w:r>
      <w:r w:rsidRPr="33C42844" w:rsidR="004941E3">
        <w:rPr>
          <w:lang w:val="en-US"/>
        </w:rPr>
        <w:t xml:space="preserve"> dir</w:t>
      </w:r>
      <w:r w:rsidRPr="33C42844" w:rsidR="004941E3">
        <w:rPr>
          <w:lang w:val="en-US"/>
        </w:rPr>
        <w:t xml:space="preserve">ectly. Further, within virtual environments or remote work settings, indirectness becomes hard to understand. In comparison to the UK’s style of communication, Japan </w:t>
      </w:r>
      <w:r w:rsidRPr="33C42844" w:rsidR="004941E3">
        <w:rPr>
          <w:lang w:val="en-US"/>
        </w:rPr>
        <w:t>oper</w:t>
      </w:r>
      <w:r w:rsidRPr="33C42844" w:rsidR="004941E3">
        <w:rPr>
          <w:lang w:val="en-US"/>
        </w:rPr>
        <w:t>ates</w:t>
      </w:r>
      <w:r w:rsidRPr="33C42844" w:rsidR="004941E3">
        <w:rPr>
          <w:lang w:val="en-US"/>
        </w:rPr>
        <w:t xml:space="preserve"> in </w:t>
      </w:r>
      <w:r w:rsidRPr="33C42844" w:rsidR="004941E3">
        <w:rPr>
          <w:lang w:val="en-US"/>
        </w:rPr>
        <w:t>a ra</w:t>
      </w:r>
      <w:r w:rsidRPr="33C42844" w:rsidR="004941E3">
        <w:rPr>
          <w:lang w:val="en-US"/>
        </w:rPr>
        <w:t>ther indirect</w:t>
      </w:r>
      <w:r w:rsidRPr="33C42844" w:rsidR="004941E3">
        <w:rPr>
          <w:lang w:val="en-US"/>
        </w:rPr>
        <w:t xml:space="preserve"> way</w:t>
      </w:r>
      <w:r w:rsidRPr="33C42844" w:rsidR="004941E3">
        <w:rPr>
          <w:lang w:val="en-US"/>
        </w:rPr>
        <w:t xml:space="preserve"> of communication. The focus he</w:t>
      </w:r>
      <w:r w:rsidRPr="33C42844" w:rsidR="004941E3">
        <w:rPr>
          <w:lang w:val="en-US"/>
        </w:rPr>
        <w:t xml:space="preserve">avily shifts towards words that have not been said but implied. Their context meter is high in their communication style; their avoidance of direct yes or no to preserve the harmony of the place is in contrast with UK workplaces. Japan’s working culture has been regarded as one of the most challenging for international professionals. The Japanese way of communicating within a </w:t>
      </w:r>
      <w:r w:rsidRPr="33C42844" w:rsidR="004941E3">
        <w:rPr>
          <w:lang w:val="en-US"/>
        </w:rPr>
        <w:t xml:space="preserve">business context is indirect, </w:t>
      </w:r>
      <w:r w:rsidRPr="33C42844" w:rsidR="004941E3">
        <w:rPr>
          <w:lang w:val="en-US"/>
        </w:rPr>
        <w:t>cont</w:t>
      </w:r>
      <w:r w:rsidRPr="33C42844" w:rsidR="004941E3">
        <w:rPr>
          <w:lang w:val="en-US"/>
        </w:rPr>
        <w:t>extual</w:t>
      </w:r>
      <w:r w:rsidRPr="33C42844" w:rsidR="004941E3">
        <w:rPr>
          <w:lang w:val="en-US"/>
        </w:rPr>
        <w:t xml:space="preserve"> and</w:t>
      </w:r>
      <w:r w:rsidRPr="33C42844" w:rsidR="004941E3">
        <w:rPr>
          <w:lang w:val="en-US"/>
        </w:rPr>
        <w:t xml:space="preserve"> sensitive to nuances. Meaning is often understated through silence, </w:t>
      </w:r>
      <w:r w:rsidRPr="33C42844" w:rsidR="03C101AC">
        <w:rPr>
          <w:lang w:val="en-US"/>
        </w:rPr>
        <w:t>timing,</w:t>
      </w:r>
      <w:r w:rsidRPr="33C42844" w:rsidR="004941E3">
        <w:rPr>
          <w:lang w:val="en-US"/>
        </w:rPr>
        <w:t xml:space="preserve"> or tone. Effective communication and understandable meetings here require patience, repeated </w:t>
      </w:r>
      <w:r w:rsidRPr="33C42844" w:rsidR="70A18E5C">
        <w:rPr>
          <w:lang w:val="en-US"/>
        </w:rPr>
        <w:t>confirmation,</w:t>
      </w:r>
      <w:r w:rsidRPr="33C42844" w:rsidR="004941E3">
        <w:rPr>
          <w:lang w:val="en-US"/>
        </w:rPr>
        <w:t xml:space="preserve"> and careful listening. These affect their decision-making skills, as effective progress is usually achieved through multiple conversations rather than based on a single decisive communication</w:t>
      </w:r>
      <w:r>
        <w:fldChar w:fldCharType="begin"/>
      </w:r>
      <w:r>
        <w:instrText xml:space="preserve"> CITATION Glo251 \l 1033 </w:instrText>
      </w:r>
      <w:r>
        <w:fldChar w:fldCharType="separate"/>
      </w:r>
      <w:sdt>
        <w:sdtPr>
          <w:id w:val="-1914078363"/>
          <w:placeholder>
            <w:docPart w:val="DefaultPlaceholder_1081868574"/>
          </w:placeholder>
        </w:sdtPr>
        <w:sdtContent>
          <w:r w:rsidRPr="33C42844" w:rsidR="00A62684">
            <w:rPr>
              <w:lang w:val="en-US"/>
            </w:rPr>
            <w:t xml:space="preserve"> (Global Business Culture, 2025)</w:t>
          </w:r>
          <w:r>
            <w:fldChar w:fldCharType="end"/>
          </w:r>
        </w:sdtContent>
      </w:sdt>
      <w:r w:rsidRPr="33C42844" w:rsidR="004941E3">
        <w:rPr>
          <w:lang w:val="en-US"/>
        </w:rPr>
        <w:t xml:space="preserve">. </w:t>
      </w:r>
      <w:r w:rsidRPr="33C42844" w:rsidR="7637F3E4">
        <w:rPr>
          <w:lang w:val="en-US"/>
        </w:rPr>
        <w:t>Communication</w:t>
      </w:r>
      <w:r w:rsidRPr="33C42844" w:rsidR="004941E3">
        <w:rPr>
          <w:lang w:val="en-US"/>
        </w:rPr>
        <w:t xml:space="preserve"> is high in context; however, depending on the situation, it can be both implied and direct. </w:t>
      </w:r>
      <w:r w:rsidRPr="33C42844" w:rsidR="004941E3">
        <w:rPr>
          <w:lang w:val="en-US"/>
        </w:rPr>
        <w:t>A gr</w:t>
      </w:r>
      <w:r w:rsidRPr="33C42844" w:rsidR="004941E3">
        <w:rPr>
          <w:lang w:val="en-US"/>
        </w:rPr>
        <w:t>eat example</w:t>
      </w:r>
      <w:r w:rsidRPr="33C42844" w:rsidR="004941E3">
        <w:rPr>
          <w:lang w:val="en-US"/>
        </w:rPr>
        <w:t xml:space="preserve"> is </w:t>
      </w:r>
      <w:r w:rsidRPr="33C42844" w:rsidR="004941E3">
        <w:rPr>
          <w:lang w:val="en-US"/>
        </w:rPr>
        <w:t>Nema</w:t>
      </w:r>
      <w:r w:rsidRPr="33C42844" w:rsidR="004941E3">
        <w:rPr>
          <w:lang w:val="en-US"/>
        </w:rPr>
        <w:t>washi</w:t>
      </w:r>
      <w:r w:rsidRPr="33C42844" w:rsidR="004941E3">
        <w:rPr>
          <w:lang w:val="en-US"/>
        </w:rPr>
        <w:t xml:space="preserve"> dur</w:t>
      </w:r>
      <w:r w:rsidRPr="33C42844" w:rsidR="004941E3">
        <w:rPr>
          <w:lang w:val="en-US"/>
        </w:rPr>
        <w:t xml:space="preserve">ing the </w:t>
      </w:r>
      <w:r w:rsidRPr="33C42844" w:rsidR="004941E3">
        <w:rPr>
          <w:lang w:val="en-US"/>
        </w:rPr>
        <w:t>Ring</w:t>
      </w:r>
      <w:r w:rsidRPr="33C42844" w:rsidR="004941E3">
        <w:rPr>
          <w:lang w:val="en-US"/>
        </w:rPr>
        <w:t>i</w:t>
      </w:r>
      <w:r w:rsidRPr="33C42844" w:rsidR="004941E3">
        <w:rPr>
          <w:lang w:val="en-US"/>
        </w:rPr>
        <w:t xml:space="preserve"> pro</w:t>
      </w:r>
      <w:r w:rsidRPr="33C42844" w:rsidR="004941E3">
        <w:rPr>
          <w:lang w:val="en-US"/>
        </w:rPr>
        <w:t xml:space="preserve">cess. It means democratic decision-making, which involves making decisions by first laying the whole ground in front of the stakeholders and taking their suggestions. During disagreements, the proposer needs to go to stakeholders and discuss them before the meetings. Communication in Japan within the workplace context </w:t>
      </w:r>
      <w:r w:rsidRPr="33C42844" w:rsidR="004941E3">
        <w:rPr>
          <w:lang w:val="en-US"/>
        </w:rPr>
        <w:t xml:space="preserve">and </w:t>
      </w:r>
      <w:r w:rsidRPr="33C42844" w:rsidR="004941E3">
        <w:rPr>
          <w:lang w:val="en-US"/>
        </w:rPr>
        <w:t>also</w:t>
      </w:r>
      <w:r w:rsidRPr="33C42844" w:rsidR="004941E3">
        <w:rPr>
          <w:lang w:val="en-US"/>
        </w:rPr>
        <w:t xml:space="preserve"> in </w:t>
      </w:r>
      <w:r w:rsidRPr="33C42844" w:rsidR="004941E3">
        <w:rPr>
          <w:lang w:val="en-US"/>
        </w:rPr>
        <w:t xml:space="preserve">normal settings is </w:t>
      </w:r>
      <w:r w:rsidRPr="33C42844" w:rsidR="004941E3">
        <w:rPr>
          <w:lang w:val="en-US"/>
        </w:rPr>
        <w:t xml:space="preserve">unique in all its features. Ensuring seamless communication involves a </w:t>
      </w:r>
      <w:r w:rsidRPr="33C42844" w:rsidR="004941E3">
        <w:rPr>
          <w:lang w:val="en-US"/>
        </w:rPr>
        <w:t>rath</w:t>
      </w:r>
      <w:r w:rsidRPr="33C42844" w:rsidR="004941E3">
        <w:rPr>
          <w:lang w:val="en-US"/>
        </w:rPr>
        <w:t>er patient</w:t>
      </w:r>
      <w:r w:rsidRPr="33C42844" w:rsidR="004941E3">
        <w:rPr>
          <w:lang w:val="en-US"/>
        </w:rPr>
        <w:t xml:space="preserve"> app</w:t>
      </w:r>
      <w:r w:rsidRPr="33C42844" w:rsidR="004941E3">
        <w:rPr>
          <w:lang w:val="en-US"/>
        </w:rPr>
        <w:t xml:space="preserve">roach, while also understanding </w:t>
      </w:r>
      <w:r w:rsidRPr="33C42844" w:rsidR="690AFF2B">
        <w:rPr>
          <w:lang w:val="en-US"/>
        </w:rPr>
        <w:t>cultural</w:t>
      </w:r>
      <w:r w:rsidRPr="33C42844" w:rsidR="004941E3">
        <w:rPr>
          <w:lang w:val="en-US"/>
        </w:rPr>
        <w:t xml:space="preserve"> nuances is important. Effective communication involves an understanding of their business culture. </w:t>
      </w:r>
    </w:p>
    <w:p w:rsidR="001D2C39" w:rsidP="000C6562" w:rsidRDefault="00915D2A" w14:paraId="377DD07B" w14:textId="77777777">
      <w:pPr>
        <w:spacing w:before="0" w:after="0"/>
        <w:rPr>
          <w:lang w:val="en-IN"/>
        </w:rPr>
      </w:pPr>
      <w:r>
        <w:t>The strategic framework that has been developed to quantify and compare the national cultures of the various countries is known as Hofstede’s cultural dimensions model. It is responsible for evaluating the societal values that affect the workplace behaviour, communication and operational management tendencies across a range of pillars or dimensions</w:t>
      </w:r>
      <w:sdt>
        <w:sdtPr>
          <w:id w:val="-1598322569"/>
          <w:citation/>
        </w:sdtPr>
        <w:sdtEndPr/>
        <w:sdtContent>
          <w:r>
            <w:fldChar w:fldCharType="begin"/>
          </w:r>
          <w:r>
            <w:rPr>
              <w:lang w:val="en-IN"/>
            </w:rPr>
            <w:instrText xml:space="preserve"> CITATION gee26 \l 16393 </w:instrText>
          </w:r>
          <w:r>
            <w:fldChar w:fldCharType="separate"/>
          </w:r>
          <w:r>
            <w:rPr>
              <w:noProof/>
              <w:lang w:val="en-IN"/>
            </w:rPr>
            <w:t xml:space="preserve"> </w:t>
          </w:r>
          <w:r w:rsidRPr="00564EF3">
            <w:rPr>
              <w:noProof/>
              <w:lang w:val="en-IN"/>
            </w:rPr>
            <w:t>(geerthofstede, 2026)</w:t>
          </w:r>
          <w:r>
            <w:fldChar w:fldCharType="end"/>
          </w:r>
        </w:sdtContent>
      </w:sdt>
      <w:r>
        <w:t>. Power distance, uncertainty avoidance, long-term orientation, individualism, masculinity and indulgence have been referred to as the respective individual spheres. A systematic and accessible perspective has been demonstrated for the business professionals and analytical experts to understand, examine and evaluate the varied range of cultural behaviours and tendencies. Improved global collaborations, practical business applications, and a robust functional foundation have been considered as the other advantages gained through it as well. The first index is the Power Distance Index (PDI), which measures the power recorded of the societal decision-making and the potential power distribution, along with the impacts. A moderate range score has been considered moderate as the power accountability is higher in the business environment in Japan in comparison to the United Kingdom (Ozieranski et al., 2023). The scores reflected 54 for Japan, while 35 for the business conditions and facilities, which are prevalent across the other country. There is observed a strong hierarchical rule across the various departments and levels of the business environment through the means of control and occupational structure in Japan. The management of AstraZeneca will be able to improve its leadership practices by fostering strong partnerships with the institutions of Daiichi Sankyo and other commercial regions. It has been followed by the scoring of individualism vs collectivism between the two countries and the suitability of the chosen organisation as per the prevalent conditions. An examination of the work cultures reflecting a comparison of the priority between independence and group loyalty has been provided in this scope. Here, the score of the United Kingdom has been more towards individualism, accounting for 76, while Japan’s score is approximately 62. A comprehensive balance of individualism and collectivism is practised within the organisational culture of the businesses operating in Japan to ensure optimised settings (Bouteiller and Chicoye, 2024). However, the business environment of the companies active in the United Kingdom tends to promote individualistic traits and performance over collaborative efforts. The third dimension has been based on measuring the nation’s drive for achievement, competition and material success in comparison to its emphasis on modesty, relationship and quality of life. It is found that Japan is a highly success-driven and competitive society that has scored around 95 out of 100 on the scale for examining the cultural motivators. This strong focus can be used by the management of AstraZeneca in achieving a strong market hold, competitive status and organisational performance level in the chosen corporate environment (Batova and Ruediger, 2023). The development of groundbreaking therapeutic achievements and academic theories in the field of medicine and pharma strongly resonates with the target market.</w:t>
      </w:r>
      <w:r w:rsidRPr="00646552" w:rsidR="00646552">
        <w:rPr>
          <w:color w:val="000000"/>
          <w:lang w:val="en-IN" w:eastAsia="en-IN"/>
        </w:rPr>
        <w:t xml:space="preserve"> </w:t>
      </w:r>
      <w:r w:rsidRPr="00646552" w:rsidR="00646552">
        <w:rPr>
          <w:lang w:val="en-IN"/>
        </w:rPr>
        <w:t>The partner company of AstraZeneca operates in a high uncertainty avoidance culture where the employees prefer detailed planning, structured communication and comprehensive documentation before making any decision (Diana et al., 2026). The team expects clear procedures, predefined responsibilities and formal approval processes to minimise uncertainty. In contrast, the UK team of the parent company functions in a very low uncertainty avoidance culture.  In this culture, the managers are comfortable with flexible planning, ambiguity and adapting strategies while new information emerges. Discussions which are executed in this culture are very open-ended, and the decisions may be revised during the execution of any project. Such a contrasting communication style creates misunderstanding during the joint research and development project for drug development. Japanese professionals may perceive the British coworkers as insufficiently prepared. Also, they may consider other parties as those kinds of individuals who are always willing to take risks. Whereas the British employees may recognise the Japanese team as overly conscious and bureaucratic. The highly long-term oriented culture of Japan encourages communication that focuses on sustainable growth and continuous improvement (Nagasaki and Kobayashi, 2023). Workers of Daiichi Sankyo generally favour careful planning and making decisions which optimise long-term organisational value.  Contrarily, the UK team also demonstrates a relatively long-term perspective, and the higher officials of the chosen company try to balance future objectives with short-term and mid-term goals. These types of differences create communication challenges while discussing the priorities of investment and research timelines. The team of Japan may advocate extensive discussion and gradual implementation to ensure success in the long run. On the other hand, the teams of the UK emphasise quicker execution and measurable interim results.  Such contrasting priorities lead to misunderstanding regarding the resource allocation and project urgency. It becomes a significant reason for frustration while one side interprets the communication of the other party as either over the causes or excessively focused. The company that is in partnership with AstraZeneca reflects a restrained culture, where communication has become formal, modest and professionally reserved. Employees of the organisation tend to avoid emotional expression and maintain workplace etiquette. They also separate professional responsibilities from personal enjoyment. It has been noticed that the workforce of the first company belongs to a more indulgent culture, where communication is extremely friendly, relationship-oriented and expressive. British employees use open discussions, casual interactions, and humour to strengthen collaboration and teamwork (Taylor et al., 2025). Such referring communication preferences have the potential to create cultural mission understanding. The professionals of the second country may perceive the informal conversations and humour from their UK colleagues and denote that as a sign of a lack of professionalism. On the contrary, the communication style of Japanese employees may be considered restrained and unenthusiastic by their British colleagues.</w:t>
      </w:r>
    </w:p>
    <w:p w:rsidR="001D2C39" w:rsidP="000C6562" w:rsidRDefault="001D2C39" w14:paraId="0538B30C" w14:textId="6FA7E759">
      <w:pPr>
        <w:spacing w:before="0" w:after="0"/>
      </w:pPr>
      <w:r w:rsidRPr="00250BCE">
        <w:rPr>
          <w:highlight w:val="white"/>
        </w:rPr>
        <w:t>The</w:t>
      </w:r>
      <w:r w:rsidRPr="00250BCE">
        <w:rPr>
          <w:b/>
          <w:bCs/>
        </w:rPr>
        <w:t xml:space="preserve"> </w:t>
      </w:r>
      <w:r w:rsidRPr="00250BCE">
        <w:t>occurrence of miscommunication had a significant effect on the pharma company, AstraZeneca, while it made a business contract with a Japanese company. It causes delays in regulatory timelines and hinders the manufacturing process. Even though the company can lead to reputational damage by introducing regulatory compliance issues</w:t>
      </w:r>
      <w:r>
        <w:t xml:space="preserve"> </w:t>
      </w:r>
      <w:sdt>
        <w:sdtPr>
          <w:id w:val="-1774309473"/>
          <w:citation/>
        </w:sdtPr>
        <w:sdtEndPr/>
        <w:sdtContent>
          <w:r>
            <w:fldChar w:fldCharType="begin"/>
          </w:r>
          <w:r>
            <w:rPr>
              <w:lang w:val="en-US"/>
            </w:rPr>
            <w:instrText xml:space="preserve"> CITATION Glo26 \l 1033 </w:instrText>
          </w:r>
          <w:r>
            <w:fldChar w:fldCharType="separate"/>
          </w:r>
          <w:r w:rsidRPr="00250BCE">
            <w:rPr>
              <w:noProof/>
              <w:lang w:val="en-US"/>
            </w:rPr>
            <w:t>(Global, 2026)</w:t>
          </w:r>
          <w:r>
            <w:fldChar w:fldCharType="end"/>
          </w:r>
        </w:sdtContent>
      </w:sdt>
      <w:r w:rsidRPr="00250BCE">
        <w:t xml:space="preserve">. Potential failure in synchronised communication may draw the attention of industry watchdogs. Misunderstanding in communication can impact the execution of the study execution and damage data integrity. This issue causes costly timeline delays that introduce little patient recruitment, compliance gaps, and protocol deviations. Consequently, the company can experience financial loss and reputational damage in the Japanese market. The difference in cultural nuance and communication style causes misalignment in the decision-making process and failure in project implementation. Due to complications in Co-commercialisation, the UK business can experience management hurdles and an elevation of costs that harm the business outcome. </w:t>
      </w:r>
    </w:p>
    <w:p w:rsidR="001D2C39" w:rsidP="000C6562" w:rsidRDefault="001D2C39" w14:paraId="176333AD" w14:textId="77777777">
      <w:pPr>
        <w:spacing w:before="0" w:after="0"/>
      </w:pPr>
      <w:r>
        <w:br w:type="page"/>
      </w:r>
    </w:p>
    <w:p w:rsidRPr="00250BCE" w:rsidR="001D2C39" w:rsidP="000C6562" w:rsidRDefault="001D2C39" w14:paraId="40A2698C" w14:textId="77777777">
      <w:pPr>
        <w:pStyle w:val="Heading1"/>
        <w:spacing w:before="0" w:after="0"/>
        <w:rPr>
          <w:rFonts w:ascii="Arial" w:hAnsi="Arial" w:eastAsia="Arial" w:cs="Arial"/>
        </w:rPr>
      </w:pPr>
      <w:r w:rsidRPr="001D2C39">
        <w:t>Conclusion</w:t>
      </w:r>
      <w:r w:rsidRPr="00250BCE">
        <w:t xml:space="preserve"> </w:t>
      </w:r>
    </w:p>
    <w:p w:rsidRPr="00250BCE" w:rsidR="001D2C39" w:rsidP="000C6562" w:rsidRDefault="001D2C39" w14:paraId="31B7EBB0" w14:textId="2E407284">
      <w:pPr>
        <w:spacing w:before="0" w:after="0"/>
      </w:pPr>
      <w:r w:rsidRPr="00250BCE">
        <w:t xml:space="preserve">The essay has explained the importance of global business communication, while a </w:t>
      </w:r>
      <w:r>
        <w:t>UK-based</w:t>
      </w:r>
      <w:r w:rsidRPr="00250BCE">
        <w:t xml:space="preserve"> company, AstraZeneca, made a business partnership with a Japanese company, Daiichi Sankyo. The initial part has provided the introduction of the chosen business and a market description of the Japanese market. Therefore, it has analysed the impact of miscommunication and the way disrupting business functionality for both companies in the foreign market. Furthermore, Hofstede’s cultural dimensions theory has been included to differentiate national cultures in terms of workplace behaviour and management. Therefore, this essay </w:t>
      </w:r>
      <w:r w:rsidR="000C6562">
        <w:t>has</w:t>
      </w:r>
      <w:r w:rsidRPr="00250BCE">
        <w:t xml:space="preserve"> discuss</w:t>
      </w:r>
      <w:r w:rsidR="000C6562">
        <w:t>ed</w:t>
      </w:r>
      <w:r w:rsidRPr="00250BCE">
        <w:t xml:space="preserve"> the various types of global communication styles observed in the global business landscape. Additionally, it has highlighted the effect of misunderstanding leading to business disruption in both organisations. </w:t>
      </w:r>
    </w:p>
    <w:p w:rsidRPr="001D2C39" w:rsidR="001D2C39" w:rsidP="000C6562" w:rsidRDefault="001D2C39" w14:paraId="3BBD7E6D" w14:textId="77777777">
      <w:pPr>
        <w:spacing w:before="0" w:after="0"/>
        <w:rPr>
          <w:lang w:val="en-IN"/>
        </w:rPr>
      </w:pPr>
    </w:p>
    <w:p w:rsidR="001D2C39" w:rsidP="000C6562" w:rsidRDefault="001D2C39" w14:paraId="6B3986E8" w14:textId="77777777">
      <w:pPr>
        <w:spacing w:before="0" w:after="0"/>
      </w:pPr>
      <w:r>
        <w:br w:type="page"/>
      </w:r>
    </w:p>
    <w:p w:rsidRPr="00091479" w:rsidR="00A62684" w:rsidP="000C6562" w:rsidRDefault="00A62684" w14:paraId="0E22C125" w14:textId="40CF0E0C">
      <w:pPr>
        <w:pStyle w:val="Heading1"/>
        <w:spacing w:before="0" w:after="0"/>
      </w:pPr>
      <w:r w:rsidRPr="007A72A1">
        <w:t>References</w:t>
      </w:r>
    </w:p>
    <w:p w:rsidRPr="00564EF3" w:rsidR="00091479" w:rsidP="000C6562" w:rsidRDefault="00091479" w14:paraId="5FF98658" w14:textId="77777777">
      <w:pPr>
        <w:spacing w:before="0" w:after="0"/>
      </w:pPr>
      <w:r w:rsidRPr="00564EF3">
        <w:t xml:space="preserve">Batova, T. and Ruediger, S., (2023). Cross-country analysis of the association of cultural dimensions with prescription opioid consumption and implications for health education. </w:t>
      </w:r>
      <w:r w:rsidRPr="00091479">
        <w:rPr>
          <w:i/>
          <w:iCs/>
        </w:rPr>
        <w:t>Substance Use &amp; Misuse</w:t>
      </w:r>
      <w:r w:rsidRPr="00564EF3">
        <w:t>, 58(4), pp.536-550.</w:t>
      </w:r>
    </w:p>
    <w:p w:rsidRPr="00564EF3" w:rsidR="00091479" w:rsidP="000C6562" w:rsidRDefault="00091479" w14:paraId="02A3BA36" w14:textId="77777777">
      <w:pPr>
        <w:spacing w:before="0" w:after="0"/>
      </w:pPr>
      <w:r w:rsidRPr="00564EF3">
        <w:t xml:space="preserve">Bouteiller, E. and Chicoye, A., (2024). </w:t>
      </w:r>
      <w:r w:rsidRPr="00091479">
        <w:rPr>
          <w:i/>
          <w:iCs/>
        </w:rPr>
        <w:t>Fundamentals of Market Access for Pharmaceuticals.</w:t>
      </w:r>
      <w:r w:rsidRPr="00564EF3">
        <w:t xml:space="preserve"> Anthem Press.</w:t>
      </w:r>
    </w:p>
    <w:p w:rsidRPr="007A72A1" w:rsidR="00091479" w:rsidP="000C6562" w:rsidRDefault="00091479" w14:paraId="5E2B4DBB" w14:textId="7975F41D">
      <w:pPr>
        <w:spacing w:before="0" w:after="0"/>
      </w:pPr>
      <w:r w:rsidRPr="007A72A1">
        <w:t xml:space="preserve">Commisceo, (2025). </w:t>
      </w:r>
      <w:r w:rsidRPr="00091479">
        <w:rPr>
          <w:i/>
          <w:iCs/>
        </w:rPr>
        <w:t>What’s the British Communication Style?</w:t>
      </w:r>
      <w:r w:rsidRPr="007A72A1">
        <w:t xml:space="preserve"> [Online] Available at: https://commisceo-global.com/articles/what-is-the-british-communication-style/ [Accessed 6 July 2026].</w:t>
      </w:r>
    </w:p>
    <w:p w:rsidRPr="00091479" w:rsidR="00091479" w:rsidP="000C6562" w:rsidRDefault="00091479" w14:paraId="3E51EDE8" w14:textId="77777777">
      <w:pPr>
        <w:spacing w:before="0" w:after="0"/>
      </w:pPr>
      <w:r w:rsidRPr="000172FF">
        <w:t xml:space="preserve">Cumming, D., Johan, S. and Reardon, R., </w:t>
      </w:r>
      <w:r>
        <w:t>(</w:t>
      </w:r>
      <w:r w:rsidRPr="000172FF">
        <w:t>2023</w:t>
      </w:r>
      <w:r>
        <w:t>)</w:t>
      </w:r>
      <w:r w:rsidRPr="000172FF">
        <w:t>. Global fintech trends and their impact on international business: a review. </w:t>
      </w:r>
      <w:r w:rsidRPr="00091479">
        <w:rPr>
          <w:i/>
          <w:iCs/>
        </w:rPr>
        <w:t>Multinational Business Review</w:t>
      </w:r>
      <w:r w:rsidRPr="000172FF">
        <w:t>, </w:t>
      </w:r>
      <w:r w:rsidRPr="00091479">
        <w:rPr>
          <w:i/>
          <w:iCs/>
        </w:rPr>
        <w:t>31</w:t>
      </w:r>
      <w:r w:rsidRPr="000172FF">
        <w:t>(3), pp.413-436.</w:t>
      </w:r>
    </w:p>
    <w:p w:rsidRPr="00091479" w:rsidR="00091479" w:rsidP="000C6562" w:rsidRDefault="00091479" w14:paraId="6820A822" w14:textId="77777777">
      <w:pPr>
        <w:spacing w:before="0" w:after="0"/>
        <w:rPr>
          <w:lang w:val="en-IN"/>
        </w:rPr>
      </w:pPr>
      <w:r w:rsidRPr="00091479">
        <w:rPr>
          <w:lang w:val="en-IN"/>
        </w:rPr>
        <w:t xml:space="preserve">Diana, Matsumoto, D., Windiarti, R., Munawaroh, E., Amin, Z.N., Hasjiandito, A., Loretha, A.F., Kristanto, W. and Nafiah, Q.N., (2026). How Parenting Influences Lifelong Learning: A Cross‐Cultural Review of Indonesia and Japan. </w:t>
      </w:r>
      <w:r w:rsidRPr="00091479">
        <w:rPr>
          <w:i/>
          <w:iCs/>
          <w:lang w:val="en-IN"/>
        </w:rPr>
        <w:t>European Journal of Education</w:t>
      </w:r>
      <w:r w:rsidRPr="00091479">
        <w:rPr>
          <w:lang w:val="en-IN"/>
        </w:rPr>
        <w:t xml:space="preserve">, </w:t>
      </w:r>
      <w:r w:rsidRPr="00091479">
        <w:rPr>
          <w:i/>
          <w:iCs/>
          <w:lang w:val="en-IN"/>
        </w:rPr>
        <w:t>61</w:t>
      </w:r>
      <w:r w:rsidRPr="00091479">
        <w:rPr>
          <w:lang w:val="en-IN"/>
        </w:rPr>
        <w:t>(1), p.e70440. </w:t>
      </w:r>
    </w:p>
    <w:p w:rsidRPr="00564EF3" w:rsidR="00091479" w:rsidP="000C6562" w:rsidRDefault="00091479" w14:paraId="47DF0BCC" w14:textId="77777777">
      <w:pPr>
        <w:pStyle w:val="Bibliography"/>
        <w:spacing w:before="0" w:after="0"/>
        <w:rPr>
          <w:noProof/>
          <w:lang w:val="en"/>
        </w:rPr>
      </w:pPr>
      <w:r w:rsidRPr="00564EF3">
        <w:rPr>
          <w:noProof/>
          <w:lang w:val="en"/>
        </w:rPr>
        <w:t xml:space="preserve">geerthofstede, </w:t>
      </w:r>
      <w:r w:rsidRPr="00564EF3">
        <w:rPr>
          <w:noProof/>
        </w:rPr>
        <w:t>(</w:t>
      </w:r>
      <w:r w:rsidRPr="00564EF3">
        <w:rPr>
          <w:noProof/>
          <w:lang w:val="en"/>
        </w:rPr>
        <w:t>2026</w:t>
      </w:r>
      <w:r w:rsidRPr="00564EF3">
        <w:rPr>
          <w:noProof/>
        </w:rPr>
        <w:t>)</w:t>
      </w:r>
      <w:r w:rsidRPr="00564EF3">
        <w:rPr>
          <w:noProof/>
          <w:lang w:val="en"/>
        </w:rPr>
        <w:t xml:space="preserve">. </w:t>
      </w:r>
      <w:r w:rsidRPr="00564EF3">
        <w:rPr>
          <w:i/>
          <w:iCs/>
          <w:noProof/>
          <w:lang w:val="en"/>
        </w:rPr>
        <w:t xml:space="preserve">The 6-D model of national culture. </w:t>
      </w:r>
      <w:r w:rsidRPr="00564EF3">
        <w:rPr>
          <w:noProof/>
          <w:lang w:val="en"/>
        </w:rPr>
        <w:t>[Online] Available at: https://geerthofstede.com/culture-geert-hofstede-gert-jan-hofstede/6d-model-of-national-culture/</w:t>
      </w:r>
      <w:r w:rsidRPr="00564EF3">
        <w:rPr>
          <w:noProof/>
        </w:rPr>
        <w:t xml:space="preserve"> </w:t>
      </w:r>
      <w:r w:rsidRPr="00564EF3">
        <w:rPr>
          <w:noProof/>
          <w:lang w:val="en"/>
        </w:rPr>
        <w:t>[Accessed 6 July 2026].</w:t>
      </w:r>
    </w:p>
    <w:p w:rsidR="00091479" w:rsidP="000C6562" w:rsidRDefault="00091479" w14:paraId="52D47D15" w14:textId="77777777">
      <w:pPr>
        <w:spacing w:before="0" w:after="0"/>
      </w:pPr>
      <w:r w:rsidRPr="007A72A1">
        <w:t xml:space="preserve">Global Business Culture, (2025). </w:t>
      </w:r>
      <w:r w:rsidRPr="00091479">
        <w:rPr>
          <w:i/>
          <w:iCs/>
        </w:rPr>
        <w:t>Japan Business Culture Guide.</w:t>
      </w:r>
      <w:r w:rsidRPr="007A72A1">
        <w:t xml:space="preserve"> [Online] Available at: https://www.globalbusinessculture.com/countries/japan/japan-business-culture/ [Accessed 6 July 2026].</w:t>
      </w:r>
    </w:p>
    <w:p w:rsidR="00091479" w:rsidP="000C6562" w:rsidRDefault="00091479" w14:paraId="3CCF5EA7" w14:textId="77777777">
      <w:pPr>
        <w:spacing w:before="0" w:after="0"/>
      </w:pPr>
      <w:r>
        <w:t>Global, (2026</w:t>
      </w:r>
      <w:r w:rsidRPr="00250BCE">
        <w:t>)</w:t>
      </w:r>
      <w:r w:rsidRPr="00091479">
        <w:rPr>
          <w:i/>
          <w:iCs/>
        </w:rPr>
        <w:t>. AstraZeneca and Daiichi cancer drugs clear regulatory hurdles.</w:t>
      </w:r>
      <w:r>
        <w:t xml:space="preserve"> [Online] Available at: </w:t>
      </w:r>
      <w:r w:rsidRPr="00250BCE">
        <w:t>https://global.morningstar.com/en-gb/news/alliance</w:t>
      </w:r>
      <w:r>
        <w:t xml:space="preserve"> news/1779461320411485000/astrazeneca-and-daiichi-cancer-drugs-clear-regulatory hurdles [Accessed 6 July 2026].</w:t>
      </w:r>
    </w:p>
    <w:p w:rsidRPr="00091479" w:rsidR="00091479" w:rsidP="000C6562" w:rsidRDefault="00091479" w14:paraId="7A6F0634" w14:textId="77777777">
      <w:pPr>
        <w:spacing w:before="0" w:after="0"/>
        <w:rPr>
          <w:lang w:val="en-IN"/>
        </w:rPr>
      </w:pPr>
      <w:r w:rsidRPr="00091479">
        <w:rPr>
          <w:lang w:val="en-IN"/>
        </w:rPr>
        <w:t xml:space="preserve">Nagasaki, K. and Kobayashi, H., (2023). The effects of resident work hours on well‐being, performance, and education: A review from a Japanese perspective. </w:t>
      </w:r>
      <w:r w:rsidRPr="00091479">
        <w:rPr>
          <w:i/>
          <w:iCs/>
          <w:lang w:val="en-IN"/>
        </w:rPr>
        <w:t>Journal of General and Family Medicine</w:t>
      </w:r>
      <w:r w:rsidRPr="00091479">
        <w:rPr>
          <w:lang w:val="en-IN"/>
        </w:rPr>
        <w:t xml:space="preserve">, </w:t>
      </w:r>
      <w:r w:rsidRPr="00091479">
        <w:rPr>
          <w:i/>
          <w:iCs/>
          <w:lang w:val="en-IN"/>
        </w:rPr>
        <w:t>24</w:t>
      </w:r>
      <w:r w:rsidRPr="00091479">
        <w:rPr>
          <w:lang w:val="en-IN"/>
        </w:rPr>
        <w:t>(6), pp.323-331. </w:t>
      </w:r>
    </w:p>
    <w:p w:rsidRPr="00564EF3" w:rsidR="00091479" w:rsidP="000C6562" w:rsidRDefault="00091479" w14:paraId="104DFB6B" w14:textId="77777777">
      <w:pPr>
        <w:spacing w:before="0" w:after="0"/>
      </w:pPr>
      <w:r w:rsidRPr="00564EF3">
        <w:t>Ozieranski, P., Saito, H., Rickard, E., Mulinari, S. and Ozaki, A., (2023). International comparison of pharmaceutical industry payment disclosures in the UK and Japan: implications for self-regulation, public regulation, and transparency.</w:t>
      </w:r>
      <w:r w:rsidRPr="00091479">
        <w:rPr>
          <w:i/>
          <w:iCs/>
        </w:rPr>
        <w:t xml:space="preserve"> Globalization and health,</w:t>
      </w:r>
      <w:r w:rsidRPr="00564EF3">
        <w:t xml:space="preserve"> 19(1), p.14.</w:t>
      </w:r>
    </w:p>
    <w:p w:rsidRPr="00091479" w:rsidR="00091479" w:rsidP="000C6562" w:rsidRDefault="00091479" w14:paraId="1AB2FB89" w14:textId="77777777">
      <w:pPr>
        <w:spacing w:before="0" w:after="0"/>
        <w:rPr>
          <w:lang w:val="en-IN"/>
        </w:rPr>
      </w:pPr>
      <w:r w:rsidRPr="00091479">
        <w:rPr>
          <w:lang w:val="en-IN"/>
        </w:rPr>
        <w:t xml:space="preserve">Taylor, S., Simpson, J. and Hardy, C., (2025). The use of humor in employee-to-employee workplace communication: A systematic review with thematic synthesis. </w:t>
      </w:r>
      <w:r w:rsidRPr="00091479">
        <w:rPr>
          <w:i/>
          <w:iCs/>
          <w:lang w:val="en-IN"/>
        </w:rPr>
        <w:t>International Journal of Business Communication</w:t>
      </w:r>
      <w:r w:rsidRPr="00091479">
        <w:rPr>
          <w:lang w:val="en-IN"/>
        </w:rPr>
        <w:t xml:space="preserve">, </w:t>
      </w:r>
      <w:r w:rsidRPr="00091479">
        <w:rPr>
          <w:i/>
          <w:iCs/>
          <w:lang w:val="en-IN"/>
        </w:rPr>
        <w:t>62</w:t>
      </w:r>
      <w:r w:rsidRPr="00091479">
        <w:rPr>
          <w:lang w:val="en-IN"/>
        </w:rPr>
        <w:t xml:space="preserve">(1), pp.106-130. </w:t>
      </w:r>
    </w:p>
    <w:p w:rsidR="00091479" w:rsidP="000C6562" w:rsidRDefault="00091479" w14:paraId="5F686B11" w14:textId="77777777">
      <w:pPr>
        <w:pStyle w:val="Bibliography"/>
        <w:spacing w:before="0" w:after="0"/>
        <w:rPr>
          <w:noProof/>
          <w:lang w:val="en"/>
        </w:rPr>
      </w:pPr>
      <w:r w:rsidRPr="00564EF3">
        <w:rPr>
          <w:noProof/>
          <w:lang w:val="en"/>
        </w:rPr>
        <w:t xml:space="preserve">theculturefactor, </w:t>
      </w:r>
      <w:r w:rsidRPr="00564EF3">
        <w:rPr>
          <w:noProof/>
        </w:rPr>
        <w:t>(</w:t>
      </w:r>
      <w:r w:rsidRPr="00564EF3">
        <w:rPr>
          <w:noProof/>
          <w:lang w:val="en"/>
        </w:rPr>
        <w:t>2026</w:t>
      </w:r>
      <w:r w:rsidRPr="00564EF3">
        <w:rPr>
          <w:noProof/>
        </w:rPr>
        <w:t>)</w:t>
      </w:r>
      <w:r w:rsidRPr="00564EF3">
        <w:rPr>
          <w:noProof/>
          <w:lang w:val="en"/>
        </w:rPr>
        <w:t xml:space="preserve">. </w:t>
      </w:r>
      <w:r w:rsidRPr="00564EF3">
        <w:rPr>
          <w:i/>
          <w:iCs/>
          <w:noProof/>
          <w:lang w:val="en"/>
        </w:rPr>
        <w:t xml:space="preserve">Country Comparison tool - UK &amp; Japan. </w:t>
      </w:r>
      <w:r w:rsidRPr="00564EF3">
        <w:rPr>
          <w:noProof/>
          <w:lang w:val="en"/>
        </w:rPr>
        <w:t>[Online] Available at: https://www.theculturefactor.com/country-comparison-tool?countries=japan%2Cunited+kingdom</w:t>
      </w:r>
      <w:r w:rsidRPr="00564EF3">
        <w:rPr>
          <w:noProof/>
        </w:rPr>
        <w:t xml:space="preserve"> </w:t>
      </w:r>
      <w:r w:rsidRPr="00564EF3">
        <w:rPr>
          <w:noProof/>
          <w:lang w:val="en"/>
        </w:rPr>
        <w:t>[Accessed 6 July 2026].</w:t>
      </w:r>
    </w:p>
    <w:p w:rsidRPr="00250BCE" w:rsidR="00091479" w:rsidP="000C6562" w:rsidRDefault="00091479" w14:paraId="1848D348" w14:textId="3D22E549">
      <w:pPr>
        <w:spacing w:before="0" w:after="0"/>
      </w:pPr>
      <w:r>
        <w:t xml:space="preserve">Trade, (2025). </w:t>
      </w:r>
      <w:r w:rsidRPr="00091479">
        <w:rPr>
          <w:i/>
          <w:iCs/>
        </w:rPr>
        <w:t>Japan Country Commercial Guide.</w:t>
      </w:r>
      <w:r>
        <w:t xml:space="preserve"> [Online] Available at: </w:t>
      </w:r>
      <w:r w:rsidRPr="00250BCE">
        <w:t>https://www.trade.gov/country-commercial-guides/japan-market-overview</w:t>
      </w:r>
      <w:r>
        <w:t xml:space="preserve"> [Accessed 6 July 2026]. </w:t>
      </w:r>
    </w:p>
    <w:p w:rsidRPr="00250BCE" w:rsidR="00091479" w:rsidP="000C6562" w:rsidRDefault="00091479" w14:paraId="3CDE2C80" w14:textId="77777777">
      <w:pPr>
        <w:spacing w:before="0" w:after="0"/>
      </w:pPr>
    </w:p>
    <w:p w:rsidRPr="00091479" w:rsidR="00B82017" w:rsidP="000C6562" w:rsidRDefault="00091479" w14:paraId="7D1DB327" w14:textId="1B195952">
      <w:pPr>
        <w:pStyle w:val="Heading1"/>
        <w:spacing w:before="0" w:after="0"/>
      </w:pPr>
      <w:r w:rsidRPr="00250BCE">
        <w:br w:type="page"/>
      </w:r>
      <w:r w:rsidR="00B82017">
        <w:rPr>
          <w:lang w:val="en"/>
        </w:rPr>
        <w:t>Appendix</w:t>
      </w:r>
    </w:p>
    <w:p w:rsidR="00B82017" w:rsidP="000C6562" w:rsidRDefault="00B82017" w14:paraId="6DB18CD1" w14:textId="77777777">
      <w:pPr>
        <w:spacing w:before="0" w:after="0"/>
        <w:jc w:val="center"/>
      </w:pPr>
      <w:r w:rsidRPr="00564EF3">
        <w:rPr>
          <w:noProof/>
        </w:rPr>
        <w:drawing>
          <wp:inline distT="0" distB="0" distL="0" distR="0" wp14:anchorId="5C9961CC" wp14:editId="0349AF19">
            <wp:extent cx="5943600" cy="4177665"/>
            <wp:effectExtent l="0" t="0" r="0" b="0"/>
            <wp:docPr id="1341563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563032" name=""/>
                    <pic:cNvPicPr/>
                  </pic:nvPicPr>
                  <pic:blipFill>
                    <a:blip r:embed="rId9"/>
                    <a:stretch>
                      <a:fillRect/>
                    </a:stretch>
                  </pic:blipFill>
                  <pic:spPr>
                    <a:xfrm>
                      <a:off x="0" y="0"/>
                      <a:ext cx="5943600" cy="4177665"/>
                    </a:xfrm>
                    <a:prstGeom prst="rect">
                      <a:avLst/>
                    </a:prstGeom>
                  </pic:spPr>
                </pic:pic>
              </a:graphicData>
            </a:graphic>
          </wp:inline>
        </w:drawing>
      </w:r>
    </w:p>
    <w:p w:rsidR="00B82017" w:rsidP="000C6562" w:rsidRDefault="00B82017" w14:paraId="4F742A02" w14:textId="77777777">
      <w:pPr>
        <w:spacing w:before="0" w:after="0"/>
        <w:jc w:val="center"/>
      </w:pPr>
      <w:r>
        <w:t>Figure: Country culture comparison between the UK and Japan</w:t>
      </w:r>
    </w:p>
    <w:p w:rsidR="00B82017" w:rsidP="000C6562" w:rsidRDefault="00B82017" w14:paraId="367C60C6" w14:textId="77777777">
      <w:pPr>
        <w:spacing w:before="0" w:after="0"/>
        <w:jc w:val="center"/>
      </w:pPr>
      <w:r>
        <w:t xml:space="preserve">Source: </w:t>
      </w:r>
      <w:sdt>
        <w:sdtPr>
          <w:id w:val="-18172513"/>
          <w:citation/>
        </w:sdtPr>
        <w:sdtEndPr/>
        <w:sdtContent>
          <w:r>
            <w:fldChar w:fldCharType="begin"/>
          </w:r>
          <w:r>
            <w:rPr>
              <w:lang w:val="en-IN"/>
            </w:rPr>
            <w:instrText xml:space="preserve"> CITATION the262 \l 16393 </w:instrText>
          </w:r>
          <w:r>
            <w:fldChar w:fldCharType="separate"/>
          </w:r>
          <w:r w:rsidRPr="00564EF3">
            <w:rPr>
              <w:noProof/>
              <w:lang w:val="en-IN"/>
            </w:rPr>
            <w:t>(theculturefactor, 2026)</w:t>
          </w:r>
          <w:r>
            <w:fldChar w:fldCharType="end"/>
          </w:r>
        </w:sdtContent>
      </w:sdt>
    </w:p>
    <w:p w:rsidRPr="00B82017" w:rsidR="00B82017" w:rsidP="000C6562" w:rsidRDefault="00B82017" w14:paraId="1EF012B1" w14:textId="77777777">
      <w:pPr>
        <w:spacing w:before="0" w:after="0"/>
        <w:rPr>
          <w:lang w:val="en"/>
        </w:rPr>
      </w:pPr>
    </w:p>
    <w:sectPr w:rsidRPr="00B82017" w:rsidR="00B82017" w:rsidSect="00A62684">
      <w:headerReference w:type="default" r:id="rId10"/>
      <w:footerReference w:type="default" r:id="rId11"/>
      <w:pgSz w:w="12240" w:h="15840" w:orient="portrait"/>
      <w:pgMar w:top="1440" w:right="1440" w:bottom="1440" w:left="1440" w:header="720" w:footer="720" w:gutter="0"/>
      <w:pgNumType w:start="1"/>
      <w:cols w:space="720"/>
      <w:titlePg/>
      <w:docGrid w:linePitch="326"/>
      <w:headerReference w:type="first" r:id="R021b40e786024e59"/>
      <w:footerReference w:type="first" r:id="R5cb60500867e430a"/>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7A72A1" w:rsidR="00915EA7" w:rsidP="00A62684" w:rsidRDefault="00915EA7" w14:paraId="69EA3800" w14:textId="77777777">
      <w:pPr>
        <w:spacing w:before="0" w:after="0" w:line="240" w:lineRule="auto"/>
      </w:pPr>
      <w:r w:rsidRPr="007A72A1">
        <w:separator/>
      </w:r>
    </w:p>
  </w:endnote>
  <w:endnote w:type="continuationSeparator" w:id="0">
    <w:p w:rsidRPr="007A72A1" w:rsidR="00915EA7" w:rsidP="00A62684" w:rsidRDefault="00915EA7" w14:paraId="34B3269D" w14:textId="77777777">
      <w:pPr>
        <w:spacing w:before="0" w:after="0" w:line="240" w:lineRule="auto"/>
      </w:pPr>
      <w:r w:rsidRPr="007A72A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w:fontKey="{5B853881-BECA-40AD-A6F3-F9E4F43D33EF}" r:id="rId1"/>
  </w:font>
  <w:font w:name="Cambria">
    <w:panose1 w:val="02040503050406030204"/>
    <w:charset w:val="00"/>
    <w:family w:val="roman"/>
    <w:pitch w:val="variable"/>
    <w:sig w:usb0="E00006FF" w:usb1="420024FF" w:usb2="02000000" w:usb3="00000000" w:csb0="0000019F" w:csb1="00000000"/>
    <w:embedRegular w:fontKey="{60D50F0A-1737-DC49-9C38-ED783071960F}"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33C42844" w:rsidP="33C42844" w:rsidRDefault="33C42844" w14:paraId="545FA79E" w14:textId="163E82C8">
    <w:pPr>
      <w:pStyle w:val="Footer"/>
      <w:jc w:val="center"/>
    </w:pPr>
    <w:r>
      <w:fldChar w:fldCharType="begin"/>
    </w:r>
    <w:r>
      <w:instrText xml:space="preserve">PAGE</w:instrText>
    </w:r>
    <w:r>
      <w:fldChar w:fldCharType="separate"/>
    </w:r>
    <w:r>
      <w:fldChar w:fldCharType="end"/>
    </w:r>
  </w:p>
  <w:sdt>
    <w:sdtPr>
      <w:id w:val="-112826356"/>
      <w:docPartObj>
        <w:docPartGallery w:val="Page Numbers (Bottom of Page)"/>
        <w:docPartUnique/>
      </w:docPartObj>
    </w:sdtPr>
    <w:sdtEndPr/>
    <w:sdtContent>
      <w:sdt>
        <w:sdtPr>
          <w:id w:val="-1769616900"/>
          <w:docPartObj>
            <w:docPartGallery w:val="Page Numbers (Top of Page)"/>
            <w:docPartUnique/>
          </w:docPartObj>
        </w:sdtPr>
        <w:sdtEndPr/>
        <w:sdtContent>
          <w:p w:rsidRPr="007A72A1" w:rsidR="00A62684" w:rsidP="33C42844" w:rsidRDefault="00A62684" w14:paraId="6A8BB673" w14:textId="119FF9E9">
            <w:pPr>
              <w:pStyle w:val="Footer"/>
              <w:jc w:val="right"/>
              <w:rPr>
                <w:b w:val="1"/>
                <w:bCs w:val="1"/>
              </w:rPr>
            </w:pPr>
          </w:p>
        </w:sdtContent>
      </w:sdt>
    </w:sdtContent>
  </w:sdt>
  <w:p w:rsidRPr="007A72A1" w:rsidR="00A62684" w:rsidRDefault="00A62684" w14:paraId="407A84CF"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3C42844" w:rsidTr="33C42844" w14:paraId="4BD51E3E">
      <w:trPr>
        <w:trHeight w:val="300"/>
      </w:trPr>
      <w:tc>
        <w:tcPr>
          <w:tcW w:w="3120" w:type="dxa"/>
          <w:tcMar/>
        </w:tcPr>
        <w:p w:rsidR="33C42844" w:rsidP="33C42844" w:rsidRDefault="33C42844" w14:paraId="5C163E22" w14:textId="294285AD">
          <w:pPr>
            <w:pStyle w:val="Header"/>
            <w:bidi w:val="0"/>
            <w:ind w:left="-115"/>
            <w:jc w:val="left"/>
          </w:pPr>
        </w:p>
      </w:tc>
      <w:tc>
        <w:tcPr>
          <w:tcW w:w="3120" w:type="dxa"/>
          <w:tcMar/>
        </w:tcPr>
        <w:p w:rsidR="33C42844" w:rsidP="33C42844" w:rsidRDefault="33C42844" w14:paraId="1AC33017" w14:textId="3DDCBA1E">
          <w:pPr>
            <w:pStyle w:val="Header"/>
            <w:bidi w:val="0"/>
            <w:jc w:val="center"/>
          </w:pPr>
        </w:p>
      </w:tc>
      <w:tc>
        <w:tcPr>
          <w:tcW w:w="3120" w:type="dxa"/>
          <w:tcMar/>
        </w:tcPr>
        <w:p w:rsidR="33C42844" w:rsidP="33C42844" w:rsidRDefault="33C42844" w14:paraId="0B0B07D6" w14:textId="6B612714">
          <w:pPr>
            <w:pStyle w:val="Header"/>
            <w:bidi w:val="0"/>
            <w:ind w:right="-115"/>
            <w:jc w:val="right"/>
          </w:pPr>
        </w:p>
      </w:tc>
    </w:tr>
  </w:tbl>
  <w:p w:rsidR="33C42844" w:rsidP="33C42844" w:rsidRDefault="33C42844" w14:paraId="49498E86" w14:textId="01FBDF9F">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7A72A1" w:rsidR="00915EA7" w:rsidP="00A62684" w:rsidRDefault="00915EA7" w14:paraId="710706E5" w14:textId="77777777">
      <w:pPr>
        <w:spacing w:before="0" w:after="0" w:line="240" w:lineRule="auto"/>
      </w:pPr>
      <w:r w:rsidRPr="007A72A1">
        <w:separator/>
      </w:r>
    </w:p>
  </w:footnote>
  <w:footnote w:type="continuationSeparator" w:id="0">
    <w:p w:rsidRPr="007A72A1" w:rsidR="00915EA7" w:rsidP="00A62684" w:rsidRDefault="00915EA7" w14:paraId="66221B71" w14:textId="77777777">
      <w:pPr>
        <w:spacing w:before="0" w:after="0" w:line="240" w:lineRule="auto"/>
      </w:pPr>
      <w:r w:rsidRPr="007A72A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7A72A1" w:rsidR="00A62684" w:rsidP="00A62684" w:rsidRDefault="00A62684" w14:paraId="7B3BAC50" w14:textId="0049CE91">
    <w:pPr>
      <w:pStyle w:val="Header"/>
      <w:jc w:val="right"/>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3C42844" w:rsidTr="33C42844" w14:paraId="24548753">
      <w:trPr>
        <w:trHeight w:val="300"/>
      </w:trPr>
      <w:tc>
        <w:tcPr>
          <w:tcW w:w="3120" w:type="dxa"/>
          <w:tcMar/>
        </w:tcPr>
        <w:p w:rsidR="33C42844" w:rsidP="33C42844" w:rsidRDefault="33C42844" w14:paraId="18D7316C" w14:textId="397AFE21">
          <w:pPr>
            <w:pStyle w:val="Header"/>
            <w:bidi w:val="0"/>
            <w:ind w:left="-115"/>
            <w:jc w:val="left"/>
          </w:pPr>
        </w:p>
      </w:tc>
      <w:tc>
        <w:tcPr>
          <w:tcW w:w="3120" w:type="dxa"/>
          <w:tcMar/>
        </w:tcPr>
        <w:p w:rsidR="33C42844" w:rsidP="33C42844" w:rsidRDefault="33C42844" w14:paraId="0D6932DB" w14:textId="2B5B110C">
          <w:pPr>
            <w:pStyle w:val="Header"/>
            <w:bidi w:val="0"/>
            <w:jc w:val="center"/>
          </w:pPr>
        </w:p>
      </w:tc>
      <w:tc>
        <w:tcPr>
          <w:tcW w:w="3120" w:type="dxa"/>
          <w:tcMar/>
        </w:tcPr>
        <w:p w:rsidR="33C42844" w:rsidP="33C42844" w:rsidRDefault="33C42844" w14:paraId="05E7C3E8" w14:textId="6984BC57">
          <w:pPr>
            <w:pStyle w:val="Header"/>
            <w:bidi w:val="0"/>
            <w:ind w:right="-115"/>
            <w:jc w:val="right"/>
          </w:pPr>
        </w:p>
      </w:tc>
    </w:tr>
  </w:tbl>
  <w:p w:rsidR="33C42844" w:rsidP="33C42844" w:rsidRDefault="33C42844" w14:paraId="51DDD850" w14:textId="4C690745">
    <w:pPr>
      <w:pStyle w:val="Header"/>
      <w:bidi w:val="0"/>
    </w:pPr>
  </w:p>
</w:hdr>
</file>

<file path=word/intelligence2.xml><?xml version="1.0" encoding="utf-8"?>
<int2:intelligence xmlns:int2="http://schemas.microsoft.com/office/intelligence/2020/intelligence">
  <int2:observations>
    <int2:textHash int2:hashCode="DfFG05gpKgeKun" int2:id="XgPrtXui">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B3143"/>
    <w:multiLevelType w:val="hybridMultilevel"/>
    <w:tmpl w:val="07FA66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06671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574D"/>
    <w:rsid w:val="000321AB"/>
    <w:rsid w:val="00091479"/>
    <w:rsid w:val="000C6562"/>
    <w:rsid w:val="000F12F4"/>
    <w:rsid w:val="001D2C39"/>
    <w:rsid w:val="00385F15"/>
    <w:rsid w:val="004941E3"/>
    <w:rsid w:val="00567F4C"/>
    <w:rsid w:val="005738FA"/>
    <w:rsid w:val="005807A2"/>
    <w:rsid w:val="005E408B"/>
    <w:rsid w:val="00646552"/>
    <w:rsid w:val="006B4D15"/>
    <w:rsid w:val="00761BD5"/>
    <w:rsid w:val="007848A1"/>
    <w:rsid w:val="007A72A1"/>
    <w:rsid w:val="00905AD6"/>
    <w:rsid w:val="00915D2A"/>
    <w:rsid w:val="00915EA7"/>
    <w:rsid w:val="009C3242"/>
    <w:rsid w:val="00A25D74"/>
    <w:rsid w:val="00A62684"/>
    <w:rsid w:val="00B7574D"/>
    <w:rsid w:val="00B82017"/>
    <w:rsid w:val="00BB7E4A"/>
    <w:rsid w:val="00C524F1"/>
    <w:rsid w:val="00CA6137"/>
    <w:rsid w:val="00D27DD5"/>
    <w:rsid w:val="00E4242A"/>
    <w:rsid w:val="00F073F8"/>
    <w:rsid w:val="00F97B08"/>
    <w:rsid w:val="03C101AC"/>
    <w:rsid w:val="11746A49"/>
    <w:rsid w:val="12431ED2"/>
    <w:rsid w:val="13607ED1"/>
    <w:rsid w:val="1D58BCCF"/>
    <w:rsid w:val="22CE3F78"/>
    <w:rsid w:val="31E0237F"/>
    <w:rsid w:val="33C42844"/>
    <w:rsid w:val="43110A65"/>
    <w:rsid w:val="45045257"/>
    <w:rsid w:val="4791448F"/>
    <w:rsid w:val="4BEC3F29"/>
    <w:rsid w:val="50474A25"/>
    <w:rsid w:val="5D74BCAE"/>
    <w:rsid w:val="61D50E86"/>
    <w:rsid w:val="628B4B77"/>
    <w:rsid w:val="660F9EE0"/>
    <w:rsid w:val="690AFF2B"/>
    <w:rsid w:val="6BD256A2"/>
    <w:rsid w:val="6C4B26D3"/>
    <w:rsid w:val="6C768224"/>
    <w:rsid w:val="7012823B"/>
    <w:rsid w:val="70A18E5C"/>
    <w:rsid w:val="74A7B55A"/>
    <w:rsid w:val="7637F3E4"/>
    <w:rsid w:val="764A1D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60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 w:eastAsia="en-US" w:bidi="ar-SA"/>
      </w:rPr>
    </w:rPrDefault>
    <w:pPrDefault>
      <w:pPr>
        <w:spacing w:before="400" w:after="12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hAnsi="Arial"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eading1Char" w:customStyle="1">
    <w:name w:val="Heading 1 Char"/>
    <w:basedOn w:val="DefaultParagraphFont"/>
    <w:link w:val="Heading1"/>
    <w:uiPriority w:val="9"/>
    <w:rsid w:val="00A62684"/>
    <w:rPr>
      <w:b/>
      <w:bCs/>
      <w:sz w:val="28"/>
      <w:szCs w:val="28"/>
    </w:rPr>
  </w:style>
  <w:style w:type="paragraph" w:styleId="Bibliography">
    <w:name w:val="Bibliography"/>
    <w:basedOn w:val="Normal"/>
    <w:next w:val="Normal"/>
    <w:uiPriority w:val="37"/>
    <w:unhideWhenUsed/>
    <w:rsid w:val="00A62684"/>
  </w:style>
  <w:style w:type="character" w:styleId="Hyperlink">
    <w:name w:val="Hyperlink"/>
    <w:basedOn w:val="DefaultParagraphFont"/>
    <w:uiPriority w:val="99"/>
    <w:unhideWhenUsed/>
    <w:rsid w:val="00A62684"/>
    <w:rPr>
      <w:color w:val="0000FF" w:themeColor="hyperlink"/>
      <w:u w:val="single"/>
    </w:rPr>
  </w:style>
  <w:style w:type="character" w:styleId="UnresolvedMention">
    <w:name w:val="Unresolved Mention"/>
    <w:basedOn w:val="DefaultParagraphFont"/>
    <w:uiPriority w:val="99"/>
    <w:semiHidden/>
    <w:unhideWhenUsed/>
    <w:rsid w:val="00A62684"/>
    <w:rPr>
      <w:color w:val="605E5C"/>
      <w:shd w:val="clear" w:color="auto" w:fill="E1DFDD"/>
    </w:rPr>
  </w:style>
  <w:style w:type="paragraph" w:styleId="Header">
    <w:name w:val="header"/>
    <w:basedOn w:val="Normal"/>
    <w:link w:val="HeaderChar"/>
    <w:uiPriority w:val="99"/>
    <w:unhideWhenUsed/>
    <w:rsid w:val="00A62684"/>
    <w:pPr>
      <w:tabs>
        <w:tab w:val="center" w:pos="4680"/>
        <w:tab w:val="right" w:pos="9360"/>
      </w:tabs>
      <w:spacing w:before="0" w:after="0" w:line="240" w:lineRule="auto"/>
    </w:pPr>
  </w:style>
  <w:style w:type="character" w:styleId="HeaderChar" w:customStyle="1">
    <w:name w:val="Header Char"/>
    <w:basedOn w:val="DefaultParagraphFont"/>
    <w:link w:val="Header"/>
    <w:uiPriority w:val="99"/>
    <w:rsid w:val="00A62684"/>
  </w:style>
  <w:style w:type="paragraph" w:styleId="Footer">
    <w:name w:val="footer"/>
    <w:basedOn w:val="Normal"/>
    <w:link w:val="FooterChar"/>
    <w:uiPriority w:val="99"/>
    <w:unhideWhenUsed/>
    <w:rsid w:val="00A62684"/>
    <w:pPr>
      <w:tabs>
        <w:tab w:val="center" w:pos="4680"/>
        <w:tab w:val="right" w:pos="9360"/>
      </w:tabs>
      <w:spacing w:before="0" w:after="0" w:line="240" w:lineRule="auto"/>
    </w:pPr>
  </w:style>
  <w:style w:type="character" w:styleId="FooterChar" w:customStyle="1">
    <w:name w:val="Footer Char"/>
    <w:basedOn w:val="DefaultParagraphFont"/>
    <w:link w:val="Footer"/>
    <w:uiPriority w:val="99"/>
    <w:rsid w:val="00A62684"/>
  </w:style>
  <w:style w:type="paragraph" w:styleId="NormalWeb">
    <w:name w:val="Normal (Web)"/>
    <w:basedOn w:val="Normal"/>
    <w:uiPriority w:val="99"/>
    <w:semiHidden/>
    <w:unhideWhenUsed/>
    <w:rsid w:val="00646552"/>
  </w:style>
  <w:style w:type="paragraph" w:styleId="ListParagraph">
    <w:name w:val="List Paragraph"/>
    <w:basedOn w:val="Normal"/>
    <w:uiPriority w:val="34"/>
    <w:qFormat/>
    <w:rsid w:val="00091479"/>
    <w:pPr>
      <w:ind w:left="720"/>
      <w:contextualSpacing/>
    </w:pPr>
  </w:style>
  <w:style w:type="paragraph" w:styleId="NoSpacing">
    <w:uiPriority w:val="1"/>
    <w:name w:val="No Spacing"/>
    <w:qFormat/>
    <w:rsid w:val="33C42844"/>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0020145">
      <w:bodyDiv w:val="1"/>
      <w:marLeft w:val="0"/>
      <w:marRight w:val="0"/>
      <w:marTop w:val="0"/>
      <w:marBottom w:val="0"/>
      <w:divBdr>
        <w:top w:val="none" w:sz="0" w:space="0" w:color="auto"/>
        <w:left w:val="none" w:sz="0" w:space="0" w:color="auto"/>
        <w:bottom w:val="none" w:sz="0" w:space="0" w:color="auto"/>
        <w:right w:val="none" w:sz="0" w:space="0" w:color="auto"/>
      </w:divBdr>
    </w:div>
    <w:div w:id="1135371262">
      <w:bodyDiv w:val="1"/>
      <w:marLeft w:val="0"/>
      <w:marRight w:val="0"/>
      <w:marTop w:val="0"/>
      <w:marBottom w:val="0"/>
      <w:divBdr>
        <w:top w:val="none" w:sz="0" w:space="0" w:color="auto"/>
        <w:left w:val="none" w:sz="0" w:space="0" w:color="auto"/>
        <w:bottom w:val="none" w:sz="0" w:space="0" w:color="auto"/>
        <w:right w:val="none" w:sz="0" w:space="0" w:color="auto"/>
      </w:divBdr>
    </w:div>
    <w:div w:id="11776180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eader" Target="header2.xml" Id="R021b40e786024e59" /><Relationship Type="http://schemas.openxmlformats.org/officeDocument/2006/relationships/footer" Target="footer2.xml" Id="R5cb60500867e430a" /><Relationship Type="http://schemas.microsoft.com/office/2020/10/relationships/intelligence" Target="intelligence2.xml" Id="Rc5b96d15d4904306"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Com25</b:Tag>
    <b:SourceType>InternetSite</b:SourceType>
    <b:Guid>{027B3B57-3AAB-41CB-A892-D9AE35C66B8C}</b:Guid>
    <b:Author>
      <b:Author>
        <b:Corporate>Commisceo</b:Corporate>
      </b:Author>
    </b:Author>
    <b:Title>What’s the British Communication Style?</b:Title>
    <b:Year>2025</b:Year>
    <b:YearAccessed>2026</b:YearAccessed>
    <b:MonthAccessed>July</b:MonthAccessed>
    <b:DayAccessed>6</b:DayAccessed>
    <b:URL>https://commisceo-global.com/articles/what-is-the-british-communication-style/</b:URL>
    <b:RefOrder>1</b:RefOrder>
  </b:Source>
  <b:Source>
    <b:Tag>Glo251</b:Tag>
    <b:SourceType>InternetSite</b:SourceType>
    <b:Guid>{904AFC9E-065E-4E46-98F3-926CAEB9F13B}</b:Guid>
    <b:Author>
      <b:Author>
        <b:Corporate>Global Business Culture</b:Corporate>
      </b:Author>
    </b:Author>
    <b:Title>Japan Business Culture Guide</b:Title>
    <b:Year>2025</b:Year>
    <b:YearAccessed>2026</b:YearAccessed>
    <b:MonthAccessed>July</b:MonthAccessed>
    <b:DayAccessed>6</b:DayAccessed>
    <b:URL>https://www.globalbusinessculture.com/countries/japan/japan-business-culture/</b:URL>
    <b:RefOrder>2</b:RefOrder>
  </b:Source>
  <b:Source>
    <b:Tag>gee26</b:Tag>
    <b:SourceType>InternetSite</b:SourceType>
    <b:Guid>{0308C349-E458-462D-8C4E-7F051F213C3E}</b:Guid>
    <b:Author>
      <b:Author>
        <b:Corporate>geerthofstede</b:Corporate>
      </b:Author>
    </b:Author>
    <b:Title>The 6-D model of national culture</b:Title>
    <b:Year>2026</b:Year>
    <b:YearAccessed>2026</b:YearAccessed>
    <b:MonthAccessed>July</b:MonthAccessed>
    <b:DayAccessed>6</b:DayAccessed>
    <b:URL>https://geerthofstede.com/culture-geert-hofstede-gert-jan-hofstede/6d-model-of-national-culture/</b:URL>
    <b:RefOrder>1</b:RefOrder>
  </b:Source>
  <b:Source>
    <b:Tag>the262</b:Tag>
    <b:SourceType>InternetSite</b:SourceType>
    <b:Guid>{D837926C-0DE3-480E-9876-4E36BB469FA6}</b:Guid>
    <b:Author>
      <b:Author>
        <b:Corporate>theculturefactor</b:Corporate>
      </b:Author>
    </b:Author>
    <b:Title>Country Comparison tool - UK &amp; Japan</b:Title>
    <b:Year>2026</b:Year>
    <b:YearAccessed>2026</b:YearAccessed>
    <b:MonthAccessed>July</b:MonthAccessed>
    <b:DayAccessed>6</b:DayAccessed>
    <b:URL>https://www.theculturefactor.com/country-comparison-tool?countries=japan%2Cunited+kingdom</b:URL>
    <b:RefOrder>2</b:RefOrder>
  </b:Source>
  <b:Source>
    <b:Tag>Tra251</b:Tag>
    <b:SourceType>InternetSite</b:SourceType>
    <b:Guid>{276C24CD-8FFB-42C7-92E4-5A62785F4A6F}</b:Guid>
    <b:Author>
      <b:Author>
        <b:Corporate>Trade</b:Corporate>
      </b:Author>
    </b:Author>
    <b:Title>Japan Country Commercial Guide</b:Title>
    <b:Year>2025</b:Year>
    <b:YearAccessed>2026</b:YearAccessed>
    <b:MonthAccessed>July</b:MonthAccessed>
    <b:DayAccessed>6</b:DayAccessed>
    <b:URL>https://www.trade.gov/country-commercial-guides/japan-market-overview</b:URL>
    <b:RefOrder>1</b:RefOrder>
  </b:Source>
  <b:Source>
    <b:Tag>Glo26</b:Tag>
    <b:SourceType>InternetSite</b:SourceType>
    <b:Guid>{AD77E783-DD42-43A6-A630-E4945D66DFAC}</b:Guid>
    <b:Author>
      <b:Author>
        <b:Corporate>Global</b:Corporate>
      </b:Author>
    </b:Author>
    <b:Title>AstraZeneca and Daiichi cancer drugs clear regulatory hurdles</b:Title>
    <b:Year>2026</b:Year>
    <b:YearAccessed>2026</b:YearAccessed>
    <b:MonthAccessed>July</b:MonthAccessed>
    <b:DayAccessed>6</b:DayAccessed>
    <b:URL>https://global.morningstar.com/en-gb/news/alliance-news/1779461320411485000/astrazeneca-and-daiichi-cancer-drugs-clear-regulatory-hurdles</b:URL>
    <b:RefOrder>2</b:RefOrder>
  </b:Source>
</b:Sources>
</file>

<file path=customXml/itemProps1.xml><?xml version="1.0" encoding="utf-8"?>
<ds:datastoreItem xmlns:ds="http://schemas.openxmlformats.org/officeDocument/2006/customXml" ds:itemID="{63211404-FB2E-4FB3-9165-A7F2E5FEE4BE}">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Kiren Nisar (2220781)</lastModifiedBy>
  <revision>2</revision>
  <dcterms:created xsi:type="dcterms:W3CDTF">2026-07-22T14:24:00.0000000Z</dcterms:created>
  <dcterms:modified xsi:type="dcterms:W3CDTF">2026-07-22T14:38:32.4610581Z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0a949cb8-f3e3-4d2b-9744-26be94deee8f</vt:lpwstr>
  </property>
</Properties>
</file>