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94DDD" w14:textId="3661AB61" w:rsidR="00F45C5A" w:rsidRPr="00034F05" w:rsidRDefault="00A82287" w:rsidP="00A82287">
      <w:pPr>
        <w:jc w:val="center"/>
        <w:rPr>
          <w:rFonts w:ascii="Times New Roman" w:hAnsi="Times New Roman" w:cs="Times New Roman"/>
          <w:b/>
          <w:bCs/>
          <w:sz w:val="32"/>
          <w:szCs w:val="32"/>
        </w:rPr>
      </w:pPr>
      <w:r>
        <w:rPr>
          <w:noProof/>
        </w:rPr>
        <w:drawing>
          <wp:inline distT="0" distB="0" distL="0" distR="0" wp14:anchorId="3969F4DA" wp14:editId="30E32A76">
            <wp:extent cx="2598420" cy="1516380"/>
            <wp:effectExtent l="0" t="0" r="0" b="7620"/>
            <wp:docPr id="1587123341"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23341" name="Picture 1" descr="university-of-wales-trinity-saint-david-logo-vector | ESRC ..."/>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8420" cy="1516380"/>
                    </a:xfrm>
                    <a:prstGeom prst="rect">
                      <a:avLst/>
                    </a:prstGeom>
                    <a:noFill/>
                    <a:ln>
                      <a:noFill/>
                    </a:ln>
                  </pic:spPr>
                </pic:pic>
              </a:graphicData>
            </a:graphic>
          </wp:inline>
        </w:drawing>
      </w:r>
    </w:p>
    <w:p w14:paraId="64C60BEA" w14:textId="377999BB" w:rsidR="00A82287" w:rsidRDefault="00F45C5A" w:rsidP="00A82287">
      <w:pPr>
        <w:jc w:val="center"/>
        <w:rPr>
          <w:rFonts w:ascii="Times New Roman" w:hAnsi="Times New Roman" w:cs="Times New Roman"/>
          <w:b/>
          <w:bCs/>
          <w:sz w:val="32"/>
          <w:szCs w:val="32"/>
        </w:rPr>
      </w:pPr>
      <w:r w:rsidRPr="00034F05">
        <w:rPr>
          <w:rFonts w:ascii="Times New Roman" w:hAnsi="Times New Roman" w:cs="Times New Roman"/>
          <w:b/>
          <w:bCs/>
          <w:sz w:val="32"/>
          <w:szCs w:val="32"/>
        </w:rPr>
        <w:t>Programme:</w:t>
      </w:r>
    </w:p>
    <w:p w14:paraId="766AF6A8" w14:textId="5BF86EF8" w:rsidR="00034F05" w:rsidRPr="00034F05" w:rsidRDefault="00F45C5A" w:rsidP="00A82287">
      <w:pPr>
        <w:jc w:val="center"/>
        <w:rPr>
          <w:rFonts w:ascii="Times New Roman" w:hAnsi="Times New Roman" w:cs="Times New Roman"/>
          <w:b/>
          <w:bCs/>
          <w:sz w:val="32"/>
          <w:szCs w:val="32"/>
        </w:rPr>
      </w:pPr>
      <w:r w:rsidRPr="00A82287">
        <w:rPr>
          <w:rFonts w:ascii="Times New Roman" w:hAnsi="Times New Roman" w:cs="Times New Roman"/>
          <w:sz w:val="32"/>
          <w:szCs w:val="32"/>
        </w:rPr>
        <w:t>Master of Business Administration</w:t>
      </w:r>
    </w:p>
    <w:p w14:paraId="69F32702" w14:textId="4F0B6304" w:rsidR="00A82287" w:rsidRDefault="00F45C5A" w:rsidP="00A82287">
      <w:pPr>
        <w:jc w:val="center"/>
        <w:rPr>
          <w:rFonts w:ascii="Times New Roman" w:hAnsi="Times New Roman" w:cs="Times New Roman"/>
          <w:b/>
          <w:bCs/>
          <w:sz w:val="32"/>
          <w:szCs w:val="32"/>
        </w:rPr>
      </w:pPr>
      <w:r w:rsidRPr="00034F05">
        <w:rPr>
          <w:rFonts w:ascii="Times New Roman" w:hAnsi="Times New Roman" w:cs="Times New Roman"/>
          <w:b/>
          <w:bCs/>
          <w:sz w:val="32"/>
          <w:szCs w:val="32"/>
        </w:rPr>
        <w:t>Module:</w:t>
      </w:r>
    </w:p>
    <w:p w14:paraId="2DADE39A" w14:textId="142701B8" w:rsidR="00F45C5A" w:rsidRDefault="00F45C5A" w:rsidP="00A82287">
      <w:pPr>
        <w:jc w:val="center"/>
        <w:rPr>
          <w:rFonts w:ascii="Times New Roman" w:hAnsi="Times New Roman" w:cs="Times New Roman"/>
          <w:b/>
          <w:bCs/>
          <w:sz w:val="32"/>
          <w:szCs w:val="32"/>
        </w:rPr>
      </w:pPr>
      <w:r w:rsidRPr="00A82287">
        <w:rPr>
          <w:rFonts w:ascii="Times New Roman" w:hAnsi="Times New Roman" w:cs="Times New Roman"/>
          <w:sz w:val="32"/>
          <w:szCs w:val="32"/>
        </w:rPr>
        <w:t>Financial Management</w:t>
      </w:r>
      <w:r w:rsidR="00A82287">
        <w:rPr>
          <w:rFonts w:ascii="Times New Roman" w:hAnsi="Times New Roman" w:cs="Times New Roman"/>
          <w:sz w:val="32"/>
          <w:szCs w:val="32"/>
        </w:rPr>
        <w:t xml:space="preserve"> | </w:t>
      </w:r>
      <w:r w:rsidR="00A82287" w:rsidRPr="00A82287">
        <w:rPr>
          <w:rFonts w:ascii="Times New Roman" w:hAnsi="Times New Roman" w:cs="Times New Roman"/>
          <w:sz w:val="32"/>
          <w:szCs w:val="32"/>
        </w:rPr>
        <w:t>Module code</w:t>
      </w:r>
      <w:r w:rsidR="00A82287" w:rsidRPr="00034F05">
        <w:rPr>
          <w:rFonts w:ascii="Times New Roman" w:hAnsi="Times New Roman" w:cs="Times New Roman"/>
          <w:b/>
          <w:bCs/>
          <w:sz w:val="32"/>
          <w:szCs w:val="32"/>
        </w:rPr>
        <w:t xml:space="preserve">: </w:t>
      </w:r>
      <w:r w:rsidR="00A82287" w:rsidRPr="00A82287">
        <w:rPr>
          <w:rFonts w:ascii="Times New Roman" w:hAnsi="Times New Roman" w:cs="Times New Roman"/>
          <w:sz w:val="32"/>
          <w:szCs w:val="32"/>
        </w:rPr>
        <w:t>LCMB7002</w:t>
      </w:r>
    </w:p>
    <w:p w14:paraId="57DE84B2" w14:textId="77777777" w:rsidR="00A82287" w:rsidRPr="00A82287" w:rsidRDefault="00A82287" w:rsidP="00A82287">
      <w:pPr>
        <w:jc w:val="center"/>
        <w:rPr>
          <w:rFonts w:ascii="Times New Roman" w:hAnsi="Times New Roman" w:cs="Times New Roman"/>
          <w:b/>
          <w:bCs/>
          <w:sz w:val="32"/>
          <w:szCs w:val="32"/>
          <w:lang w:val="en-US"/>
        </w:rPr>
      </w:pPr>
      <w:r w:rsidRPr="00A82287">
        <w:rPr>
          <w:rFonts w:ascii="Times New Roman" w:hAnsi="Times New Roman" w:cs="Times New Roman"/>
          <w:b/>
          <w:bCs/>
          <w:sz w:val="32"/>
          <w:szCs w:val="32"/>
          <w:lang w:val="en-US"/>
        </w:rPr>
        <w:t>Module Lecturer:</w:t>
      </w:r>
    </w:p>
    <w:p w14:paraId="7AABF85D" w14:textId="375E43F4" w:rsidR="00A82287" w:rsidRDefault="00A82287" w:rsidP="00A82287">
      <w:pPr>
        <w:jc w:val="center"/>
        <w:rPr>
          <w:rFonts w:ascii="Times New Roman" w:hAnsi="Times New Roman" w:cs="Times New Roman"/>
          <w:sz w:val="32"/>
          <w:szCs w:val="32"/>
          <w:lang w:val="en-US"/>
        </w:rPr>
      </w:pPr>
      <w:r w:rsidRPr="00A82287">
        <w:rPr>
          <w:rFonts w:ascii="Times New Roman" w:hAnsi="Times New Roman" w:cs="Times New Roman"/>
          <w:sz w:val="32"/>
          <w:szCs w:val="32"/>
          <w:lang w:val="en-US"/>
        </w:rPr>
        <w:t xml:space="preserve">Dr </w:t>
      </w:r>
      <w:r w:rsidRPr="00A82287">
        <w:rPr>
          <w:rFonts w:ascii="Times New Roman" w:hAnsi="Times New Roman" w:cs="Times New Roman"/>
          <w:sz w:val="32"/>
          <w:szCs w:val="32"/>
          <w:lang w:val="en-US"/>
        </w:rPr>
        <w:t>Shengfeng Mei</w:t>
      </w:r>
    </w:p>
    <w:p w14:paraId="6011CBE8" w14:textId="03B2268F" w:rsidR="00A82287" w:rsidRPr="00A82287" w:rsidRDefault="00A82287" w:rsidP="00A82287">
      <w:pPr>
        <w:jc w:val="center"/>
        <w:rPr>
          <w:rFonts w:ascii="Times New Roman" w:hAnsi="Times New Roman" w:cs="Times New Roman"/>
          <w:b/>
          <w:bCs/>
          <w:sz w:val="32"/>
          <w:szCs w:val="32"/>
          <w:lang w:val="en-US"/>
        </w:rPr>
      </w:pPr>
      <w:r w:rsidRPr="00A82287">
        <w:rPr>
          <w:rFonts w:ascii="Times New Roman" w:hAnsi="Times New Roman" w:cs="Times New Roman"/>
          <w:b/>
          <w:bCs/>
          <w:sz w:val="32"/>
          <w:szCs w:val="32"/>
          <w:lang w:val="en-US"/>
        </w:rPr>
        <w:t>Assignment Tittle:</w:t>
      </w:r>
    </w:p>
    <w:p w14:paraId="4193623F" w14:textId="69E3FAA9" w:rsidR="00A82287" w:rsidRPr="00A82287" w:rsidRDefault="00A82287" w:rsidP="00A82287">
      <w:pPr>
        <w:jc w:val="center"/>
        <w:rPr>
          <w:rFonts w:ascii="Times New Roman" w:hAnsi="Times New Roman" w:cs="Times New Roman"/>
          <w:sz w:val="32"/>
          <w:szCs w:val="32"/>
          <w:lang w:val="en-US"/>
        </w:rPr>
      </w:pPr>
      <w:r w:rsidRPr="00A82287">
        <w:rPr>
          <w:rFonts w:ascii="Times New Roman" w:hAnsi="Times New Roman" w:cs="Times New Roman"/>
          <w:sz w:val="32"/>
          <w:szCs w:val="32"/>
        </w:rPr>
        <w:t>Financial performance and management</w:t>
      </w:r>
    </w:p>
    <w:p w14:paraId="7C35B7F5" w14:textId="77777777" w:rsidR="00A82287" w:rsidRPr="00A82287" w:rsidRDefault="00A82287" w:rsidP="00A82287">
      <w:pPr>
        <w:jc w:val="center"/>
        <w:rPr>
          <w:rFonts w:ascii="Times New Roman" w:hAnsi="Times New Roman" w:cs="Times New Roman"/>
          <w:b/>
          <w:bCs/>
          <w:sz w:val="32"/>
          <w:szCs w:val="32"/>
          <w:lang w:val="en-US"/>
        </w:rPr>
      </w:pPr>
      <w:r w:rsidRPr="00A82287">
        <w:rPr>
          <w:rFonts w:ascii="Times New Roman" w:hAnsi="Times New Roman" w:cs="Times New Roman"/>
          <w:b/>
          <w:bCs/>
          <w:sz w:val="32"/>
          <w:szCs w:val="32"/>
          <w:lang w:val="en-US"/>
        </w:rPr>
        <w:t>Submitted by:</w:t>
      </w:r>
    </w:p>
    <w:p w14:paraId="33DF2D56" w14:textId="77777777" w:rsidR="00A82287" w:rsidRPr="00A82287" w:rsidRDefault="00A82287" w:rsidP="00A82287">
      <w:pPr>
        <w:jc w:val="center"/>
        <w:rPr>
          <w:rFonts w:ascii="Times New Roman" w:hAnsi="Times New Roman" w:cs="Times New Roman"/>
          <w:sz w:val="32"/>
          <w:szCs w:val="32"/>
          <w:lang w:val="en-US"/>
        </w:rPr>
      </w:pPr>
      <w:r w:rsidRPr="00A82287">
        <w:rPr>
          <w:rFonts w:ascii="Times New Roman" w:hAnsi="Times New Roman" w:cs="Times New Roman"/>
          <w:sz w:val="32"/>
          <w:szCs w:val="32"/>
          <w:lang w:val="en-US"/>
        </w:rPr>
        <w:t>[AJITH NAGARAJAN]</w:t>
      </w:r>
    </w:p>
    <w:p w14:paraId="13DB157C" w14:textId="77777777" w:rsidR="00A82287" w:rsidRPr="00A82287" w:rsidRDefault="00A82287" w:rsidP="00A82287">
      <w:pPr>
        <w:jc w:val="center"/>
        <w:rPr>
          <w:rFonts w:ascii="Times New Roman" w:hAnsi="Times New Roman" w:cs="Times New Roman"/>
          <w:b/>
          <w:bCs/>
          <w:sz w:val="32"/>
          <w:szCs w:val="32"/>
          <w:lang w:val="en-US"/>
        </w:rPr>
      </w:pPr>
      <w:r w:rsidRPr="00A82287">
        <w:rPr>
          <w:rFonts w:ascii="Times New Roman" w:hAnsi="Times New Roman" w:cs="Times New Roman"/>
          <w:b/>
          <w:bCs/>
          <w:sz w:val="32"/>
          <w:szCs w:val="32"/>
          <w:lang w:val="en-US"/>
        </w:rPr>
        <w:t xml:space="preserve">Student ID: </w:t>
      </w:r>
      <w:r w:rsidRPr="00A82287">
        <w:rPr>
          <w:rFonts w:ascii="Times New Roman" w:hAnsi="Times New Roman" w:cs="Times New Roman"/>
          <w:sz w:val="32"/>
          <w:szCs w:val="32"/>
          <w:lang w:val="en-US"/>
        </w:rPr>
        <w:t>[2525947]</w:t>
      </w:r>
    </w:p>
    <w:p w14:paraId="7D4D1E81" w14:textId="25C87B05" w:rsidR="00034F05" w:rsidRPr="00A82287" w:rsidRDefault="00A82287" w:rsidP="00A82287">
      <w:pPr>
        <w:jc w:val="center"/>
        <w:rPr>
          <w:rFonts w:ascii="Times New Roman" w:hAnsi="Times New Roman" w:cs="Times New Roman"/>
          <w:b/>
          <w:bCs/>
          <w:i/>
          <w:iCs/>
          <w:sz w:val="32"/>
          <w:szCs w:val="32"/>
          <w:lang w:val="en-US"/>
        </w:rPr>
      </w:pPr>
      <w:r w:rsidRPr="00A82287">
        <w:rPr>
          <w:rFonts w:ascii="Times New Roman" w:hAnsi="Times New Roman" w:cs="Times New Roman"/>
          <w:b/>
          <w:bCs/>
          <w:sz w:val="32"/>
          <w:szCs w:val="32"/>
          <w:lang w:val="en-US"/>
        </w:rPr>
        <w:t xml:space="preserve">Submission Date: </w:t>
      </w:r>
      <w:r w:rsidRPr="00A82287">
        <w:rPr>
          <w:rFonts w:ascii="Times New Roman" w:hAnsi="Times New Roman" w:cs="Times New Roman"/>
          <w:sz w:val="32"/>
          <w:szCs w:val="32"/>
          <w:lang w:val="en-US"/>
        </w:rPr>
        <w:t>2</w:t>
      </w:r>
      <w:r w:rsidRPr="00A82287">
        <w:rPr>
          <w:rFonts w:ascii="Times New Roman" w:hAnsi="Times New Roman" w:cs="Times New Roman"/>
          <w:sz w:val="32"/>
          <w:szCs w:val="32"/>
          <w:lang w:val="en-US"/>
        </w:rPr>
        <w:t>4</w:t>
      </w:r>
      <w:r w:rsidRPr="00A82287">
        <w:rPr>
          <w:rFonts w:ascii="Times New Roman" w:hAnsi="Times New Roman" w:cs="Times New Roman"/>
          <w:sz w:val="32"/>
          <w:szCs w:val="32"/>
          <w:lang w:val="en-US"/>
        </w:rPr>
        <w:t xml:space="preserve"> </w:t>
      </w:r>
      <w:r w:rsidRPr="00A82287">
        <w:rPr>
          <w:rFonts w:ascii="Times New Roman" w:hAnsi="Times New Roman" w:cs="Times New Roman"/>
          <w:sz w:val="32"/>
          <w:szCs w:val="32"/>
          <w:lang w:val="en-US"/>
        </w:rPr>
        <w:t>April</w:t>
      </w:r>
      <w:r w:rsidRPr="00A82287">
        <w:rPr>
          <w:rFonts w:ascii="Times New Roman" w:hAnsi="Times New Roman" w:cs="Times New Roman"/>
          <w:sz w:val="32"/>
          <w:szCs w:val="32"/>
          <w:lang w:val="en-US"/>
        </w:rPr>
        <w:t xml:space="preserve"> 2026</w:t>
      </w:r>
    </w:p>
    <w:p w14:paraId="3A54CA32" w14:textId="67FCE46D" w:rsidR="00034F05" w:rsidRPr="00034F05" w:rsidRDefault="00034F05" w:rsidP="00F45C5A">
      <w:pPr>
        <w:jc w:val="center"/>
        <w:rPr>
          <w:rFonts w:ascii="Times New Roman" w:hAnsi="Times New Roman" w:cs="Times New Roman"/>
          <w:b/>
          <w:bCs/>
          <w:i/>
          <w:sz w:val="32"/>
          <w:szCs w:val="32"/>
          <w:u w:val="single"/>
        </w:rPr>
      </w:pPr>
      <w:r w:rsidRPr="00034F05">
        <w:rPr>
          <w:rFonts w:ascii="Times New Roman" w:hAnsi="Times New Roman" w:cs="Times New Roman"/>
          <w:b/>
          <w:bCs/>
          <w:i/>
          <w:sz w:val="32"/>
          <w:szCs w:val="32"/>
          <w:u w:val="single"/>
        </w:rPr>
        <w:t>Company Chosen for Financial Analysis</w:t>
      </w:r>
    </w:p>
    <w:p w14:paraId="084B3778" w14:textId="17242C56" w:rsidR="006C2C18" w:rsidRPr="00A82287" w:rsidRDefault="00034F05" w:rsidP="00A82287">
      <w:pPr>
        <w:jc w:val="center"/>
        <w:rPr>
          <w:rFonts w:ascii="Times New Roman" w:hAnsi="Times New Roman" w:cs="Times New Roman"/>
          <w:sz w:val="32"/>
          <w:szCs w:val="32"/>
        </w:rPr>
      </w:pPr>
      <w:r w:rsidRPr="00034F05">
        <w:rPr>
          <w:rFonts w:ascii="Times New Roman" w:hAnsi="Times New Roman" w:cs="Times New Roman"/>
          <w:noProof/>
          <w:lang w:val="en-US"/>
        </w:rPr>
        <w:drawing>
          <wp:inline distT="0" distB="0" distL="0" distR="0" wp14:anchorId="764E3E9C" wp14:editId="038F8414">
            <wp:extent cx="2667000" cy="1714500"/>
            <wp:effectExtent l="0" t="0" r="0" b="0"/>
            <wp:docPr id="1" name="Picture 1" descr="What Does the Hyundai Logo Mean? | Hyundai Meaning | Hyundai Sai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Does the Hyundai Logo Mean? | Hyundai Meaning | Hyundai Saip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a:ln>
                      <a:noFill/>
                    </a:ln>
                  </pic:spPr>
                </pic:pic>
              </a:graphicData>
            </a:graphic>
          </wp:inline>
        </w:drawing>
      </w:r>
    </w:p>
    <w:p w14:paraId="173FC18F" w14:textId="211F436E" w:rsidR="006C2C18" w:rsidRPr="00034F05" w:rsidRDefault="006C2C18" w:rsidP="006C2C18">
      <w:pPr>
        <w:rPr>
          <w:rFonts w:ascii="Times New Roman" w:hAnsi="Times New Roman" w:cs="Times New Roman"/>
          <w:sz w:val="24"/>
          <w:szCs w:val="24"/>
        </w:rPr>
      </w:pPr>
    </w:p>
    <w:p w14:paraId="476A974C" w14:textId="5DB04A1A" w:rsidR="00034F05" w:rsidRPr="00034F05" w:rsidRDefault="00034F05" w:rsidP="00034F05">
      <w:pPr>
        <w:pStyle w:val="Heading1"/>
        <w:rPr>
          <w:rFonts w:cs="Times New Roman"/>
        </w:rPr>
      </w:pPr>
      <w:bookmarkStart w:id="0" w:name="_Toc227924950"/>
      <w:r w:rsidRPr="00034F05">
        <w:rPr>
          <w:rFonts w:cs="Times New Roman"/>
        </w:rPr>
        <w:t>Table of Contents</w:t>
      </w:r>
      <w:bookmarkEnd w:id="0"/>
    </w:p>
    <w:p w14:paraId="238C93AE" w14:textId="7EDA1940"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r w:rsidRPr="00034F05">
        <w:rPr>
          <w:rFonts w:ascii="Times New Roman" w:hAnsi="Times New Roman" w:cs="Times New Roman"/>
          <w:sz w:val="24"/>
          <w:szCs w:val="24"/>
        </w:rPr>
        <w:fldChar w:fldCharType="begin"/>
      </w:r>
      <w:r w:rsidRPr="00034F05">
        <w:rPr>
          <w:rFonts w:ascii="Times New Roman" w:hAnsi="Times New Roman" w:cs="Times New Roman"/>
          <w:sz w:val="24"/>
          <w:szCs w:val="24"/>
        </w:rPr>
        <w:instrText xml:space="preserve"> TOC \o "1-5" \h \z \u </w:instrText>
      </w:r>
      <w:r w:rsidRPr="00034F05">
        <w:rPr>
          <w:rFonts w:ascii="Times New Roman" w:hAnsi="Times New Roman" w:cs="Times New Roman"/>
          <w:sz w:val="24"/>
          <w:szCs w:val="24"/>
        </w:rPr>
        <w:fldChar w:fldCharType="separate"/>
      </w:r>
      <w:hyperlink w:anchor="_Toc227924950" w:history="1">
        <w:r w:rsidRPr="00034F05">
          <w:rPr>
            <w:rStyle w:val="Hyperlink"/>
            <w:rFonts w:ascii="Times New Roman" w:hAnsi="Times New Roman" w:cs="Times New Roman"/>
            <w:noProof/>
          </w:rPr>
          <w:t>Table of Contents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w:t>
        </w:r>
        <w:r w:rsidRPr="00034F05">
          <w:rPr>
            <w:rFonts w:ascii="Times New Roman" w:hAnsi="Times New Roman" w:cs="Times New Roman"/>
            <w:noProof/>
            <w:webHidden/>
          </w:rPr>
          <w:fldChar w:fldCharType="end"/>
        </w:r>
      </w:hyperlink>
    </w:p>
    <w:p w14:paraId="630A3DDF" w14:textId="080AE94E"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51" w:history="1">
        <w:r w:rsidRPr="00034F05">
          <w:rPr>
            <w:rStyle w:val="Hyperlink"/>
            <w:rFonts w:ascii="Times New Roman" w:eastAsia="Times New Roman" w:hAnsi="Times New Roman" w:cs="Times New Roman"/>
            <w:noProof/>
            <w:lang w:eastAsia="en-GB"/>
          </w:rPr>
          <w:t>1. Introduction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4</w:t>
        </w:r>
        <w:r w:rsidRPr="00034F05">
          <w:rPr>
            <w:rFonts w:ascii="Times New Roman" w:hAnsi="Times New Roman" w:cs="Times New Roman"/>
            <w:noProof/>
            <w:webHidden/>
          </w:rPr>
          <w:fldChar w:fldCharType="end"/>
        </w:r>
      </w:hyperlink>
    </w:p>
    <w:p w14:paraId="1AF46EAD" w14:textId="306CD406"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52" w:history="1">
        <w:r w:rsidRPr="00034F05">
          <w:rPr>
            <w:rStyle w:val="Hyperlink"/>
            <w:rFonts w:ascii="Times New Roman" w:eastAsia="Times New Roman" w:hAnsi="Times New Roman" w:cs="Times New Roman"/>
            <w:noProof/>
            <w:lang w:eastAsia="en-GB"/>
          </w:rPr>
          <w:t>2.2 Ratio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4</w:t>
        </w:r>
        <w:r w:rsidRPr="00034F05">
          <w:rPr>
            <w:rFonts w:ascii="Times New Roman" w:hAnsi="Times New Roman" w:cs="Times New Roman"/>
            <w:noProof/>
            <w:webHidden/>
          </w:rPr>
          <w:fldChar w:fldCharType="end"/>
        </w:r>
      </w:hyperlink>
    </w:p>
    <w:p w14:paraId="2E46B472" w14:textId="16CD4687"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3" w:history="1">
        <w:r w:rsidRPr="00034F05">
          <w:rPr>
            <w:rStyle w:val="Hyperlink"/>
            <w:rFonts w:ascii="Times New Roman" w:eastAsia="Times New Roman" w:hAnsi="Times New Roman" w:cs="Times New Roman"/>
            <w:noProof/>
            <w:lang w:eastAsia="en-GB"/>
          </w:rPr>
          <w:t>2.2.1 Profitability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4</w:t>
        </w:r>
        <w:r w:rsidRPr="00034F05">
          <w:rPr>
            <w:rFonts w:ascii="Times New Roman" w:hAnsi="Times New Roman" w:cs="Times New Roman"/>
            <w:noProof/>
            <w:webHidden/>
          </w:rPr>
          <w:fldChar w:fldCharType="end"/>
        </w:r>
      </w:hyperlink>
    </w:p>
    <w:p w14:paraId="69854BD5" w14:textId="4A3E5BC3"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4" w:history="1">
        <w:r w:rsidRPr="00034F05">
          <w:rPr>
            <w:rStyle w:val="Hyperlink"/>
            <w:rFonts w:ascii="Times New Roman" w:eastAsia="Times New Roman" w:hAnsi="Times New Roman" w:cs="Times New Roman"/>
            <w:noProof/>
            <w:lang w:eastAsia="en-GB"/>
          </w:rPr>
          <w:t>2.2.2 Liquidity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_Toc227924954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5</w:t>
        </w:r>
        <w:r w:rsidRPr="00034F05">
          <w:rPr>
            <w:rFonts w:ascii="Times New Roman" w:hAnsi="Times New Roman" w:cs="Times New Roman"/>
            <w:noProof/>
            <w:webHidden/>
          </w:rPr>
          <w:fldChar w:fldCharType="end"/>
        </w:r>
      </w:hyperlink>
    </w:p>
    <w:p w14:paraId="39BB2317" w14:textId="717E2510"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5" w:history="1">
        <w:r w:rsidRPr="00034F05">
          <w:rPr>
            <w:rStyle w:val="Hyperlink"/>
            <w:rFonts w:ascii="Times New Roman" w:eastAsia="Times New Roman" w:hAnsi="Times New Roman" w:cs="Times New Roman"/>
            <w:noProof/>
            <w:lang w:eastAsia="en-GB"/>
          </w:rPr>
          <w:t>2.2.3 Efficiency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_Toc227924955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6</w:t>
        </w:r>
        <w:r w:rsidRPr="00034F05">
          <w:rPr>
            <w:rFonts w:ascii="Times New Roman" w:hAnsi="Times New Roman" w:cs="Times New Roman"/>
            <w:noProof/>
            <w:webHidden/>
          </w:rPr>
          <w:fldChar w:fldCharType="end"/>
        </w:r>
      </w:hyperlink>
    </w:p>
    <w:p w14:paraId="5B3DF4BB" w14:textId="2FDEEA9F"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6" w:history="1">
        <w:r w:rsidRPr="00034F05">
          <w:rPr>
            <w:rStyle w:val="Hyperlink"/>
            <w:rFonts w:ascii="Times New Roman" w:eastAsia="Times New Roman" w:hAnsi="Times New Roman" w:cs="Times New Roman"/>
            <w:noProof/>
            <w:lang w:eastAsia="en-GB"/>
          </w:rPr>
          <w:t>2.2.4 Gearing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_Toc227924956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6</w:t>
        </w:r>
        <w:r w:rsidRPr="00034F05">
          <w:rPr>
            <w:rFonts w:ascii="Times New Roman" w:hAnsi="Times New Roman" w:cs="Times New Roman"/>
            <w:noProof/>
            <w:webHidden/>
          </w:rPr>
          <w:fldChar w:fldCharType="end"/>
        </w:r>
      </w:hyperlink>
    </w:p>
    <w:p w14:paraId="72E29FCB" w14:textId="7EE32748"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7" w:history="1">
        <w:r w:rsidRPr="00034F05">
          <w:rPr>
            <w:rStyle w:val="Hyperlink"/>
            <w:rFonts w:ascii="Times New Roman" w:eastAsia="Times New Roman" w:hAnsi="Times New Roman" w:cs="Times New Roman"/>
            <w:noProof/>
            <w:lang w:eastAsia="en-GB"/>
          </w:rPr>
          <w:t>2.2.5 Investment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_Toc227924957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7</w:t>
        </w:r>
        <w:r w:rsidRPr="00034F05">
          <w:rPr>
            <w:rFonts w:ascii="Times New Roman" w:hAnsi="Times New Roman" w:cs="Times New Roman"/>
            <w:noProof/>
            <w:webHidden/>
          </w:rPr>
          <w:fldChar w:fldCharType="end"/>
        </w:r>
      </w:hyperlink>
    </w:p>
    <w:p w14:paraId="7B19243B" w14:textId="611FA0A4"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8" w:history="1">
        <w:r w:rsidRPr="00034F05">
          <w:rPr>
            <w:rStyle w:val="Hyperlink"/>
            <w:rFonts w:ascii="Times New Roman" w:eastAsia="Times New Roman" w:hAnsi="Times New Roman" w:cs="Times New Roman"/>
            <w:noProof/>
            <w:lang w:eastAsia="en-GB"/>
          </w:rPr>
          <w:t>2.2.6 Cash Flow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_Toc227924958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7</w:t>
        </w:r>
        <w:r w:rsidRPr="00034F05">
          <w:rPr>
            <w:rFonts w:ascii="Times New Roman" w:hAnsi="Times New Roman" w:cs="Times New Roman"/>
            <w:noProof/>
            <w:webHidden/>
          </w:rPr>
          <w:fldChar w:fldCharType="end"/>
        </w:r>
      </w:hyperlink>
    </w:p>
    <w:p w14:paraId="0E8FE472" w14:textId="1E921E51"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59" w:history="1">
        <w:r w:rsidRPr="00034F05">
          <w:rPr>
            <w:rStyle w:val="Hyperlink"/>
            <w:rFonts w:ascii="Times New Roman" w:eastAsiaTheme="majorEastAsia" w:hAnsi="Times New Roman" w:cs="Times New Roman"/>
            <w:b/>
            <w:noProof/>
            <w:lang w:eastAsia="en-GB"/>
          </w:rPr>
          <w:t>2.3 Trend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_Toc227924959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7</w:t>
        </w:r>
        <w:r w:rsidRPr="00034F05">
          <w:rPr>
            <w:rFonts w:ascii="Times New Roman" w:hAnsi="Times New Roman" w:cs="Times New Roman"/>
            <w:noProof/>
            <w:webHidden/>
          </w:rPr>
          <w:fldChar w:fldCharType="end"/>
        </w:r>
      </w:hyperlink>
    </w:p>
    <w:p w14:paraId="413BAA61" w14:textId="4803C5CF"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60" w:history="1">
        <w:r w:rsidRPr="00034F05">
          <w:rPr>
            <w:rStyle w:val="Hyperlink"/>
            <w:rFonts w:ascii="Times New Roman" w:eastAsia="Times New Roman" w:hAnsi="Times New Roman" w:cs="Times New Roman"/>
            <w:noProof/>
            <w:lang w:eastAsia="en-GB"/>
          </w:rPr>
          <w:t>2.4 Strengths and Weaknesses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8</w:t>
        </w:r>
        <w:r w:rsidRPr="00034F05">
          <w:rPr>
            <w:rFonts w:ascii="Times New Roman" w:hAnsi="Times New Roman" w:cs="Times New Roman"/>
            <w:noProof/>
            <w:webHidden/>
          </w:rPr>
          <w:fldChar w:fldCharType="end"/>
        </w:r>
      </w:hyperlink>
    </w:p>
    <w:p w14:paraId="29041139" w14:textId="421D9F80"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61" w:history="1">
        <w:r w:rsidRPr="00034F05">
          <w:rPr>
            <w:rStyle w:val="Hyperlink"/>
            <w:rFonts w:ascii="Times New Roman" w:hAnsi="Times New Roman" w:cs="Times New Roman"/>
            <w:noProof/>
          </w:rPr>
          <w:t>3. Working Capital Management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9</w:t>
        </w:r>
        <w:r w:rsidRPr="00034F05">
          <w:rPr>
            <w:rFonts w:ascii="Times New Roman" w:hAnsi="Times New Roman" w:cs="Times New Roman"/>
            <w:noProof/>
            <w:webHidden/>
          </w:rPr>
          <w:fldChar w:fldCharType="end"/>
        </w:r>
      </w:hyperlink>
    </w:p>
    <w:p w14:paraId="1C158436" w14:textId="7F56FD36"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62" w:history="1">
        <w:r w:rsidRPr="00034F05">
          <w:rPr>
            <w:rStyle w:val="Hyperlink"/>
            <w:rFonts w:ascii="Times New Roman" w:eastAsia="Times New Roman" w:hAnsi="Times New Roman" w:cs="Times New Roman"/>
            <w:noProof/>
            <w:lang w:eastAsia="en-GB"/>
          </w:rPr>
          <w:t>3.1 Cash Operating Cycle (CCC)</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9</w:t>
        </w:r>
        <w:r w:rsidRPr="00034F05">
          <w:rPr>
            <w:rFonts w:ascii="Times New Roman" w:hAnsi="Times New Roman" w:cs="Times New Roman"/>
            <w:noProof/>
            <w:webHidden/>
          </w:rPr>
          <w:fldChar w:fldCharType="end"/>
        </w:r>
      </w:hyperlink>
    </w:p>
    <w:p w14:paraId="007DD08E" w14:textId="7C140210"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63" w:history="1">
        <w:r w:rsidRPr="00034F05">
          <w:rPr>
            <w:rStyle w:val="Hyperlink"/>
            <w:rFonts w:ascii="Times New Roman" w:eastAsia="Times New Roman" w:hAnsi="Times New Roman" w:cs="Times New Roman"/>
            <w:noProof/>
            <w:lang w:eastAsia="en-GB"/>
          </w:rPr>
          <w:t>3.2 Evaluation of Current Working Capital Position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9</w:t>
        </w:r>
        <w:r w:rsidRPr="00034F05">
          <w:rPr>
            <w:rFonts w:ascii="Times New Roman" w:hAnsi="Times New Roman" w:cs="Times New Roman"/>
            <w:noProof/>
            <w:webHidden/>
          </w:rPr>
          <w:fldChar w:fldCharType="end"/>
        </w:r>
      </w:hyperlink>
    </w:p>
    <w:p w14:paraId="75B68F41" w14:textId="4F7C9490"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64" w:history="1">
        <w:r w:rsidRPr="00034F05">
          <w:rPr>
            <w:rStyle w:val="Hyperlink"/>
            <w:rFonts w:ascii="Times New Roman" w:eastAsia="Times New Roman" w:hAnsi="Times New Roman" w:cs="Times New Roman"/>
            <w:noProof/>
            <w:lang w:eastAsia="en-GB"/>
          </w:rPr>
          <w:t>3.3 Recommendations for Improvement</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_Toc227924964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10</w:t>
        </w:r>
        <w:r w:rsidRPr="00034F05">
          <w:rPr>
            <w:rFonts w:ascii="Times New Roman" w:hAnsi="Times New Roman" w:cs="Times New Roman"/>
            <w:noProof/>
            <w:webHidden/>
          </w:rPr>
          <w:fldChar w:fldCharType="end"/>
        </w:r>
      </w:hyperlink>
    </w:p>
    <w:p w14:paraId="77A2AF3D" w14:textId="52CB33BD"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65" w:history="1">
        <w:r w:rsidRPr="00034F05">
          <w:rPr>
            <w:rStyle w:val="Hyperlink"/>
            <w:rFonts w:ascii="Times New Roman" w:eastAsia="Times New Roman" w:hAnsi="Times New Roman" w:cs="Times New Roman"/>
            <w:noProof/>
            <w:lang w:eastAsia="en-GB"/>
          </w:rPr>
          <w:t>1.</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Inventory Management Strategies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_Toc227924965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10</w:t>
        </w:r>
        <w:r w:rsidRPr="00034F05">
          <w:rPr>
            <w:rFonts w:ascii="Times New Roman" w:hAnsi="Times New Roman" w:cs="Times New Roman"/>
            <w:noProof/>
            <w:webHidden/>
          </w:rPr>
          <w:fldChar w:fldCharType="end"/>
        </w:r>
      </w:hyperlink>
    </w:p>
    <w:p w14:paraId="3729C1DA" w14:textId="6E821936"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66" w:history="1">
        <w:r w:rsidRPr="00034F05">
          <w:rPr>
            <w:rStyle w:val="Hyperlink"/>
            <w:rFonts w:ascii="Times New Roman" w:eastAsia="Times New Roman" w:hAnsi="Times New Roman" w:cs="Times New Roman"/>
            <w:noProof/>
            <w:lang w:eastAsia="en-GB"/>
          </w:rPr>
          <w:t>2.</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Credit Control Policies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_Toc227924966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10</w:t>
        </w:r>
        <w:r w:rsidRPr="00034F05">
          <w:rPr>
            <w:rFonts w:ascii="Times New Roman" w:hAnsi="Times New Roman" w:cs="Times New Roman"/>
            <w:noProof/>
            <w:webHidden/>
          </w:rPr>
          <w:fldChar w:fldCharType="end"/>
        </w:r>
      </w:hyperlink>
    </w:p>
    <w:p w14:paraId="57FEAA6D" w14:textId="09DA73DB"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67" w:history="1">
        <w:r w:rsidRPr="00034F05">
          <w:rPr>
            <w:rStyle w:val="Hyperlink"/>
            <w:rFonts w:ascii="Times New Roman" w:eastAsia="Times New Roman" w:hAnsi="Times New Roman" w:cs="Times New Roman"/>
            <w:noProof/>
            <w:lang w:eastAsia="en-GB"/>
          </w:rPr>
          <w:t>3.</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Supplier Negotiation Strategies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_Toc227924967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11</w:t>
        </w:r>
        <w:r w:rsidRPr="00034F05">
          <w:rPr>
            <w:rFonts w:ascii="Times New Roman" w:hAnsi="Times New Roman" w:cs="Times New Roman"/>
            <w:noProof/>
            <w:webHidden/>
          </w:rPr>
          <w:fldChar w:fldCharType="end"/>
        </w:r>
      </w:hyperlink>
    </w:p>
    <w:p w14:paraId="5FDCF675" w14:textId="43D4E122"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68" w:history="1">
        <w:r w:rsidRPr="00034F05">
          <w:rPr>
            <w:rStyle w:val="Hyperlink"/>
            <w:rFonts w:ascii="Times New Roman" w:eastAsia="Times New Roman" w:hAnsi="Times New Roman" w:cs="Times New Roman"/>
            <w:noProof/>
            <w:lang w:eastAsia="en-GB"/>
          </w:rPr>
          <w:t>3.4 Financing Options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_Toc227924968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11</w:t>
        </w:r>
        <w:r w:rsidRPr="00034F05">
          <w:rPr>
            <w:rFonts w:ascii="Times New Roman" w:hAnsi="Times New Roman" w:cs="Times New Roman"/>
            <w:noProof/>
            <w:webHidden/>
          </w:rPr>
          <w:fldChar w:fldCharType="end"/>
        </w:r>
      </w:hyperlink>
    </w:p>
    <w:p w14:paraId="3AE7BEB2" w14:textId="71BC3554"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69" w:history="1">
        <w:r w:rsidRPr="00034F05">
          <w:rPr>
            <w:rStyle w:val="Hyperlink"/>
            <w:rFonts w:ascii="Times New Roman" w:eastAsia="Times New Roman" w:hAnsi="Times New Roman" w:cs="Times New Roman"/>
            <w:noProof/>
            <w:lang w:eastAsia="en-GB"/>
          </w:rPr>
          <w:t>a)</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Short-Term Financing</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_Toc227924969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11</w:t>
        </w:r>
        <w:r w:rsidRPr="00034F05">
          <w:rPr>
            <w:rFonts w:ascii="Times New Roman" w:hAnsi="Times New Roman" w:cs="Times New Roman"/>
            <w:noProof/>
            <w:webHidden/>
          </w:rPr>
          <w:fldChar w:fldCharType="end"/>
        </w:r>
      </w:hyperlink>
    </w:p>
    <w:p w14:paraId="678B847C" w14:textId="6C1F2A11"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70" w:history="1">
        <w:r w:rsidRPr="00034F05">
          <w:rPr>
            <w:rStyle w:val="Hyperlink"/>
            <w:rFonts w:ascii="Times New Roman" w:eastAsia="Times New Roman" w:hAnsi="Times New Roman" w:cs="Times New Roman"/>
            <w:noProof/>
            <w:lang w:eastAsia="en-GB"/>
          </w:rPr>
          <w:t>b)</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Long-Term Financing</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11</w:t>
        </w:r>
        <w:r w:rsidRPr="00034F05">
          <w:rPr>
            <w:rFonts w:ascii="Times New Roman" w:hAnsi="Times New Roman" w:cs="Times New Roman"/>
            <w:noProof/>
            <w:webHidden/>
          </w:rPr>
          <w:fldChar w:fldCharType="end"/>
        </w:r>
      </w:hyperlink>
    </w:p>
    <w:p w14:paraId="6E66705F" w14:textId="5D9EF36D"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71" w:history="1">
        <w:r w:rsidRPr="00034F05">
          <w:rPr>
            <w:rStyle w:val="Hyperlink"/>
            <w:rFonts w:ascii="Times New Roman" w:eastAsia="Times New Roman" w:hAnsi="Times New Roman" w:cs="Times New Roman"/>
            <w:noProof/>
            <w:lang w:eastAsia="en-GB"/>
          </w:rPr>
          <w:t>3.5 Critical Comparison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11</w:t>
        </w:r>
        <w:r w:rsidRPr="00034F05">
          <w:rPr>
            <w:rFonts w:ascii="Times New Roman" w:hAnsi="Times New Roman" w:cs="Times New Roman"/>
            <w:noProof/>
            <w:webHidden/>
          </w:rPr>
          <w:fldChar w:fldCharType="end"/>
        </w:r>
      </w:hyperlink>
    </w:p>
    <w:p w14:paraId="6AF1D8DB" w14:textId="048FB1B1"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72" w:history="1">
        <w:r w:rsidRPr="00034F05">
          <w:rPr>
            <w:rStyle w:val="Hyperlink"/>
            <w:rFonts w:ascii="Times New Roman" w:eastAsia="Times New Roman" w:hAnsi="Times New Roman" w:cs="Times New Roman"/>
            <w:noProof/>
            <w:lang w:eastAsia="en-GB"/>
          </w:rPr>
          <w:t>4. Strategic Financial Restructuring Plan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12</w:t>
        </w:r>
        <w:r w:rsidRPr="00034F05">
          <w:rPr>
            <w:rFonts w:ascii="Times New Roman" w:hAnsi="Times New Roman" w:cs="Times New Roman"/>
            <w:noProof/>
            <w:webHidden/>
          </w:rPr>
          <w:fldChar w:fldCharType="end"/>
        </w:r>
      </w:hyperlink>
    </w:p>
    <w:p w14:paraId="5B193C92" w14:textId="4C184359"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73" w:history="1">
        <w:r w:rsidRPr="00034F05">
          <w:rPr>
            <w:rStyle w:val="Hyperlink"/>
            <w:rFonts w:ascii="Times New Roman" w:eastAsia="Times New Roman" w:hAnsi="Times New Roman" w:cs="Times New Roman"/>
            <w:noProof/>
            <w:lang w:eastAsia="en-GB"/>
          </w:rPr>
          <w:t>4.1 Identification of Financial Issues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12</w:t>
        </w:r>
        <w:r w:rsidRPr="00034F05">
          <w:rPr>
            <w:rFonts w:ascii="Times New Roman" w:hAnsi="Times New Roman" w:cs="Times New Roman"/>
            <w:noProof/>
            <w:webHidden/>
          </w:rPr>
          <w:fldChar w:fldCharType="end"/>
        </w:r>
      </w:hyperlink>
    </w:p>
    <w:p w14:paraId="7235A658" w14:textId="262DDC3E"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74" w:history="1">
        <w:r w:rsidRPr="00034F05">
          <w:rPr>
            <w:rStyle w:val="Hyperlink"/>
            <w:rFonts w:ascii="Times New Roman" w:eastAsia="Times New Roman" w:hAnsi="Times New Roman" w:cs="Times New Roman"/>
            <w:noProof/>
            <w:lang w:eastAsia="en-GB"/>
          </w:rPr>
          <w:t>4.2 Restructuring Options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_Toc227924974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13</w:t>
        </w:r>
        <w:r w:rsidRPr="00034F05">
          <w:rPr>
            <w:rFonts w:ascii="Times New Roman" w:hAnsi="Times New Roman" w:cs="Times New Roman"/>
            <w:noProof/>
            <w:webHidden/>
          </w:rPr>
          <w:fldChar w:fldCharType="end"/>
        </w:r>
      </w:hyperlink>
    </w:p>
    <w:p w14:paraId="0F3B8119" w14:textId="6273BABB"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75" w:history="1">
        <w:r w:rsidRPr="00034F05">
          <w:rPr>
            <w:rStyle w:val="Hyperlink"/>
            <w:rFonts w:ascii="Times New Roman" w:eastAsia="Times New Roman" w:hAnsi="Times New Roman" w:cs="Times New Roman"/>
            <w:noProof/>
            <w:lang w:eastAsia="en-GB"/>
          </w:rPr>
          <w:t>1.</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Divestiture (Selling Non-Core Assets)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_Toc227924975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13</w:t>
        </w:r>
        <w:r w:rsidRPr="00034F05">
          <w:rPr>
            <w:rFonts w:ascii="Times New Roman" w:hAnsi="Times New Roman" w:cs="Times New Roman"/>
            <w:noProof/>
            <w:webHidden/>
          </w:rPr>
          <w:fldChar w:fldCharType="end"/>
        </w:r>
      </w:hyperlink>
    </w:p>
    <w:p w14:paraId="78D44AC2" w14:textId="6B518754"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76" w:history="1">
        <w:r w:rsidRPr="00034F05">
          <w:rPr>
            <w:rStyle w:val="Hyperlink"/>
            <w:rFonts w:ascii="Times New Roman" w:eastAsia="Times New Roman" w:hAnsi="Times New Roman" w:cs="Times New Roman"/>
            <w:noProof/>
            <w:lang w:eastAsia="en-GB"/>
          </w:rPr>
          <w:t>2.</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Acquisition and Mergers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_Toc227924976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13</w:t>
        </w:r>
        <w:r w:rsidRPr="00034F05">
          <w:rPr>
            <w:rFonts w:ascii="Times New Roman" w:hAnsi="Times New Roman" w:cs="Times New Roman"/>
            <w:noProof/>
            <w:webHidden/>
          </w:rPr>
          <w:fldChar w:fldCharType="end"/>
        </w:r>
      </w:hyperlink>
    </w:p>
    <w:p w14:paraId="0344FAE7" w14:textId="000D7281"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77" w:history="1">
        <w:r w:rsidRPr="00034F05">
          <w:rPr>
            <w:rStyle w:val="Hyperlink"/>
            <w:rFonts w:ascii="Times New Roman" w:eastAsia="Times New Roman" w:hAnsi="Times New Roman" w:cs="Times New Roman"/>
            <w:noProof/>
            <w:lang w:eastAsia="en-GB"/>
          </w:rPr>
          <w:t>3.</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Equity Injection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_Toc227924977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13</w:t>
        </w:r>
        <w:r w:rsidRPr="00034F05">
          <w:rPr>
            <w:rFonts w:ascii="Times New Roman" w:hAnsi="Times New Roman" w:cs="Times New Roman"/>
            <w:noProof/>
            <w:webHidden/>
          </w:rPr>
          <w:fldChar w:fldCharType="end"/>
        </w:r>
      </w:hyperlink>
    </w:p>
    <w:p w14:paraId="085A1E4D" w14:textId="357A292B"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78" w:history="1">
        <w:r w:rsidRPr="00034F05">
          <w:rPr>
            <w:rStyle w:val="Hyperlink"/>
            <w:rFonts w:ascii="Times New Roman" w:eastAsia="Times New Roman" w:hAnsi="Times New Roman" w:cs="Times New Roman"/>
            <w:noProof/>
            <w:lang w:eastAsia="en-GB"/>
          </w:rPr>
          <w:t>4.3 Impact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_Toc227924978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14</w:t>
        </w:r>
        <w:r w:rsidRPr="00034F05">
          <w:rPr>
            <w:rFonts w:ascii="Times New Roman" w:hAnsi="Times New Roman" w:cs="Times New Roman"/>
            <w:noProof/>
            <w:webHidden/>
          </w:rPr>
          <w:fldChar w:fldCharType="end"/>
        </w:r>
      </w:hyperlink>
    </w:p>
    <w:p w14:paraId="0449342A" w14:textId="275DEEAE"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79" w:history="1">
        <w:r w:rsidRPr="00034F05">
          <w:rPr>
            <w:rStyle w:val="Hyperlink"/>
            <w:rFonts w:ascii="Times New Roman" w:eastAsia="Times New Roman" w:hAnsi="Times New Roman" w:cs="Times New Roman"/>
            <w:noProof/>
            <w:lang w:eastAsia="en-GB"/>
          </w:rPr>
          <w:t>1.</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Shareholder Value</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_Toc227924979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14</w:t>
        </w:r>
        <w:r w:rsidRPr="00034F05">
          <w:rPr>
            <w:rFonts w:ascii="Times New Roman" w:hAnsi="Times New Roman" w:cs="Times New Roman"/>
            <w:noProof/>
            <w:webHidden/>
          </w:rPr>
          <w:fldChar w:fldCharType="end"/>
        </w:r>
      </w:hyperlink>
    </w:p>
    <w:p w14:paraId="0762DE9B" w14:textId="1C7A5E98"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0" w:history="1">
        <w:r w:rsidRPr="00034F05">
          <w:rPr>
            <w:rStyle w:val="Hyperlink"/>
            <w:rFonts w:ascii="Times New Roman" w:eastAsia="Times New Roman" w:hAnsi="Times New Roman" w:cs="Times New Roman"/>
            <w:noProof/>
            <w:lang w:eastAsia="en-GB"/>
          </w:rPr>
          <w:t>2.</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Capital Structure</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14</w:t>
        </w:r>
        <w:r w:rsidRPr="00034F05">
          <w:rPr>
            <w:rFonts w:ascii="Times New Roman" w:hAnsi="Times New Roman" w:cs="Times New Roman"/>
            <w:noProof/>
            <w:webHidden/>
          </w:rPr>
          <w:fldChar w:fldCharType="end"/>
        </w:r>
      </w:hyperlink>
    </w:p>
    <w:p w14:paraId="7702A318" w14:textId="1D3BE55D"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1" w:history="1">
        <w:r w:rsidRPr="00034F05">
          <w:rPr>
            <w:rStyle w:val="Hyperlink"/>
            <w:rFonts w:ascii="Times New Roman" w:eastAsia="Times New Roman" w:hAnsi="Times New Roman" w:cs="Times New Roman"/>
            <w:noProof/>
            <w:lang w:eastAsia="en-GB"/>
          </w:rPr>
          <w:t>3.</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Operational Flexibility</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14</w:t>
        </w:r>
        <w:r w:rsidRPr="00034F05">
          <w:rPr>
            <w:rFonts w:ascii="Times New Roman" w:hAnsi="Times New Roman" w:cs="Times New Roman"/>
            <w:noProof/>
            <w:webHidden/>
          </w:rPr>
          <w:fldChar w:fldCharType="end"/>
        </w:r>
      </w:hyperlink>
    </w:p>
    <w:p w14:paraId="3B37D143" w14:textId="6B28F5A3"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82" w:history="1">
        <w:r w:rsidRPr="00034F05">
          <w:rPr>
            <w:rStyle w:val="Hyperlink"/>
            <w:rFonts w:ascii="Times New Roman" w:eastAsia="Times New Roman" w:hAnsi="Times New Roman" w:cs="Times New Roman"/>
            <w:b/>
            <w:bCs/>
            <w:noProof/>
            <w:lang w:eastAsia="en-GB"/>
          </w:rPr>
          <w:t>4.4 International Considerations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14</w:t>
        </w:r>
        <w:r w:rsidRPr="00034F05">
          <w:rPr>
            <w:rFonts w:ascii="Times New Roman" w:hAnsi="Times New Roman" w:cs="Times New Roman"/>
            <w:noProof/>
            <w:webHidden/>
          </w:rPr>
          <w:fldChar w:fldCharType="end"/>
        </w:r>
      </w:hyperlink>
    </w:p>
    <w:p w14:paraId="6763C424" w14:textId="06762983"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3" w:history="1">
        <w:r w:rsidRPr="00034F05">
          <w:rPr>
            <w:rStyle w:val="Hyperlink"/>
            <w:rFonts w:ascii="Times New Roman" w:eastAsia="Times New Roman" w:hAnsi="Times New Roman" w:cs="Times New Roman"/>
            <w:noProof/>
            <w:lang w:eastAsia="en-GB"/>
          </w:rPr>
          <w:t>1.</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Currency Risk</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15</w:t>
        </w:r>
        <w:r w:rsidRPr="00034F05">
          <w:rPr>
            <w:rFonts w:ascii="Times New Roman" w:hAnsi="Times New Roman" w:cs="Times New Roman"/>
            <w:noProof/>
            <w:webHidden/>
          </w:rPr>
          <w:fldChar w:fldCharType="end"/>
        </w:r>
      </w:hyperlink>
    </w:p>
    <w:p w14:paraId="796879E2" w14:textId="19C545D5"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4" w:history="1">
        <w:r w:rsidRPr="00034F05">
          <w:rPr>
            <w:rStyle w:val="Hyperlink"/>
            <w:rFonts w:ascii="Times New Roman" w:eastAsia="Times New Roman" w:hAnsi="Times New Roman" w:cs="Times New Roman"/>
            <w:noProof/>
            <w:lang w:eastAsia="en-GB"/>
          </w:rPr>
          <w:t>2.</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Taxation Differences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_Toc227924984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15</w:t>
        </w:r>
        <w:r w:rsidRPr="00034F05">
          <w:rPr>
            <w:rFonts w:ascii="Times New Roman" w:hAnsi="Times New Roman" w:cs="Times New Roman"/>
            <w:noProof/>
            <w:webHidden/>
          </w:rPr>
          <w:fldChar w:fldCharType="end"/>
        </w:r>
      </w:hyperlink>
    </w:p>
    <w:p w14:paraId="3818C704" w14:textId="10E07FE4"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5" w:history="1">
        <w:r w:rsidRPr="00034F05">
          <w:rPr>
            <w:rStyle w:val="Hyperlink"/>
            <w:rFonts w:ascii="Times New Roman" w:eastAsia="Times New Roman" w:hAnsi="Times New Roman" w:cs="Times New Roman"/>
            <w:noProof/>
            <w:lang w:eastAsia="en-GB"/>
          </w:rPr>
          <w:t>3.</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Inflation Impact</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_Toc227924985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15</w:t>
        </w:r>
        <w:r w:rsidRPr="00034F05">
          <w:rPr>
            <w:rFonts w:ascii="Times New Roman" w:hAnsi="Times New Roman" w:cs="Times New Roman"/>
            <w:noProof/>
            <w:webHidden/>
          </w:rPr>
          <w:fldChar w:fldCharType="end"/>
        </w:r>
      </w:hyperlink>
    </w:p>
    <w:p w14:paraId="2997BE4B" w14:textId="1D5DC51F"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86" w:history="1">
        <w:r w:rsidRPr="00034F05">
          <w:rPr>
            <w:rStyle w:val="Hyperlink"/>
            <w:rFonts w:ascii="Times New Roman" w:eastAsia="Times New Roman" w:hAnsi="Times New Roman" w:cs="Times New Roman"/>
            <w:b/>
            <w:bCs/>
            <w:noProof/>
            <w:lang w:eastAsia="en-GB"/>
          </w:rPr>
          <w:t>4.5 Ethical and CSR Considerations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_Toc227924986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15</w:t>
        </w:r>
        <w:r w:rsidRPr="00034F05">
          <w:rPr>
            <w:rFonts w:ascii="Times New Roman" w:hAnsi="Times New Roman" w:cs="Times New Roman"/>
            <w:noProof/>
            <w:webHidden/>
          </w:rPr>
          <w:fldChar w:fldCharType="end"/>
        </w:r>
      </w:hyperlink>
    </w:p>
    <w:p w14:paraId="3D6C14EB" w14:textId="5E12C8C7"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7" w:history="1">
        <w:r w:rsidRPr="00034F05">
          <w:rPr>
            <w:rStyle w:val="Hyperlink"/>
            <w:rFonts w:ascii="Times New Roman" w:eastAsia="Times New Roman" w:hAnsi="Times New Roman" w:cs="Times New Roman"/>
            <w:noProof/>
            <w:lang w:eastAsia="en-GB"/>
          </w:rPr>
          <w:t>1.</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EV Production Sustainability</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_Toc227924987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16</w:t>
        </w:r>
        <w:r w:rsidRPr="00034F05">
          <w:rPr>
            <w:rFonts w:ascii="Times New Roman" w:hAnsi="Times New Roman" w:cs="Times New Roman"/>
            <w:noProof/>
            <w:webHidden/>
          </w:rPr>
          <w:fldChar w:fldCharType="end"/>
        </w:r>
      </w:hyperlink>
    </w:p>
    <w:p w14:paraId="766B54C2" w14:textId="0D406FE2"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8" w:history="1">
        <w:r w:rsidRPr="00034F05">
          <w:rPr>
            <w:rStyle w:val="Hyperlink"/>
            <w:rFonts w:ascii="Times New Roman" w:eastAsia="Times New Roman" w:hAnsi="Times New Roman" w:cs="Times New Roman"/>
            <w:noProof/>
            <w:lang w:eastAsia="en-GB"/>
          </w:rPr>
          <w:t>2.</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Ethical Sourcing</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_Toc227924988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16</w:t>
        </w:r>
        <w:r w:rsidRPr="00034F05">
          <w:rPr>
            <w:rFonts w:ascii="Times New Roman" w:hAnsi="Times New Roman" w:cs="Times New Roman"/>
            <w:noProof/>
            <w:webHidden/>
          </w:rPr>
          <w:fldChar w:fldCharType="end"/>
        </w:r>
      </w:hyperlink>
    </w:p>
    <w:p w14:paraId="0E9F8B11" w14:textId="635DB0CE" w:rsidR="00034F05" w:rsidRPr="00034F05" w:rsidRDefault="00034F05">
      <w:pPr>
        <w:pStyle w:val="TOC3"/>
        <w:tabs>
          <w:tab w:val="left" w:pos="880"/>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89" w:history="1">
        <w:r w:rsidRPr="00034F05">
          <w:rPr>
            <w:rStyle w:val="Hyperlink"/>
            <w:rFonts w:ascii="Times New Roman" w:eastAsia="Times New Roman" w:hAnsi="Times New Roman" w:cs="Times New Roman"/>
            <w:noProof/>
            <w:lang w:eastAsia="en-GB"/>
          </w:rPr>
          <w:t>3.</w:t>
        </w:r>
        <w:r w:rsidRPr="00034F05">
          <w:rPr>
            <w:rFonts w:ascii="Times New Roman" w:eastAsiaTheme="minorEastAsia" w:hAnsi="Times New Roman" w:cs="Times New Roman"/>
            <w:i w:val="0"/>
            <w:iCs w:val="0"/>
            <w:noProof/>
            <w:kern w:val="0"/>
            <w:sz w:val="22"/>
            <w:szCs w:val="22"/>
            <w:lang w:val="en-US"/>
            <w14:ligatures w14:val="none"/>
          </w:rPr>
          <w:tab/>
        </w:r>
        <w:r w:rsidRPr="00034F05">
          <w:rPr>
            <w:rStyle w:val="Hyperlink"/>
            <w:rFonts w:ascii="Times New Roman" w:eastAsia="Times New Roman" w:hAnsi="Times New Roman" w:cs="Times New Roman"/>
            <w:noProof/>
            <w:lang w:eastAsia="en-GB"/>
          </w:rPr>
          <w:t>Environmental Regulations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_Toc227924989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16</w:t>
        </w:r>
        <w:r w:rsidRPr="00034F05">
          <w:rPr>
            <w:rFonts w:ascii="Times New Roman" w:hAnsi="Times New Roman" w:cs="Times New Roman"/>
            <w:noProof/>
            <w:webHidden/>
          </w:rPr>
          <w:fldChar w:fldCharType="end"/>
        </w:r>
      </w:hyperlink>
    </w:p>
    <w:p w14:paraId="19A6D6EE" w14:textId="40FDA47B"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90" w:history="1">
        <w:r w:rsidRPr="00034F05">
          <w:rPr>
            <w:rStyle w:val="Hyperlink"/>
            <w:rFonts w:ascii="Times New Roman" w:eastAsia="Times New Roman" w:hAnsi="Times New Roman" w:cs="Times New Roman"/>
            <w:noProof/>
            <w:lang w:eastAsia="en-GB"/>
          </w:rPr>
          <w:t>5. Investment Appraisal and Capital Budgeting</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16</w:t>
        </w:r>
        <w:r w:rsidRPr="00034F05">
          <w:rPr>
            <w:rFonts w:ascii="Times New Roman" w:hAnsi="Times New Roman" w:cs="Times New Roman"/>
            <w:noProof/>
            <w:webHidden/>
          </w:rPr>
          <w:fldChar w:fldCharType="end"/>
        </w:r>
      </w:hyperlink>
    </w:p>
    <w:p w14:paraId="30903471" w14:textId="1F6C6ABB"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91" w:history="1">
        <w:r w:rsidRPr="00034F05">
          <w:rPr>
            <w:rStyle w:val="Hyperlink"/>
            <w:rFonts w:ascii="Times New Roman" w:eastAsia="Times New Roman" w:hAnsi="Times New Roman" w:cs="Times New Roman"/>
            <w:noProof/>
            <w:lang w:eastAsia="en-GB"/>
          </w:rPr>
          <w:t>5.1 Overview of Investment Projects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16</w:t>
        </w:r>
        <w:r w:rsidRPr="00034F05">
          <w:rPr>
            <w:rFonts w:ascii="Times New Roman" w:hAnsi="Times New Roman" w:cs="Times New Roman"/>
            <w:noProof/>
            <w:webHidden/>
          </w:rPr>
          <w:fldChar w:fldCharType="end"/>
        </w:r>
      </w:hyperlink>
    </w:p>
    <w:p w14:paraId="27388D92" w14:textId="0BD0745F"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92" w:history="1">
        <w:r w:rsidRPr="00034F05">
          <w:rPr>
            <w:rStyle w:val="Hyperlink"/>
            <w:rFonts w:ascii="Times New Roman" w:eastAsia="Times New Roman" w:hAnsi="Times New Roman" w:cs="Times New Roman"/>
            <w:noProof/>
            <w:lang w:eastAsia="en-GB"/>
          </w:rPr>
          <w:t>5.2 Investment Appraisal Techniques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17</w:t>
        </w:r>
        <w:r w:rsidRPr="00034F05">
          <w:rPr>
            <w:rFonts w:ascii="Times New Roman" w:hAnsi="Times New Roman" w:cs="Times New Roman"/>
            <w:noProof/>
            <w:webHidden/>
          </w:rPr>
          <w:fldChar w:fldCharType="end"/>
        </w:r>
      </w:hyperlink>
    </w:p>
    <w:p w14:paraId="3F9BEE8F" w14:textId="256D2AAF"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93" w:history="1">
        <w:r w:rsidRPr="00034F05">
          <w:rPr>
            <w:rStyle w:val="Hyperlink"/>
            <w:rFonts w:ascii="Times New Roman" w:eastAsia="Times New Roman" w:hAnsi="Times New Roman" w:cs="Times New Roman"/>
            <w:noProof/>
            <w:lang w:eastAsia="en-GB"/>
          </w:rPr>
          <w:t>5.3 Decision-Making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18</w:t>
        </w:r>
        <w:r w:rsidRPr="00034F05">
          <w:rPr>
            <w:rFonts w:ascii="Times New Roman" w:hAnsi="Times New Roman" w:cs="Times New Roman"/>
            <w:noProof/>
            <w:webHidden/>
          </w:rPr>
          <w:fldChar w:fldCharType="end"/>
        </w:r>
      </w:hyperlink>
    </w:p>
    <w:p w14:paraId="5C1BB997" w14:textId="3DBB29E2"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94" w:history="1">
        <w:r w:rsidRPr="00034F05">
          <w:rPr>
            <w:rStyle w:val="Hyperlink"/>
            <w:rFonts w:ascii="Times New Roman" w:eastAsia="Times New Roman" w:hAnsi="Times New Roman" w:cs="Times New Roman"/>
            <w:noProof/>
            <w:lang w:eastAsia="en-GB"/>
          </w:rPr>
          <w:t>5.4 Recommendation of One Project</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_Toc227924994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19</w:t>
        </w:r>
        <w:r w:rsidRPr="00034F05">
          <w:rPr>
            <w:rFonts w:ascii="Times New Roman" w:hAnsi="Times New Roman" w:cs="Times New Roman"/>
            <w:noProof/>
            <w:webHidden/>
          </w:rPr>
          <w:fldChar w:fldCharType="end"/>
        </w:r>
      </w:hyperlink>
    </w:p>
    <w:p w14:paraId="2EABC74C" w14:textId="4CC1420E"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4995" w:history="1">
        <w:r w:rsidRPr="00034F05">
          <w:rPr>
            <w:rStyle w:val="Hyperlink"/>
            <w:rFonts w:ascii="Times New Roman" w:eastAsia="Times New Roman" w:hAnsi="Times New Roman" w:cs="Times New Roman"/>
            <w:noProof/>
            <w:lang w:eastAsia="en-GB"/>
          </w:rPr>
          <w:t>5.5 Capital Rationing Decision (£100m limit)</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_Toc227924995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20</w:t>
        </w:r>
        <w:r w:rsidRPr="00034F05">
          <w:rPr>
            <w:rFonts w:ascii="Times New Roman" w:hAnsi="Times New Roman" w:cs="Times New Roman"/>
            <w:noProof/>
            <w:webHidden/>
          </w:rPr>
          <w:fldChar w:fldCharType="end"/>
        </w:r>
      </w:hyperlink>
    </w:p>
    <w:p w14:paraId="0F09889A" w14:textId="5591FFBE" w:rsidR="00034F05" w:rsidRPr="00034F05" w:rsidRDefault="00034F05">
      <w:pPr>
        <w:pStyle w:val="TOC3"/>
        <w:tabs>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96" w:history="1">
        <w:r w:rsidRPr="00034F05">
          <w:rPr>
            <w:rStyle w:val="Hyperlink"/>
            <w:rFonts w:ascii="Times New Roman" w:eastAsia="Times New Roman" w:hAnsi="Times New Roman" w:cs="Times New Roman"/>
            <w:b/>
            <w:bCs/>
            <w:noProof/>
            <w:lang w:eastAsia="en-GB"/>
          </w:rPr>
          <w:t>Combination Evaluation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_Toc227924996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20</w:t>
        </w:r>
        <w:r w:rsidRPr="00034F05">
          <w:rPr>
            <w:rFonts w:ascii="Times New Roman" w:hAnsi="Times New Roman" w:cs="Times New Roman"/>
            <w:noProof/>
            <w:webHidden/>
          </w:rPr>
          <w:fldChar w:fldCharType="end"/>
        </w:r>
      </w:hyperlink>
    </w:p>
    <w:p w14:paraId="7BCA3530" w14:textId="66906E7F" w:rsidR="00034F05" w:rsidRPr="00034F05" w:rsidRDefault="00034F05">
      <w:pPr>
        <w:pStyle w:val="TOC3"/>
        <w:tabs>
          <w:tab w:val="right" w:leader="dot" w:pos="9350"/>
        </w:tabs>
        <w:rPr>
          <w:rFonts w:ascii="Times New Roman" w:eastAsiaTheme="minorEastAsia" w:hAnsi="Times New Roman" w:cs="Times New Roman"/>
          <w:i w:val="0"/>
          <w:iCs w:val="0"/>
          <w:noProof/>
          <w:kern w:val="0"/>
          <w:sz w:val="22"/>
          <w:szCs w:val="22"/>
          <w:lang w:val="en-US"/>
          <w14:ligatures w14:val="none"/>
        </w:rPr>
      </w:pPr>
      <w:hyperlink w:anchor="_Toc227924997" w:history="1">
        <w:r w:rsidRPr="00034F05">
          <w:rPr>
            <w:rStyle w:val="Hyperlink"/>
            <w:rFonts w:ascii="Times New Roman" w:eastAsia="Times New Roman" w:hAnsi="Times New Roman" w:cs="Times New Roman"/>
            <w:b/>
            <w:bCs/>
            <w:noProof/>
            <w:lang w:eastAsia="en-GB"/>
          </w:rPr>
          <w:t>Optimal Choice</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_Toc227924997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20</w:t>
        </w:r>
        <w:r w:rsidRPr="00034F05">
          <w:rPr>
            <w:rFonts w:ascii="Times New Roman" w:hAnsi="Times New Roman" w:cs="Times New Roman"/>
            <w:noProof/>
            <w:webHidden/>
          </w:rPr>
          <w:fldChar w:fldCharType="end"/>
        </w:r>
      </w:hyperlink>
    </w:p>
    <w:p w14:paraId="176769F3" w14:textId="01A7FFBD"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98" w:history="1">
        <w:r w:rsidRPr="00034F05">
          <w:rPr>
            <w:rStyle w:val="Hyperlink"/>
            <w:rFonts w:ascii="Times New Roman" w:eastAsia="Times New Roman" w:hAnsi="Times New Roman" w:cs="Times New Roman"/>
            <w:noProof/>
            <w:lang w:eastAsia="en-GB"/>
          </w:rPr>
          <w:t>6. Conclusion</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_Toc227924998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21</w:t>
        </w:r>
        <w:r w:rsidRPr="00034F05">
          <w:rPr>
            <w:rFonts w:ascii="Times New Roman" w:hAnsi="Times New Roman" w:cs="Times New Roman"/>
            <w:noProof/>
            <w:webHidden/>
          </w:rPr>
          <w:fldChar w:fldCharType="end"/>
        </w:r>
      </w:hyperlink>
    </w:p>
    <w:p w14:paraId="75585E53" w14:textId="41EF8651"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4999" w:history="1">
        <w:r w:rsidRPr="00034F05">
          <w:rPr>
            <w:rStyle w:val="Hyperlink"/>
            <w:rFonts w:ascii="Times New Roman" w:hAnsi="Times New Roman" w:cs="Times New Roman"/>
            <w:noProof/>
          </w:rPr>
          <w:t>Reference</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_Toc227924999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22</w:t>
        </w:r>
        <w:r w:rsidRPr="00034F05">
          <w:rPr>
            <w:rFonts w:ascii="Times New Roman" w:hAnsi="Times New Roman" w:cs="Times New Roman"/>
            <w:noProof/>
            <w:webHidden/>
          </w:rPr>
          <w:fldChar w:fldCharType="end"/>
        </w:r>
      </w:hyperlink>
    </w:p>
    <w:p w14:paraId="5A278831" w14:textId="501106D1" w:rsidR="00034F05" w:rsidRPr="00034F05" w:rsidRDefault="00034F05">
      <w:pPr>
        <w:pStyle w:val="TOC1"/>
        <w:tabs>
          <w:tab w:val="right" w:leader="dot" w:pos="9350"/>
        </w:tabs>
        <w:rPr>
          <w:rFonts w:ascii="Times New Roman" w:eastAsiaTheme="minorEastAsia" w:hAnsi="Times New Roman" w:cs="Times New Roman"/>
          <w:b w:val="0"/>
          <w:bCs w:val="0"/>
          <w:caps w:val="0"/>
          <w:noProof/>
          <w:kern w:val="0"/>
          <w:sz w:val="22"/>
          <w:szCs w:val="22"/>
          <w:lang w:val="en-US"/>
          <w14:ligatures w14:val="none"/>
        </w:rPr>
      </w:pPr>
      <w:hyperlink w:anchor="_Toc227925000" w:history="1">
        <w:r w:rsidRPr="00034F05">
          <w:rPr>
            <w:rStyle w:val="Hyperlink"/>
            <w:rFonts w:ascii="Times New Roman" w:hAnsi="Times New Roman" w:cs="Times New Roman"/>
            <w:noProof/>
          </w:rPr>
          <w:t>Appendices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25</w:t>
        </w:r>
        <w:r w:rsidRPr="00034F05">
          <w:rPr>
            <w:rFonts w:ascii="Times New Roman" w:hAnsi="Times New Roman" w:cs="Times New Roman"/>
            <w:noProof/>
            <w:webHidden/>
          </w:rPr>
          <w:fldChar w:fldCharType="end"/>
        </w:r>
      </w:hyperlink>
    </w:p>
    <w:p w14:paraId="39A0AB53" w14:textId="52C6A09C"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1" w:history="1">
        <w:r w:rsidRPr="00034F05">
          <w:rPr>
            <w:rStyle w:val="Hyperlink"/>
            <w:rFonts w:ascii="Times New Roman" w:hAnsi="Times New Roman" w:cs="Times New Roman"/>
            <w:noProof/>
          </w:rPr>
          <w:t>Appendix A: Profitability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25</w:t>
        </w:r>
        <w:r w:rsidRPr="00034F05">
          <w:rPr>
            <w:rFonts w:ascii="Times New Roman" w:hAnsi="Times New Roman" w:cs="Times New Roman"/>
            <w:noProof/>
            <w:webHidden/>
          </w:rPr>
          <w:fldChar w:fldCharType="end"/>
        </w:r>
      </w:hyperlink>
    </w:p>
    <w:p w14:paraId="63D95BBA" w14:textId="12DFB9EB"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2" w:history="1">
        <w:r w:rsidRPr="00034F05">
          <w:rPr>
            <w:rStyle w:val="Hyperlink"/>
            <w:rFonts w:ascii="Times New Roman" w:hAnsi="Times New Roman" w:cs="Times New Roman"/>
            <w:noProof/>
          </w:rPr>
          <w:t>Appendix B: Liquidity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26</w:t>
        </w:r>
        <w:r w:rsidRPr="00034F05">
          <w:rPr>
            <w:rFonts w:ascii="Times New Roman" w:hAnsi="Times New Roman" w:cs="Times New Roman"/>
            <w:noProof/>
            <w:webHidden/>
          </w:rPr>
          <w:fldChar w:fldCharType="end"/>
        </w:r>
      </w:hyperlink>
    </w:p>
    <w:p w14:paraId="24A0E0D7" w14:textId="4DEC5493"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3" w:history="1">
        <w:r w:rsidRPr="00034F05">
          <w:rPr>
            <w:rStyle w:val="Hyperlink"/>
            <w:rFonts w:ascii="Times New Roman" w:hAnsi="Times New Roman" w:cs="Times New Roman"/>
            <w:noProof/>
          </w:rPr>
          <w:t>Appendix C: Efficiency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27</w:t>
        </w:r>
        <w:r w:rsidRPr="00034F05">
          <w:rPr>
            <w:rFonts w:ascii="Times New Roman" w:hAnsi="Times New Roman" w:cs="Times New Roman"/>
            <w:noProof/>
            <w:webHidden/>
          </w:rPr>
          <w:fldChar w:fldCharType="end"/>
        </w:r>
      </w:hyperlink>
    </w:p>
    <w:p w14:paraId="4ADE4BA8" w14:textId="48C6425B"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4" w:history="1">
        <w:r w:rsidRPr="00034F05">
          <w:rPr>
            <w:rStyle w:val="Hyperlink"/>
            <w:rFonts w:ascii="Times New Roman" w:hAnsi="Times New Roman" w:cs="Times New Roman"/>
            <w:noProof/>
          </w:rPr>
          <w:t xml:space="preserve">Appendix D: </w:t>
        </w:r>
        <w:r w:rsidRPr="00034F05">
          <w:rPr>
            <w:rStyle w:val="Hyperlink"/>
            <w:rFonts w:ascii="Times New Roman" w:eastAsia="Times New Roman" w:hAnsi="Times New Roman" w:cs="Times New Roman"/>
            <w:noProof/>
            <w:lang w:eastAsia="en-GB"/>
          </w:rPr>
          <w:t>Leverage/Gearing ratio</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_Toc227925004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28</w:t>
        </w:r>
        <w:r w:rsidRPr="00034F05">
          <w:rPr>
            <w:rFonts w:ascii="Times New Roman" w:hAnsi="Times New Roman" w:cs="Times New Roman"/>
            <w:noProof/>
            <w:webHidden/>
          </w:rPr>
          <w:fldChar w:fldCharType="end"/>
        </w:r>
      </w:hyperlink>
    </w:p>
    <w:p w14:paraId="4D0944AC" w14:textId="625F4BA4"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5" w:history="1">
        <w:r w:rsidRPr="00034F05">
          <w:rPr>
            <w:rStyle w:val="Hyperlink"/>
            <w:rFonts w:ascii="Times New Roman" w:hAnsi="Times New Roman" w:cs="Times New Roman"/>
            <w:noProof/>
          </w:rPr>
          <w:t>Appendix E: Investment Ratios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_Toc227925005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29</w:t>
        </w:r>
        <w:r w:rsidRPr="00034F05">
          <w:rPr>
            <w:rFonts w:ascii="Times New Roman" w:hAnsi="Times New Roman" w:cs="Times New Roman"/>
            <w:noProof/>
            <w:webHidden/>
          </w:rPr>
          <w:fldChar w:fldCharType="end"/>
        </w:r>
      </w:hyperlink>
    </w:p>
    <w:p w14:paraId="779C4FC0" w14:textId="313F6E02"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6" w:history="1">
        <w:r w:rsidRPr="00034F05">
          <w:rPr>
            <w:rStyle w:val="Hyperlink"/>
            <w:rFonts w:ascii="Times New Roman" w:hAnsi="Times New Roman" w:cs="Times New Roman"/>
            <w:noProof/>
          </w:rPr>
          <w:t>Appendix F: Cash Flow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_Toc227925006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30</w:t>
        </w:r>
        <w:r w:rsidRPr="00034F05">
          <w:rPr>
            <w:rFonts w:ascii="Times New Roman" w:hAnsi="Times New Roman" w:cs="Times New Roman"/>
            <w:noProof/>
            <w:webHidden/>
          </w:rPr>
          <w:fldChar w:fldCharType="end"/>
        </w:r>
      </w:hyperlink>
    </w:p>
    <w:p w14:paraId="42AC6DB7" w14:textId="4D1FFCB2"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7" w:history="1">
        <w:r w:rsidRPr="00034F05">
          <w:rPr>
            <w:rStyle w:val="Hyperlink"/>
            <w:rFonts w:ascii="Times New Roman" w:hAnsi="Times New Roman" w:cs="Times New Roman"/>
            <w:noProof/>
          </w:rPr>
          <w:t>Appendix G: Working Capital Management Analysis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_Toc227925007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31</w:t>
        </w:r>
        <w:r w:rsidRPr="00034F05">
          <w:rPr>
            <w:rFonts w:ascii="Times New Roman" w:hAnsi="Times New Roman" w:cs="Times New Roman"/>
            <w:noProof/>
            <w:webHidden/>
          </w:rPr>
          <w:fldChar w:fldCharType="end"/>
        </w:r>
      </w:hyperlink>
    </w:p>
    <w:p w14:paraId="6BF9CDC9" w14:textId="15736CF1"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8" w:history="1">
        <w:r w:rsidRPr="00034F05">
          <w:rPr>
            <w:rStyle w:val="Hyperlink"/>
            <w:rFonts w:ascii="Times New Roman" w:hAnsi="Times New Roman" w:cs="Times New Roman"/>
            <w:noProof/>
          </w:rPr>
          <w:t>Appendix H: NPV Calculations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_Toc227925008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32</w:t>
        </w:r>
        <w:r w:rsidRPr="00034F05">
          <w:rPr>
            <w:rFonts w:ascii="Times New Roman" w:hAnsi="Times New Roman" w:cs="Times New Roman"/>
            <w:noProof/>
            <w:webHidden/>
          </w:rPr>
          <w:fldChar w:fldCharType="end"/>
        </w:r>
      </w:hyperlink>
    </w:p>
    <w:p w14:paraId="69587CB9" w14:textId="46B3BA6F"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09" w:history="1">
        <w:r w:rsidRPr="00034F05">
          <w:rPr>
            <w:rStyle w:val="Hyperlink"/>
            <w:rFonts w:ascii="Times New Roman" w:hAnsi="Times New Roman" w:cs="Times New Roman"/>
            <w:noProof/>
          </w:rPr>
          <w:t>Appendix I: Payback period Calculations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_Toc227925009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32</w:t>
        </w:r>
        <w:r w:rsidRPr="00034F05">
          <w:rPr>
            <w:rFonts w:ascii="Times New Roman" w:hAnsi="Times New Roman" w:cs="Times New Roman"/>
            <w:noProof/>
            <w:webHidden/>
          </w:rPr>
          <w:fldChar w:fldCharType="end"/>
        </w:r>
      </w:hyperlink>
    </w:p>
    <w:p w14:paraId="02B5A3D8" w14:textId="7D5F9D0C"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10" w:history="1">
        <w:r w:rsidRPr="00034F05">
          <w:rPr>
            <w:rStyle w:val="Hyperlink"/>
            <w:rFonts w:ascii="Times New Roman" w:hAnsi="Times New Roman" w:cs="Times New Roman"/>
            <w:noProof/>
          </w:rPr>
          <w:t>Appendix J: ARR Calculations</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_Toc227925010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32</w:t>
        </w:r>
        <w:r w:rsidRPr="00034F05">
          <w:rPr>
            <w:rFonts w:ascii="Times New Roman" w:hAnsi="Times New Roman" w:cs="Times New Roman"/>
            <w:noProof/>
            <w:webHidden/>
          </w:rPr>
          <w:fldChar w:fldCharType="end"/>
        </w:r>
      </w:hyperlink>
    </w:p>
    <w:p w14:paraId="0D5B58C2" w14:textId="7E41774C"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11" w:history="1">
        <w:r w:rsidRPr="00034F05">
          <w:rPr>
            <w:rStyle w:val="Hyperlink"/>
            <w:rFonts w:ascii="Times New Roman" w:hAnsi="Times New Roman" w:cs="Times New Roman"/>
            <w:noProof/>
          </w:rPr>
          <w:t>Appendix K: Profitability index</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_Toc227925011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33</w:t>
        </w:r>
        <w:r w:rsidRPr="00034F05">
          <w:rPr>
            <w:rFonts w:ascii="Times New Roman" w:hAnsi="Times New Roman" w:cs="Times New Roman"/>
            <w:noProof/>
            <w:webHidden/>
          </w:rPr>
          <w:fldChar w:fldCharType="end"/>
        </w:r>
      </w:hyperlink>
    </w:p>
    <w:p w14:paraId="0468C24E" w14:textId="3BC10B66"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12" w:history="1">
        <w:r w:rsidRPr="00034F05">
          <w:rPr>
            <w:rStyle w:val="Hyperlink"/>
            <w:rFonts w:ascii="Times New Roman" w:hAnsi="Times New Roman" w:cs="Times New Roman"/>
            <w:noProof/>
          </w:rPr>
          <w:t>Appendix L: IRR</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_Toc227925012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33</w:t>
        </w:r>
        <w:r w:rsidRPr="00034F05">
          <w:rPr>
            <w:rFonts w:ascii="Times New Roman" w:hAnsi="Times New Roman" w:cs="Times New Roman"/>
            <w:noProof/>
            <w:webHidden/>
          </w:rPr>
          <w:fldChar w:fldCharType="end"/>
        </w:r>
      </w:hyperlink>
    </w:p>
    <w:p w14:paraId="41F2DAD1" w14:textId="321B5ABA" w:rsidR="00034F05" w:rsidRPr="00034F05" w:rsidRDefault="00034F05">
      <w:pPr>
        <w:pStyle w:val="TOC2"/>
        <w:tabs>
          <w:tab w:val="right" w:leader="dot" w:pos="9350"/>
        </w:tabs>
        <w:rPr>
          <w:rFonts w:ascii="Times New Roman" w:eastAsiaTheme="minorEastAsia" w:hAnsi="Times New Roman" w:cs="Times New Roman"/>
          <w:smallCaps w:val="0"/>
          <w:noProof/>
          <w:kern w:val="0"/>
          <w:sz w:val="22"/>
          <w:szCs w:val="22"/>
          <w:lang w:val="en-US"/>
          <w14:ligatures w14:val="none"/>
        </w:rPr>
      </w:pPr>
      <w:hyperlink w:anchor="_Toc227925013" w:history="1">
        <w:r w:rsidRPr="00034F05">
          <w:rPr>
            <w:rStyle w:val="Hyperlink"/>
            <w:rFonts w:ascii="Times New Roman" w:hAnsi="Times New Roman" w:cs="Times New Roman"/>
            <w:noProof/>
          </w:rPr>
          <w:t>Appendix M: Financial Statements (Data Source)</w:t>
        </w:r>
        <w:r w:rsidRPr="00034F05">
          <w:rPr>
            <w:rFonts w:ascii="Times New Roman" w:hAnsi="Times New Roman" w:cs="Times New Roman"/>
            <w:noProof/>
            <w:webHidden/>
          </w:rPr>
          <w:tab/>
        </w:r>
        <w:r w:rsidRPr="00034F05">
          <w:rPr>
            <w:rFonts w:ascii="Times New Roman" w:hAnsi="Times New Roman" w:cs="Times New Roman"/>
            <w:noProof/>
            <w:webHidden/>
          </w:rPr>
          <w:fldChar w:fldCharType="begin"/>
        </w:r>
        <w:r w:rsidRPr="00034F05">
          <w:rPr>
            <w:rFonts w:ascii="Times New Roman" w:hAnsi="Times New Roman" w:cs="Times New Roman"/>
            <w:noProof/>
            <w:webHidden/>
          </w:rPr>
          <w:instrText xml:space="preserve"> PAGEREF _Toc227925013 \h </w:instrText>
        </w:r>
        <w:r w:rsidRPr="00034F05">
          <w:rPr>
            <w:rFonts w:ascii="Times New Roman" w:hAnsi="Times New Roman" w:cs="Times New Roman"/>
            <w:noProof/>
            <w:webHidden/>
          </w:rPr>
        </w:r>
        <w:r w:rsidRPr="00034F05">
          <w:rPr>
            <w:rFonts w:ascii="Times New Roman" w:hAnsi="Times New Roman" w:cs="Times New Roman"/>
            <w:noProof/>
            <w:webHidden/>
          </w:rPr>
          <w:fldChar w:fldCharType="separate"/>
        </w:r>
        <w:r w:rsidRPr="00034F05">
          <w:rPr>
            <w:rFonts w:ascii="Times New Roman" w:hAnsi="Times New Roman" w:cs="Times New Roman"/>
            <w:noProof/>
            <w:webHidden/>
          </w:rPr>
          <w:t>34</w:t>
        </w:r>
        <w:r w:rsidRPr="00034F05">
          <w:rPr>
            <w:rFonts w:ascii="Times New Roman" w:hAnsi="Times New Roman" w:cs="Times New Roman"/>
            <w:noProof/>
            <w:webHidden/>
          </w:rPr>
          <w:fldChar w:fldCharType="end"/>
        </w:r>
      </w:hyperlink>
    </w:p>
    <w:p w14:paraId="4F17BA4F" w14:textId="7AAB9553" w:rsidR="00034F05" w:rsidRPr="00034F05" w:rsidRDefault="00034F05" w:rsidP="006C2C18">
      <w:pPr>
        <w:rPr>
          <w:rFonts w:ascii="Times New Roman" w:hAnsi="Times New Roman" w:cs="Times New Roman"/>
          <w:sz w:val="24"/>
          <w:szCs w:val="24"/>
        </w:rPr>
      </w:pPr>
      <w:r w:rsidRPr="00034F05">
        <w:rPr>
          <w:rFonts w:ascii="Times New Roman" w:hAnsi="Times New Roman" w:cs="Times New Roman"/>
          <w:sz w:val="24"/>
          <w:szCs w:val="24"/>
        </w:rPr>
        <w:fldChar w:fldCharType="end"/>
      </w:r>
    </w:p>
    <w:p w14:paraId="2E0F9F39" w14:textId="1BAA6926" w:rsidR="00034F05" w:rsidRPr="00034F05" w:rsidRDefault="00034F05" w:rsidP="006C2C18">
      <w:pPr>
        <w:rPr>
          <w:rFonts w:ascii="Times New Roman" w:hAnsi="Times New Roman" w:cs="Times New Roman"/>
          <w:sz w:val="24"/>
          <w:szCs w:val="24"/>
        </w:rPr>
      </w:pPr>
    </w:p>
    <w:p w14:paraId="7390A720" w14:textId="5582C9CA" w:rsidR="00034F05" w:rsidRPr="00034F05" w:rsidRDefault="00034F05" w:rsidP="006C2C18">
      <w:pPr>
        <w:rPr>
          <w:rFonts w:ascii="Times New Roman" w:hAnsi="Times New Roman" w:cs="Times New Roman"/>
          <w:sz w:val="24"/>
          <w:szCs w:val="24"/>
        </w:rPr>
      </w:pPr>
    </w:p>
    <w:p w14:paraId="15841B88" w14:textId="5D807F49"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27475A08" w14:textId="77777777" w:rsidR="00BA0216" w:rsidRPr="00034F05" w:rsidRDefault="00BA0216" w:rsidP="002A7906">
      <w:pPr>
        <w:pStyle w:val="Heading1"/>
        <w:rPr>
          <w:rFonts w:eastAsia="Times New Roman" w:cs="Times New Roman"/>
          <w:lang w:eastAsia="en-GB"/>
        </w:rPr>
      </w:pPr>
      <w:bookmarkStart w:id="1" w:name="_Toc227924951"/>
      <w:r w:rsidRPr="00034F05">
        <w:rPr>
          <w:rFonts w:eastAsia="Times New Roman" w:cs="Times New Roman"/>
          <w:lang w:eastAsia="en-GB"/>
        </w:rPr>
        <w:lastRenderedPageBreak/>
        <w:t>1. Introduction</w:t>
      </w:r>
      <w:bookmarkEnd w:id="1"/>
    </w:p>
    <w:p w14:paraId="26D73962" w14:textId="37FD78EA" w:rsidR="00BA0216" w:rsidRPr="00034F05" w:rsidRDefault="00BA0216" w:rsidP="00BA021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Hyundai Motor Company is a major automotive manufacturer in the world, based in South Korea and operating in more than 200 countries. The company has built a robust worldwide presence with a varied portfolio of passenger vehicles, commercial vehicles, and an ever-growing range of electric vehicles (EVs). Over the past years, Hyundai has hurried about switching to sustainable mobility, dedicating much of its funds to EVs, hydrogen fuel cells, and smart mobility. This competitive move has made it even stronger among the world automakers, and in tandem with the emerging environmental policies and the consumer needs for cleaner transport</w:t>
      </w:r>
      <w:r w:rsidR="00A17A96" w:rsidRPr="00034F05">
        <w:rPr>
          <w:rFonts w:ascii="Times New Roman" w:eastAsia="Times New Roman" w:hAnsi="Times New Roman" w:cs="Times New Roman"/>
          <w:kern w:val="0"/>
          <w:sz w:val="24"/>
          <w:szCs w:val="24"/>
          <w:lang w:eastAsia="en-GB"/>
          <w14:ligatures w14:val="none"/>
        </w:rPr>
        <w:t xml:space="preserve"> (Hyundai, 2024)</w:t>
      </w:r>
      <w:r w:rsidRPr="00034F05">
        <w:rPr>
          <w:rFonts w:ascii="Times New Roman" w:eastAsia="Times New Roman" w:hAnsi="Times New Roman" w:cs="Times New Roman"/>
          <w:kern w:val="0"/>
          <w:sz w:val="24"/>
          <w:szCs w:val="24"/>
          <w:lang w:eastAsia="en-GB"/>
          <w14:ligatures w14:val="none"/>
        </w:rPr>
        <w:t>.</w:t>
      </w:r>
    </w:p>
    <w:p w14:paraId="29C13AEC" w14:textId="68F44BC1" w:rsidR="00BA0216" w:rsidRPr="00034F05" w:rsidRDefault="00BA0216" w:rsidP="00BA021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This report aims to assess the financial outcomes and strategic standing of Hyundai during the last five years, 2021-2025, based on the information </w:t>
      </w:r>
      <w:r w:rsidR="00CB7198" w:rsidRPr="00034F05">
        <w:rPr>
          <w:rFonts w:ascii="Times New Roman" w:eastAsia="Times New Roman" w:hAnsi="Times New Roman" w:cs="Times New Roman"/>
          <w:kern w:val="0"/>
          <w:sz w:val="24"/>
          <w:szCs w:val="24"/>
          <w:lang w:eastAsia="en-GB"/>
          <w14:ligatures w14:val="none"/>
        </w:rPr>
        <w:t xml:space="preserve">available in the annual reports as attached in the Appendices M. </w:t>
      </w:r>
      <w:r w:rsidRPr="00034F05">
        <w:rPr>
          <w:rFonts w:ascii="Times New Roman" w:eastAsia="Times New Roman" w:hAnsi="Times New Roman" w:cs="Times New Roman"/>
          <w:kern w:val="0"/>
          <w:sz w:val="24"/>
          <w:szCs w:val="24"/>
          <w:lang w:eastAsia="en-GB"/>
          <w14:ligatures w14:val="none"/>
        </w:rPr>
        <w:t xml:space="preserve"> The objective of the analysis is to determine the major financial trends, strengths, and possible risks that the company faces in its long-term sustainability and development.</w:t>
      </w:r>
    </w:p>
    <w:p w14:paraId="5B6B57E4" w14:textId="56098FBC" w:rsidR="00BA0216" w:rsidRPr="00034F05" w:rsidRDefault="00BA0216" w:rsidP="00BA021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four areas are discussed in the report. First, it gives a financial analysis of performance in detail on the ratio techniques. Second, it analyses the working capital management and liquidity status of Hyundai. Third, it suggests a strategic financial restructuring plan to improve efficiency and shareholder value. Lastly, it uses investment appraisal methods to evaluate possible projects and aid capital budgeting.</w:t>
      </w:r>
    </w:p>
    <w:p w14:paraId="027469AD" w14:textId="77777777" w:rsidR="002A7906" w:rsidRPr="00034F05" w:rsidRDefault="002A7906" w:rsidP="002A7906">
      <w:pPr>
        <w:pStyle w:val="Heading1"/>
        <w:rPr>
          <w:rFonts w:eastAsia="Times New Roman" w:cs="Times New Roman"/>
          <w:lang w:eastAsia="en-GB"/>
        </w:rPr>
      </w:pPr>
      <w:bookmarkStart w:id="2" w:name="_Toc227924952"/>
      <w:r w:rsidRPr="00034F05">
        <w:rPr>
          <w:rFonts w:eastAsia="Times New Roman" w:cs="Times New Roman"/>
          <w:lang w:eastAsia="en-GB"/>
        </w:rPr>
        <w:t>2.2 Ratio Analysis</w:t>
      </w:r>
      <w:bookmarkEnd w:id="2"/>
    </w:p>
    <w:p w14:paraId="4706B716" w14:textId="77777777" w:rsidR="002A7906" w:rsidRPr="00034F05" w:rsidRDefault="002A7906" w:rsidP="002A7906">
      <w:pPr>
        <w:pStyle w:val="Heading2"/>
        <w:rPr>
          <w:rFonts w:eastAsia="Times New Roman" w:cs="Times New Roman"/>
          <w:lang w:eastAsia="en-GB"/>
        </w:rPr>
      </w:pPr>
      <w:bookmarkStart w:id="3" w:name="_Toc227924953"/>
      <w:r w:rsidRPr="00034F05">
        <w:rPr>
          <w:rFonts w:eastAsia="Times New Roman" w:cs="Times New Roman"/>
          <w:lang w:eastAsia="en-GB"/>
        </w:rPr>
        <w:t>2.2.1 Profitability Ratios</w:t>
      </w:r>
      <w:bookmarkEnd w:id="3"/>
    </w:p>
    <w:p w14:paraId="55E4D0C9" w14:textId="63DDD2C2"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profitability ratios show the effectiveness with which Hyundai is able to make profits in relation to its revenue, assets, and equity within a period of five years (Appendix A).</w:t>
      </w:r>
    </w:p>
    <w:p w14:paraId="462AA33C" w14:textId="4DF998D2"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gross profit margin is reflecting a more stable trend, ranging between 18.37 in 2025 and a high of 20.58 in 2023. This stability is an indication that Hyundai has been in full control of costs in production despite the challenges in the global supply chain and increased costs of inputs. However, the slight decline in 2025 may indicate increasing production costs or pricing pressures in the competitive EV market</w:t>
      </w:r>
      <w:r w:rsidR="00A17A96" w:rsidRPr="00034F05">
        <w:rPr>
          <w:rFonts w:ascii="Times New Roman" w:eastAsia="Times New Roman" w:hAnsi="Times New Roman" w:cs="Times New Roman"/>
          <w:kern w:val="0"/>
          <w:sz w:val="24"/>
          <w:szCs w:val="24"/>
          <w:lang w:eastAsia="en-GB"/>
          <w14:ligatures w14:val="none"/>
        </w:rPr>
        <w:t xml:space="preserve"> (Hyundai, 2025)</w:t>
      </w:r>
      <w:r w:rsidRPr="00034F05">
        <w:rPr>
          <w:rFonts w:ascii="Times New Roman" w:eastAsia="Times New Roman" w:hAnsi="Times New Roman" w:cs="Times New Roman"/>
          <w:kern w:val="0"/>
          <w:sz w:val="24"/>
          <w:szCs w:val="24"/>
          <w:lang w:eastAsia="en-GB"/>
          <w14:ligatures w14:val="none"/>
        </w:rPr>
        <w:t>.</w:t>
      </w:r>
    </w:p>
    <w:p w14:paraId="6CC50412" w14:textId="5CDACE10"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The net profit margin shows a fluctuating trend. It increased significantly from 4.84% in 2021 to around 7.5% in 2023 and 2024, before declining to 5.56% in 2025. This indicates that although Hyundai has been able to enhance the efficiency and profitability of its operations during the mid-period, current pressures, perhaps due to the increased financing costs or investment spending, have led to decreased profitability.</w:t>
      </w:r>
    </w:p>
    <w:p w14:paraId="5D3A071F" w14:textId="7A383E44"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return on assets (ROA) increased consistently, with a low point of 2.43% in 2021 and a high point of 4.35% in 2023, which is an indication of more effective use of assets in generating profit. Nevertheless, the drop to 2.81 % in 2025 shows a decrease in efficiency, which could be attributed to the large capital investments yet to translate to returns</w:t>
      </w:r>
      <w:r w:rsidR="00A17A96" w:rsidRPr="00034F05">
        <w:rPr>
          <w:rFonts w:ascii="Times New Roman" w:eastAsia="Times New Roman" w:hAnsi="Times New Roman" w:cs="Times New Roman"/>
          <w:kern w:val="0"/>
          <w:sz w:val="24"/>
          <w:szCs w:val="24"/>
          <w:lang w:eastAsia="en-GB"/>
          <w14:ligatures w14:val="none"/>
        </w:rPr>
        <w:t xml:space="preserve"> (HYUNDAI MOTOR, 2024)</w:t>
      </w:r>
      <w:r w:rsidRPr="00034F05">
        <w:rPr>
          <w:rFonts w:ascii="Times New Roman" w:eastAsia="Times New Roman" w:hAnsi="Times New Roman" w:cs="Times New Roman"/>
          <w:kern w:val="0"/>
          <w:sz w:val="24"/>
          <w:szCs w:val="24"/>
          <w:lang w:eastAsia="en-GB"/>
          <w14:ligatures w14:val="none"/>
        </w:rPr>
        <w:t>.</w:t>
      </w:r>
    </w:p>
    <w:p w14:paraId="55E2DF1A" w14:textId="00375420" w:rsidR="002A7906"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On the same note, the return on equity (ROE) increased remarkably to 12.05% in 2023 as compared to 6.89 in 2021, better returns to shareholders. The following drop to 8.12 in 2025, however, points to deteriorating profitability in comparison to equity and indicates that the addition of more capital or less earnings has diluted shareholder returns</w:t>
      </w:r>
      <w:r w:rsidR="002A7906" w:rsidRPr="00034F05">
        <w:rPr>
          <w:rFonts w:ascii="Times New Roman" w:eastAsia="Times New Roman" w:hAnsi="Times New Roman" w:cs="Times New Roman"/>
          <w:kern w:val="0"/>
          <w:sz w:val="24"/>
          <w:szCs w:val="24"/>
          <w:lang w:eastAsia="en-GB"/>
          <w14:ligatures w14:val="none"/>
        </w:rPr>
        <w:t>.</w:t>
      </w:r>
    </w:p>
    <w:p w14:paraId="7B95D2EA" w14:textId="77777777" w:rsidR="002A7906" w:rsidRPr="00034F05" w:rsidRDefault="002A7906" w:rsidP="002A7906">
      <w:pPr>
        <w:pStyle w:val="Heading2"/>
        <w:rPr>
          <w:rFonts w:eastAsia="Times New Roman" w:cs="Times New Roman"/>
          <w:lang w:eastAsia="en-GB"/>
        </w:rPr>
      </w:pPr>
      <w:bookmarkStart w:id="4" w:name="_Toc227924954"/>
      <w:r w:rsidRPr="00034F05">
        <w:rPr>
          <w:rFonts w:eastAsia="Times New Roman" w:cs="Times New Roman"/>
          <w:lang w:eastAsia="en-GB"/>
        </w:rPr>
        <w:t>2.2.2 Liquidity Ratios</w:t>
      </w:r>
      <w:bookmarkEnd w:id="4"/>
    </w:p>
    <w:p w14:paraId="7A1AD453" w14:textId="463F255D"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Liquidity ratios evaluate the capability of Hyundai to fulfil the short-term commitments (Appendix B). The current ratio was always greater than 1, with a range of 1.30 to 1.46. This shows that the company has enough current assets to pay the short-term liabilities. The high of 1.46 in 2024 is an indication of a robust liquidity position, though the slight decrease in 2025 to 1.36 indicates a slight tightening</w:t>
      </w:r>
      <w:r w:rsidR="00A17A96" w:rsidRPr="00034F05">
        <w:rPr>
          <w:rFonts w:ascii="Times New Roman" w:eastAsia="Times New Roman" w:hAnsi="Times New Roman" w:cs="Times New Roman"/>
          <w:kern w:val="0"/>
          <w:sz w:val="24"/>
          <w:szCs w:val="24"/>
          <w:lang w:eastAsia="en-GB"/>
          <w14:ligatures w14:val="none"/>
        </w:rPr>
        <w:t xml:space="preserve"> (Einstein, 2025)</w:t>
      </w:r>
      <w:r w:rsidRPr="00034F05">
        <w:rPr>
          <w:rFonts w:ascii="Times New Roman" w:eastAsia="Times New Roman" w:hAnsi="Times New Roman" w:cs="Times New Roman"/>
          <w:kern w:val="0"/>
          <w:sz w:val="24"/>
          <w:szCs w:val="24"/>
          <w:lang w:eastAsia="en-GB"/>
          <w14:ligatures w14:val="none"/>
        </w:rPr>
        <w:t>.</w:t>
      </w:r>
    </w:p>
    <w:p w14:paraId="4BDE0F5D" w14:textId="69F6A84E" w:rsidR="002A7906"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quick ratio (without inventory), which is also in the range of 1.11 to 1.21, also stood at 1 and above during the period. This indicates that Hyundai has sufficient liquid assets that can be used to pay off short-term commitments without the need to sell inventory. This ratio is stable, indicating good management of working capital. In general, Hyundai has a good and stable liquidity position, which implies a low short-term financial risk</w:t>
      </w:r>
      <w:r w:rsidR="002A7906" w:rsidRPr="00034F05">
        <w:rPr>
          <w:rFonts w:ascii="Times New Roman" w:eastAsia="Times New Roman" w:hAnsi="Times New Roman" w:cs="Times New Roman"/>
          <w:kern w:val="0"/>
          <w:sz w:val="24"/>
          <w:szCs w:val="24"/>
          <w:lang w:eastAsia="en-GB"/>
          <w14:ligatures w14:val="none"/>
        </w:rPr>
        <w:t>.</w:t>
      </w:r>
    </w:p>
    <w:p w14:paraId="2100338F" w14:textId="00D9D5A3" w:rsidR="002A7906" w:rsidRPr="00034F05" w:rsidRDefault="002A7906" w:rsidP="002A7906">
      <w:pPr>
        <w:spacing w:after="0" w:line="240" w:lineRule="auto"/>
        <w:rPr>
          <w:rFonts w:ascii="Times New Roman" w:eastAsia="Times New Roman" w:hAnsi="Times New Roman" w:cs="Times New Roman"/>
          <w:kern w:val="0"/>
          <w:sz w:val="24"/>
          <w:szCs w:val="24"/>
          <w:lang w:eastAsia="en-GB"/>
          <w14:ligatures w14:val="none"/>
        </w:rPr>
      </w:pPr>
    </w:p>
    <w:p w14:paraId="1FC6C773" w14:textId="77777777" w:rsidR="002A7906" w:rsidRPr="00034F05" w:rsidRDefault="002A7906" w:rsidP="002A7906">
      <w:pPr>
        <w:pStyle w:val="Heading2"/>
        <w:rPr>
          <w:rFonts w:eastAsia="Times New Roman" w:cs="Times New Roman"/>
          <w:lang w:eastAsia="en-GB"/>
        </w:rPr>
      </w:pPr>
      <w:bookmarkStart w:id="5" w:name="_Toc227924955"/>
      <w:r w:rsidRPr="00034F05">
        <w:rPr>
          <w:rFonts w:eastAsia="Times New Roman" w:cs="Times New Roman"/>
          <w:lang w:eastAsia="en-GB"/>
        </w:rPr>
        <w:lastRenderedPageBreak/>
        <w:t>2.2.3 Efficiency Ratios</w:t>
      </w:r>
      <w:bookmarkEnd w:id="5"/>
    </w:p>
    <w:p w14:paraId="6B611D9F" w14:textId="29FF48CD"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Efficiency ratios are used to determine the effectiveness in which the company uses its assets and working capital (Appendix C). The inventory turnover ratio indicates a downward trend from 10.1 in 2021 to 8.85 in 2024 and then slightly rises to 9.01 in 2025. This indicates that there is a longer time in holding inventory, maybe as a result of higher production or slower sales in some segments.</w:t>
      </w:r>
    </w:p>
    <w:p w14:paraId="07BA3E19" w14:textId="3FEAB6AE"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receivables turnover ratio was the highest in 2023 at 20.05, which implies that it is very efficient to collect the receivables in the year 2023. The drop to 14.12 in 2025, however, indicates that the collection periods will be slow, and this can adversely affect cash flow</w:t>
      </w:r>
      <w:r w:rsidR="00C40B53" w:rsidRPr="00034F05">
        <w:rPr>
          <w:rFonts w:ascii="Times New Roman" w:eastAsia="Times New Roman" w:hAnsi="Times New Roman" w:cs="Times New Roman"/>
          <w:kern w:val="0"/>
          <w:sz w:val="24"/>
          <w:szCs w:val="24"/>
          <w:lang w:eastAsia="en-GB"/>
          <w14:ligatures w14:val="none"/>
        </w:rPr>
        <w:t xml:space="preserve"> (</w:t>
      </w:r>
      <w:proofErr w:type="spellStart"/>
      <w:r w:rsidR="00C40B53" w:rsidRPr="00034F05">
        <w:rPr>
          <w:rFonts w:ascii="Times New Roman" w:eastAsia="Times New Roman" w:hAnsi="Times New Roman" w:cs="Times New Roman"/>
          <w:kern w:val="0"/>
          <w:sz w:val="24"/>
          <w:szCs w:val="24"/>
          <w:lang w:eastAsia="en-GB"/>
          <w14:ligatures w14:val="none"/>
        </w:rPr>
        <w:t>Ponsian</w:t>
      </w:r>
      <w:proofErr w:type="spellEnd"/>
      <w:r w:rsidR="00C40B53" w:rsidRPr="00034F05">
        <w:rPr>
          <w:rFonts w:ascii="Times New Roman" w:eastAsia="Times New Roman" w:hAnsi="Times New Roman" w:cs="Times New Roman"/>
          <w:kern w:val="0"/>
          <w:sz w:val="24"/>
          <w:szCs w:val="24"/>
          <w:lang w:eastAsia="en-GB"/>
          <w14:ligatures w14:val="none"/>
        </w:rPr>
        <w:t xml:space="preserve"> et al, 2014).</w:t>
      </w:r>
    </w:p>
    <w:p w14:paraId="0EECF6C3" w14:textId="77777777"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asset turnover ratio was not very high as it ranged between 0.50 and 0.58. It shows that there is moderate efficiency in the use of assets to produce revenue, but it does not show any substantial change over time.</w:t>
      </w:r>
    </w:p>
    <w:p w14:paraId="4055B167" w14:textId="7E82C7CF" w:rsidR="002A7906"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payables payment period rose to about 46 days in 2024 after it had risen to 48.1 days in 2021 and decreased to 43.2 days in 2025. This implies that over the last few years, Hyundai has been paying suppliers faster, which might hurt cash reserves, but could help improve relationships with suppliers</w:t>
      </w:r>
      <w:r w:rsidR="00A17A96" w:rsidRPr="00034F05">
        <w:rPr>
          <w:rFonts w:ascii="Times New Roman" w:eastAsia="Times New Roman" w:hAnsi="Times New Roman" w:cs="Times New Roman"/>
          <w:kern w:val="0"/>
          <w:sz w:val="24"/>
          <w:szCs w:val="24"/>
          <w:lang w:eastAsia="en-GB"/>
          <w14:ligatures w14:val="none"/>
        </w:rPr>
        <w:t xml:space="preserve"> (</w:t>
      </w:r>
      <w:proofErr w:type="spellStart"/>
      <w:r w:rsidR="00A17A96" w:rsidRPr="00034F05">
        <w:rPr>
          <w:rFonts w:ascii="Times New Roman" w:eastAsia="Times New Roman" w:hAnsi="Times New Roman" w:cs="Times New Roman"/>
          <w:kern w:val="0"/>
          <w:sz w:val="24"/>
          <w:szCs w:val="24"/>
          <w:lang w:eastAsia="en-GB"/>
          <w14:ligatures w14:val="none"/>
        </w:rPr>
        <w:t>Deskera</w:t>
      </w:r>
      <w:proofErr w:type="spellEnd"/>
      <w:r w:rsidR="00A17A96" w:rsidRPr="00034F05">
        <w:rPr>
          <w:rFonts w:ascii="Times New Roman" w:eastAsia="Times New Roman" w:hAnsi="Times New Roman" w:cs="Times New Roman"/>
          <w:kern w:val="0"/>
          <w:sz w:val="24"/>
          <w:szCs w:val="24"/>
          <w:lang w:eastAsia="en-GB"/>
          <w14:ligatures w14:val="none"/>
        </w:rPr>
        <w:t>, 2021)</w:t>
      </w:r>
      <w:r w:rsidR="002A7906" w:rsidRPr="00034F05">
        <w:rPr>
          <w:rFonts w:ascii="Times New Roman" w:eastAsia="Times New Roman" w:hAnsi="Times New Roman" w:cs="Times New Roman"/>
          <w:kern w:val="0"/>
          <w:sz w:val="24"/>
          <w:szCs w:val="24"/>
          <w:lang w:eastAsia="en-GB"/>
          <w14:ligatures w14:val="none"/>
        </w:rPr>
        <w:t>.</w:t>
      </w:r>
    </w:p>
    <w:p w14:paraId="3283997B" w14:textId="77777777" w:rsidR="002A7906" w:rsidRPr="00034F05" w:rsidRDefault="002A7906" w:rsidP="002A7906">
      <w:pPr>
        <w:pStyle w:val="Heading2"/>
        <w:rPr>
          <w:rFonts w:eastAsia="Times New Roman" w:cs="Times New Roman"/>
          <w:lang w:eastAsia="en-GB"/>
        </w:rPr>
      </w:pPr>
      <w:bookmarkStart w:id="6" w:name="_Toc227924956"/>
      <w:r w:rsidRPr="00034F05">
        <w:rPr>
          <w:rFonts w:eastAsia="Times New Roman" w:cs="Times New Roman"/>
          <w:lang w:eastAsia="en-GB"/>
        </w:rPr>
        <w:t>2.2.4 Gearing Ratios</w:t>
      </w:r>
      <w:bookmarkEnd w:id="6"/>
    </w:p>
    <w:p w14:paraId="059C16C5" w14:textId="19460CAC"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Gearing ratios evaluate the financial structure and risk of the company (Appendix D). The debt-to-equity ratio is also high over the period, which is between 1.77 and 1.89. This means that Hyundai is overly dependent on debt financing. The high level, despite the relative stability, implies additional financial risk and exposure to interest rate risk</w:t>
      </w:r>
      <w:r w:rsidR="00A17A96" w:rsidRPr="00034F05">
        <w:rPr>
          <w:rFonts w:ascii="Times New Roman" w:eastAsia="Times New Roman" w:hAnsi="Times New Roman" w:cs="Times New Roman"/>
          <w:kern w:val="0"/>
          <w:sz w:val="24"/>
          <w:szCs w:val="24"/>
          <w:lang w:eastAsia="en-GB"/>
          <w14:ligatures w14:val="none"/>
        </w:rPr>
        <w:t xml:space="preserve"> (HYUNDAI MOTOR, 2024</w:t>
      </w:r>
      <w:proofErr w:type="gramStart"/>
      <w:r w:rsidR="00A17A96"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w:t>
      </w:r>
      <w:proofErr w:type="gramEnd"/>
    </w:p>
    <w:p w14:paraId="4F8FC515" w14:textId="6C332DDF" w:rsidR="002A7906"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interest coverage ratio indicates the falling trend of 3.99 in 2021 and 2.48 in 2025. It means that Hyundai has become much less able to fulfil interest payments. Although coverage above 2 is generally acceptable, the downward trend is a concern, indicating increased interest costs or reduced operating earnings. In general, the gearing status of the company indicates the high financial leverage and risk that has been growing in recent years</w:t>
      </w:r>
      <w:r w:rsidR="00C40B53" w:rsidRPr="00034F05">
        <w:rPr>
          <w:rFonts w:ascii="Times New Roman" w:eastAsia="Times New Roman" w:hAnsi="Times New Roman" w:cs="Times New Roman"/>
          <w:kern w:val="0"/>
          <w:sz w:val="24"/>
          <w:szCs w:val="24"/>
          <w:lang w:eastAsia="en-GB"/>
          <w14:ligatures w14:val="none"/>
        </w:rPr>
        <w:t xml:space="preserve"> (Yahoo Finance, 2013)</w:t>
      </w:r>
      <w:r w:rsidR="002A7906" w:rsidRPr="00034F05">
        <w:rPr>
          <w:rFonts w:ascii="Times New Roman" w:eastAsia="Times New Roman" w:hAnsi="Times New Roman" w:cs="Times New Roman"/>
          <w:kern w:val="0"/>
          <w:sz w:val="24"/>
          <w:szCs w:val="24"/>
          <w:lang w:eastAsia="en-GB"/>
          <w14:ligatures w14:val="none"/>
        </w:rPr>
        <w:t>.</w:t>
      </w:r>
    </w:p>
    <w:p w14:paraId="59889B55" w14:textId="77777777" w:rsidR="002A7906" w:rsidRPr="00034F05" w:rsidRDefault="002A7906" w:rsidP="002A7906">
      <w:pPr>
        <w:pStyle w:val="Heading2"/>
        <w:rPr>
          <w:rFonts w:eastAsia="Times New Roman" w:cs="Times New Roman"/>
          <w:lang w:eastAsia="en-GB"/>
        </w:rPr>
      </w:pPr>
      <w:bookmarkStart w:id="7" w:name="_Toc227924957"/>
      <w:r w:rsidRPr="00034F05">
        <w:rPr>
          <w:rFonts w:eastAsia="Times New Roman" w:cs="Times New Roman"/>
          <w:lang w:eastAsia="en-GB"/>
        </w:rPr>
        <w:lastRenderedPageBreak/>
        <w:t>2.2.5 Investment Ratios</w:t>
      </w:r>
      <w:bookmarkEnd w:id="7"/>
    </w:p>
    <w:p w14:paraId="5F4073E3" w14:textId="64508CDF" w:rsidR="000266D0"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investment ratios are used to determine the investment returns to the shareholders and to the market (Appendix E). The earnings per share (EPS) have risen in 2021 to their highest value of 36.56 in 2023, which is a strong growth in shareholder returns over the three years. The fall to 27.4 in 2025, however, implies a lower profitability or a higher share base</w:t>
      </w:r>
      <w:r w:rsidR="00A17A96" w:rsidRPr="00034F05">
        <w:rPr>
          <w:rFonts w:ascii="Times New Roman" w:eastAsia="Times New Roman" w:hAnsi="Times New Roman" w:cs="Times New Roman"/>
          <w:kern w:val="0"/>
          <w:sz w:val="24"/>
          <w:szCs w:val="24"/>
          <w:lang w:eastAsia="en-GB"/>
          <w14:ligatures w14:val="none"/>
        </w:rPr>
        <w:t xml:space="preserve"> (Hyundai Motors, 2022)</w:t>
      </w:r>
      <w:r w:rsidRPr="00034F05">
        <w:rPr>
          <w:rFonts w:ascii="Times New Roman" w:eastAsia="Times New Roman" w:hAnsi="Times New Roman" w:cs="Times New Roman"/>
          <w:kern w:val="0"/>
          <w:sz w:val="24"/>
          <w:szCs w:val="24"/>
          <w:lang w:eastAsia="en-GB"/>
          <w14:ligatures w14:val="none"/>
        </w:rPr>
        <w:t>.</w:t>
      </w:r>
    </w:p>
    <w:p w14:paraId="770C852B" w14:textId="722C6C8D" w:rsidR="002A7906" w:rsidRPr="00034F05" w:rsidRDefault="000266D0" w:rsidP="000266D0">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The price earnings (P/E) ratio varies considerably, with a high of 7455 in 2025. This very high value can either reflect </w:t>
      </w:r>
      <w:r w:rsidR="00EA4596" w:rsidRPr="00034F05">
        <w:rPr>
          <w:rFonts w:ascii="Times New Roman" w:eastAsia="Times New Roman" w:hAnsi="Times New Roman" w:cs="Times New Roman"/>
          <w:kern w:val="0"/>
          <w:sz w:val="24"/>
          <w:szCs w:val="24"/>
          <w:lang w:eastAsia="en-GB"/>
          <w14:ligatures w14:val="none"/>
        </w:rPr>
        <w:t>expectations of future growth or market earnings volatility</w:t>
      </w:r>
      <w:r w:rsidRPr="00034F05">
        <w:rPr>
          <w:rFonts w:ascii="Times New Roman" w:eastAsia="Times New Roman" w:hAnsi="Times New Roman" w:cs="Times New Roman"/>
          <w:kern w:val="0"/>
          <w:sz w:val="24"/>
          <w:szCs w:val="24"/>
          <w:lang w:eastAsia="en-GB"/>
          <w14:ligatures w14:val="none"/>
        </w:rPr>
        <w:t xml:space="preserve">. The difference between the years indicates market value instability. In general, investment ratios </w:t>
      </w:r>
      <w:r w:rsidR="00EA4596" w:rsidRPr="00034F05">
        <w:rPr>
          <w:rFonts w:ascii="Times New Roman" w:eastAsia="Times New Roman" w:hAnsi="Times New Roman" w:cs="Times New Roman"/>
          <w:kern w:val="0"/>
          <w:sz w:val="24"/>
          <w:szCs w:val="24"/>
          <w:lang w:eastAsia="en-GB"/>
          <w14:ligatures w14:val="none"/>
        </w:rPr>
        <w:t>grow at high rates and then become volatile as investor confidence oscillates</w:t>
      </w:r>
      <w:r w:rsidR="002A7906" w:rsidRPr="00034F05">
        <w:rPr>
          <w:rFonts w:ascii="Times New Roman" w:eastAsia="Times New Roman" w:hAnsi="Times New Roman" w:cs="Times New Roman"/>
          <w:kern w:val="0"/>
          <w:sz w:val="24"/>
          <w:szCs w:val="24"/>
          <w:lang w:eastAsia="en-GB"/>
          <w14:ligatures w14:val="none"/>
        </w:rPr>
        <w:t>.</w:t>
      </w:r>
    </w:p>
    <w:p w14:paraId="365DB989" w14:textId="7640552C" w:rsidR="002A7906" w:rsidRPr="00034F05" w:rsidRDefault="002A7906" w:rsidP="002A7906">
      <w:pPr>
        <w:spacing w:after="0" w:line="240" w:lineRule="auto"/>
        <w:rPr>
          <w:rFonts w:ascii="Times New Roman" w:eastAsia="Times New Roman" w:hAnsi="Times New Roman" w:cs="Times New Roman"/>
          <w:kern w:val="0"/>
          <w:sz w:val="24"/>
          <w:szCs w:val="24"/>
          <w:lang w:eastAsia="en-GB"/>
          <w14:ligatures w14:val="none"/>
        </w:rPr>
      </w:pPr>
    </w:p>
    <w:p w14:paraId="44A37A70" w14:textId="77777777" w:rsidR="002A7906" w:rsidRPr="00034F05" w:rsidRDefault="002A7906" w:rsidP="002A7906">
      <w:pPr>
        <w:pStyle w:val="Heading2"/>
        <w:rPr>
          <w:rFonts w:eastAsia="Times New Roman" w:cs="Times New Roman"/>
          <w:lang w:eastAsia="en-GB"/>
        </w:rPr>
      </w:pPr>
      <w:bookmarkStart w:id="8" w:name="_Toc227924958"/>
      <w:r w:rsidRPr="00034F05">
        <w:rPr>
          <w:rFonts w:eastAsia="Times New Roman" w:cs="Times New Roman"/>
          <w:lang w:eastAsia="en-GB"/>
        </w:rPr>
        <w:t>2.2.6 Cash Flow Analysis</w:t>
      </w:r>
      <w:bookmarkEnd w:id="8"/>
    </w:p>
    <w:p w14:paraId="64BA9B3F" w14:textId="7C8D5CEC" w:rsidR="00EA4596" w:rsidRPr="00034F05" w:rsidRDefault="00EA4596" w:rsidP="00EA459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cash flow analysis has shown that the company has the potential to raise cash through its operations (Appendix F). Most years (2021, 2023, and 2025) have an operating cash flow (OCF) that is negative, and the only year with a strong positive value is 2022. This means that Hyundai is not able to make cash out of its core business, even though profits have been reported.</w:t>
      </w:r>
    </w:p>
    <w:p w14:paraId="65E29D52" w14:textId="578114DB" w:rsidR="00EA4596" w:rsidRPr="00034F05" w:rsidRDefault="00EA4596" w:rsidP="00EA459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free cash flow (FCF) is negative in the majority of years, as well as with high capital expenditures. This indicates that the company is engaging in big projects in the long run, especially EV technology and infrastructure</w:t>
      </w:r>
      <w:r w:rsidR="00C40B53" w:rsidRPr="00034F05">
        <w:rPr>
          <w:rFonts w:ascii="Times New Roman" w:eastAsia="Times New Roman" w:hAnsi="Times New Roman" w:cs="Times New Roman"/>
          <w:kern w:val="0"/>
          <w:sz w:val="24"/>
          <w:szCs w:val="24"/>
          <w:lang w:eastAsia="en-GB"/>
          <w14:ligatures w14:val="none"/>
        </w:rPr>
        <w:t xml:space="preserve"> (Alexandre, 2025)</w:t>
      </w:r>
      <w:r w:rsidRPr="00034F05">
        <w:rPr>
          <w:rFonts w:ascii="Times New Roman" w:eastAsia="Times New Roman" w:hAnsi="Times New Roman" w:cs="Times New Roman"/>
          <w:kern w:val="0"/>
          <w:sz w:val="24"/>
          <w:szCs w:val="24"/>
          <w:lang w:eastAsia="en-GB"/>
          <w14:ligatures w14:val="none"/>
        </w:rPr>
        <w:t>.</w:t>
      </w:r>
    </w:p>
    <w:p w14:paraId="2F3EAE9B" w14:textId="588E1480" w:rsidR="002A7906" w:rsidRPr="00034F05" w:rsidRDefault="00EA4596" w:rsidP="00EA459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Cash flow adequacy ratio is less than 1 in all years except 2022, which implies that the operating cash flows are not enough to meet the capital expenditures, debt payments, and dividends. This brings out a dependence on outside funding. On balance, the cash flow status is poor, and there has been continued negative cash flow over time, which implies that liquidity strains may occur even when accounting profits are high</w:t>
      </w:r>
      <w:r w:rsidR="002A7906" w:rsidRPr="00034F05">
        <w:rPr>
          <w:rFonts w:ascii="Times New Roman" w:eastAsia="Times New Roman" w:hAnsi="Times New Roman" w:cs="Times New Roman"/>
          <w:kern w:val="0"/>
          <w:sz w:val="24"/>
          <w:szCs w:val="24"/>
          <w:lang w:eastAsia="en-GB"/>
          <w14:ligatures w14:val="none"/>
        </w:rPr>
        <w:t>.</w:t>
      </w:r>
    </w:p>
    <w:p w14:paraId="53C670E6" w14:textId="61529AD3" w:rsidR="002A7906" w:rsidRPr="00034F05" w:rsidRDefault="002A7906" w:rsidP="002A790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9" w:name="_Toc227924959"/>
      <w:r w:rsidRPr="00034F05">
        <w:rPr>
          <w:rStyle w:val="Heading1Char"/>
          <w:rFonts w:cs="Times New Roman"/>
          <w:lang w:eastAsia="en-GB"/>
        </w:rPr>
        <w:t>2.3 Trend Analysis</w:t>
      </w:r>
      <w:bookmarkEnd w:id="9"/>
    </w:p>
    <w:p w14:paraId="714E9FF2" w14:textId="02298ED5" w:rsidR="00AB3BC4" w:rsidRPr="00034F05" w:rsidRDefault="00AB3BC4" w:rsidP="00AB3B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In the last five years, Hyundai Motor Company has shown distinct financial trends in terms of profitability, liquidity, efficiency, and cash flow. The change in profitability ratios (net profit margin, ROA, and ROE) reveals that there is an excellent upward trend between 2021 and 2023, which reflects a stronger operating efficiency and post-pandemic recovery. Nevertheless, a decrease in 2025 implies increasing expenses and financial strain. Liquidity ratios are always steady at above 1, which means that it has a strong financial standing on a short-term basis</w:t>
      </w:r>
      <w:r w:rsidR="00C40B53" w:rsidRPr="00034F05">
        <w:rPr>
          <w:rFonts w:ascii="Times New Roman" w:eastAsia="Times New Roman" w:hAnsi="Times New Roman" w:cs="Times New Roman"/>
          <w:kern w:val="0"/>
          <w:sz w:val="24"/>
          <w:szCs w:val="24"/>
          <w:lang w:eastAsia="en-GB"/>
          <w14:ligatures w14:val="none"/>
        </w:rPr>
        <w:t xml:space="preserve"> (Hyundai, 2025)</w:t>
      </w:r>
      <w:r w:rsidRPr="00034F05">
        <w:rPr>
          <w:rFonts w:ascii="Times New Roman" w:eastAsia="Times New Roman" w:hAnsi="Times New Roman" w:cs="Times New Roman"/>
          <w:kern w:val="0"/>
          <w:sz w:val="24"/>
          <w:szCs w:val="24"/>
          <w:lang w:eastAsia="en-GB"/>
          <w14:ligatures w14:val="none"/>
        </w:rPr>
        <w:t>.</w:t>
      </w:r>
    </w:p>
    <w:p w14:paraId="52E4509A" w14:textId="26F99264" w:rsidR="002A7906" w:rsidRPr="00034F05" w:rsidRDefault="00AB3BC4" w:rsidP="00AB3B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Efficiency ratios indicate a mixed trend: the turnover of receivables increased until 2023, and then decreased, whereas the turnover of inventory increased more slowly, which indicates a decrease in the speed of stock movement. In the gearing ratios, leverage is high, and the debt-to-equity ratio is above 1.7, and interest coverage decreases consistently, which points to the growing financial risk. The most alarming are the trends in cash flow, as the operating and free cash flows are negative in most years, indicating intense capital spending</w:t>
      </w:r>
      <w:r w:rsidR="00C40B53" w:rsidRPr="00034F05">
        <w:rPr>
          <w:rFonts w:ascii="Times New Roman" w:eastAsia="Times New Roman" w:hAnsi="Times New Roman" w:cs="Times New Roman"/>
          <w:kern w:val="0"/>
          <w:sz w:val="24"/>
          <w:szCs w:val="24"/>
          <w:lang w:eastAsia="en-GB"/>
          <w14:ligatures w14:val="none"/>
        </w:rPr>
        <w:t xml:space="preserve"> (Snow Flake, 2026)</w:t>
      </w:r>
      <w:r w:rsidR="002A7906" w:rsidRPr="00034F05">
        <w:rPr>
          <w:rFonts w:ascii="Times New Roman" w:eastAsia="Times New Roman" w:hAnsi="Times New Roman" w:cs="Times New Roman"/>
          <w:kern w:val="0"/>
          <w:sz w:val="24"/>
          <w:szCs w:val="24"/>
          <w:lang w:eastAsia="en-GB"/>
          <w14:ligatures w14:val="none"/>
        </w:rPr>
        <w:t>.</w:t>
      </w:r>
    </w:p>
    <w:p w14:paraId="1BF4FA31" w14:textId="61004953" w:rsidR="002A7906" w:rsidRPr="00034F05" w:rsidRDefault="002A7906" w:rsidP="002A7906">
      <w:pPr>
        <w:pStyle w:val="Heading1"/>
        <w:rPr>
          <w:rFonts w:eastAsia="Times New Roman" w:cs="Times New Roman"/>
          <w:lang w:eastAsia="en-GB"/>
        </w:rPr>
      </w:pPr>
      <w:bookmarkStart w:id="10" w:name="_Toc227924960"/>
      <w:r w:rsidRPr="00034F05">
        <w:rPr>
          <w:rFonts w:eastAsia="Times New Roman" w:cs="Times New Roman"/>
          <w:lang w:eastAsia="en-GB"/>
        </w:rPr>
        <w:t>2.4 Strengths and Weaknesses</w:t>
      </w:r>
      <w:bookmarkEnd w:id="10"/>
      <w:r w:rsidRPr="00034F05">
        <w:rPr>
          <w:rFonts w:eastAsia="Times New Roman" w:cs="Times New Roman"/>
          <w:lang w:eastAsia="en-GB"/>
        </w:rPr>
        <w:t xml:space="preserve"> </w:t>
      </w:r>
    </w:p>
    <w:p w14:paraId="03B1044F" w14:textId="00D909A7" w:rsidR="00AB3BC4" w:rsidRPr="00034F05" w:rsidRDefault="00AB3BC4" w:rsidP="00AB3B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financial analysis reveals a number of strengths of Hyundai Motor Company. The firm has great liquidity, and its current and quick ratios are always higher than 1, which means that it has a good capacity to cover short-term liabilities. The profitability was also enhanced substantially during 2021-2023, which is evidence of an effective cost management strategy and robust growth in revenues. Also, consistent gross margins indicate that the production cost is controlled well amidst the economic difficulties all over the world.</w:t>
      </w:r>
    </w:p>
    <w:p w14:paraId="42972ECB" w14:textId="23E94C81" w:rsidR="002A7906" w:rsidRPr="00034F05" w:rsidRDefault="00AB3BC4" w:rsidP="00AB3B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But financial weaknesses are significant. The firm has high leverage, and the debt-equity ratio has been above 1.7, which raises the financial risk. The decreasing interest coverage ratio means that there is less capacity to cover interest payments. Additionally, negative operating and free cash flows persisted, a testimony to dependence on external financing, in large part because of high levels of capital investment. The profitability indicators also indicate a downward trend in 2025, implying an increase in operating costs</w:t>
      </w:r>
      <w:r w:rsidR="002A7906" w:rsidRPr="00034F05">
        <w:rPr>
          <w:rFonts w:ascii="Times New Roman" w:eastAsia="Times New Roman" w:hAnsi="Times New Roman" w:cs="Times New Roman"/>
          <w:kern w:val="0"/>
          <w:sz w:val="24"/>
          <w:szCs w:val="24"/>
          <w:lang w:eastAsia="en-GB"/>
          <w14:ligatures w14:val="none"/>
        </w:rPr>
        <w:t>.</w:t>
      </w:r>
    </w:p>
    <w:p w14:paraId="15129F7E" w14:textId="77777777" w:rsidR="00FC0041" w:rsidRPr="00034F05" w:rsidRDefault="00FC0041" w:rsidP="00291C82">
      <w:pPr>
        <w:pStyle w:val="Heading1"/>
        <w:rPr>
          <w:rFonts w:cs="Times New Roman"/>
        </w:rPr>
      </w:pPr>
      <w:bookmarkStart w:id="11" w:name="_Toc227924961"/>
      <w:r w:rsidRPr="00034F05">
        <w:rPr>
          <w:rFonts w:cs="Times New Roman"/>
        </w:rPr>
        <w:lastRenderedPageBreak/>
        <w:t>3. Working Capital Management Analysis</w:t>
      </w:r>
      <w:bookmarkEnd w:id="11"/>
    </w:p>
    <w:p w14:paraId="067D510F" w14:textId="77777777" w:rsidR="00FC0041" w:rsidRPr="00034F05" w:rsidRDefault="00FC0041" w:rsidP="00291C82">
      <w:pPr>
        <w:pStyle w:val="Heading2"/>
        <w:rPr>
          <w:rFonts w:eastAsia="Times New Roman" w:cs="Times New Roman"/>
          <w:lang w:eastAsia="en-GB"/>
        </w:rPr>
      </w:pPr>
      <w:bookmarkStart w:id="12" w:name="_Toc227924962"/>
      <w:r w:rsidRPr="00034F05">
        <w:rPr>
          <w:rFonts w:eastAsia="Times New Roman" w:cs="Times New Roman"/>
          <w:lang w:eastAsia="en-GB"/>
        </w:rPr>
        <w:t>3.1 Cash Operating Cycle (CCC)</w:t>
      </w:r>
      <w:bookmarkEnd w:id="12"/>
    </w:p>
    <w:p w14:paraId="5EFC0843" w14:textId="3BE94AFD" w:rsidR="00291C82" w:rsidRPr="00034F05" w:rsidRDefault="00291C82" w:rsidP="00291C82">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Cash Conversion Cycle (CCC) is a measure of the time a company requires to turn its investment in inventory and other resources into sales-related cash flows. It consists of three major components, namely: inventory days, receivables days, and payables days (Appendix G).</w:t>
      </w:r>
    </w:p>
    <w:p w14:paraId="05D5DCE4" w14:textId="743E9FF7" w:rsidR="00291C82" w:rsidRPr="00034F05" w:rsidRDefault="00291C82" w:rsidP="00291C82">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Hyundai inventory days rose to 49.6 days in 2025, as compared to 44.4 days in 2021. This increasing trend shows that the company is storing inventory longer, and this could be a sign that inventory is turning over at a slower rate or more inventory is on sale because of expansion, especially in the production of electric vehicles</w:t>
      </w:r>
      <w:r w:rsidR="00C40B53" w:rsidRPr="00034F05">
        <w:rPr>
          <w:rFonts w:ascii="Times New Roman" w:eastAsia="Times New Roman" w:hAnsi="Times New Roman" w:cs="Times New Roman"/>
          <w:kern w:val="0"/>
          <w:sz w:val="24"/>
          <w:szCs w:val="24"/>
          <w:lang w:eastAsia="en-GB"/>
          <w14:ligatures w14:val="none"/>
        </w:rPr>
        <w:t xml:space="preserve"> (Allianz, 2024)</w:t>
      </w:r>
      <w:r w:rsidRPr="00034F05">
        <w:rPr>
          <w:rFonts w:ascii="Times New Roman" w:eastAsia="Times New Roman" w:hAnsi="Times New Roman" w:cs="Times New Roman"/>
          <w:kern w:val="0"/>
          <w:sz w:val="24"/>
          <w:szCs w:val="24"/>
          <w:lang w:eastAsia="en-GB"/>
          <w14:ligatures w14:val="none"/>
        </w:rPr>
        <w:t>.</w:t>
      </w:r>
    </w:p>
    <w:p w14:paraId="7887D58A" w14:textId="77777777" w:rsidR="00291C82" w:rsidRPr="00034F05" w:rsidRDefault="00291C82" w:rsidP="00291C82">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days outstanding in receivables varied throughout the years, decreasing to 18.2 days in 2023, and then returning to 25.9 days in 2025. This implies that, although Hyundai showed good credit collection performance in the early years, in recent years, it has declined, pointing to slow customer payment.</w:t>
      </w:r>
    </w:p>
    <w:p w14:paraId="0E18109D" w14:textId="77777777" w:rsidR="00291C82" w:rsidRPr="00034F05" w:rsidRDefault="00291C82" w:rsidP="00291C82">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payables days were not that low, as they were between 59.1 days in 2021 and 52.9 days in 2025. Although slightly decreasing, Hyundai continues to delay payments to suppliers, which helps conserve cash.</w:t>
      </w:r>
    </w:p>
    <w:p w14:paraId="573C97AB" w14:textId="751F654E" w:rsidR="00FC0041" w:rsidRPr="00034F05" w:rsidRDefault="00291C82" w:rsidP="00291C82">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In general, the CCC had risen considerably in 2021, from 8.2 days in 2021 to 2025 (22.6 days). This means that there has been a drop in efficiency of working capital, with more time being needed to turn the resources into cash. The reduced CCC in 2022-2023 is an indicator of high operational efficiency in these years</w:t>
      </w:r>
      <w:r w:rsidR="00FC0041" w:rsidRPr="00034F05">
        <w:rPr>
          <w:rFonts w:ascii="Times New Roman" w:eastAsia="Times New Roman" w:hAnsi="Times New Roman" w:cs="Times New Roman"/>
          <w:kern w:val="0"/>
          <w:sz w:val="24"/>
          <w:szCs w:val="24"/>
          <w:lang w:eastAsia="en-GB"/>
          <w14:ligatures w14:val="none"/>
        </w:rPr>
        <w:t>.</w:t>
      </w:r>
    </w:p>
    <w:p w14:paraId="4A93520A" w14:textId="77777777" w:rsidR="00FC0041" w:rsidRPr="00034F05" w:rsidRDefault="00FC0041" w:rsidP="00291C82">
      <w:pPr>
        <w:pStyle w:val="Heading2"/>
        <w:rPr>
          <w:rFonts w:eastAsia="Times New Roman" w:cs="Times New Roman"/>
          <w:lang w:eastAsia="en-GB"/>
        </w:rPr>
      </w:pPr>
      <w:bookmarkStart w:id="13" w:name="_Toc227924963"/>
      <w:r w:rsidRPr="00034F05">
        <w:rPr>
          <w:rFonts w:eastAsia="Times New Roman" w:cs="Times New Roman"/>
          <w:lang w:eastAsia="en-GB"/>
        </w:rPr>
        <w:t>3.2 Evaluation of Current Working Capital Position</w:t>
      </w:r>
      <w:bookmarkEnd w:id="13"/>
    </w:p>
    <w:p w14:paraId="637472E6" w14:textId="77777777" w:rsidR="00B164CA" w:rsidRPr="00034F05" w:rsidRDefault="00B164CA" w:rsidP="00B164C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liquidity and efficiency ratios can be used to evaluate the working capital position of Hyundai.</w:t>
      </w:r>
    </w:p>
    <w:p w14:paraId="0568CB0F" w14:textId="3F0A26D9" w:rsidR="00B164CA" w:rsidRPr="00034F05" w:rsidRDefault="00B164CA" w:rsidP="00B164C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Liquidity-wise, the company is in a good position. The current ratio is always greater than 1, with a range of 1.30-1.46, which means that current assets are adequate to meet the short-term liabilities. </w:t>
      </w:r>
      <w:r w:rsidRPr="00034F05">
        <w:rPr>
          <w:rFonts w:ascii="Times New Roman" w:eastAsia="Times New Roman" w:hAnsi="Times New Roman" w:cs="Times New Roman"/>
          <w:kern w:val="0"/>
          <w:sz w:val="24"/>
          <w:szCs w:val="24"/>
          <w:lang w:eastAsia="en-GB"/>
          <w14:ligatures w14:val="none"/>
        </w:rPr>
        <w:lastRenderedPageBreak/>
        <w:t>On the same note, the quick ratio is greater than 1, implying that despite the lack of inventory, Hyundai will be able to fulfil its short-term liabilities. This is indicative of a stable short-term financial situation.</w:t>
      </w:r>
    </w:p>
    <w:p w14:paraId="2042A856" w14:textId="44F994DD" w:rsidR="00B164CA" w:rsidRPr="00034F05" w:rsidRDefault="00B164CA" w:rsidP="00B164C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But there are mixed results on the efficiency of management of working capital. The turnover of inventory has decreased marginally, and the inventory days have grown, implying that there is inefficiency in inventory management. The receivables turnover has been good until 2023, when it began to decline, and this means that the company is taking longer to collect cash from customers</w:t>
      </w:r>
      <w:r w:rsidR="0088799C" w:rsidRPr="00034F05">
        <w:rPr>
          <w:rFonts w:ascii="Times New Roman" w:eastAsia="Times New Roman" w:hAnsi="Times New Roman" w:cs="Times New Roman"/>
          <w:kern w:val="0"/>
          <w:sz w:val="24"/>
          <w:szCs w:val="24"/>
          <w:lang w:eastAsia="en-GB"/>
          <w14:ligatures w14:val="none"/>
        </w:rPr>
        <w:t xml:space="preserve"> (Prasad et al, 2019)</w:t>
      </w:r>
      <w:r w:rsidRPr="00034F05">
        <w:rPr>
          <w:rFonts w:ascii="Times New Roman" w:eastAsia="Times New Roman" w:hAnsi="Times New Roman" w:cs="Times New Roman"/>
          <w:kern w:val="0"/>
          <w:sz w:val="24"/>
          <w:szCs w:val="24"/>
          <w:lang w:eastAsia="en-GB"/>
          <w14:ligatures w14:val="none"/>
        </w:rPr>
        <w:t>.</w:t>
      </w:r>
    </w:p>
    <w:p w14:paraId="5A00EAEE" w14:textId="44A7E49F" w:rsidR="00FC0041" w:rsidRPr="00034F05" w:rsidRDefault="00B164CA" w:rsidP="00B164C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Alternatively, the company has comparatively high payables days, thereby enhancing cash flow through deferral of payments. This is justified but might be detrimental to supplier relationships in case of continuation</w:t>
      </w:r>
      <w:r w:rsidR="00FC0041" w:rsidRPr="00034F05">
        <w:rPr>
          <w:rFonts w:ascii="Times New Roman" w:eastAsia="Times New Roman" w:hAnsi="Times New Roman" w:cs="Times New Roman"/>
          <w:kern w:val="0"/>
          <w:sz w:val="24"/>
          <w:szCs w:val="24"/>
          <w:lang w:eastAsia="en-GB"/>
          <w14:ligatures w14:val="none"/>
        </w:rPr>
        <w:t>.</w:t>
      </w:r>
    </w:p>
    <w:p w14:paraId="70418F37" w14:textId="77777777" w:rsidR="00FC0041" w:rsidRPr="00034F05" w:rsidRDefault="00FC0041" w:rsidP="00291C82">
      <w:pPr>
        <w:pStyle w:val="Heading2"/>
        <w:rPr>
          <w:rFonts w:eastAsia="Times New Roman" w:cs="Times New Roman"/>
          <w:lang w:eastAsia="en-GB"/>
        </w:rPr>
      </w:pPr>
      <w:bookmarkStart w:id="14" w:name="_Toc227924964"/>
      <w:r w:rsidRPr="00034F05">
        <w:rPr>
          <w:rFonts w:eastAsia="Times New Roman" w:cs="Times New Roman"/>
          <w:lang w:eastAsia="en-GB"/>
        </w:rPr>
        <w:t>3.3 Recommendations for Improvement</w:t>
      </w:r>
      <w:bookmarkEnd w:id="14"/>
    </w:p>
    <w:p w14:paraId="0FF31DB1" w14:textId="77777777"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In order to improve the working capital efficiency, a number of approaches can be adopted.</w:t>
      </w:r>
    </w:p>
    <w:p w14:paraId="7CC6C94B" w14:textId="77777777" w:rsidR="002F2B08" w:rsidRPr="00034F05" w:rsidRDefault="002F2B08" w:rsidP="00627C66">
      <w:pPr>
        <w:pStyle w:val="Heading3"/>
        <w:numPr>
          <w:ilvl w:val="0"/>
          <w:numId w:val="4"/>
        </w:numPr>
        <w:spacing w:line="360" w:lineRule="auto"/>
        <w:jc w:val="both"/>
        <w:rPr>
          <w:rFonts w:eastAsia="Times New Roman" w:cs="Times New Roman"/>
          <w:u w:val="single"/>
          <w:lang w:eastAsia="en-GB"/>
        </w:rPr>
      </w:pPr>
      <w:bookmarkStart w:id="15" w:name="_Toc227924965"/>
      <w:r w:rsidRPr="00034F05">
        <w:rPr>
          <w:rFonts w:eastAsia="Times New Roman" w:cs="Times New Roman"/>
          <w:u w:val="single"/>
          <w:lang w:eastAsia="en-GB"/>
        </w:rPr>
        <w:t>Inventory Management Strategies</w:t>
      </w:r>
      <w:bookmarkEnd w:id="15"/>
    </w:p>
    <w:p w14:paraId="712532B6" w14:textId="3F4C0A07"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Advanced inventory management methods like Just-in-Time (JIT) systems should be implemented by Hyundai to minimize the level of excess stocks. Enhanced demand forecasting and inventory tracking can be used to optimise holding costs and inventory days</w:t>
      </w:r>
      <w:r w:rsidR="007444D8" w:rsidRPr="00034F05">
        <w:rPr>
          <w:rFonts w:ascii="Times New Roman" w:eastAsia="Times New Roman" w:hAnsi="Times New Roman" w:cs="Times New Roman"/>
          <w:kern w:val="0"/>
          <w:sz w:val="24"/>
          <w:szCs w:val="24"/>
          <w:lang w:eastAsia="en-GB"/>
          <w14:ligatures w14:val="none"/>
        </w:rPr>
        <w:t xml:space="preserve"> (Macas et al, 2021)</w:t>
      </w:r>
      <w:r w:rsidRPr="00034F05">
        <w:rPr>
          <w:rFonts w:ascii="Times New Roman" w:eastAsia="Times New Roman" w:hAnsi="Times New Roman" w:cs="Times New Roman"/>
          <w:kern w:val="0"/>
          <w:sz w:val="24"/>
          <w:szCs w:val="24"/>
          <w:lang w:eastAsia="en-GB"/>
          <w14:ligatures w14:val="none"/>
        </w:rPr>
        <w:t>.</w:t>
      </w:r>
    </w:p>
    <w:p w14:paraId="3B1762AF" w14:textId="77777777" w:rsidR="002F2B08" w:rsidRPr="00034F05" w:rsidRDefault="002F2B08" w:rsidP="00627C66">
      <w:pPr>
        <w:pStyle w:val="Heading3"/>
        <w:numPr>
          <w:ilvl w:val="0"/>
          <w:numId w:val="4"/>
        </w:numPr>
        <w:spacing w:line="360" w:lineRule="auto"/>
        <w:jc w:val="both"/>
        <w:rPr>
          <w:rFonts w:eastAsia="Times New Roman" w:cs="Times New Roman"/>
          <w:u w:val="single"/>
          <w:lang w:eastAsia="en-GB"/>
        </w:rPr>
      </w:pPr>
      <w:bookmarkStart w:id="16" w:name="_Toc227924966"/>
      <w:r w:rsidRPr="00034F05">
        <w:rPr>
          <w:rFonts w:eastAsia="Times New Roman" w:cs="Times New Roman"/>
          <w:u w:val="single"/>
          <w:lang w:eastAsia="en-GB"/>
        </w:rPr>
        <w:t>Credit Control Policies</w:t>
      </w:r>
      <w:bookmarkEnd w:id="16"/>
    </w:p>
    <w:p w14:paraId="0B31A314" w14:textId="1A4BF031"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receivables days have gone up, and this implies that there is a need to tighten up on credit. Hyundai will be able to set more restrictive credit conditions, perform stricter credit checks of customers, and provide early payment discounts to speed up cash flows. Efficiency can also be enhanced through automation of invoicing and collection systems</w:t>
      </w:r>
      <w:r w:rsidR="00006108" w:rsidRPr="00034F05">
        <w:rPr>
          <w:rFonts w:ascii="Times New Roman" w:eastAsia="Times New Roman" w:hAnsi="Times New Roman" w:cs="Times New Roman"/>
          <w:kern w:val="0"/>
          <w:sz w:val="24"/>
          <w:szCs w:val="24"/>
          <w:lang w:eastAsia="en-GB"/>
          <w14:ligatures w14:val="none"/>
        </w:rPr>
        <w:t xml:space="preserve"> (Lupi, 2026)</w:t>
      </w:r>
      <w:r w:rsidRPr="00034F05">
        <w:rPr>
          <w:rFonts w:ascii="Times New Roman" w:eastAsia="Times New Roman" w:hAnsi="Times New Roman" w:cs="Times New Roman"/>
          <w:kern w:val="0"/>
          <w:sz w:val="24"/>
          <w:szCs w:val="24"/>
          <w:lang w:eastAsia="en-GB"/>
          <w14:ligatures w14:val="none"/>
        </w:rPr>
        <w:t>.</w:t>
      </w:r>
    </w:p>
    <w:p w14:paraId="0A49DF08" w14:textId="77777777" w:rsidR="002F2B08" w:rsidRPr="00034F05" w:rsidRDefault="002F2B08" w:rsidP="00627C66">
      <w:pPr>
        <w:pStyle w:val="Heading3"/>
        <w:numPr>
          <w:ilvl w:val="0"/>
          <w:numId w:val="4"/>
        </w:numPr>
        <w:spacing w:line="360" w:lineRule="auto"/>
        <w:jc w:val="both"/>
        <w:rPr>
          <w:rFonts w:eastAsia="Times New Roman" w:cs="Times New Roman"/>
          <w:u w:val="single"/>
          <w:lang w:eastAsia="en-GB"/>
        </w:rPr>
      </w:pPr>
      <w:bookmarkStart w:id="17" w:name="_Toc227924967"/>
      <w:r w:rsidRPr="00034F05">
        <w:rPr>
          <w:rFonts w:eastAsia="Times New Roman" w:cs="Times New Roman"/>
          <w:u w:val="single"/>
          <w:lang w:eastAsia="en-GB"/>
        </w:rPr>
        <w:lastRenderedPageBreak/>
        <w:t>Supplier Negotiation Strategies</w:t>
      </w:r>
      <w:bookmarkEnd w:id="17"/>
    </w:p>
    <w:p w14:paraId="2299C4F3" w14:textId="743C5A86" w:rsidR="00FC0041"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Hyundai currently enjoys long payables, but it can also improve on the supplier contracts by negotiating to have flexible payment terms without ruining a relationship. Balancing between cost efficiency and supply chain stability can be achieved through strategic alliances with important suppliers</w:t>
      </w:r>
      <w:r w:rsidR="00006108" w:rsidRPr="00034F05">
        <w:rPr>
          <w:rFonts w:ascii="Times New Roman" w:eastAsia="Times New Roman" w:hAnsi="Times New Roman" w:cs="Times New Roman"/>
          <w:kern w:val="0"/>
          <w:sz w:val="24"/>
          <w:szCs w:val="24"/>
          <w:lang w:eastAsia="en-GB"/>
          <w14:ligatures w14:val="none"/>
        </w:rPr>
        <w:t xml:space="preserve"> (Lee, 2014)</w:t>
      </w:r>
      <w:r w:rsidR="00FC0041" w:rsidRPr="00034F05">
        <w:rPr>
          <w:rFonts w:ascii="Times New Roman" w:eastAsia="Times New Roman" w:hAnsi="Times New Roman" w:cs="Times New Roman"/>
          <w:kern w:val="0"/>
          <w:sz w:val="24"/>
          <w:szCs w:val="24"/>
          <w:lang w:eastAsia="en-GB"/>
          <w14:ligatures w14:val="none"/>
        </w:rPr>
        <w:t>.</w:t>
      </w:r>
    </w:p>
    <w:p w14:paraId="002559D9" w14:textId="77777777" w:rsidR="00FC0041" w:rsidRPr="00034F05" w:rsidRDefault="00FC0041" w:rsidP="00291C82">
      <w:pPr>
        <w:pStyle w:val="Heading2"/>
        <w:rPr>
          <w:rFonts w:eastAsia="Times New Roman" w:cs="Times New Roman"/>
          <w:lang w:eastAsia="en-GB"/>
        </w:rPr>
      </w:pPr>
      <w:bookmarkStart w:id="18" w:name="_Toc227924968"/>
      <w:r w:rsidRPr="00034F05">
        <w:rPr>
          <w:rFonts w:eastAsia="Times New Roman" w:cs="Times New Roman"/>
          <w:lang w:eastAsia="en-GB"/>
        </w:rPr>
        <w:t>3.4 Financing Options</w:t>
      </w:r>
      <w:bookmarkEnd w:id="18"/>
    </w:p>
    <w:p w14:paraId="06FDF702" w14:textId="77777777"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decision of financing sources is also important to good working capital management.</w:t>
      </w:r>
    </w:p>
    <w:p w14:paraId="57F9C099" w14:textId="77777777" w:rsidR="002F2B08" w:rsidRPr="00034F05" w:rsidRDefault="002F2B08" w:rsidP="00627C66">
      <w:pPr>
        <w:pStyle w:val="Heading3"/>
        <w:numPr>
          <w:ilvl w:val="0"/>
          <w:numId w:val="5"/>
        </w:numPr>
        <w:rPr>
          <w:rFonts w:eastAsia="Times New Roman" w:cs="Times New Roman"/>
          <w:lang w:eastAsia="en-GB"/>
        </w:rPr>
      </w:pPr>
      <w:bookmarkStart w:id="19" w:name="_Toc227924969"/>
      <w:r w:rsidRPr="00034F05">
        <w:rPr>
          <w:rFonts w:eastAsia="Times New Roman" w:cs="Times New Roman"/>
          <w:lang w:eastAsia="en-GB"/>
        </w:rPr>
        <w:t>Short-Term Financing</w:t>
      </w:r>
      <w:bookmarkEnd w:id="19"/>
    </w:p>
    <w:p w14:paraId="235E8241" w14:textId="13B67EA6"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Bank overdrafts offer quick and easy access to money and are therefore appropriate in dealing with temporary cash crises. They do, however, usually attract a higher rate of interest and may lead to greater financial risk when abused.</w:t>
      </w:r>
    </w:p>
    <w:p w14:paraId="7BB7B4D4" w14:textId="107E67BB"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Trade credit enables Hyundai to pay suppliers on credit and, in this way, fund its operations without any cash leakage. It is also a cheap way of financing, but it can result in poor supplier relations if delays in payments are too much.</w:t>
      </w:r>
    </w:p>
    <w:p w14:paraId="51A11237" w14:textId="77777777" w:rsidR="002F2B08" w:rsidRPr="00034F05" w:rsidRDefault="002F2B08" w:rsidP="00627C66">
      <w:pPr>
        <w:pStyle w:val="Heading3"/>
        <w:numPr>
          <w:ilvl w:val="0"/>
          <w:numId w:val="5"/>
        </w:numPr>
        <w:rPr>
          <w:rFonts w:eastAsia="Times New Roman" w:cs="Times New Roman"/>
          <w:lang w:eastAsia="en-GB"/>
        </w:rPr>
      </w:pPr>
      <w:bookmarkStart w:id="20" w:name="_Toc227924970"/>
      <w:r w:rsidRPr="00034F05">
        <w:rPr>
          <w:rFonts w:eastAsia="Times New Roman" w:cs="Times New Roman"/>
          <w:lang w:eastAsia="en-GB"/>
        </w:rPr>
        <w:t>Long-Term Financing</w:t>
      </w:r>
      <w:bookmarkEnd w:id="20"/>
    </w:p>
    <w:p w14:paraId="68421A21" w14:textId="77777777" w:rsidR="00831E0F" w:rsidRPr="00034F05" w:rsidRDefault="00831E0F" w:rsidP="00831E0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Equity financing involves equity raising through the issuance of shares. This reduces the financial risk since it does not need to be repaid, though it may dilute ownership and reduce earnings per share.</w:t>
      </w:r>
    </w:p>
    <w:p w14:paraId="617A2701" w14:textId="290AE412" w:rsidR="00FC0041" w:rsidRPr="00034F05" w:rsidRDefault="00831E0F" w:rsidP="00831E0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Long-term loans provide stable capital to large projects such as the EV development. They do increase the long-term financial commitment and leverage although they have lower interest rates than short-term borrowing</w:t>
      </w:r>
      <w:r w:rsidR="00FC0041" w:rsidRPr="00034F05">
        <w:rPr>
          <w:rFonts w:ascii="Times New Roman" w:eastAsia="Times New Roman" w:hAnsi="Times New Roman" w:cs="Times New Roman"/>
          <w:kern w:val="0"/>
          <w:sz w:val="24"/>
          <w:szCs w:val="24"/>
          <w:lang w:eastAsia="en-GB"/>
          <w14:ligatures w14:val="none"/>
        </w:rPr>
        <w:t>.</w:t>
      </w:r>
    </w:p>
    <w:p w14:paraId="263738EB" w14:textId="77777777" w:rsidR="00FC0041" w:rsidRPr="00034F05" w:rsidRDefault="00FC0041" w:rsidP="00291C82">
      <w:pPr>
        <w:pStyle w:val="Heading2"/>
        <w:rPr>
          <w:rFonts w:eastAsia="Times New Roman" w:cs="Times New Roman"/>
          <w:lang w:eastAsia="en-GB"/>
        </w:rPr>
      </w:pPr>
      <w:bookmarkStart w:id="21" w:name="_Toc227924971"/>
      <w:r w:rsidRPr="00034F05">
        <w:rPr>
          <w:rFonts w:eastAsia="Times New Roman" w:cs="Times New Roman"/>
          <w:lang w:eastAsia="en-GB"/>
        </w:rPr>
        <w:t>3.5 Critical Comparison</w:t>
      </w:r>
      <w:bookmarkEnd w:id="21"/>
    </w:p>
    <w:p w14:paraId="7543CAC7" w14:textId="77777777" w:rsidR="00831E0F" w:rsidRPr="00034F05" w:rsidRDefault="00831E0F" w:rsidP="00831E0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There are advantages and disadvantages of both short-term and long-term financing.</w:t>
      </w:r>
    </w:p>
    <w:p w14:paraId="44C72F53" w14:textId="77777777" w:rsidR="00831E0F" w:rsidRPr="00034F05" w:rsidRDefault="00831E0F" w:rsidP="00831E0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The short term finance is flexible and readily available finance and thus effective in managing the working capital requirements. However it has a greater interest rate and refinancing risk especially where there is uncertainty in the economy.</w:t>
      </w:r>
    </w:p>
    <w:p w14:paraId="286F66E2" w14:textId="77777777" w:rsidR="00831E0F" w:rsidRPr="00034F05" w:rsidRDefault="00831E0F" w:rsidP="00831E0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Long term financing on the other hand is more predictable and stable and enables strategic investments and growth. It however increases the financial obligations and may reduce the financial flexibility due to a fixed repayment scheme.</w:t>
      </w:r>
    </w:p>
    <w:p w14:paraId="233A74AE" w14:textId="00BCAFE0" w:rsidR="00FC0041" w:rsidRPr="00034F05" w:rsidRDefault="00831E0F" w:rsidP="00831E0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 balanced approach has to be considered in the case of Hyundai. The operations of a business can be financed using short-term financing, although it is not advisable because it is risky. Long-term funding should be used to finance large-scale EV investments but this approach should be regulated to avoid over-leverage</w:t>
      </w:r>
      <w:r w:rsidR="00FC0041" w:rsidRPr="00034F05">
        <w:rPr>
          <w:rFonts w:ascii="Times New Roman" w:eastAsia="Times New Roman" w:hAnsi="Times New Roman" w:cs="Times New Roman"/>
          <w:kern w:val="0"/>
          <w:sz w:val="24"/>
          <w:szCs w:val="24"/>
          <w:lang w:eastAsia="en-GB"/>
          <w14:ligatures w14:val="none"/>
        </w:rPr>
        <w:t>.</w:t>
      </w:r>
    </w:p>
    <w:p w14:paraId="377F2F87" w14:textId="77777777" w:rsidR="002F2B08" w:rsidRPr="00034F05" w:rsidRDefault="002F2B08" w:rsidP="002F2B08">
      <w:pPr>
        <w:pStyle w:val="Heading1"/>
        <w:rPr>
          <w:rFonts w:eastAsia="Times New Roman" w:cs="Times New Roman"/>
          <w:lang w:eastAsia="en-GB"/>
        </w:rPr>
      </w:pPr>
      <w:bookmarkStart w:id="22" w:name="_Toc227924972"/>
      <w:r w:rsidRPr="00034F05">
        <w:rPr>
          <w:rFonts w:eastAsia="Times New Roman" w:cs="Times New Roman"/>
          <w:lang w:eastAsia="en-GB"/>
        </w:rPr>
        <w:t>4. Strategic Financial Restructuring Plan</w:t>
      </w:r>
      <w:bookmarkEnd w:id="22"/>
    </w:p>
    <w:p w14:paraId="254F2855" w14:textId="77777777" w:rsidR="002F2B08" w:rsidRPr="00034F05" w:rsidRDefault="002F2B08" w:rsidP="002F2B08">
      <w:pPr>
        <w:pStyle w:val="Heading2"/>
        <w:rPr>
          <w:rFonts w:eastAsia="Times New Roman" w:cs="Times New Roman"/>
          <w:lang w:eastAsia="en-GB"/>
        </w:rPr>
      </w:pPr>
      <w:bookmarkStart w:id="23" w:name="_Toc227924973"/>
      <w:r w:rsidRPr="00034F05">
        <w:rPr>
          <w:rFonts w:eastAsia="Times New Roman" w:cs="Times New Roman"/>
          <w:lang w:eastAsia="en-GB"/>
        </w:rPr>
        <w:t>4.1 Identification of Financial Issues</w:t>
      </w:r>
      <w:bookmarkEnd w:id="23"/>
    </w:p>
    <w:p w14:paraId="288F1834" w14:textId="5565FEA1"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According to the financial analysis, Hyundai has a number of major financial issues that require restructuring.</w:t>
      </w:r>
    </w:p>
    <w:p w14:paraId="14A057A3" w14:textId="7C5E17E0"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To begin with, there is a high level of debt. The debt-to-equity ratio of the firm has been consistently high (more than 1.7), implying that the company has relied on external financing. This puts Hyundai at risk financially, especially during the times when interest rates are on the increase. Also, the decreasing interest coverage ratio (3.99 in 2021 to 2.48 in 2025) implies a diminished capacity to cover interest payments, which enhances financial vulnerability.</w:t>
      </w:r>
    </w:p>
    <w:p w14:paraId="664ECC66" w14:textId="1264526C"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Secondly, there is pressure on profitability. Despite the increase in profitability in 2021-2023, such key indicators as net profit margin, ROA, and ROE decreased in 2025. It implies that it will increase the operating expenses, competition, and possibly the power of prices in the electric vehicle (EV) market.</w:t>
      </w:r>
    </w:p>
    <w:p w14:paraId="53DEEE1D" w14:textId="2F41F43D" w:rsidR="002F2B08" w:rsidRPr="00034F05" w:rsidRDefault="002F2B08" w:rsidP="002F2B08">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Third, Hyundai is directly competing with other major EV manufacturers around the globe. The switch to electric mobility needs significant investments in research and development, as well as </w:t>
      </w:r>
      <w:r w:rsidRPr="00034F05">
        <w:rPr>
          <w:rFonts w:ascii="Times New Roman" w:eastAsia="Times New Roman" w:hAnsi="Times New Roman" w:cs="Times New Roman"/>
          <w:kern w:val="0"/>
          <w:sz w:val="24"/>
          <w:szCs w:val="24"/>
          <w:lang w:eastAsia="en-GB"/>
          <w14:ligatures w14:val="none"/>
        </w:rPr>
        <w:lastRenderedPageBreak/>
        <w:t>infrastructure, which puts an extra financial pressure on the company. Strategic advantage may be enjoyed by competitors that have greater cash flow positions.</w:t>
      </w:r>
    </w:p>
    <w:p w14:paraId="2A61A860" w14:textId="77777777" w:rsidR="002F2B08" w:rsidRPr="00034F05" w:rsidRDefault="002F2B08" w:rsidP="00991AA6">
      <w:pPr>
        <w:pStyle w:val="Heading2"/>
        <w:rPr>
          <w:rFonts w:eastAsia="Times New Roman" w:cs="Times New Roman"/>
          <w:lang w:eastAsia="en-GB"/>
        </w:rPr>
      </w:pPr>
      <w:bookmarkStart w:id="24" w:name="_Toc227924974"/>
      <w:r w:rsidRPr="00034F05">
        <w:rPr>
          <w:rFonts w:eastAsia="Times New Roman" w:cs="Times New Roman"/>
          <w:lang w:eastAsia="en-GB"/>
        </w:rPr>
        <w:t>4.2 Restructuring Options</w:t>
      </w:r>
      <w:bookmarkEnd w:id="24"/>
    </w:p>
    <w:p w14:paraId="7C47F27F" w14:textId="40E4E2BF" w:rsidR="00991AA6" w:rsidRPr="00034F05" w:rsidRDefault="00B066FB"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Hyundai can implement a number of strategic restructuring strategies in order to overcome its financial problems and attain greater financial stability and long-term growth</w:t>
      </w:r>
      <w:r w:rsidR="00991AA6" w:rsidRPr="00034F05">
        <w:rPr>
          <w:rFonts w:ascii="Times New Roman" w:eastAsia="Times New Roman" w:hAnsi="Times New Roman" w:cs="Times New Roman"/>
          <w:kern w:val="0"/>
          <w:sz w:val="24"/>
          <w:szCs w:val="24"/>
          <w:lang w:eastAsia="en-GB"/>
          <w14:ligatures w14:val="none"/>
        </w:rPr>
        <w:t>.</w:t>
      </w:r>
    </w:p>
    <w:p w14:paraId="6F2EE8F8" w14:textId="77777777" w:rsidR="00991AA6" w:rsidRPr="00034F05" w:rsidRDefault="00991AA6" w:rsidP="00627C66">
      <w:pPr>
        <w:pStyle w:val="Heading3"/>
        <w:numPr>
          <w:ilvl w:val="0"/>
          <w:numId w:val="6"/>
        </w:numPr>
        <w:spacing w:line="360" w:lineRule="auto"/>
        <w:jc w:val="both"/>
        <w:rPr>
          <w:rFonts w:eastAsia="Times New Roman" w:cs="Times New Roman"/>
          <w:u w:val="single"/>
          <w:lang w:eastAsia="en-GB"/>
        </w:rPr>
      </w:pPr>
      <w:bookmarkStart w:id="25" w:name="_Toc227924975"/>
      <w:r w:rsidRPr="00034F05">
        <w:rPr>
          <w:rFonts w:eastAsia="Times New Roman" w:cs="Times New Roman"/>
          <w:u w:val="single"/>
          <w:lang w:eastAsia="en-GB"/>
        </w:rPr>
        <w:t>Divestiture (Selling Non-Core Assets)</w:t>
      </w:r>
      <w:bookmarkEnd w:id="25"/>
    </w:p>
    <w:p w14:paraId="75AC7597" w14:textId="681A8956" w:rsidR="00991AA6" w:rsidRPr="00034F05" w:rsidRDefault="00B066FB"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The sale of non-core or non-performing assets can enable Hyundai to consolidate its financial strengths. The sale of these assets would result in immediate cash flows, less operational complexity, and enable the company to concentrate on its core electric vehicle (EV) operations. </w:t>
      </w:r>
      <w:r w:rsidR="00831E0F" w:rsidRPr="00034F05">
        <w:rPr>
          <w:rFonts w:ascii="Times New Roman" w:eastAsia="Times New Roman" w:hAnsi="Times New Roman" w:cs="Times New Roman"/>
          <w:kern w:val="0"/>
          <w:sz w:val="24"/>
          <w:szCs w:val="24"/>
          <w:lang w:eastAsia="en-GB"/>
          <w14:ligatures w14:val="none"/>
        </w:rPr>
        <w:t xml:space="preserve">Such financial indicators, in particular, the return on assets and liquidity, can be improved by this plan as well, due to redistribution of resources to more profitable fields </w:t>
      </w:r>
      <w:r w:rsidR="00626795" w:rsidRPr="00034F05">
        <w:rPr>
          <w:rFonts w:ascii="Times New Roman" w:eastAsia="Times New Roman" w:hAnsi="Times New Roman" w:cs="Times New Roman"/>
          <w:kern w:val="0"/>
          <w:sz w:val="24"/>
          <w:szCs w:val="24"/>
          <w:lang w:eastAsia="en-GB"/>
          <w14:ligatures w14:val="none"/>
        </w:rPr>
        <w:t>(</w:t>
      </w:r>
      <w:proofErr w:type="spellStart"/>
      <w:r w:rsidR="00626795" w:rsidRPr="00034F05">
        <w:rPr>
          <w:rFonts w:ascii="Times New Roman" w:eastAsia="Times New Roman" w:hAnsi="Times New Roman" w:cs="Times New Roman"/>
          <w:kern w:val="0"/>
          <w:sz w:val="24"/>
          <w:szCs w:val="24"/>
          <w:lang w:eastAsia="en-GB"/>
          <w14:ligatures w14:val="none"/>
        </w:rPr>
        <w:t>Schlingemann</w:t>
      </w:r>
      <w:proofErr w:type="spellEnd"/>
      <w:r w:rsidR="00626795" w:rsidRPr="00034F05">
        <w:rPr>
          <w:rFonts w:ascii="Times New Roman" w:eastAsia="Times New Roman" w:hAnsi="Times New Roman" w:cs="Times New Roman"/>
          <w:kern w:val="0"/>
          <w:sz w:val="24"/>
          <w:szCs w:val="24"/>
          <w:lang w:eastAsia="en-GB"/>
          <w14:ligatures w14:val="none"/>
        </w:rPr>
        <w:t xml:space="preserve"> et al, 2002)</w:t>
      </w:r>
      <w:r w:rsidR="00991AA6" w:rsidRPr="00034F05">
        <w:rPr>
          <w:rFonts w:ascii="Times New Roman" w:eastAsia="Times New Roman" w:hAnsi="Times New Roman" w:cs="Times New Roman"/>
          <w:kern w:val="0"/>
          <w:sz w:val="24"/>
          <w:szCs w:val="24"/>
          <w:lang w:eastAsia="en-GB"/>
          <w14:ligatures w14:val="none"/>
        </w:rPr>
        <w:t>.</w:t>
      </w:r>
    </w:p>
    <w:p w14:paraId="742819AA" w14:textId="4617FB7A" w:rsidR="00991AA6" w:rsidRPr="00034F05" w:rsidRDefault="00991AA6" w:rsidP="00627C66">
      <w:pPr>
        <w:pStyle w:val="Heading3"/>
        <w:numPr>
          <w:ilvl w:val="0"/>
          <w:numId w:val="6"/>
        </w:numPr>
        <w:spacing w:line="360" w:lineRule="auto"/>
        <w:jc w:val="both"/>
        <w:rPr>
          <w:rFonts w:eastAsia="Times New Roman" w:cs="Times New Roman"/>
          <w:u w:val="single"/>
          <w:lang w:eastAsia="en-GB"/>
        </w:rPr>
      </w:pPr>
      <w:bookmarkStart w:id="26" w:name="_Toc227924976"/>
      <w:r w:rsidRPr="00034F05">
        <w:rPr>
          <w:rFonts w:eastAsia="Times New Roman" w:cs="Times New Roman"/>
          <w:u w:val="single"/>
          <w:lang w:eastAsia="en-GB"/>
        </w:rPr>
        <w:t>Acquisition and Mergers</w:t>
      </w:r>
      <w:bookmarkEnd w:id="26"/>
    </w:p>
    <w:p w14:paraId="416D79AE" w14:textId="6729117B" w:rsidR="00991AA6" w:rsidRPr="00034F05" w:rsidRDefault="00831E0F"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Acquisitions and mergers can be used strategically to improve the competitiveness of Hyundai in the EV market. To illustrate, acquisition of battery technology-oriented companies or autonomous driving systems can aid in long-term innovation and development. Joint ventures and partnerships will also aid in reducing the financial risks by sharing the cost of investments and access to new technologies and markets </w:t>
      </w:r>
      <w:r w:rsidR="00626795" w:rsidRPr="00034F05">
        <w:rPr>
          <w:rFonts w:ascii="Times New Roman" w:eastAsia="Times New Roman" w:hAnsi="Times New Roman" w:cs="Times New Roman"/>
          <w:kern w:val="0"/>
          <w:sz w:val="24"/>
          <w:szCs w:val="24"/>
          <w:lang w:eastAsia="en-GB"/>
          <w14:ligatures w14:val="none"/>
        </w:rPr>
        <w:t>(Malik et al, 2014)</w:t>
      </w:r>
      <w:r w:rsidR="00991AA6" w:rsidRPr="00034F05">
        <w:rPr>
          <w:rFonts w:ascii="Times New Roman" w:eastAsia="Times New Roman" w:hAnsi="Times New Roman" w:cs="Times New Roman"/>
          <w:kern w:val="0"/>
          <w:sz w:val="24"/>
          <w:szCs w:val="24"/>
          <w:lang w:eastAsia="en-GB"/>
          <w14:ligatures w14:val="none"/>
        </w:rPr>
        <w:t>.</w:t>
      </w:r>
    </w:p>
    <w:p w14:paraId="1FE1E9D8" w14:textId="77777777" w:rsidR="00991AA6" w:rsidRPr="00034F05" w:rsidRDefault="00991AA6" w:rsidP="00627C66">
      <w:pPr>
        <w:pStyle w:val="Heading3"/>
        <w:numPr>
          <w:ilvl w:val="0"/>
          <w:numId w:val="6"/>
        </w:numPr>
        <w:spacing w:line="360" w:lineRule="auto"/>
        <w:jc w:val="both"/>
        <w:rPr>
          <w:rFonts w:eastAsia="Times New Roman" w:cs="Times New Roman"/>
          <w:u w:val="single"/>
          <w:lang w:eastAsia="en-GB"/>
        </w:rPr>
      </w:pPr>
      <w:bookmarkStart w:id="27" w:name="_Toc227924977"/>
      <w:r w:rsidRPr="00034F05">
        <w:rPr>
          <w:rFonts w:eastAsia="Times New Roman" w:cs="Times New Roman"/>
          <w:u w:val="single"/>
          <w:lang w:eastAsia="en-GB"/>
        </w:rPr>
        <w:t>Equity Injection</w:t>
      </w:r>
      <w:bookmarkEnd w:id="27"/>
    </w:p>
    <w:p w14:paraId="6D4CEBB4" w14:textId="2C873FB5" w:rsidR="002F2B08" w:rsidRPr="00034F05" w:rsidRDefault="00831E0F"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Another viable source of raising funds to make sure that reliance on debt is kept to the minimum is equity financing. The problem of new shares will be capable of strengthening the balance sheet of Hyundai and raising the debt-to-equity ratio of the company. This could in the short run, dilute the present shareholders ownership, but will make the organization more financially stable and reduced interest payments, which will facilitate a sustainable future growth</w:t>
      </w:r>
      <w:r w:rsidR="002F2B08" w:rsidRPr="00034F05">
        <w:rPr>
          <w:rFonts w:ascii="Times New Roman" w:eastAsia="Times New Roman" w:hAnsi="Times New Roman" w:cs="Times New Roman"/>
          <w:kern w:val="0"/>
          <w:sz w:val="24"/>
          <w:szCs w:val="24"/>
          <w:lang w:eastAsia="en-GB"/>
          <w14:ligatures w14:val="none"/>
        </w:rPr>
        <w:t>.</w:t>
      </w:r>
    </w:p>
    <w:p w14:paraId="3AFB4BB5" w14:textId="77777777" w:rsidR="002F2B08" w:rsidRPr="00034F05" w:rsidRDefault="002F2B08" w:rsidP="00991AA6">
      <w:pPr>
        <w:pStyle w:val="Heading2"/>
        <w:rPr>
          <w:rFonts w:eastAsia="Times New Roman" w:cs="Times New Roman"/>
          <w:lang w:eastAsia="en-GB"/>
        </w:rPr>
      </w:pPr>
      <w:bookmarkStart w:id="28" w:name="_Toc227924978"/>
      <w:r w:rsidRPr="00034F05">
        <w:rPr>
          <w:rFonts w:eastAsia="Times New Roman" w:cs="Times New Roman"/>
          <w:lang w:eastAsia="en-GB"/>
        </w:rPr>
        <w:lastRenderedPageBreak/>
        <w:t>4.3 Impact Analysis</w:t>
      </w:r>
      <w:bookmarkEnd w:id="28"/>
    </w:p>
    <w:p w14:paraId="7503CDCC" w14:textId="65D51BEB" w:rsidR="00991AA6" w:rsidRPr="00034F05" w:rsidRDefault="003E570C"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proposed financial restructuring strategies are expected to have significant impacts on both the financial performance and operational capabilities of Hyundai</w:t>
      </w:r>
      <w:r w:rsidR="00991AA6" w:rsidRPr="00034F05">
        <w:rPr>
          <w:rFonts w:ascii="Times New Roman" w:eastAsia="Times New Roman" w:hAnsi="Times New Roman" w:cs="Times New Roman"/>
          <w:kern w:val="0"/>
          <w:sz w:val="24"/>
          <w:szCs w:val="24"/>
          <w:lang w:eastAsia="en-GB"/>
          <w14:ligatures w14:val="none"/>
        </w:rPr>
        <w:t>.</w:t>
      </w:r>
    </w:p>
    <w:p w14:paraId="2DFAEEFD" w14:textId="77777777" w:rsidR="00991AA6" w:rsidRPr="00034F05" w:rsidRDefault="00991AA6" w:rsidP="00627C66">
      <w:pPr>
        <w:pStyle w:val="Heading3"/>
        <w:numPr>
          <w:ilvl w:val="0"/>
          <w:numId w:val="7"/>
        </w:numPr>
        <w:spacing w:line="360" w:lineRule="auto"/>
        <w:jc w:val="both"/>
        <w:rPr>
          <w:rFonts w:eastAsia="Times New Roman" w:cs="Times New Roman"/>
          <w:u w:val="single"/>
          <w:lang w:eastAsia="en-GB"/>
        </w:rPr>
      </w:pPr>
      <w:bookmarkStart w:id="29" w:name="_Toc227924979"/>
      <w:r w:rsidRPr="00034F05">
        <w:rPr>
          <w:rFonts w:eastAsia="Times New Roman" w:cs="Times New Roman"/>
          <w:u w:val="single"/>
          <w:lang w:eastAsia="en-GB"/>
        </w:rPr>
        <w:t>Shareholder Value</w:t>
      </w:r>
      <w:bookmarkEnd w:id="29"/>
    </w:p>
    <w:p w14:paraId="0EAF3EB3" w14:textId="74ED201C" w:rsidR="00991AA6" w:rsidRPr="00034F05" w:rsidRDefault="003E570C"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Divestiture and strategic acquisitions have the potential to increase shareholder value by increasing profitability and enabling the enterprise to concentrate on </w:t>
      </w:r>
      <w:r w:rsidR="00626795" w:rsidRPr="00034F05">
        <w:rPr>
          <w:rFonts w:ascii="Times New Roman" w:eastAsia="Times New Roman" w:hAnsi="Times New Roman" w:cs="Times New Roman"/>
          <w:kern w:val="0"/>
          <w:sz w:val="24"/>
          <w:szCs w:val="24"/>
          <w:lang w:eastAsia="en-GB"/>
          <w14:ligatures w14:val="none"/>
        </w:rPr>
        <w:t>high-growth</w:t>
      </w:r>
      <w:r w:rsidRPr="00034F05">
        <w:rPr>
          <w:rFonts w:ascii="Times New Roman" w:eastAsia="Times New Roman" w:hAnsi="Times New Roman" w:cs="Times New Roman"/>
          <w:kern w:val="0"/>
          <w:sz w:val="24"/>
          <w:szCs w:val="24"/>
          <w:lang w:eastAsia="en-GB"/>
          <w14:ligatures w14:val="none"/>
        </w:rPr>
        <w:t xml:space="preserve"> sectors, especially in the electric vehicle (EV) market. Reducing investment in non-productive areas will give Hyundai better returns in the long run. Equity injection, however, can cause </w:t>
      </w:r>
      <w:r w:rsidR="00626795" w:rsidRPr="00034F05">
        <w:rPr>
          <w:rFonts w:ascii="Times New Roman" w:eastAsia="Times New Roman" w:hAnsi="Times New Roman" w:cs="Times New Roman"/>
          <w:kern w:val="0"/>
          <w:sz w:val="24"/>
          <w:szCs w:val="24"/>
          <w:lang w:eastAsia="en-GB"/>
          <w14:ligatures w14:val="none"/>
        </w:rPr>
        <w:t>short-term</w:t>
      </w:r>
      <w:r w:rsidRPr="00034F05">
        <w:rPr>
          <w:rFonts w:ascii="Times New Roman" w:eastAsia="Times New Roman" w:hAnsi="Times New Roman" w:cs="Times New Roman"/>
          <w:kern w:val="0"/>
          <w:sz w:val="24"/>
          <w:szCs w:val="24"/>
          <w:lang w:eastAsia="en-GB"/>
          <w14:ligatures w14:val="none"/>
        </w:rPr>
        <w:t xml:space="preserve"> dilution of the earnings per share (EPS) that might adversely affect investor perception. Nonetheless, this is expected to increase the financial strength of the company, which is likely to enhance investor confidence in the long run, leading to sustainable shareholder value generation</w:t>
      </w:r>
      <w:r w:rsidR="007D0236" w:rsidRPr="00034F05">
        <w:rPr>
          <w:rFonts w:ascii="Times New Roman" w:eastAsia="Times New Roman" w:hAnsi="Times New Roman" w:cs="Times New Roman"/>
          <w:kern w:val="0"/>
          <w:sz w:val="24"/>
          <w:szCs w:val="24"/>
          <w:lang w:eastAsia="en-GB"/>
          <w14:ligatures w14:val="none"/>
        </w:rPr>
        <w:t xml:space="preserve"> </w:t>
      </w:r>
      <w:r w:rsidR="00C25A1D" w:rsidRPr="00034F05">
        <w:rPr>
          <w:rFonts w:ascii="Times New Roman" w:eastAsia="Times New Roman" w:hAnsi="Times New Roman" w:cs="Times New Roman"/>
          <w:kern w:val="0"/>
          <w:sz w:val="24"/>
          <w:szCs w:val="24"/>
          <w:lang w:eastAsia="en-GB"/>
          <w14:ligatures w14:val="none"/>
        </w:rPr>
        <w:t>(Bick, 2009)</w:t>
      </w:r>
      <w:r w:rsidR="00991AA6" w:rsidRPr="00034F05">
        <w:rPr>
          <w:rFonts w:ascii="Times New Roman" w:eastAsia="Times New Roman" w:hAnsi="Times New Roman" w:cs="Times New Roman"/>
          <w:kern w:val="0"/>
          <w:sz w:val="24"/>
          <w:szCs w:val="24"/>
          <w:lang w:eastAsia="en-GB"/>
          <w14:ligatures w14:val="none"/>
        </w:rPr>
        <w:t>.</w:t>
      </w:r>
    </w:p>
    <w:p w14:paraId="740503E2" w14:textId="77777777" w:rsidR="00991AA6" w:rsidRPr="00034F05" w:rsidRDefault="00991AA6" w:rsidP="00627C66">
      <w:pPr>
        <w:pStyle w:val="Heading3"/>
        <w:numPr>
          <w:ilvl w:val="0"/>
          <w:numId w:val="7"/>
        </w:numPr>
        <w:spacing w:line="360" w:lineRule="auto"/>
        <w:jc w:val="both"/>
        <w:rPr>
          <w:rFonts w:eastAsia="Times New Roman" w:cs="Times New Roman"/>
          <w:u w:val="single"/>
          <w:lang w:eastAsia="en-GB"/>
        </w:rPr>
      </w:pPr>
      <w:bookmarkStart w:id="30" w:name="_Toc227924980"/>
      <w:r w:rsidRPr="00034F05">
        <w:rPr>
          <w:rFonts w:eastAsia="Times New Roman" w:cs="Times New Roman"/>
          <w:u w:val="single"/>
          <w:lang w:eastAsia="en-GB"/>
        </w:rPr>
        <w:t>Capital Structure</w:t>
      </w:r>
      <w:bookmarkEnd w:id="30"/>
    </w:p>
    <w:p w14:paraId="7F72F167" w14:textId="44463ACC" w:rsidR="00991AA6" w:rsidRPr="00034F05" w:rsidRDefault="003E570C"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Equity financing and asset divestiture will help decrease the dependence of Hyundai on debt. This will enhance the capital structure of the company as it reduces the debt-to-equity ratio and will also reduce financial risk. The decrease in interest payments will increase the interest coverage ratio, which will increase the capacity of the firm to settle its interest payments. In general, the increased capital structure will make it more resilient to economic uncertainties</w:t>
      </w:r>
      <w:r w:rsidR="007D0236" w:rsidRPr="00034F05">
        <w:rPr>
          <w:rFonts w:ascii="Times New Roman" w:eastAsia="Times New Roman" w:hAnsi="Times New Roman" w:cs="Times New Roman"/>
          <w:kern w:val="0"/>
          <w:sz w:val="24"/>
          <w:szCs w:val="24"/>
          <w:lang w:eastAsia="en-GB"/>
          <w14:ligatures w14:val="none"/>
        </w:rPr>
        <w:t xml:space="preserve"> (</w:t>
      </w:r>
      <w:proofErr w:type="spellStart"/>
      <w:r w:rsidR="007D0236" w:rsidRPr="00034F05">
        <w:rPr>
          <w:rFonts w:ascii="Times New Roman" w:eastAsia="Times New Roman" w:hAnsi="Times New Roman" w:cs="Times New Roman"/>
          <w:kern w:val="0"/>
          <w:sz w:val="24"/>
          <w:szCs w:val="24"/>
          <w:lang w:eastAsia="en-GB"/>
          <w14:ligatures w14:val="none"/>
        </w:rPr>
        <w:t>Korajczyk</w:t>
      </w:r>
      <w:proofErr w:type="spellEnd"/>
      <w:r w:rsidR="007D0236" w:rsidRPr="00034F05">
        <w:rPr>
          <w:rFonts w:ascii="Times New Roman" w:eastAsia="Times New Roman" w:hAnsi="Times New Roman" w:cs="Times New Roman"/>
          <w:kern w:val="0"/>
          <w:sz w:val="24"/>
          <w:szCs w:val="24"/>
          <w:lang w:eastAsia="en-GB"/>
          <w14:ligatures w14:val="none"/>
        </w:rPr>
        <w:t xml:space="preserve"> and Levy, 2003)</w:t>
      </w:r>
      <w:r w:rsidR="00991AA6" w:rsidRPr="00034F05">
        <w:rPr>
          <w:rFonts w:ascii="Times New Roman" w:eastAsia="Times New Roman" w:hAnsi="Times New Roman" w:cs="Times New Roman"/>
          <w:kern w:val="0"/>
          <w:sz w:val="24"/>
          <w:szCs w:val="24"/>
          <w:lang w:eastAsia="en-GB"/>
          <w14:ligatures w14:val="none"/>
        </w:rPr>
        <w:t>.</w:t>
      </w:r>
    </w:p>
    <w:p w14:paraId="77A409CE" w14:textId="77777777" w:rsidR="00991AA6" w:rsidRPr="00034F05" w:rsidRDefault="00991AA6" w:rsidP="00627C66">
      <w:pPr>
        <w:pStyle w:val="Heading3"/>
        <w:numPr>
          <w:ilvl w:val="0"/>
          <w:numId w:val="7"/>
        </w:numPr>
        <w:spacing w:line="360" w:lineRule="auto"/>
        <w:jc w:val="both"/>
        <w:rPr>
          <w:rFonts w:eastAsia="Times New Roman" w:cs="Times New Roman"/>
          <w:u w:val="single"/>
          <w:lang w:eastAsia="en-GB"/>
        </w:rPr>
      </w:pPr>
      <w:bookmarkStart w:id="31" w:name="_Toc227924981"/>
      <w:r w:rsidRPr="00034F05">
        <w:rPr>
          <w:rFonts w:eastAsia="Times New Roman" w:cs="Times New Roman"/>
          <w:u w:val="single"/>
          <w:lang w:eastAsia="en-GB"/>
        </w:rPr>
        <w:t>Operational Flexibility</w:t>
      </w:r>
      <w:bookmarkEnd w:id="31"/>
    </w:p>
    <w:p w14:paraId="3A5B03B7" w14:textId="58F18BB7" w:rsidR="002F2B08" w:rsidRPr="00034F05" w:rsidRDefault="006A2212"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Flexibility in operations will also be enhanced through financial restructuring, which will release financial resources and lessen restrictions. It will be able to invest more in innovation and technological development, especially in EV development</w:t>
      </w:r>
      <w:r w:rsidR="007D0236"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due to lower levels of debt and enhanced liquidity. Moreover, strategic acquisitions may assist in gaining access to new markets and capabilities </w:t>
      </w:r>
      <w:r w:rsidR="007D0236" w:rsidRPr="00034F05">
        <w:rPr>
          <w:rFonts w:ascii="Times New Roman" w:eastAsia="Times New Roman" w:hAnsi="Times New Roman" w:cs="Times New Roman"/>
          <w:kern w:val="0"/>
          <w:sz w:val="24"/>
          <w:szCs w:val="24"/>
          <w:lang w:eastAsia="en-GB"/>
          <w14:ligatures w14:val="none"/>
        </w:rPr>
        <w:t>that</w:t>
      </w:r>
      <w:r w:rsidRPr="00034F05">
        <w:rPr>
          <w:rFonts w:ascii="Times New Roman" w:eastAsia="Times New Roman" w:hAnsi="Times New Roman" w:cs="Times New Roman"/>
          <w:kern w:val="0"/>
          <w:sz w:val="24"/>
          <w:szCs w:val="24"/>
          <w:lang w:eastAsia="en-GB"/>
          <w14:ligatures w14:val="none"/>
        </w:rPr>
        <w:t xml:space="preserve"> help facilitate long-term growth and competitiveness</w:t>
      </w:r>
      <w:r w:rsidR="007D0236" w:rsidRPr="00034F05">
        <w:rPr>
          <w:rFonts w:ascii="Times New Roman" w:eastAsia="Times New Roman" w:hAnsi="Times New Roman" w:cs="Times New Roman"/>
          <w:kern w:val="0"/>
          <w:sz w:val="24"/>
          <w:szCs w:val="24"/>
          <w:lang w:eastAsia="en-GB"/>
          <w14:ligatures w14:val="none"/>
        </w:rPr>
        <w:t xml:space="preserve"> (Yu et al, 2015)</w:t>
      </w:r>
      <w:r w:rsidR="002F2B08" w:rsidRPr="00034F05">
        <w:rPr>
          <w:rFonts w:ascii="Times New Roman" w:eastAsia="Times New Roman" w:hAnsi="Times New Roman" w:cs="Times New Roman"/>
          <w:kern w:val="0"/>
          <w:sz w:val="24"/>
          <w:szCs w:val="24"/>
          <w:lang w:eastAsia="en-GB"/>
          <w14:ligatures w14:val="none"/>
        </w:rPr>
        <w:t>.</w:t>
      </w:r>
    </w:p>
    <w:p w14:paraId="50AA5AEC" w14:textId="77777777" w:rsidR="002F2B08" w:rsidRPr="00034F05" w:rsidRDefault="002F2B08" w:rsidP="002F2B0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2" w:name="_Toc227924982"/>
      <w:r w:rsidRPr="00034F05">
        <w:rPr>
          <w:rFonts w:ascii="Times New Roman" w:eastAsia="Times New Roman" w:hAnsi="Times New Roman" w:cs="Times New Roman"/>
          <w:b/>
          <w:bCs/>
          <w:kern w:val="0"/>
          <w:sz w:val="36"/>
          <w:szCs w:val="36"/>
          <w:lang w:eastAsia="en-GB"/>
          <w14:ligatures w14:val="none"/>
        </w:rPr>
        <w:t>4.4 International Considerations</w:t>
      </w:r>
      <w:bookmarkEnd w:id="32"/>
    </w:p>
    <w:p w14:paraId="44C8A155" w14:textId="45A8F7E3" w:rsidR="00991AA6" w:rsidRPr="00034F05" w:rsidRDefault="006A2212"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Hyundai, being a worldwide manufacturer of automobiles, must take into account numerous international elements in its financial restructuring strategy</w:t>
      </w:r>
      <w:r w:rsidR="00991AA6" w:rsidRPr="00034F05">
        <w:rPr>
          <w:rFonts w:ascii="Times New Roman" w:eastAsia="Times New Roman" w:hAnsi="Times New Roman" w:cs="Times New Roman"/>
          <w:kern w:val="0"/>
          <w:sz w:val="24"/>
          <w:szCs w:val="24"/>
          <w:lang w:eastAsia="en-GB"/>
          <w14:ligatures w14:val="none"/>
        </w:rPr>
        <w:t>.</w:t>
      </w:r>
    </w:p>
    <w:p w14:paraId="5FE20C60" w14:textId="77777777" w:rsidR="00991AA6" w:rsidRPr="00034F05" w:rsidRDefault="00991AA6" w:rsidP="00627C66">
      <w:pPr>
        <w:pStyle w:val="Heading3"/>
        <w:numPr>
          <w:ilvl w:val="0"/>
          <w:numId w:val="8"/>
        </w:numPr>
        <w:spacing w:line="360" w:lineRule="auto"/>
        <w:jc w:val="both"/>
        <w:rPr>
          <w:rFonts w:eastAsia="Times New Roman" w:cs="Times New Roman"/>
          <w:u w:val="single"/>
          <w:lang w:eastAsia="en-GB"/>
        </w:rPr>
      </w:pPr>
      <w:bookmarkStart w:id="33" w:name="_Toc227924983"/>
      <w:r w:rsidRPr="00034F05">
        <w:rPr>
          <w:rFonts w:eastAsia="Times New Roman" w:cs="Times New Roman"/>
          <w:u w:val="single"/>
          <w:lang w:eastAsia="en-GB"/>
        </w:rPr>
        <w:t>Currency Risk</w:t>
      </w:r>
      <w:bookmarkEnd w:id="33"/>
    </w:p>
    <w:p w14:paraId="7E019830" w14:textId="575CC949" w:rsidR="00991AA6" w:rsidRPr="00034F05" w:rsidRDefault="00831E0F"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This means that through the operations in various countries, Hyundai is susceptible to fluctuations in the exchange rates which can significantly affect the revenues, costs, and the overall profitability. An example is that the depreciation or appreciation of the foreign currencies can affect the value of international sales and imports. In order to mitigate these risks, Hyundai should employ powerful hedging models, such as forward contracts and currency swaps, to stabilize the cash flows, as well as to reduce the uncertainty in the financial performance </w:t>
      </w:r>
      <w:r w:rsidR="007D0236" w:rsidRPr="00034F05">
        <w:rPr>
          <w:rFonts w:ascii="Times New Roman" w:eastAsia="Times New Roman" w:hAnsi="Times New Roman" w:cs="Times New Roman"/>
          <w:kern w:val="0"/>
          <w:sz w:val="24"/>
          <w:szCs w:val="24"/>
          <w:lang w:eastAsia="en-GB"/>
          <w14:ligatures w14:val="none"/>
        </w:rPr>
        <w:t>(Hassan and Zhang, 2021)</w:t>
      </w:r>
      <w:r w:rsidR="00991AA6" w:rsidRPr="00034F05">
        <w:rPr>
          <w:rFonts w:ascii="Times New Roman" w:eastAsia="Times New Roman" w:hAnsi="Times New Roman" w:cs="Times New Roman"/>
          <w:kern w:val="0"/>
          <w:sz w:val="24"/>
          <w:szCs w:val="24"/>
          <w:lang w:eastAsia="en-GB"/>
          <w14:ligatures w14:val="none"/>
        </w:rPr>
        <w:t>.</w:t>
      </w:r>
    </w:p>
    <w:p w14:paraId="1E38570F" w14:textId="77777777" w:rsidR="00991AA6" w:rsidRPr="00034F05" w:rsidRDefault="00991AA6" w:rsidP="00627C66">
      <w:pPr>
        <w:pStyle w:val="Heading3"/>
        <w:numPr>
          <w:ilvl w:val="0"/>
          <w:numId w:val="8"/>
        </w:numPr>
        <w:spacing w:line="360" w:lineRule="auto"/>
        <w:jc w:val="both"/>
        <w:rPr>
          <w:rFonts w:eastAsia="Times New Roman" w:cs="Times New Roman"/>
          <w:u w:val="single"/>
          <w:lang w:eastAsia="en-GB"/>
        </w:rPr>
      </w:pPr>
      <w:bookmarkStart w:id="34" w:name="_Toc227924984"/>
      <w:r w:rsidRPr="00034F05">
        <w:rPr>
          <w:rFonts w:eastAsia="Times New Roman" w:cs="Times New Roman"/>
          <w:u w:val="single"/>
          <w:lang w:eastAsia="en-GB"/>
        </w:rPr>
        <w:t>Taxation Differences</w:t>
      </w:r>
      <w:bookmarkEnd w:id="34"/>
    </w:p>
    <w:p w14:paraId="7270AA65" w14:textId="2BD3E057" w:rsidR="00991AA6" w:rsidRPr="00034F05" w:rsidRDefault="00831E0F"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Hyundai operates in varying tax environments and the corporate tax rate, regulations and incentives in the various countries are extremely different. These differences can have an impact on investment decision and net profitability. Therefore, it follows that an efficient global tax strategy must be in place to mitigate the tax payable as well as ensure that the company is fully compliant with the international provisions. Strategic distribution of profits and investments in various jurisdictions can enhance tax efficiency even more </w:t>
      </w:r>
      <w:r w:rsidR="007D0236" w:rsidRPr="00034F05">
        <w:rPr>
          <w:rFonts w:ascii="Times New Roman" w:eastAsia="Times New Roman" w:hAnsi="Times New Roman" w:cs="Times New Roman"/>
          <w:kern w:val="0"/>
          <w:sz w:val="24"/>
          <w:szCs w:val="24"/>
          <w:lang w:eastAsia="en-GB"/>
          <w14:ligatures w14:val="none"/>
        </w:rPr>
        <w:t>(Oberholzer and Stack, 2014)</w:t>
      </w:r>
      <w:r w:rsidR="00991AA6" w:rsidRPr="00034F05">
        <w:rPr>
          <w:rFonts w:ascii="Times New Roman" w:eastAsia="Times New Roman" w:hAnsi="Times New Roman" w:cs="Times New Roman"/>
          <w:kern w:val="0"/>
          <w:sz w:val="24"/>
          <w:szCs w:val="24"/>
          <w:lang w:eastAsia="en-GB"/>
          <w14:ligatures w14:val="none"/>
        </w:rPr>
        <w:t>.</w:t>
      </w:r>
    </w:p>
    <w:p w14:paraId="6745DDA0" w14:textId="77777777" w:rsidR="00991AA6" w:rsidRPr="00034F05" w:rsidRDefault="00991AA6" w:rsidP="00627C66">
      <w:pPr>
        <w:pStyle w:val="Heading3"/>
        <w:numPr>
          <w:ilvl w:val="0"/>
          <w:numId w:val="8"/>
        </w:numPr>
        <w:spacing w:line="360" w:lineRule="auto"/>
        <w:jc w:val="both"/>
        <w:rPr>
          <w:rFonts w:eastAsia="Times New Roman" w:cs="Times New Roman"/>
          <w:u w:val="single"/>
          <w:lang w:eastAsia="en-GB"/>
        </w:rPr>
      </w:pPr>
      <w:bookmarkStart w:id="35" w:name="_Toc227924985"/>
      <w:r w:rsidRPr="00034F05">
        <w:rPr>
          <w:rFonts w:eastAsia="Times New Roman" w:cs="Times New Roman"/>
          <w:u w:val="single"/>
          <w:lang w:eastAsia="en-GB"/>
        </w:rPr>
        <w:t>Inflation Impact</w:t>
      </w:r>
      <w:bookmarkEnd w:id="35"/>
    </w:p>
    <w:p w14:paraId="3BD1EB77" w14:textId="07B209BA" w:rsidR="002F2B08" w:rsidRPr="00034F05" w:rsidRDefault="00831E0F" w:rsidP="00991AA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The other big challenge is the rising inflation which has increased the cost to produce, particularly the raw materials, energy and labour. In the event that these higher costs cannot be transferred to the consumers through higher prices, then profit margins may be lower. To address the inflationary forces, Hyundai should consider cost management strategies, supply chain management, and flexible pricing. This will contribute to maintaining profitability and financial stability in a constantly fluctuating and volatile global economic situation </w:t>
      </w:r>
      <w:r w:rsidR="007D0236" w:rsidRPr="00034F05">
        <w:rPr>
          <w:rFonts w:ascii="Times New Roman" w:eastAsia="Times New Roman" w:hAnsi="Times New Roman" w:cs="Times New Roman"/>
          <w:kern w:val="0"/>
          <w:sz w:val="24"/>
          <w:szCs w:val="24"/>
          <w:lang w:eastAsia="en-GB"/>
          <w14:ligatures w14:val="none"/>
        </w:rPr>
        <w:t>(Brave and Bruun, 2022)</w:t>
      </w:r>
      <w:r w:rsidR="002F2B08" w:rsidRPr="00034F05">
        <w:rPr>
          <w:rFonts w:ascii="Times New Roman" w:eastAsia="Times New Roman" w:hAnsi="Times New Roman" w:cs="Times New Roman"/>
          <w:kern w:val="0"/>
          <w:sz w:val="24"/>
          <w:szCs w:val="24"/>
          <w:lang w:eastAsia="en-GB"/>
          <w14:ligatures w14:val="none"/>
        </w:rPr>
        <w:t>.</w:t>
      </w:r>
    </w:p>
    <w:p w14:paraId="7F430693" w14:textId="77777777" w:rsidR="002F2B08" w:rsidRPr="00034F05" w:rsidRDefault="002F2B08" w:rsidP="002F2B0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6" w:name="_Toc227924986"/>
      <w:r w:rsidRPr="00034F05">
        <w:rPr>
          <w:rFonts w:ascii="Times New Roman" w:eastAsia="Times New Roman" w:hAnsi="Times New Roman" w:cs="Times New Roman"/>
          <w:b/>
          <w:bCs/>
          <w:kern w:val="0"/>
          <w:sz w:val="36"/>
          <w:szCs w:val="36"/>
          <w:lang w:eastAsia="en-GB"/>
          <w14:ligatures w14:val="none"/>
        </w:rPr>
        <w:t>4.5 Ethical and CSR Considerations</w:t>
      </w:r>
      <w:bookmarkEnd w:id="36"/>
    </w:p>
    <w:p w14:paraId="2A833722" w14:textId="65B0D435" w:rsidR="00016061" w:rsidRPr="00034F05" w:rsidRDefault="00831E0F" w:rsidP="0001606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Financial restructuring must take into account ethical principles and corporate social responsibility (CSR) to allow the company to become sustainable in the long-term and to gain stakeholder trust</w:t>
      </w:r>
      <w:r w:rsidR="006A2212" w:rsidRPr="00034F05">
        <w:rPr>
          <w:rFonts w:ascii="Times New Roman" w:eastAsia="Times New Roman" w:hAnsi="Times New Roman" w:cs="Times New Roman"/>
          <w:kern w:val="0"/>
          <w:sz w:val="24"/>
          <w:szCs w:val="24"/>
          <w:lang w:eastAsia="en-GB"/>
          <w14:ligatures w14:val="none"/>
        </w:rPr>
        <w:t>.</w:t>
      </w:r>
    </w:p>
    <w:p w14:paraId="06E6D6B7" w14:textId="7E19BC70" w:rsidR="00016061" w:rsidRPr="00034F05" w:rsidRDefault="00016061" w:rsidP="00627C66">
      <w:pPr>
        <w:pStyle w:val="Heading3"/>
        <w:numPr>
          <w:ilvl w:val="0"/>
          <w:numId w:val="9"/>
        </w:numPr>
        <w:spacing w:line="360" w:lineRule="auto"/>
        <w:jc w:val="both"/>
        <w:rPr>
          <w:rFonts w:eastAsia="Times New Roman" w:cs="Times New Roman"/>
          <w:u w:val="single"/>
          <w:lang w:eastAsia="en-GB"/>
        </w:rPr>
      </w:pPr>
      <w:bookmarkStart w:id="37" w:name="_Toc227924987"/>
      <w:r w:rsidRPr="00034F05">
        <w:rPr>
          <w:rFonts w:eastAsia="Times New Roman" w:cs="Times New Roman"/>
          <w:u w:val="single"/>
          <w:lang w:eastAsia="en-GB"/>
        </w:rPr>
        <w:t>EV Production Sustainability</w:t>
      </w:r>
      <w:bookmarkEnd w:id="37"/>
    </w:p>
    <w:p w14:paraId="60C7E945" w14:textId="3BF1FA5E" w:rsidR="00016061" w:rsidRPr="00034F05" w:rsidRDefault="00831E0F" w:rsidP="0001606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As a major participant in the electric vehicle (EV) sector, Hyundai has a major role to play in the sustainability of the environment. In order to become successful in the long run, it is required to invest in clean energy technologies, reduce carbon emissions, and adopt environmentally-friendly production processes. Sustainable production is not merely advantageous regarding environmental goals, but also brand reputation and customer loyalty in a constantly developing market that is environmentally-conscious </w:t>
      </w:r>
      <w:r w:rsidR="00960FF1" w:rsidRPr="00034F05">
        <w:rPr>
          <w:rFonts w:ascii="Times New Roman" w:eastAsia="Times New Roman" w:hAnsi="Times New Roman" w:cs="Times New Roman"/>
          <w:kern w:val="0"/>
          <w:sz w:val="24"/>
          <w:szCs w:val="24"/>
          <w:lang w:eastAsia="en-GB"/>
          <w14:ligatures w14:val="none"/>
        </w:rPr>
        <w:t>(Bailey et al,2017)</w:t>
      </w:r>
      <w:r w:rsidR="00016061" w:rsidRPr="00034F05">
        <w:rPr>
          <w:rFonts w:ascii="Times New Roman" w:eastAsia="Times New Roman" w:hAnsi="Times New Roman" w:cs="Times New Roman"/>
          <w:kern w:val="0"/>
          <w:sz w:val="24"/>
          <w:szCs w:val="24"/>
          <w:lang w:eastAsia="en-GB"/>
          <w14:ligatures w14:val="none"/>
        </w:rPr>
        <w:t>.</w:t>
      </w:r>
    </w:p>
    <w:p w14:paraId="704CDE25" w14:textId="77777777" w:rsidR="00016061" w:rsidRPr="00034F05" w:rsidRDefault="00016061" w:rsidP="00627C66">
      <w:pPr>
        <w:pStyle w:val="Heading3"/>
        <w:numPr>
          <w:ilvl w:val="0"/>
          <w:numId w:val="9"/>
        </w:numPr>
        <w:spacing w:line="360" w:lineRule="auto"/>
        <w:jc w:val="both"/>
        <w:rPr>
          <w:rFonts w:eastAsia="Times New Roman" w:cs="Times New Roman"/>
          <w:u w:val="single"/>
          <w:lang w:eastAsia="en-GB"/>
        </w:rPr>
      </w:pPr>
      <w:bookmarkStart w:id="38" w:name="_Toc227924988"/>
      <w:r w:rsidRPr="00034F05">
        <w:rPr>
          <w:rFonts w:eastAsia="Times New Roman" w:cs="Times New Roman"/>
          <w:u w:val="single"/>
          <w:lang w:eastAsia="en-GB"/>
        </w:rPr>
        <w:t>Ethical Sourcing</w:t>
      </w:r>
      <w:bookmarkEnd w:id="38"/>
    </w:p>
    <w:p w14:paraId="4FF328BA" w14:textId="1E1BE094" w:rsidR="00016061" w:rsidRPr="00034F05" w:rsidRDefault="00831E0F" w:rsidP="0001606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The sourcing of raw materials, particularly EV battery materials, has important ethical implications. Hyundai themselves are also expected to make good sourcing activities by partnering with suppliers that abide by good </w:t>
      </w:r>
      <w:proofErr w:type="spellStart"/>
      <w:r w:rsidRPr="00034F05">
        <w:rPr>
          <w:rFonts w:ascii="Times New Roman" w:eastAsia="Times New Roman" w:hAnsi="Times New Roman" w:cs="Times New Roman"/>
          <w:kern w:val="0"/>
          <w:sz w:val="24"/>
          <w:szCs w:val="24"/>
          <w:lang w:eastAsia="en-GB"/>
          <w14:ligatures w14:val="none"/>
        </w:rPr>
        <w:t>labor</w:t>
      </w:r>
      <w:proofErr w:type="spellEnd"/>
      <w:r w:rsidRPr="00034F05">
        <w:rPr>
          <w:rFonts w:ascii="Times New Roman" w:eastAsia="Times New Roman" w:hAnsi="Times New Roman" w:cs="Times New Roman"/>
          <w:kern w:val="0"/>
          <w:sz w:val="24"/>
          <w:szCs w:val="24"/>
          <w:lang w:eastAsia="en-GB"/>
          <w14:ligatures w14:val="none"/>
        </w:rPr>
        <w:t xml:space="preserve"> practices and sustainable and environmentally friendly practices. One should not use suppliers who use unethical </w:t>
      </w:r>
      <w:proofErr w:type="spellStart"/>
      <w:r w:rsidRPr="00034F05">
        <w:rPr>
          <w:rFonts w:ascii="Times New Roman" w:eastAsia="Times New Roman" w:hAnsi="Times New Roman" w:cs="Times New Roman"/>
          <w:kern w:val="0"/>
          <w:sz w:val="24"/>
          <w:szCs w:val="24"/>
          <w:lang w:eastAsia="en-GB"/>
          <w14:ligatures w14:val="none"/>
        </w:rPr>
        <w:t>labor</w:t>
      </w:r>
      <w:proofErr w:type="spellEnd"/>
      <w:r w:rsidRPr="00034F05">
        <w:rPr>
          <w:rFonts w:ascii="Times New Roman" w:eastAsia="Times New Roman" w:hAnsi="Times New Roman" w:cs="Times New Roman"/>
          <w:kern w:val="0"/>
          <w:sz w:val="24"/>
          <w:szCs w:val="24"/>
          <w:lang w:eastAsia="en-GB"/>
          <w14:ligatures w14:val="none"/>
        </w:rPr>
        <w:t xml:space="preserve"> practices or who pollute the environment. Corporate credibility is linked to stakeholders insisting on transparent and traceable supply chains, which are also characterized by corporate credibility</w:t>
      </w:r>
      <w:r w:rsidR="00016061" w:rsidRPr="00034F05">
        <w:rPr>
          <w:rFonts w:ascii="Times New Roman" w:eastAsia="Times New Roman" w:hAnsi="Times New Roman" w:cs="Times New Roman"/>
          <w:kern w:val="0"/>
          <w:sz w:val="24"/>
          <w:szCs w:val="24"/>
          <w:lang w:eastAsia="en-GB"/>
          <w14:ligatures w14:val="none"/>
        </w:rPr>
        <w:t>.</w:t>
      </w:r>
    </w:p>
    <w:p w14:paraId="3E6E4801" w14:textId="77777777" w:rsidR="00016061" w:rsidRPr="00034F05" w:rsidRDefault="00016061" w:rsidP="00627C66">
      <w:pPr>
        <w:pStyle w:val="Heading3"/>
        <w:numPr>
          <w:ilvl w:val="0"/>
          <w:numId w:val="9"/>
        </w:numPr>
        <w:spacing w:line="360" w:lineRule="auto"/>
        <w:jc w:val="both"/>
        <w:rPr>
          <w:rFonts w:eastAsia="Times New Roman" w:cs="Times New Roman"/>
          <w:u w:val="single"/>
          <w:lang w:eastAsia="en-GB"/>
        </w:rPr>
      </w:pPr>
      <w:bookmarkStart w:id="39" w:name="_Toc227924989"/>
      <w:r w:rsidRPr="00034F05">
        <w:rPr>
          <w:rFonts w:eastAsia="Times New Roman" w:cs="Times New Roman"/>
          <w:u w:val="single"/>
          <w:lang w:eastAsia="en-GB"/>
        </w:rPr>
        <w:t>Environmental Regulations</w:t>
      </w:r>
      <w:bookmarkEnd w:id="39"/>
    </w:p>
    <w:p w14:paraId="2574DC63" w14:textId="1DC0CE8B" w:rsidR="002F2B08" w:rsidRPr="00034F05" w:rsidRDefault="00831E0F" w:rsidP="0001606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International environmental laws are to be interpreted. The governments worldwide are putting stricter norms of emission and sustainability. To avoid legal reprimand and remain at the international markets, Hyundai must transform in line with these rules to ensure that its operations are stable in the long run </w:t>
      </w:r>
      <w:r w:rsidR="00960FF1" w:rsidRPr="00034F05">
        <w:rPr>
          <w:rFonts w:ascii="Times New Roman" w:eastAsia="Times New Roman" w:hAnsi="Times New Roman" w:cs="Times New Roman"/>
          <w:kern w:val="0"/>
          <w:sz w:val="24"/>
          <w:szCs w:val="24"/>
          <w:lang w:eastAsia="en-GB"/>
          <w14:ligatures w14:val="none"/>
        </w:rPr>
        <w:t>(List and Co, 2000)</w:t>
      </w:r>
      <w:r w:rsidR="002F2B08" w:rsidRPr="00034F05">
        <w:rPr>
          <w:rFonts w:ascii="Times New Roman" w:eastAsia="Times New Roman" w:hAnsi="Times New Roman" w:cs="Times New Roman"/>
          <w:kern w:val="0"/>
          <w:sz w:val="24"/>
          <w:szCs w:val="24"/>
          <w:lang w:eastAsia="en-GB"/>
          <w14:ligatures w14:val="none"/>
        </w:rPr>
        <w:t>.</w:t>
      </w:r>
    </w:p>
    <w:p w14:paraId="371F6D38" w14:textId="77777777" w:rsidR="009F32A8" w:rsidRPr="00034F05" w:rsidRDefault="009F32A8" w:rsidP="009F32A8">
      <w:pPr>
        <w:pStyle w:val="Heading1"/>
        <w:rPr>
          <w:rFonts w:eastAsia="Times New Roman" w:cs="Times New Roman"/>
          <w:lang w:eastAsia="en-GB"/>
        </w:rPr>
      </w:pPr>
      <w:bookmarkStart w:id="40" w:name="_Toc227924990"/>
      <w:r w:rsidRPr="00034F05">
        <w:rPr>
          <w:rFonts w:eastAsia="Times New Roman" w:cs="Times New Roman"/>
          <w:lang w:eastAsia="en-GB"/>
        </w:rPr>
        <w:t>5. Investment Appraisal and Capital Budgeting</w:t>
      </w:r>
      <w:bookmarkEnd w:id="40"/>
    </w:p>
    <w:p w14:paraId="4BADD8D5" w14:textId="77777777" w:rsidR="009F32A8" w:rsidRPr="00034F05" w:rsidRDefault="009F32A8" w:rsidP="009F32A8">
      <w:pPr>
        <w:pStyle w:val="Heading2"/>
        <w:rPr>
          <w:rFonts w:eastAsia="Times New Roman" w:cs="Times New Roman"/>
          <w:lang w:eastAsia="en-GB"/>
        </w:rPr>
      </w:pPr>
      <w:bookmarkStart w:id="41" w:name="_Toc227924991"/>
      <w:r w:rsidRPr="00034F05">
        <w:rPr>
          <w:rFonts w:eastAsia="Times New Roman" w:cs="Times New Roman"/>
          <w:lang w:eastAsia="en-GB"/>
        </w:rPr>
        <w:t>5.1 Overview of Investment Projects</w:t>
      </w:r>
      <w:bookmarkEnd w:id="41"/>
    </w:p>
    <w:p w14:paraId="160BA666" w14:textId="77777777"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Hyundai has three mutually exclusive investment options with an initial investment of £50 million and different cash inflow patterns in the next five years.</w:t>
      </w:r>
    </w:p>
    <w:p w14:paraId="57FB5FE2" w14:textId="77777777"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Project A will produce cash inflows that are moderate and intermittent, with an initial cash outflow of 10 million pounds and reaching a high of 14 million pounds in year 3 and then decreasing. This shows that the growth potential is medium with low long-term consistency.</w:t>
      </w:r>
    </w:p>
    <w:p w14:paraId="619A5038" w14:textId="77777777"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Project B offers predictable and stable cash inflows of £11 million in a year. This project is a low-risk project that has guaranteed returns but does not have growth potential.</w:t>
      </w:r>
    </w:p>
    <w:p w14:paraId="010E6F8A" w14:textId="4588A3F8" w:rsidR="009F32A8"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Project C provides irregular yet much larger cash inflows, especially during the years 3 and 4 (£20 million and £25 million). This project indicates a high growth opportunity, but with increased uncertainty since the returns may vary</w:t>
      </w:r>
      <w:r w:rsidR="009F32A8" w:rsidRPr="00034F05">
        <w:rPr>
          <w:rFonts w:ascii="Times New Roman" w:eastAsia="Times New Roman" w:hAnsi="Times New Roman" w:cs="Times New Roman"/>
          <w:kern w:val="0"/>
          <w:sz w:val="24"/>
          <w:szCs w:val="24"/>
          <w:lang w:eastAsia="en-GB"/>
          <w14:ligatures w14:val="none"/>
        </w:rPr>
        <w:t>.</w:t>
      </w:r>
    </w:p>
    <w:p w14:paraId="21D99F1B" w14:textId="77777777" w:rsidR="009F32A8" w:rsidRPr="00034F05" w:rsidRDefault="009F32A8" w:rsidP="009F32A8">
      <w:pPr>
        <w:pStyle w:val="Heading2"/>
        <w:rPr>
          <w:rFonts w:eastAsia="Times New Roman" w:cs="Times New Roman"/>
          <w:lang w:eastAsia="en-GB"/>
        </w:rPr>
      </w:pPr>
      <w:bookmarkStart w:id="42" w:name="_Toc227924992"/>
      <w:r w:rsidRPr="00034F05">
        <w:rPr>
          <w:rFonts w:eastAsia="Times New Roman" w:cs="Times New Roman"/>
          <w:lang w:eastAsia="en-GB"/>
        </w:rPr>
        <w:t>5.2 Investment Appraisal Techniques</w:t>
      </w:r>
      <w:bookmarkEnd w:id="42"/>
    </w:p>
    <w:p w14:paraId="09F4E580" w14:textId="36D66BC8"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Various investment appraisal methods have been used to assess the financial viability of the three proposed projects. All the methods offer a different view on performance and allow </w:t>
      </w:r>
      <w:r w:rsidR="00960FF1" w:rsidRPr="00034F05">
        <w:rPr>
          <w:rFonts w:ascii="Times New Roman" w:eastAsia="Times New Roman" w:hAnsi="Times New Roman" w:cs="Times New Roman"/>
          <w:kern w:val="0"/>
          <w:sz w:val="24"/>
          <w:szCs w:val="24"/>
          <w:lang w:eastAsia="en-GB"/>
          <w14:ligatures w14:val="none"/>
        </w:rPr>
        <w:t xml:space="preserve">for </w:t>
      </w:r>
      <w:r w:rsidRPr="00034F05">
        <w:rPr>
          <w:rFonts w:ascii="Times New Roman" w:eastAsia="Times New Roman" w:hAnsi="Times New Roman" w:cs="Times New Roman"/>
          <w:kern w:val="0"/>
          <w:sz w:val="24"/>
          <w:szCs w:val="24"/>
          <w:lang w:eastAsia="en-GB"/>
          <w14:ligatures w14:val="none"/>
        </w:rPr>
        <w:t>comparing them thoroughly.</w:t>
      </w:r>
    </w:p>
    <w:p w14:paraId="13150AE3" w14:textId="4507D39B"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Payback Period (PBP) is a measure of time that a project takes to break even. It is more specifically applicable in liquidity and risk assessment, since the payback period is shorter, which means that the money is recovered faster. Project C is the most efficient project between the three</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as it can recover the initial investment faster with a payback period of about 3.6 years. Comparatively, Project A will take approximately 4.5 years</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whereas Project B will take a little longer at 4.55 years. This implies that Project C is the best choice</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which is liquid as it will not </w:t>
      </w:r>
      <w:r w:rsidR="00960FF1" w:rsidRPr="00034F05">
        <w:rPr>
          <w:rFonts w:ascii="Times New Roman" w:eastAsia="Times New Roman" w:hAnsi="Times New Roman" w:cs="Times New Roman"/>
          <w:kern w:val="0"/>
          <w:sz w:val="24"/>
          <w:szCs w:val="24"/>
          <w:lang w:eastAsia="en-GB"/>
          <w14:ligatures w14:val="none"/>
        </w:rPr>
        <w:t>be exposed</w:t>
      </w:r>
      <w:r w:rsidRPr="00034F05">
        <w:rPr>
          <w:rFonts w:ascii="Times New Roman" w:eastAsia="Times New Roman" w:hAnsi="Times New Roman" w:cs="Times New Roman"/>
          <w:kern w:val="0"/>
          <w:sz w:val="24"/>
          <w:szCs w:val="24"/>
          <w:lang w:eastAsia="en-GB"/>
          <w14:ligatures w14:val="none"/>
        </w:rPr>
        <w:t xml:space="preserve"> to future uncertainty</w:t>
      </w:r>
      <w:r w:rsidR="00960FF1" w:rsidRPr="00034F05">
        <w:rPr>
          <w:rFonts w:ascii="Times New Roman" w:eastAsia="Times New Roman" w:hAnsi="Times New Roman" w:cs="Times New Roman"/>
          <w:kern w:val="0"/>
          <w:sz w:val="24"/>
          <w:szCs w:val="24"/>
          <w:lang w:eastAsia="en-GB"/>
          <w14:ligatures w14:val="none"/>
        </w:rPr>
        <w:t xml:space="preserve"> (Gorshkov et al, 2018)</w:t>
      </w:r>
      <w:r w:rsidRPr="00034F05">
        <w:rPr>
          <w:rFonts w:ascii="Times New Roman" w:eastAsia="Times New Roman" w:hAnsi="Times New Roman" w:cs="Times New Roman"/>
          <w:kern w:val="0"/>
          <w:sz w:val="24"/>
          <w:szCs w:val="24"/>
          <w:lang w:eastAsia="en-GB"/>
          <w14:ligatures w14:val="none"/>
        </w:rPr>
        <w:t>.</w:t>
      </w:r>
    </w:p>
    <w:p w14:paraId="294F6076" w14:textId="5AAD2433"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Accounting Rate of Return (ARR) measures profitability in terms of the average accounting profit versus the investment made. It gives information on the total amount of returns per project. Project C again shows the best performance, having an ARR of 6%</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which is much higher than both project B and C</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which have 2% and 1.6</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respectively. This means that Project C will bring more average profits throughout its life, and it will be more profitable in terms of profitability</w:t>
      </w:r>
      <w:r w:rsidR="00960FF1" w:rsidRPr="00034F05">
        <w:rPr>
          <w:rFonts w:ascii="Times New Roman" w:eastAsia="Times New Roman" w:hAnsi="Times New Roman" w:cs="Times New Roman"/>
          <w:kern w:val="0"/>
          <w:sz w:val="24"/>
          <w:szCs w:val="24"/>
          <w:lang w:eastAsia="en-GB"/>
          <w14:ligatures w14:val="none"/>
        </w:rPr>
        <w:t xml:space="preserve"> (Marcelli et al, 2024)</w:t>
      </w:r>
      <w:r w:rsidRPr="00034F05">
        <w:rPr>
          <w:rFonts w:ascii="Times New Roman" w:eastAsia="Times New Roman" w:hAnsi="Times New Roman" w:cs="Times New Roman"/>
          <w:kern w:val="0"/>
          <w:sz w:val="24"/>
          <w:szCs w:val="24"/>
          <w:lang w:eastAsia="en-GB"/>
          <w14:ligatures w14:val="none"/>
        </w:rPr>
        <w:t>.</w:t>
      </w:r>
    </w:p>
    <w:p w14:paraId="653458F8" w14:textId="5FF30B6A"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The Net Present Value (NPV) approach considers the time value of money and discounts the future cash flows using a required degree of return (10% here). The three projects have negative NPVs, indicating that none of the projects will be able to achieve the required return threshold. Project C</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however</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has the smallest negative NPV of -1.99 million as compared to Project B and Project A, which have -8.31 million and -8.69 million</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respectively. This implies that none of the projects are optimal</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but Project C leads to the least loss in value</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hence </w:t>
      </w:r>
      <w:r w:rsidR="00960FF1" w:rsidRPr="00034F05">
        <w:rPr>
          <w:rFonts w:ascii="Times New Roman" w:eastAsia="Times New Roman" w:hAnsi="Times New Roman" w:cs="Times New Roman"/>
          <w:kern w:val="0"/>
          <w:sz w:val="24"/>
          <w:szCs w:val="24"/>
          <w:lang w:eastAsia="en-GB"/>
          <w14:ligatures w14:val="none"/>
        </w:rPr>
        <w:t xml:space="preserve">it </w:t>
      </w:r>
      <w:r w:rsidRPr="00034F05">
        <w:rPr>
          <w:rFonts w:ascii="Times New Roman" w:eastAsia="Times New Roman" w:hAnsi="Times New Roman" w:cs="Times New Roman"/>
          <w:kern w:val="0"/>
          <w:sz w:val="24"/>
          <w:szCs w:val="24"/>
          <w:lang w:eastAsia="en-GB"/>
          <w14:ligatures w14:val="none"/>
        </w:rPr>
        <w:t>is the most acceptable financially</w:t>
      </w:r>
      <w:r w:rsidR="00960FF1" w:rsidRPr="00034F05">
        <w:rPr>
          <w:rFonts w:ascii="Times New Roman" w:eastAsia="Times New Roman" w:hAnsi="Times New Roman" w:cs="Times New Roman"/>
          <w:kern w:val="0"/>
          <w:sz w:val="24"/>
          <w:szCs w:val="24"/>
          <w:lang w:eastAsia="en-GB"/>
          <w14:ligatures w14:val="none"/>
        </w:rPr>
        <w:t xml:space="preserve"> (Shou, 2022)</w:t>
      </w:r>
      <w:r w:rsidRPr="00034F05">
        <w:rPr>
          <w:rFonts w:ascii="Times New Roman" w:eastAsia="Times New Roman" w:hAnsi="Times New Roman" w:cs="Times New Roman"/>
          <w:kern w:val="0"/>
          <w:sz w:val="24"/>
          <w:szCs w:val="24"/>
          <w:lang w:eastAsia="en-GB"/>
          <w14:ligatures w14:val="none"/>
        </w:rPr>
        <w:t>.</w:t>
      </w:r>
    </w:p>
    <w:p w14:paraId="24461496" w14:textId="757D1218"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This conclusion is supported by the Profitability Index (PI)</w:t>
      </w:r>
      <w:r w:rsidR="00960FF1" w:rsidRPr="00034F05">
        <w:rPr>
          <w:rFonts w:ascii="Times New Roman" w:eastAsia="Times New Roman" w:hAnsi="Times New Roman" w:cs="Times New Roman"/>
          <w:kern w:val="0"/>
          <w:sz w:val="24"/>
          <w:szCs w:val="24"/>
          <w:lang w:eastAsia="en-GB"/>
          <w14:ligatures w14:val="none"/>
        </w:rPr>
        <w:t>, which</w:t>
      </w:r>
      <w:r w:rsidRPr="00034F05">
        <w:rPr>
          <w:rFonts w:ascii="Times New Roman" w:eastAsia="Times New Roman" w:hAnsi="Times New Roman" w:cs="Times New Roman"/>
          <w:kern w:val="0"/>
          <w:sz w:val="24"/>
          <w:szCs w:val="24"/>
          <w:lang w:eastAsia="en-GB"/>
          <w14:ligatures w14:val="none"/>
        </w:rPr>
        <w:t xml:space="preserve"> indicates the ratio of the present value of inflows of cash to the initial investment. Project C has the best PI of 0.96</w:t>
      </w:r>
      <w:r w:rsidR="00960FF1" w:rsidRPr="00034F05">
        <w:rPr>
          <w:rFonts w:ascii="Times New Roman" w:eastAsia="Times New Roman" w:hAnsi="Times New Roman" w:cs="Times New Roman"/>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 with </w:t>
      </w:r>
      <w:r w:rsidR="00960FF1" w:rsidRPr="00034F05">
        <w:rPr>
          <w:rFonts w:ascii="Times New Roman" w:eastAsia="Times New Roman" w:hAnsi="Times New Roman" w:cs="Times New Roman"/>
          <w:kern w:val="0"/>
          <w:sz w:val="24"/>
          <w:szCs w:val="24"/>
          <w:lang w:eastAsia="en-GB"/>
          <w14:ligatures w14:val="none"/>
        </w:rPr>
        <w:t>Projects</w:t>
      </w:r>
      <w:r w:rsidRPr="00034F05">
        <w:rPr>
          <w:rFonts w:ascii="Times New Roman" w:eastAsia="Times New Roman" w:hAnsi="Times New Roman" w:cs="Times New Roman"/>
          <w:kern w:val="0"/>
          <w:sz w:val="24"/>
          <w:szCs w:val="24"/>
          <w:lang w:eastAsia="en-GB"/>
          <w14:ligatures w14:val="none"/>
        </w:rPr>
        <w:t xml:space="preserve"> A and B having PI of 0.83 each. Though all the values are less than 1, meaning that the projects fail to bring about enough returns, Project C is the nearest to the required benchmark</w:t>
      </w:r>
      <w:r w:rsidR="00960FF1" w:rsidRPr="00034F05">
        <w:rPr>
          <w:rFonts w:ascii="Times New Roman" w:eastAsia="Times New Roman" w:hAnsi="Times New Roman" w:cs="Times New Roman"/>
          <w:kern w:val="0"/>
          <w:sz w:val="24"/>
          <w:szCs w:val="24"/>
          <w:lang w:eastAsia="en-GB"/>
          <w14:ligatures w14:val="none"/>
        </w:rPr>
        <w:t xml:space="preserve"> (Al-</w:t>
      </w:r>
      <w:proofErr w:type="spellStart"/>
      <w:r w:rsidR="00960FF1" w:rsidRPr="00034F05">
        <w:rPr>
          <w:rFonts w:ascii="Times New Roman" w:eastAsia="Times New Roman" w:hAnsi="Times New Roman" w:cs="Times New Roman"/>
          <w:kern w:val="0"/>
          <w:sz w:val="24"/>
          <w:szCs w:val="24"/>
          <w:lang w:eastAsia="en-GB"/>
          <w14:ligatures w14:val="none"/>
        </w:rPr>
        <w:t>Rikabi</w:t>
      </w:r>
      <w:proofErr w:type="spellEnd"/>
      <w:r w:rsidR="00960FF1" w:rsidRPr="00034F05">
        <w:rPr>
          <w:rFonts w:ascii="Times New Roman" w:eastAsia="Times New Roman" w:hAnsi="Times New Roman" w:cs="Times New Roman"/>
          <w:kern w:val="0"/>
          <w:sz w:val="24"/>
          <w:szCs w:val="24"/>
          <w:lang w:eastAsia="en-GB"/>
          <w14:ligatures w14:val="none"/>
        </w:rPr>
        <w:t>, 2021)</w:t>
      </w:r>
      <w:r w:rsidRPr="00034F05">
        <w:rPr>
          <w:rFonts w:ascii="Times New Roman" w:eastAsia="Times New Roman" w:hAnsi="Times New Roman" w:cs="Times New Roman"/>
          <w:kern w:val="0"/>
          <w:sz w:val="24"/>
          <w:szCs w:val="24"/>
          <w:lang w:eastAsia="en-GB"/>
          <w14:ligatures w14:val="none"/>
        </w:rPr>
        <w:t>.</w:t>
      </w:r>
    </w:p>
    <w:p w14:paraId="2F9086F3" w14:textId="5D53A328" w:rsidR="00632951" w:rsidRPr="00034F05" w:rsidRDefault="00960FF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w:t>
      </w:r>
      <w:r w:rsidR="00632951" w:rsidRPr="00034F05">
        <w:rPr>
          <w:rFonts w:ascii="Times New Roman" w:eastAsia="Times New Roman" w:hAnsi="Times New Roman" w:cs="Times New Roman"/>
          <w:kern w:val="0"/>
          <w:sz w:val="24"/>
          <w:szCs w:val="24"/>
          <w:lang w:eastAsia="en-GB"/>
          <w14:ligatures w14:val="none"/>
        </w:rPr>
        <w:t>he Internal Rate of Return (IRR) is the discount rate at which the NPV of a project equals zero. It is extensively employed in the comparison of the expected payback of various investments. Project C is again the best with an IRR of about 8, whereas Project B has an IRR of about 4.5 and Project A has an IRR of about 4. Project C will have the highest earning potential, although all of the IRRs are below the necessary 10% rate</w:t>
      </w:r>
      <w:r w:rsidRPr="00034F05">
        <w:rPr>
          <w:rFonts w:ascii="Times New Roman" w:eastAsia="Times New Roman" w:hAnsi="Times New Roman" w:cs="Times New Roman"/>
          <w:kern w:val="0"/>
          <w:sz w:val="24"/>
          <w:szCs w:val="24"/>
          <w:lang w:eastAsia="en-GB"/>
          <w14:ligatures w14:val="none"/>
        </w:rPr>
        <w:t xml:space="preserve"> (Yan and Zhang, 2022)</w:t>
      </w:r>
      <w:r w:rsidR="00632951" w:rsidRPr="00034F05">
        <w:rPr>
          <w:rFonts w:ascii="Times New Roman" w:eastAsia="Times New Roman" w:hAnsi="Times New Roman" w:cs="Times New Roman"/>
          <w:kern w:val="0"/>
          <w:sz w:val="24"/>
          <w:szCs w:val="24"/>
          <w:lang w:eastAsia="en-GB"/>
          <w14:ligatures w14:val="none"/>
        </w:rPr>
        <w:t>.</w:t>
      </w:r>
    </w:p>
    <w:p w14:paraId="1DEC8B84" w14:textId="4F6DF1FA" w:rsidR="009F32A8"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On the whole, the relative superiority of Project C in the course of all appraisal methods can be noted, which points to its higher consistency in performance</w:t>
      </w:r>
      <w:r w:rsidR="009F32A8" w:rsidRPr="00034F05">
        <w:rPr>
          <w:rFonts w:ascii="Times New Roman" w:eastAsia="Times New Roman" w:hAnsi="Times New Roman" w:cs="Times New Roman"/>
          <w:kern w:val="0"/>
          <w:sz w:val="24"/>
          <w:szCs w:val="24"/>
          <w:lang w:eastAsia="en-GB"/>
          <w14:ligatures w14:val="none"/>
        </w:rPr>
        <w:t>.</w:t>
      </w:r>
    </w:p>
    <w:p w14:paraId="16B114F5" w14:textId="77777777" w:rsidR="009F32A8" w:rsidRPr="00034F05" w:rsidRDefault="009F32A8" w:rsidP="00632951">
      <w:pPr>
        <w:pStyle w:val="Heading2"/>
        <w:rPr>
          <w:rFonts w:eastAsia="Times New Roman" w:cs="Times New Roman"/>
          <w:lang w:eastAsia="en-GB"/>
        </w:rPr>
      </w:pPr>
      <w:bookmarkStart w:id="43" w:name="_Toc227924993"/>
      <w:r w:rsidRPr="00034F05">
        <w:rPr>
          <w:rFonts w:eastAsia="Times New Roman" w:cs="Times New Roman"/>
          <w:lang w:eastAsia="en-GB"/>
        </w:rPr>
        <w:t>5.3 Decision-Making Analysis</w:t>
      </w:r>
      <w:bookmarkEnd w:id="43"/>
    </w:p>
    <w:p w14:paraId="5450189B" w14:textId="27C0048E" w:rsidR="007C6CDB" w:rsidRPr="00034F05" w:rsidRDefault="007C6CDB" w:rsidP="007C6CD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An in-depth analysis of all the methods of investment appraisal evidently points out Project C as the most suitable to Hyundai Motor Company. Project C is financially superior to the other alternatives in all approaches, which payback period, ARR, NPV, PI, and IRR, meaning that the project is more financially viable than the other options.</w:t>
      </w:r>
    </w:p>
    <w:p w14:paraId="1180DFCB" w14:textId="6EC51E12" w:rsidR="007C6CDB" w:rsidRPr="00034F05" w:rsidRDefault="007C6CDB" w:rsidP="007C6CD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Despite the three projects having negative NPVs at the 10 percent discount rate, which is necessary, Project C experiences the least loss of value in terms of negative NPV. This renders it the most financially agreeable alternative to the existing options. Moreover, it has a shorter </w:t>
      </w:r>
      <w:r w:rsidRPr="00034F05">
        <w:rPr>
          <w:rFonts w:ascii="Times New Roman" w:eastAsia="Times New Roman" w:hAnsi="Times New Roman" w:cs="Times New Roman"/>
          <w:kern w:val="0"/>
          <w:sz w:val="24"/>
          <w:szCs w:val="24"/>
          <w:lang w:eastAsia="en-GB"/>
          <w14:ligatures w14:val="none"/>
        </w:rPr>
        <w:lastRenderedPageBreak/>
        <w:t>payback period, which decreases liquidity risk, especially considering that Hyundai has negative free cash flows in its recent history.</w:t>
      </w:r>
    </w:p>
    <w:p w14:paraId="2805AA06" w14:textId="6592E443" w:rsidR="007C6CDB" w:rsidRPr="00034F05" w:rsidRDefault="007C6CDB" w:rsidP="007C6CD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Project B does not have the potential of growth and it is not a great improvement on the long-term profitability; although it provides stable and predictable returns. Project A on the other hand offers in-between returns but cannot show good financial performance according to all the appraisal methods.</w:t>
      </w:r>
    </w:p>
    <w:p w14:paraId="5ABCD520" w14:textId="4F4BBDDF" w:rsidR="009F32A8" w:rsidRPr="00034F05" w:rsidRDefault="007C6CDB" w:rsidP="007C6CD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Thus, Project C can be seen as the most balanced investment, which implies a combination of relative higher profitability, a shorter payback period, and greater long-term growth prospects. This is why it is the best option both in financial and strategic terms.</w:t>
      </w:r>
    </w:p>
    <w:p w14:paraId="194919B9" w14:textId="77777777" w:rsidR="009F32A8" w:rsidRPr="00034F05" w:rsidRDefault="009F32A8" w:rsidP="00632951">
      <w:pPr>
        <w:pStyle w:val="Heading2"/>
        <w:rPr>
          <w:rFonts w:eastAsia="Times New Roman" w:cs="Times New Roman"/>
          <w:lang w:eastAsia="en-GB"/>
        </w:rPr>
      </w:pPr>
      <w:bookmarkStart w:id="44" w:name="_Toc227924994"/>
      <w:r w:rsidRPr="00034F05">
        <w:rPr>
          <w:rFonts w:eastAsia="Times New Roman" w:cs="Times New Roman"/>
          <w:lang w:eastAsia="en-GB"/>
        </w:rPr>
        <w:t>5.4 Recommendation of One Project</w:t>
      </w:r>
      <w:bookmarkEnd w:id="44"/>
    </w:p>
    <w:p w14:paraId="3ABF8C2B" w14:textId="6284E738"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Project C is the most appropriate project for Hyundai Motor Company, based on the overall investment appraisal. This suggestion is backed up by its high performance in all methods of evaluation, such as the shortest payback period, the highest ARR, the highest IRR, and the lowest negative NPV.</w:t>
      </w:r>
    </w:p>
    <w:p w14:paraId="492F77A4" w14:textId="710A5D22"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Financially, Hyundai has recorded a decrease in profitability in 2025 and negative free cash flows over the past few years. This shows strain on the cash generation within the company and the necessity to invest in projects that are capable of providing high inflows in the future. Project C is especially appealing in this regard as it yields much greater cash returns after a few years and returns the investment at the shortest time possible. This enhances the liquidity and alleviates the financial risk.</w:t>
      </w:r>
    </w:p>
    <w:p w14:paraId="4DD25BC3" w14:textId="4578F254"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Project C has more variability in the cash flow than Project B, which is more stable in terms of risk. Although this makes it somewhat uncertain, the greater returns that are likely to come make it worth the risk. Critically, a sustained liquidity position offers a buffer to Hyundai, and the firm can absorb the short-run fluctuations and fund long-term investment plans.</w:t>
      </w:r>
    </w:p>
    <w:p w14:paraId="04150628" w14:textId="7C70638F"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There are also external factors to be taken into consideration. The electric vehicle market in the world is very competitive and prone to any swift technological change, customer preference, and </w:t>
      </w:r>
      <w:r w:rsidRPr="00034F05">
        <w:rPr>
          <w:rFonts w:ascii="Times New Roman" w:eastAsia="Times New Roman" w:hAnsi="Times New Roman" w:cs="Times New Roman"/>
          <w:kern w:val="0"/>
          <w:sz w:val="24"/>
          <w:szCs w:val="24"/>
          <w:lang w:eastAsia="en-GB"/>
          <w14:ligatures w14:val="none"/>
        </w:rPr>
        <w:lastRenderedPageBreak/>
        <w:t>may have political and regulatory uncertainty. Within this environment, a project that has more growth potential is more in line with strategic objectives. Project C will have this benefit, and it will put Hyundai in a position to take advantage of future market opportunities.</w:t>
      </w:r>
    </w:p>
    <w:p w14:paraId="2723AB75" w14:textId="38C58130" w:rsidR="009F32A8"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In general, Project C offers the most optimal risk-to-return balance and is a suitable investment option</w:t>
      </w:r>
      <w:r w:rsidR="009F32A8" w:rsidRPr="00034F05">
        <w:rPr>
          <w:rFonts w:ascii="Times New Roman" w:eastAsia="Times New Roman" w:hAnsi="Times New Roman" w:cs="Times New Roman"/>
          <w:kern w:val="0"/>
          <w:sz w:val="24"/>
          <w:szCs w:val="24"/>
          <w:lang w:eastAsia="en-GB"/>
          <w14:ligatures w14:val="none"/>
        </w:rPr>
        <w:t>.</w:t>
      </w:r>
    </w:p>
    <w:p w14:paraId="1E7565FF" w14:textId="77777777" w:rsidR="009F32A8" w:rsidRPr="00034F05" w:rsidRDefault="009F32A8" w:rsidP="00632951">
      <w:pPr>
        <w:pStyle w:val="Heading2"/>
        <w:rPr>
          <w:rFonts w:eastAsia="Times New Roman" w:cs="Times New Roman"/>
          <w:lang w:eastAsia="en-GB"/>
        </w:rPr>
      </w:pPr>
      <w:bookmarkStart w:id="45" w:name="_Toc227924995"/>
      <w:r w:rsidRPr="00034F05">
        <w:rPr>
          <w:rFonts w:eastAsia="Times New Roman" w:cs="Times New Roman"/>
          <w:lang w:eastAsia="en-GB"/>
        </w:rPr>
        <w:t>5.5 Capital Rationing Decision (£100m limit)</w:t>
      </w:r>
      <w:bookmarkEnd w:id="45"/>
    </w:p>
    <w:p w14:paraId="18D6ADD9" w14:textId="23E3E193" w:rsidR="009F32A8" w:rsidRPr="00034F05" w:rsidRDefault="007C6CDB" w:rsidP="007C6CD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With a maximum investment limit of £100 million, Hyundai can undertake any combination of two projects</w:t>
      </w:r>
      <w:r w:rsidR="009F32A8" w:rsidRPr="00034F05">
        <w:rPr>
          <w:rFonts w:ascii="Times New Roman" w:eastAsia="Times New Roman" w:hAnsi="Times New Roman" w:cs="Times New Roman"/>
          <w:kern w:val="0"/>
          <w:sz w:val="24"/>
          <w:szCs w:val="24"/>
          <w:lang w:eastAsia="en-GB"/>
          <w14:ligatures w14:val="none"/>
        </w:rPr>
        <w:t>.</w:t>
      </w:r>
    </w:p>
    <w:p w14:paraId="7ED818DF" w14:textId="77777777" w:rsidR="009F32A8" w:rsidRPr="00034F05" w:rsidRDefault="009F32A8" w:rsidP="009F32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6" w:name="_Toc227924996"/>
      <w:r w:rsidRPr="00034F05">
        <w:rPr>
          <w:rFonts w:ascii="Times New Roman" w:eastAsia="Times New Roman" w:hAnsi="Times New Roman" w:cs="Times New Roman"/>
          <w:b/>
          <w:bCs/>
          <w:kern w:val="0"/>
          <w:sz w:val="27"/>
          <w:szCs w:val="27"/>
          <w:lang w:eastAsia="en-GB"/>
          <w14:ligatures w14:val="none"/>
        </w:rPr>
        <w:t>Combination Evaluation</w:t>
      </w:r>
      <w:bookmarkEnd w:id="46"/>
    </w:p>
    <w:p w14:paraId="433F284F" w14:textId="77777777" w:rsidR="009F32A8" w:rsidRPr="00034F05" w:rsidRDefault="009F32A8" w:rsidP="009F32A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b/>
          <w:bCs/>
          <w:kern w:val="0"/>
          <w:sz w:val="24"/>
          <w:szCs w:val="24"/>
          <w:lang w:eastAsia="en-GB"/>
          <w14:ligatures w14:val="none"/>
        </w:rPr>
        <w:t>Project A + B</w:t>
      </w:r>
      <w:r w:rsidRPr="00034F05">
        <w:rPr>
          <w:rFonts w:ascii="Times New Roman" w:eastAsia="Times New Roman" w:hAnsi="Times New Roman" w:cs="Times New Roman"/>
          <w:kern w:val="0"/>
          <w:sz w:val="24"/>
          <w:szCs w:val="24"/>
          <w:lang w:eastAsia="en-GB"/>
          <w14:ligatures w14:val="none"/>
        </w:rPr>
        <w:br/>
        <w:t xml:space="preserve">Total NPV = -8.69 + (-8.31) = </w:t>
      </w:r>
      <w:r w:rsidRPr="00034F05">
        <w:rPr>
          <w:rFonts w:ascii="Times New Roman" w:eastAsia="Times New Roman" w:hAnsi="Times New Roman" w:cs="Times New Roman"/>
          <w:b/>
          <w:bCs/>
          <w:kern w:val="0"/>
          <w:sz w:val="24"/>
          <w:szCs w:val="24"/>
          <w:lang w:eastAsia="en-GB"/>
          <w14:ligatures w14:val="none"/>
        </w:rPr>
        <w:t>-</w:t>
      </w:r>
      <w:r w:rsidRPr="00034F05">
        <w:rPr>
          <w:rFonts w:ascii="Times New Roman" w:eastAsia="Times New Roman" w:hAnsi="Times New Roman" w:cs="Times New Roman"/>
          <w:kern w:val="0"/>
          <w:sz w:val="24"/>
          <w:szCs w:val="24"/>
          <w:lang w:eastAsia="en-GB"/>
          <w14:ligatures w14:val="none"/>
        </w:rPr>
        <w:t xml:space="preserve">16.99 million </w:t>
      </w:r>
    </w:p>
    <w:p w14:paraId="68FA3DEE" w14:textId="77777777" w:rsidR="009F32A8" w:rsidRPr="00034F05" w:rsidRDefault="009F32A8" w:rsidP="009F32A8">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b/>
          <w:bCs/>
          <w:kern w:val="0"/>
          <w:sz w:val="24"/>
          <w:szCs w:val="24"/>
          <w:lang w:eastAsia="en-GB"/>
          <w14:ligatures w14:val="none"/>
        </w:rPr>
        <w:t>Project A + C</w:t>
      </w:r>
      <w:r w:rsidRPr="00034F05">
        <w:rPr>
          <w:rFonts w:ascii="Times New Roman" w:eastAsia="Times New Roman" w:hAnsi="Times New Roman" w:cs="Times New Roman"/>
          <w:kern w:val="0"/>
          <w:sz w:val="24"/>
          <w:szCs w:val="24"/>
          <w:lang w:eastAsia="en-GB"/>
          <w14:ligatures w14:val="none"/>
        </w:rPr>
        <w:br/>
        <w:t xml:space="preserve">Total NPV = -8.69 + (-1.99) = -10.68 million </w:t>
      </w:r>
    </w:p>
    <w:p w14:paraId="62CC9B5A" w14:textId="3407B6DD" w:rsidR="009F32A8" w:rsidRPr="00034F05" w:rsidRDefault="009F32A8" w:rsidP="007C6CDB">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b/>
          <w:bCs/>
          <w:kern w:val="0"/>
          <w:sz w:val="24"/>
          <w:szCs w:val="24"/>
          <w:lang w:eastAsia="en-GB"/>
          <w14:ligatures w14:val="none"/>
        </w:rPr>
        <w:t>Project B + C</w:t>
      </w:r>
      <w:r w:rsidRPr="00034F05">
        <w:rPr>
          <w:rFonts w:ascii="Times New Roman" w:eastAsia="Times New Roman" w:hAnsi="Times New Roman" w:cs="Times New Roman"/>
          <w:b/>
          <w:bCs/>
          <w:kern w:val="0"/>
          <w:sz w:val="24"/>
          <w:szCs w:val="24"/>
          <w:lang w:eastAsia="en-GB"/>
          <w14:ligatures w14:val="none"/>
        </w:rPr>
        <w:br/>
      </w:r>
      <w:r w:rsidRPr="00034F05">
        <w:rPr>
          <w:rFonts w:ascii="Times New Roman" w:eastAsia="Times New Roman" w:hAnsi="Times New Roman" w:cs="Times New Roman"/>
          <w:kern w:val="0"/>
          <w:sz w:val="24"/>
          <w:szCs w:val="24"/>
          <w:lang w:eastAsia="en-GB"/>
          <w14:ligatures w14:val="none"/>
        </w:rPr>
        <w:t xml:space="preserve">Total NPV = -8.31 + (-1.99) = -10.30 million </w:t>
      </w:r>
    </w:p>
    <w:p w14:paraId="5E70B4E5" w14:textId="77777777" w:rsidR="009F32A8" w:rsidRPr="00034F05" w:rsidRDefault="009F32A8" w:rsidP="009F32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7" w:name="_Toc227924997"/>
      <w:r w:rsidRPr="00034F05">
        <w:rPr>
          <w:rFonts w:ascii="Times New Roman" w:eastAsia="Times New Roman" w:hAnsi="Times New Roman" w:cs="Times New Roman"/>
          <w:b/>
          <w:bCs/>
          <w:kern w:val="0"/>
          <w:sz w:val="27"/>
          <w:szCs w:val="27"/>
          <w:lang w:eastAsia="en-GB"/>
          <w14:ligatures w14:val="none"/>
        </w:rPr>
        <w:t>Optimal Choice</w:t>
      </w:r>
      <w:bookmarkEnd w:id="47"/>
    </w:p>
    <w:p w14:paraId="6CCECE15" w14:textId="77777777" w:rsidR="007C6CDB"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It is determined that the combination of Project B and Project C is the best investment option, given the constraint of capital rationing of £100 million, since it yields the highest combined Net Present Value (–£10.30 million) compared with the alternatives. The NPV is negative but this choice will result in minimal loss of value hence is financially desirable.</w:t>
      </w:r>
    </w:p>
    <w:p w14:paraId="54C4E3C7" w14:textId="77777777" w:rsidR="007C6CDB"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p>
    <w:p w14:paraId="206335B7" w14:textId="77777777" w:rsidR="007C6CDB"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combination provides a balanced investment plan as both stability and growth opportunities are incorporated. Project B offers regular and reliable cash flows each year and helps minimize uncertainty and allows predictive cash flow. This stability is especially critical considering the fact that Hyundai Motor Company has had some difficulties in its recent experiences with unstable profitability and negative cash flows.</w:t>
      </w:r>
    </w:p>
    <w:p w14:paraId="191080F4" w14:textId="77777777" w:rsidR="007C6CDB"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p>
    <w:p w14:paraId="292FD175" w14:textId="77777777" w:rsidR="007C6CDB"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lastRenderedPageBreak/>
        <w:t xml:space="preserve">Project C, on the other hand, yields much more cash inflows later and has a good growth potential and better long-term returns. Although Project C has a </w:t>
      </w:r>
      <w:proofErr w:type="gramStart"/>
      <w:r w:rsidRPr="00034F05">
        <w:rPr>
          <w:rFonts w:ascii="Times New Roman" w:eastAsia="Times New Roman" w:hAnsi="Times New Roman" w:cs="Times New Roman"/>
          <w:kern w:val="0"/>
          <w:sz w:val="24"/>
          <w:szCs w:val="24"/>
          <w:lang w:eastAsia="en-GB"/>
          <w14:ligatures w14:val="none"/>
        </w:rPr>
        <w:t>more risky</w:t>
      </w:r>
      <w:proofErr w:type="gramEnd"/>
      <w:r w:rsidRPr="00034F05">
        <w:rPr>
          <w:rFonts w:ascii="Times New Roman" w:eastAsia="Times New Roman" w:hAnsi="Times New Roman" w:cs="Times New Roman"/>
          <w:kern w:val="0"/>
          <w:sz w:val="24"/>
          <w:szCs w:val="24"/>
          <w:lang w:eastAsia="en-GB"/>
          <w14:ligatures w14:val="none"/>
        </w:rPr>
        <w:t xml:space="preserve"> nature because of uncertainty in cash flows, project B has been included to reduce this uncertainty.</w:t>
      </w:r>
    </w:p>
    <w:p w14:paraId="2A832D8D" w14:textId="77777777" w:rsidR="007C6CDB"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p>
    <w:p w14:paraId="271D624A" w14:textId="4D1D4447" w:rsidR="009F32A8" w:rsidRPr="00034F05" w:rsidRDefault="007C6CDB" w:rsidP="007C6CDB">
      <w:pPr>
        <w:spacing w:after="0"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On balance, this mix enables Hyundai to be financially stable and at the same time seek greater growth opportunities. It is a rational and well-reasoned investment choice that is in line with not only the short-term financial priorities, but also the long-term expansion goals.</w:t>
      </w:r>
    </w:p>
    <w:p w14:paraId="2D5081E2" w14:textId="01FE4741" w:rsidR="009F32A8" w:rsidRPr="00034F05" w:rsidRDefault="009F32A8" w:rsidP="00632951">
      <w:pPr>
        <w:pStyle w:val="Heading1"/>
        <w:rPr>
          <w:rFonts w:eastAsia="Times New Roman" w:cs="Times New Roman"/>
          <w:lang w:eastAsia="en-GB"/>
        </w:rPr>
      </w:pPr>
      <w:bookmarkStart w:id="48" w:name="_Toc227924998"/>
      <w:r w:rsidRPr="00034F05">
        <w:rPr>
          <w:rFonts w:eastAsia="Times New Roman" w:cs="Times New Roman"/>
          <w:lang w:eastAsia="en-GB"/>
        </w:rPr>
        <w:t>6. Conclusion</w:t>
      </w:r>
      <w:bookmarkEnd w:id="48"/>
    </w:p>
    <w:p w14:paraId="600E85BE" w14:textId="77777777"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This report analysed the financial performance and strategic position of Hyundai Motor Company over five years. The results show that the company has recorded a high growth of profitability in the years 2021-2023, but in the past few years, the company has recorded a downward trend in profitability and financial pressures. The increasing financial risk is noted by high debt levels and declining interest coverage, whereas the continued negative cash flows mean that it relies heavily on external financing.</w:t>
      </w:r>
    </w:p>
    <w:p w14:paraId="282DB28D" w14:textId="77777777"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The working capital analysis showed that there are high liquidity and decreasing efficiency levels and the cash conversion cycle is increasing which is an indication that the cash is being generated gradually. This highlights the need for improved inventory and receivables management.</w:t>
      </w:r>
    </w:p>
    <w:p w14:paraId="7C278D9B" w14:textId="77777777" w:rsidR="00632951"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Based on the evaluation of the investment, Project C was found as the most appropriate individual investment because it has better performance in all the evaluation methods. With capital rationing, the Projects B and C combination proved to be the best, as it would stabilize and grow at the same time.</w:t>
      </w:r>
    </w:p>
    <w:p w14:paraId="0462B932" w14:textId="70B17937" w:rsidR="009F32A8" w:rsidRPr="00034F05" w:rsidRDefault="00632951" w:rsidP="0063295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034F05">
        <w:rPr>
          <w:rFonts w:ascii="Times New Roman" w:eastAsia="Times New Roman" w:hAnsi="Times New Roman" w:cs="Times New Roman"/>
          <w:kern w:val="0"/>
          <w:sz w:val="24"/>
          <w:szCs w:val="24"/>
          <w:lang w:eastAsia="en-GB"/>
          <w14:ligatures w14:val="none"/>
        </w:rPr>
        <w:t xml:space="preserve">In general, Hyundai needs to work on minimizing financial risk, enhancing its cash flow management, and undertaking strategic </w:t>
      </w:r>
      <w:r w:rsidR="007C6CDB" w:rsidRPr="00034F05">
        <w:rPr>
          <w:rFonts w:ascii="Times New Roman" w:eastAsia="Times New Roman" w:hAnsi="Times New Roman" w:cs="Times New Roman"/>
          <w:kern w:val="0"/>
          <w:sz w:val="24"/>
          <w:szCs w:val="24"/>
          <w:lang w:eastAsia="en-GB"/>
          <w14:ligatures w14:val="none"/>
        </w:rPr>
        <w:t>investments</w:t>
      </w:r>
      <w:r w:rsidRPr="00034F05">
        <w:rPr>
          <w:rFonts w:ascii="Times New Roman" w:eastAsia="Times New Roman" w:hAnsi="Times New Roman" w:cs="Times New Roman"/>
          <w:kern w:val="0"/>
          <w:sz w:val="24"/>
          <w:szCs w:val="24"/>
          <w:lang w:eastAsia="en-GB"/>
          <w14:ligatures w14:val="none"/>
        </w:rPr>
        <w:t xml:space="preserve"> to align with long-term growth in the EV market. The company can bolster its competitive position and achieve sustainable performance by adopting financial restructuring strategies and increasing its operational efficiency</w:t>
      </w:r>
      <w:r w:rsidR="009F32A8" w:rsidRPr="00034F05">
        <w:rPr>
          <w:rFonts w:ascii="Times New Roman" w:eastAsia="Times New Roman" w:hAnsi="Times New Roman" w:cs="Times New Roman"/>
          <w:kern w:val="0"/>
          <w:sz w:val="24"/>
          <w:szCs w:val="24"/>
          <w:lang w:eastAsia="en-GB"/>
          <w14:ligatures w14:val="none"/>
        </w:rPr>
        <w:t>.</w:t>
      </w:r>
    </w:p>
    <w:p w14:paraId="27130F49" w14:textId="77777777" w:rsidR="002A7906" w:rsidRPr="00034F05" w:rsidRDefault="002A7906" w:rsidP="006C2C18">
      <w:pPr>
        <w:rPr>
          <w:rFonts w:ascii="Times New Roman" w:hAnsi="Times New Roman" w:cs="Times New Roman"/>
          <w:sz w:val="24"/>
          <w:szCs w:val="24"/>
        </w:rPr>
      </w:pPr>
    </w:p>
    <w:p w14:paraId="48156087" w14:textId="143344FC" w:rsidR="00C40B53" w:rsidRPr="00034F05" w:rsidRDefault="00C40B53" w:rsidP="00626795">
      <w:pPr>
        <w:pStyle w:val="Heading1"/>
        <w:rPr>
          <w:rFonts w:cs="Times New Roman"/>
        </w:rPr>
      </w:pPr>
      <w:bookmarkStart w:id="49" w:name="_Toc227924999"/>
      <w:r w:rsidRPr="00034F05">
        <w:rPr>
          <w:rFonts w:cs="Times New Roman"/>
        </w:rPr>
        <w:lastRenderedPageBreak/>
        <w:t>Reference</w:t>
      </w:r>
      <w:bookmarkEnd w:id="49"/>
    </w:p>
    <w:p w14:paraId="0C8C9E40" w14:textId="59A0122F" w:rsidR="00520280" w:rsidRPr="00034F05" w:rsidRDefault="00960FF1" w:rsidP="006C2C18">
      <w:pPr>
        <w:rPr>
          <w:rFonts w:ascii="Times New Roman" w:hAnsi="Times New Roman" w:cs="Times New Roman"/>
          <w:sz w:val="24"/>
          <w:szCs w:val="24"/>
        </w:rPr>
      </w:pPr>
      <w:r w:rsidRPr="00034F05">
        <w:rPr>
          <w:rFonts w:ascii="Times New Roman" w:hAnsi="Times New Roman" w:cs="Times New Roman"/>
          <w:sz w:val="24"/>
          <w:szCs w:val="24"/>
        </w:rPr>
        <w:t xml:space="preserve">Alexandre (2025). Cash Flow Analysis: The Complete Guide for Modern Finance Teams. [online] Cash Flow Analysis: The Complete Guide for Modern Finance Teams. Available at: </w:t>
      </w:r>
      <w:hyperlink r:id="rId10" w:history="1">
        <w:r w:rsidR="00520280" w:rsidRPr="00034F05">
          <w:rPr>
            <w:rStyle w:val="Hyperlink"/>
            <w:rFonts w:ascii="Times New Roman" w:hAnsi="Times New Roman" w:cs="Times New Roman"/>
            <w:sz w:val="24"/>
            <w:szCs w:val="24"/>
          </w:rPr>
          <w:t>https://upflow.io/blog/cfo-reads/cash-flow-analysis</w:t>
        </w:r>
      </w:hyperlink>
      <w:r w:rsidRPr="00034F05">
        <w:rPr>
          <w:rFonts w:ascii="Times New Roman" w:hAnsi="Times New Roman" w:cs="Times New Roman"/>
          <w:sz w:val="24"/>
          <w:szCs w:val="24"/>
        </w:rPr>
        <w:t>.</w:t>
      </w:r>
    </w:p>
    <w:p w14:paraId="43D0ADDE" w14:textId="0720B356" w:rsidR="00960FF1" w:rsidRPr="00034F05" w:rsidRDefault="00960FF1" w:rsidP="006C2C18">
      <w:pPr>
        <w:rPr>
          <w:rFonts w:ascii="Times New Roman" w:hAnsi="Times New Roman" w:cs="Times New Roman"/>
          <w:sz w:val="24"/>
          <w:szCs w:val="24"/>
        </w:rPr>
      </w:pPr>
      <w:r w:rsidRPr="00034F05">
        <w:rPr>
          <w:rFonts w:ascii="Times New Roman" w:hAnsi="Times New Roman" w:cs="Times New Roman"/>
          <w:sz w:val="24"/>
          <w:szCs w:val="24"/>
        </w:rPr>
        <w:t xml:space="preserve">Allianz (2024). Cash Conversion Cycle (CCC): Overview, Formula &amp; Strategies. [online] Corporate. Available at: </w:t>
      </w:r>
      <w:hyperlink r:id="rId11" w:history="1">
        <w:r w:rsidRPr="00034F05">
          <w:rPr>
            <w:rStyle w:val="Hyperlink"/>
            <w:rFonts w:ascii="Times New Roman" w:hAnsi="Times New Roman" w:cs="Times New Roman"/>
            <w:sz w:val="24"/>
            <w:szCs w:val="24"/>
          </w:rPr>
          <w:t>https://www.allianz-trade.com/en_US/insights/cash-conversion-cycle.html</w:t>
        </w:r>
      </w:hyperlink>
      <w:r w:rsidRPr="00034F05">
        <w:rPr>
          <w:rFonts w:ascii="Times New Roman" w:hAnsi="Times New Roman" w:cs="Times New Roman"/>
          <w:sz w:val="24"/>
          <w:szCs w:val="24"/>
        </w:rPr>
        <w:t>.</w:t>
      </w:r>
    </w:p>
    <w:p w14:paraId="20ABEA6A" w14:textId="1494F4C7" w:rsidR="00960FF1" w:rsidRPr="00034F05" w:rsidRDefault="00031B7B" w:rsidP="006C2C18">
      <w:pPr>
        <w:rPr>
          <w:rFonts w:ascii="Times New Roman" w:hAnsi="Times New Roman" w:cs="Times New Roman"/>
          <w:sz w:val="24"/>
          <w:szCs w:val="24"/>
        </w:rPr>
      </w:pPr>
      <w:r w:rsidRPr="00034F05">
        <w:rPr>
          <w:rFonts w:ascii="Times New Roman" w:hAnsi="Times New Roman" w:cs="Times New Roman"/>
          <w:sz w:val="24"/>
          <w:szCs w:val="24"/>
        </w:rPr>
        <w:t>Al-</w:t>
      </w:r>
      <w:proofErr w:type="spellStart"/>
      <w:r w:rsidRPr="00034F05">
        <w:rPr>
          <w:rFonts w:ascii="Times New Roman" w:hAnsi="Times New Roman" w:cs="Times New Roman"/>
          <w:sz w:val="24"/>
          <w:szCs w:val="24"/>
        </w:rPr>
        <w:t>Rikabi</w:t>
      </w:r>
      <w:proofErr w:type="spellEnd"/>
      <w:r w:rsidRPr="00034F05">
        <w:rPr>
          <w:rFonts w:ascii="Times New Roman" w:hAnsi="Times New Roman" w:cs="Times New Roman"/>
          <w:sz w:val="24"/>
          <w:szCs w:val="24"/>
        </w:rPr>
        <w:t>, N.S. (</w:t>
      </w:r>
      <w:r w:rsidR="00960FF1" w:rsidRPr="00034F05">
        <w:rPr>
          <w:rFonts w:ascii="Times New Roman" w:hAnsi="Times New Roman" w:cs="Times New Roman"/>
          <w:sz w:val="24"/>
          <w:szCs w:val="24"/>
        </w:rPr>
        <w:t>2021</w:t>
      </w:r>
      <w:r w:rsidRPr="00034F05">
        <w:rPr>
          <w:rFonts w:ascii="Times New Roman" w:hAnsi="Times New Roman" w:cs="Times New Roman"/>
          <w:sz w:val="24"/>
          <w:szCs w:val="24"/>
        </w:rPr>
        <w:t>)</w:t>
      </w:r>
      <w:r w:rsidR="00960FF1" w:rsidRPr="00034F05">
        <w:rPr>
          <w:rFonts w:ascii="Times New Roman" w:hAnsi="Times New Roman" w:cs="Times New Roman"/>
          <w:sz w:val="24"/>
          <w:szCs w:val="24"/>
        </w:rPr>
        <w:t xml:space="preserve">. Profitability index and its impact on short and long-term decisions. Pt. 2 J. Legal Ethical &amp; </w:t>
      </w:r>
      <w:proofErr w:type="spellStart"/>
      <w:r w:rsidR="00960FF1" w:rsidRPr="00034F05">
        <w:rPr>
          <w:rFonts w:ascii="Times New Roman" w:hAnsi="Times New Roman" w:cs="Times New Roman"/>
          <w:sz w:val="24"/>
          <w:szCs w:val="24"/>
        </w:rPr>
        <w:t>Regul</w:t>
      </w:r>
      <w:proofErr w:type="spellEnd"/>
      <w:r w:rsidR="00960FF1" w:rsidRPr="00034F05">
        <w:rPr>
          <w:rFonts w:ascii="Times New Roman" w:hAnsi="Times New Roman" w:cs="Times New Roman"/>
          <w:sz w:val="24"/>
          <w:szCs w:val="24"/>
        </w:rPr>
        <w:t>. Isses, 24, p.1.</w:t>
      </w:r>
    </w:p>
    <w:p w14:paraId="53C68FF0" w14:textId="073930E6" w:rsidR="00960FF1" w:rsidRPr="00034F05" w:rsidRDefault="00960FF1" w:rsidP="006C2C18">
      <w:pPr>
        <w:rPr>
          <w:rFonts w:ascii="Times New Roman" w:hAnsi="Times New Roman" w:cs="Times New Roman"/>
          <w:sz w:val="24"/>
          <w:szCs w:val="24"/>
        </w:rPr>
      </w:pPr>
      <w:r w:rsidRPr="00034F05">
        <w:rPr>
          <w:rFonts w:ascii="Times New Roman" w:hAnsi="Times New Roman" w:cs="Times New Roman"/>
          <w:sz w:val="24"/>
          <w:szCs w:val="24"/>
        </w:rPr>
        <w:t>Bailey, G.,</w:t>
      </w:r>
      <w:r w:rsidR="00031B7B" w:rsidRPr="00034F05">
        <w:rPr>
          <w:rFonts w:ascii="Times New Roman" w:hAnsi="Times New Roman" w:cs="Times New Roman"/>
          <w:sz w:val="24"/>
          <w:szCs w:val="24"/>
        </w:rPr>
        <w:t xml:space="preserve"> </w:t>
      </w:r>
      <w:proofErr w:type="spellStart"/>
      <w:r w:rsidR="00031B7B" w:rsidRPr="00034F05">
        <w:rPr>
          <w:rFonts w:ascii="Times New Roman" w:hAnsi="Times New Roman" w:cs="Times New Roman"/>
          <w:sz w:val="24"/>
          <w:szCs w:val="24"/>
        </w:rPr>
        <w:t>Mancheri</w:t>
      </w:r>
      <w:proofErr w:type="spellEnd"/>
      <w:r w:rsidR="00031B7B" w:rsidRPr="00034F05">
        <w:rPr>
          <w:rFonts w:ascii="Times New Roman" w:hAnsi="Times New Roman" w:cs="Times New Roman"/>
          <w:sz w:val="24"/>
          <w:szCs w:val="24"/>
        </w:rPr>
        <w:t>, N. and Van Acker, K. (</w:t>
      </w:r>
      <w:r w:rsidRPr="00034F05">
        <w:rPr>
          <w:rFonts w:ascii="Times New Roman" w:hAnsi="Times New Roman" w:cs="Times New Roman"/>
          <w:sz w:val="24"/>
          <w:szCs w:val="24"/>
        </w:rPr>
        <w:t>2017</w:t>
      </w:r>
      <w:r w:rsidR="00031B7B" w:rsidRPr="00034F05">
        <w:rPr>
          <w:rFonts w:ascii="Times New Roman" w:hAnsi="Times New Roman" w:cs="Times New Roman"/>
          <w:sz w:val="24"/>
          <w:szCs w:val="24"/>
        </w:rPr>
        <w:t>)</w:t>
      </w:r>
      <w:r w:rsidRPr="00034F05">
        <w:rPr>
          <w:rFonts w:ascii="Times New Roman" w:hAnsi="Times New Roman" w:cs="Times New Roman"/>
          <w:sz w:val="24"/>
          <w:szCs w:val="24"/>
        </w:rPr>
        <w:t>. Sustainability of permanent rare earth magnet motors in (H) EV industry. Journal of Sustainable Metallurgy, 3(3), pp.611-626.</w:t>
      </w:r>
    </w:p>
    <w:p w14:paraId="0C3EE405" w14:textId="1B58340B" w:rsidR="00C25A1D" w:rsidRPr="00034F05" w:rsidRDefault="00031B7B" w:rsidP="006C2C18">
      <w:pPr>
        <w:rPr>
          <w:rFonts w:ascii="Times New Roman" w:hAnsi="Times New Roman" w:cs="Times New Roman"/>
          <w:sz w:val="24"/>
          <w:szCs w:val="24"/>
        </w:rPr>
      </w:pPr>
      <w:r w:rsidRPr="00034F05">
        <w:rPr>
          <w:rFonts w:ascii="Times New Roman" w:hAnsi="Times New Roman" w:cs="Times New Roman"/>
          <w:sz w:val="24"/>
          <w:szCs w:val="24"/>
        </w:rPr>
        <w:t>Bick, G.N. (</w:t>
      </w:r>
      <w:r w:rsidR="00C25A1D" w:rsidRPr="00034F05">
        <w:rPr>
          <w:rFonts w:ascii="Times New Roman" w:hAnsi="Times New Roman" w:cs="Times New Roman"/>
          <w:sz w:val="24"/>
          <w:szCs w:val="24"/>
        </w:rPr>
        <w:t>2009</w:t>
      </w:r>
      <w:r w:rsidRPr="00034F05">
        <w:rPr>
          <w:rFonts w:ascii="Times New Roman" w:hAnsi="Times New Roman" w:cs="Times New Roman"/>
          <w:sz w:val="24"/>
          <w:szCs w:val="24"/>
        </w:rPr>
        <w:t>)</w:t>
      </w:r>
      <w:r w:rsidR="00C25A1D" w:rsidRPr="00034F05">
        <w:rPr>
          <w:rFonts w:ascii="Times New Roman" w:hAnsi="Times New Roman" w:cs="Times New Roman"/>
          <w:sz w:val="24"/>
          <w:szCs w:val="24"/>
        </w:rPr>
        <w:t>. Increasing shareholder value through building customer and brand equity. Journal of Marketing Management, 25(1-2), pp.117-141.</w:t>
      </w:r>
    </w:p>
    <w:p w14:paraId="64752FEC" w14:textId="58A5C516" w:rsidR="007D0236" w:rsidRPr="00034F05" w:rsidRDefault="007D0236" w:rsidP="006C2C18">
      <w:pPr>
        <w:rPr>
          <w:rFonts w:ascii="Times New Roman" w:hAnsi="Times New Roman" w:cs="Times New Roman"/>
          <w:sz w:val="24"/>
          <w:szCs w:val="24"/>
        </w:rPr>
      </w:pPr>
      <w:r w:rsidRPr="00034F05">
        <w:rPr>
          <w:rFonts w:ascii="Times New Roman" w:hAnsi="Times New Roman" w:cs="Times New Roman"/>
          <w:sz w:val="24"/>
          <w:szCs w:val="24"/>
        </w:rPr>
        <w:t>Bra</w:t>
      </w:r>
      <w:r w:rsidR="00031B7B" w:rsidRPr="00034F05">
        <w:rPr>
          <w:rFonts w:ascii="Times New Roman" w:hAnsi="Times New Roman" w:cs="Times New Roman"/>
          <w:sz w:val="24"/>
          <w:szCs w:val="24"/>
        </w:rPr>
        <w:t>ve, S.A. and Bruun, K.A.Y.L.A. (</w:t>
      </w:r>
      <w:r w:rsidRPr="00034F05">
        <w:rPr>
          <w:rFonts w:ascii="Times New Roman" w:hAnsi="Times New Roman" w:cs="Times New Roman"/>
          <w:sz w:val="24"/>
          <w:szCs w:val="24"/>
        </w:rPr>
        <w:t>2022</w:t>
      </w:r>
      <w:r w:rsidR="00031B7B" w:rsidRPr="00034F05">
        <w:rPr>
          <w:rFonts w:ascii="Times New Roman" w:hAnsi="Times New Roman" w:cs="Times New Roman"/>
          <w:sz w:val="24"/>
          <w:szCs w:val="24"/>
        </w:rPr>
        <w:t>)</w:t>
      </w:r>
      <w:r w:rsidRPr="00034F05">
        <w:rPr>
          <w:rFonts w:ascii="Times New Roman" w:hAnsi="Times New Roman" w:cs="Times New Roman"/>
          <w:sz w:val="24"/>
          <w:szCs w:val="24"/>
        </w:rPr>
        <w:t>. Measuring the Impact of Inflation on US Consumer Spending. Morning Consult Economic Analysis.</w:t>
      </w:r>
    </w:p>
    <w:p w14:paraId="2B912007" w14:textId="07035300" w:rsidR="00520280" w:rsidRPr="00034F05" w:rsidRDefault="00520280" w:rsidP="006C2C18">
      <w:pPr>
        <w:rPr>
          <w:rFonts w:ascii="Times New Roman" w:hAnsi="Times New Roman" w:cs="Times New Roman"/>
          <w:sz w:val="24"/>
          <w:szCs w:val="24"/>
        </w:rPr>
      </w:pPr>
      <w:proofErr w:type="spellStart"/>
      <w:r w:rsidRPr="00034F05">
        <w:rPr>
          <w:rFonts w:ascii="Times New Roman" w:hAnsi="Times New Roman" w:cs="Times New Roman"/>
          <w:sz w:val="24"/>
          <w:szCs w:val="24"/>
        </w:rPr>
        <w:t>Deskera</w:t>
      </w:r>
      <w:proofErr w:type="spellEnd"/>
      <w:r w:rsidRPr="00034F05">
        <w:rPr>
          <w:rFonts w:ascii="Times New Roman" w:hAnsi="Times New Roman" w:cs="Times New Roman"/>
          <w:sz w:val="24"/>
          <w:szCs w:val="24"/>
        </w:rPr>
        <w:t xml:space="preserve"> (2021). What </w:t>
      </w:r>
      <w:proofErr w:type="gramStart"/>
      <w:r w:rsidRPr="00034F05">
        <w:rPr>
          <w:rFonts w:ascii="Times New Roman" w:hAnsi="Times New Roman" w:cs="Times New Roman"/>
          <w:sz w:val="24"/>
          <w:szCs w:val="24"/>
        </w:rPr>
        <w:t>Is</w:t>
      </w:r>
      <w:proofErr w:type="gramEnd"/>
      <w:r w:rsidRPr="00034F05">
        <w:rPr>
          <w:rFonts w:ascii="Times New Roman" w:hAnsi="Times New Roman" w:cs="Times New Roman"/>
          <w:sz w:val="24"/>
          <w:szCs w:val="24"/>
        </w:rPr>
        <w:t xml:space="preserve"> Efficiency Ratios? Guide with Examples. [online] </w:t>
      </w:r>
      <w:proofErr w:type="spellStart"/>
      <w:r w:rsidRPr="00034F05">
        <w:rPr>
          <w:rFonts w:ascii="Times New Roman" w:hAnsi="Times New Roman" w:cs="Times New Roman"/>
          <w:sz w:val="24"/>
          <w:szCs w:val="24"/>
        </w:rPr>
        <w:t>Deskera</w:t>
      </w:r>
      <w:proofErr w:type="spellEnd"/>
      <w:r w:rsidRPr="00034F05">
        <w:rPr>
          <w:rFonts w:ascii="Times New Roman" w:hAnsi="Times New Roman" w:cs="Times New Roman"/>
          <w:sz w:val="24"/>
          <w:szCs w:val="24"/>
        </w:rPr>
        <w:t xml:space="preserve"> Blog. Available at: </w:t>
      </w:r>
      <w:hyperlink r:id="rId12" w:history="1">
        <w:r w:rsidRPr="00034F05">
          <w:rPr>
            <w:rStyle w:val="Hyperlink"/>
            <w:rFonts w:ascii="Times New Roman" w:hAnsi="Times New Roman" w:cs="Times New Roman"/>
            <w:sz w:val="24"/>
            <w:szCs w:val="24"/>
          </w:rPr>
          <w:t>https://www.deskera.com/blog/efficiency-ratios/</w:t>
        </w:r>
      </w:hyperlink>
      <w:r w:rsidRPr="00034F05">
        <w:rPr>
          <w:rFonts w:ascii="Times New Roman" w:hAnsi="Times New Roman" w:cs="Times New Roman"/>
          <w:sz w:val="24"/>
          <w:szCs w:val="24"/>
        </w:rPr>
        <w:t>.</w:t>
      </w:r>
    </w:p>
    <w:p w14:paraId="70FF4CBF" w14:textId="130A6789" w:rsidR="00520280" w:rsidRPr="00034F05" w:rsidRDefault="00520280" w:rsidP="006C2C18">
      <w:pPr>
        <w:rPr>
          <w:rFonts w:ascii="Times New Roman" w:hAnsi="Times New Roman" w:cs="Times New Roman"/>
          <w:sz w:val="24"/>
          <w:szCs w:val="24"/>
        </w:rPr>
      </w:pPr>
      <w:r w:rsidRPr="00034F05">
        <w:rPr>
          <w:rFonts w:ascii="Times New Roman" w:hAnsi="Times New Roman" w:cs="Times New Roman"/>
          <w:sz w:val="24"/>
          <w:szCs w:val="24"/>
        </w:rPr>
        <w:t xml:space="preserve">Einstein, B. (2025). How to Calculate &amp; Use Liquidity Ratios. [online] Business Insights Blog. Available at: </w:t>
      </w:r>
      <w:hyperlink r:id="rId13" w:history="1">
        <w:r w:rsidRPr="00034F05">
          <w:rPr>
            <w:rStyle w:val="Hyperlink"/>
            <w:rFonts w:ascii="Times New Roman" w:hAnsi="Times New Roman" w:cs="Times New Roman"/>
            <w:sz w:val="24"/>
            <w:szCs w:val="24"/>
          </w:rPr>
          <w:t>https://online.hbs.edu/blog/post/liquidity-ratios</w:t>
        </w:r>
      </w:hyperlink>
      <w:r w:rsidRPr="00034F05">
        <w:rPr>
          <w:rFonts w:ascii="Times New Roman" w:hAnsi="Times New Roman" w:cs="Times New Roman"/>
          <w:sz w:val="24"/>
          <w:szCs w:val="24"/>
        </w:rPr>
        <w:t>.</w:t>
      </w:r>
    </w:p>
    <w:p w14:paraId="324FE357" w14:textId="3E013804" w:rsidR="00960FF1" w:rsidRPr="00034F05" w:rsidRDefault="00960FF1" w:rsidP="006C2C18">
      <w:pPr>
        <w:rPr>
          <w:rFonts w:ascii="Times New Roman" w:hAnsi="Times New Roman" w:cs="Times New Roman"/>
          <w:sz w:val="24"/>
          <w:szCs w:val="24"/>
        </w:rPr>
      </w:pPr>
      <w:r w:rsidRPr="00034F05">
        <w:rPr>
          <w:rFonts w:ascii="Times New Roman" w:hAnsi="Times New Roman" w:cs="Times New Roman"/>
          <w:sz w:val="24"/>
          <w:szCs w:val="24"/>
        </w:rPr>
        <w:t xml:space="preserve">Gorshkov, A.S., </w:t>
      </w:r>
      <w:proofErr w:type="spellStart"/>
      <w:r w:rsidRPr="00034F05">
        <w:rPr>
          <w:rFonts w:ascii="Times New Roman" w:hAnsi="Times New Roman" w:cs="Times New Roman"/>
          <w:sz w:val="24"/>
          <w:szCs w:val="24"/>
        </w:rPr>
        <w:t>Vatin</w:t>
      </w:r>
      <w:proofErr w:type="spellEnd"/>
      <w:r w:rsidRPr="00034F05">
        <w:rPr>
          <w:rFonts w:ascii="Times New Roman" w:hAnsi="Times New Roman" w:cs="Times New Roman"/>
          <w:sz w:val="24"/>
          <w:szCs w:val="24"/>
        </w:rPr>
        <w:t xml:space="preserve">, N.I., </w:t>
      </w:r>
      <w:proofErr w:type="spellStart"/>
      <w:r w:rsidRPr="00034F05">
        <w:rPr>
          <w:rFonts w:ascii="Times New Roman" w:hAnsi="Times New Roman" w:cs="Times New Roman"/>
          <w:sz w:val="24"/>
          <w:szCs w:val="24"/>
        </w:rPr>
        <w:t>Rymke</w:t>
      </w:r>
      <w:r w:rsidR="00031B7B" w:rsidRPr="00034F05">
        <w:rPr>
          <w:rFonts w:ascii="Times New Roman" w:hAnsi="Times New Roman" w:cs="Times New Roman"/>
          <w:sz w:val="24"/>
          <w:szCs w:val="24"/>
        </w:rPr>
        <w:t>vich</w:t>
      </w:r>
      <w:proofErr w:type="spellEnd"/>
      <w:r w:rsidR="00031B7B" w:rsidRPr="00034F05">
        <w:rPr>
          <w:rFonts w:ascii="Times New Roman" w:hAnsi="Times New Roman" w:cs="Times New Roman"/>
          <w:sz w:val="24"/>
          <w:szCs w:val="24"/>
        </w:rPr>
        <w:t xml:space="preserve">, P.P. and </w:t>
      </w:r>
      <w:proofErr w:type="spellStart"/>
      <w:r w:rsidR="00031B7B" w:rsidRPr="00034F05">
        <w:rPr>
          <w:rFonts w:ascii="Times New Roman" w:hAnsi="Times New Roman" w:cs="Times New Roman"/>
          <w:sz w:val="24"/>
          <w:szCs w:val="24"/>
        </w:rPr>
        <w:t>Kydrevich</w:t>
      </w:r>
      <w:proofErr w:type="spellEnd"/>
      <w:r w:rsidR="00031B7B" w:rsidRPr="00034F05">
        <w:rPr>
          <w:rFonts w:ascii="Times New Roman" w:hAnsi="Times New Roman" w:cs="Times New Roman"/>
          <w:sz w:val="24"/>
          <w:szCs w:val="24"/>
        </w:rPr>
        <w:t>, O.O. (</w:t>
      </w:r>
      <w:r w:rsidRPr="00034F05">
        <w:rPr>
          <w:rFonts w:ascii="Times New Roman" w:hAnsi="Times New Roman" w:cs="Times New Roman"/>
          <w:sz w:val="24"/>
          <w:szCs w:val="24"/>
        </w:rPr>
        <w:t>2018</w:t>
      </w:r>
      <w:r w:rsidR="00031B7B" w:rsidRPr="00034F05">
        <w:rPr>
          <w:rFonts w:ascii="Times New Roman" w:hAnsi="Times New Roman" w:cs="Times New Roman"/>
          <w:sz w:val="24"/>
          <w:szCs w:val="24"/>
        </w:rPr>
        <w:t>)</w:t>
      </w:r>
      <w:r w:rsidRPr="00034F05">
        <w:rPr>
          <w:rFonts w:ascii="Times New Roman" w:hAnsi="Times New Roman" w:cs="Times New Roman"/>
          <w:sz w:val="24"/>
          <w:szCs w:val="24"/>
        </w:rPr>
        <w:t>. Payback period of investments in energy saving. Magazine of Civil Engineering, (2 (78)), pp.65-75.</w:t>
      </w:r>
    </w:p>
    <w:p w14:paraId="24842E21" w14:textId="697F2F25" w:rsidR="007D0236" w:rsidRPr="00034F05" w:rsidRDefault="00031B7B" w:rsidP="00520280">
      <w:pPr>
        <w:spacing w:line="240" w:lineRule="auto"/>
        <w:rPr>
          <w:rFonts w:ascii="Times New Roman" w:hAnsi="Times New Roman" w:cs="Times New Roman"/>
          <w:sz w:val="24"/>
          <w:szCs w:val="24"/>
        </w:rPr>
      </w:pPr>
      <w:r w:rsidRPr="00034F05">
        <w:rPr>
          <w:rFonts w:ascii="Times New Roman" w:hAnsi="Times New Roman" w:cs="Times New Roman"/>
          <w:sz w:val="24"/>
          <w:szCs w:val="24"/>
        </w:rPr>
        <w:t>Hassan, T.A. and Zhang, T. (</w:t>
      </w:r>
      <w:r w:rsidR="007D0236" w:rsidRPr="00034F05">
        <w:rPr>
          <w:rFonts w:ascii="Times New Roman" w:hAnsi="Times New Roman" w:cs="Times New Roman"/>
          <w:sz w:val="24"/>
          <w:szCs w:val="24"/>
        </w:rPr>
        <w:t>2021</w:t>
      </w:r>
      <w:r w:rsidRPr="00034F05">
        <w:rPr>
          <w:rFonts w:ascii="Times New Roman" w:hAnsi="Times New Roman" w:cs="Times New Roman"/>
          <w:sz w:val="24"/>
          <w:szCs w:val="24"/>
        </w:rPr>
        <w:t>)</w:t>
      </w:r>
      <w:r w:rsidR="007D0236" w:rsidRPr="00034F05">
        <w:rPr>
          <w:rFonts w:ascii="Times New Roman" w:hAnsi="Times New Roman" w:cs="Times New Roman"/>
          <w:sz w:val="24"/>
          <w:szCs w:val="24"/>
        </w:rPr>
        <w:t>. The economics of currency risk. Annual Review of Economics, 13, pp.281-307.</w:t>
      </w:r>
    </w:p>
    <w:p w14:paraId="70C1F57A" w14:textId="77777777" w:rsidR="00520280" w:rsidRPr="00034F05" w:rsidRDefault="00520280" w:rsidP="00520280">
      <w:pPr>
        <w:pStyle w:val="NormalWeb"/>
        <w:spacing w:before="0" w:beforeAutospacing="0" w:after="240" w:afterAutospacing="0"/>
      </w:pPr>
      <w:r w:rsidRPr="00034F05">
        <w:t xml:space="preserve">Hyundai (2024). </w:t>
      </w:r>
      <w:r w:rsidRPr="00034F05">
        <w:rPr>
          <w:i/>
          <w:iCs/>
        </w:rPr>
        <w:t xml:space="preserve">Hyundai About Hyundai | Hyundai </w:t>
      </w:r>
      <w:proofErr w:type="spellStart"/>
      <w:r w:rsidRPr="00034F05">
        <w:rPr>
          <w:i/>
          <w:iCs/>
        </w:rPr>
        <w:t>Asia&amp;Pacific</w:t>
      </w:r>
      <w:proofErr w:type="spellEnd"/>
      <w:r w:rsidRPr="00034F05">
        <w:t>. [online] HYUNDAI MOTORS. Available at: https://www.hyundai.com/pacific/en/company/about-hyundai.</w:t>
      </w:r>
    </w:p>
    <w:p w14:paraId="5BF34F37" w14:textId="1C9C4B1D" w:rsidR="00520280" w:rsidRPr="00034F05" w:rsidRDefault="00520280" w:rsidP="00520280">
      <w:pPr>
        <w:pStyle w:val="NormalWeb"/>
        <w:spacing w:before="0" w:beforeAutospacing="0" w:after="240" w:afterAutospacing="0"/>
      </w:pPr>
      <w:r w:rsidRPr="00034F05">
        <w:t xml:space="preserve">Hyundai (2025). </w:t>
      </w:r>
      <w:r w:rsidR="00031B7B" w:rsidRPr="00034F05">
        <w:rPr>
          <w:i/>
          <w:iCs/>
        </w:rPr>
        <w:t xml:space="preserve">Hyundai Motor Company </w:t>
      </w:r>
      <w:proofErr w:type="gramStart"/>
      <w:r w:rsidR="00031B7B" w:rsidRPr="00034F05">
        <w:rPr>
          <w:i/>
          <w:iCs/>
        </w:rPr>
        <w:t>And</w:t>
      </w:r>
      <w:proofErr w:type="gramEnd"/>
      <w:r w:rsidR="00031B7B" w:rsidRPr="00034F05">
        <w:rPr>
          <w:i/>
          <w:iCs/>
        </w:rPr>
        <w:t xml:space="preserve"> Its Subsidiaries Hyundai Motor Company </w:t>
      </w:r>
      <w:proofErr w:type="gramStart"/>
      <w:r w:rsidR="00031B7B" w:rsidRPr="00034F05">
        <w:rPr>
          <w:i/>
          <w:iCs/>
        </w:rPr>
        <w:t>And</w:t>
      </w:r>
      <w:proofErr w:type="gramEnd"/>
      <w:r w:rsidR="00031B7B" w:rsidRPr="00034F05">
        <w:rPr>
          <w:i/>
          <w:iCs/>
        </w:rPr>
        <w:t xml:space="preserve"> Its Subsidiaries Contents</w:t>
      </w:r>
      <w:r w:rsidRPr="00034F05">
        <w:t>. [online] Available at: https://www.hyundai.com/content/dam/hyundai/ww/en/images/company/investor-relations/financial-Information/report-en/2025/2025-q4-consolidated-audit-report-en.pdf.</w:t>
      </w:r>
    </w:p>
    <w:p w14:paraId="2032E19A" w14:textId="264B8F87" w:rsidR="00520280" w:rsidRPr="00034F05" w:rsidRDefault="00520280" w:rsidP="00520280">
      <w:pPr>
        <w:pStyle w:val="NormalWeb"/>
        <w:spacing w:before="0" w:beforeAutospacing="0" w:after="240" w:afterAutospacing="0"/>
      </w:pPr>
      <w:r w:rsidRPr="00034F05">
        <w:t xml:space="preserve">HYUNDAI MOTOR (2024). </w:t>
      </w:r>
      <w:r w:rsidR="00031B7B" w:rsidRPr="00034F05">
        <w:rPr>
          <w:i/>
          <w:iCs/>
        </w:rPr>
        <w:t xml:space="preserve">Hyundai Motor Company </w:t>
      </w:r>
      <w:proofErr w:type="gramStart"/>
      <w:r w:rsidR="00031B7B" w:rsidRPr="00034F05">
        <w:rPr>
          <w:i/>
          <w:iCs/>
        </w:rPr>
        <w:t>And</w:t>
      </w:r>
      <w:proofErr w:type="gramEnd"/>
      <w:r w:rsidR="00031B7B" w:rsidRPr="00034F05">
        <w:rPr>
          <w:i/>
          <w:iCs/>
        </w:rPr>
        <w:t xml:space="preserve"> Its Subsidiaries Hyundai Motor Company </w:t>
      </w:r>
      <w:proofErr w:type="gramStart"/>
      <w:r w:rsidR="00031B7B" w:rsidRPr="00034F05">
        <w:rPr>
          <w:i/>
          <w:iCs/>
        </w:rPr>
        <w:t>And</w:t>
      </w:r>
      <w:proofErr w:type="gramEnd"/>
      <w:r w:rsidR="00031B7B" w:rsidRPr="00034F05">
        <w:rPr>
          <w:i/>
          <w:iCs/>
        </w:rPr>
        <w:t xml:space="preserve"> Its Subsidiaries Contents</w:t>
      </w:r>
      <w:r w:rsidRPr="00034F05">
        <w:t>. [online] Available at: https://www.annualreports.com/HostedData/AnnualReports/PDF/OTC_HYMTF_2024.pdf.</w:t>
      </w:r>
    </w:p>
    <w:p w14:paraId="5B0584A5" w14:textId="0A07743E" w:rsidR="00520280" w:rsidRPr="00034F05" w:rsidRDefault="00520280" w:rsidP="00520280">
      <w:pPr>
        <w:pStyle w:val="NormalWeb"/>
        <w:spacing w:before="0" w:beforeAutospacing="0" w:after="240" w:afterAutospacing="0"/>
      </w:pPr>
      <w:r w:rsidRPr="00034F05">
        <w:t xml:space="preserve">Hyundai Motors (2022). </w:t>
      </w:r>
      <w:r w:rsidR="00031B7B" w:rsidRPr="00034F05">
        <w:rPr>
          <w:i/>
          <w:iCs/>
        </w:rPr>
        <w:t xml:space="preserve">Hyundai Motor Company </w:t>
      </w:r>
      <w:proofErr w:type="gramStart"/>
      <w:r w:rsidR="00031B7B" w:rsidRPr="00034F05">
        <w:rPr>
          <w:i/>
          <w:iCs/>
        </w:rPr>
        <w:t>And</w:t>
      </w:r>
      <w:proofErr w:type="gramEnd"/>
      <w:r w:rsidR="00031B7B" w:rsidRPr="00034F05">
        <w:rPr>
          <w:i/>
          <w:iCs/>
        </w:rPr>
        <w:t xml:space="preserve"> Its Subsidiaries Consolidated Financial Statements </w:t>
      </w:r>
      <w:proofErr w:type="gramStart"/>
      <w:r w:rsidR="00031B7B" w:rsidRPr="00034F05">
        <w:rPr>
          <w:i/>
          <w:iCs/>
        </w:rPr>
        <w:t>As</w:t>
      </w:r>
      <w:proofErr w:type="gramEnd"/>
      <w:r w:rsidR="00031B7B" w:rsidRPr="00034F05">
        <w:rPr>
          <w:i/>
          <w:iCs/>
        </w:rPr>
        <w:t xml:space="preserve"> </w:t>
      </w:r>
      <w:proofErr w:type="gramStart"/>
      <w:r w:rsidR="00031B7B" w:rsidRPr="00034F05">
        <w:rPr>
          <w:i/>
          <w:iCs/>
        </w:rPr>
        <w:t>Of</w:t>
      </w:r>
      <w:proofErr w:type="gramEnd"/>
      <w:r w:rsidR="00031B7B" w:rsidRPr="00034F05">
        <w:rPr>
          <w:i/>
          <w:iCs/>
        </w:rPr>
        <w:t xml:space="preserve"> </w:t>
      </w:r>
      <w:proofErr w:type="gramStart"/>
      <w:r w:rsidR="00031B7B" w:rsidRPr="00034F05">
        <w:rPr>
          <w:i/>
          <w:iCs/>
        </w:rPr>
        <w:t>And</w:t>
      </w:r>
      <w:proofErr w:type="gramEnd"/>
      <w:r w:rsidR="00031B7B" w:rsidRPr="00034F05">
        <w:rPr>
          <w:i/>
          <w:iCs/>
        </w:rPr>
        <w:t xml:space="preserve"> </w:t>
      </w:r>
      <w:proofErr w:type="gramStart"/>
      <w:r w:rsidR="00031B7B" w:rsidRPr="00034F05">
        <w:rPr>
          <w:i/>
          <w:iCs/>
        </w:rPr>
        <w:t>For</w:t>
      </w:r>
      <w:proofErr w:type="gramEnd"/>
      <w:r w:rsidR="00031B7B" w:rsidRPr="00034F05">
        <w:rPr>
          <w:i/>
          <w:iCs/>
        </w:rPr>
        <w:t xml:space="preserve"> </w:t>
      </w:r>
      <w:proofErr w:type="gramStart"/>
      <w:r w:rsidR="00031B7B" w:rsidRPr="00034F05">
        <w:rPr>
          <w:i/>
          <w:iCs/>
        </w:rPr>
        <w:t>The</w:t>
      </w:r>
      <w:proofErr w:type="gramEnd"/>
      <w:r w:rsidR="00031B7B" w:rsidRPr="00034F05">
        <w:rPr>
          <w:i/>
          <w:iCs/>
        </w:rPr>
        <w:t xml:space="preserve"> Years Ended December 31, 2022 </w:t>
      </w:r>
      <w:proofErr w:type="gramStart"/>
      <w:r w:rsidR="00031B7B" w:rsidRPr="00034F05">
        <w:rPr>
          <w:i/>
          <w:iCs/>
        </w:rPr>
        <w:t>And</w:t>
      </w:r>
      <w:proofErr w:type="gramEnd"/>
      <w:r w:rsidR="00031B7B" w:rsidRPr="00034F05">
        <w:rPr>
          <w:i/>
          <w:iCs/>
        </w:rPr>
        <w:t xml:space="preserve"> 2021 Attachment: </w:t>
      </w:r>
      <w:r w:rsidR="00031B7B" w:rsidRPr="00034F05">
        <w:rPr>
          <w:i/>
          <w:iCs/>
        </w:rPr>
        <w:lastRenderedPageBreak/>
        <w:t>Independent Auditors’ Report Hyundai Motor Company</w:t>
      </w:r>
      <w:r w:rsidRPr="00034F05">
        <w:rPr>
          <w:i/>
          <w:iCs/>
        </w:rPr>
        <w:t xml:space="preserve"> Contents</w:t>
      </w:r>
      <w:r w:rsidRPr="00034F05">
        <w:t>. [online] Available at: https://www.annualreports.com/HostedData/AnnualReportArchive/h/OTC_HYMTF_2022.pdf.</w:t>
      </w:r>
    </w:p>
    <w:p w14:paraId="7DBE9484" w14:textId="78931304" w:rsidR="00520280" w:rsidRPr="00034F05" w:rsidRDefault="00520280" w:rsidP="00520280">
      <w:pPr>
        <w:pStyle w:val="NormalWeb"/>
        <w:spacing w:before="0" w:beforeAutospacing="0" w:after="240" w:afterAutospacing="0"/>
      </w:pPr>
      <w:r w:rsidRPr="00034F05">
        <w:t xml:space="preserve">Hyundai Motors (2023). </w:t>
      </w:r>
      <w:r w:rsidR="00031B7B" w:rsidRPr="00034F05">
        <w:rPr>
          <w:i/>
          <w:iCs/>
        </w:rPr>
        <w:t xml:space="preserve">Hyundai Motor Company </w:t>
      </w:r>
      <w:proofErr w:type="gramStart"/>
      <w:r w:rsidR="00031B7B" w:rsidRPr="00034F05">
        <w:rPr>
          <w:i/>
          <w:iCs/>
        </w:rPr>
        <w:t>And</w:t>
      </w:r>
      <w:proofErr w:type="gramEnd"/>
      <w:r w:rsidR="00031B7B" w:rsidRPr="00034F05">
        <w:rPr>
          <w:i/>
          <w:iCs/>
        </w:rPr>
        <w:t xml:space="preserve"> Its Subsidiaries Hyundai Motor Company </w:t>
      </w:r>
      <w:proofErr w:type="gramStart"/>
      <w:r w:rsidR="00031B7B" w:rsidRPr="00034F05">
        <w:rPr>
          <w:i/>
          <w:iCs/>
        </w:rPr>
        <w:t>And</w:t>
      </w:r>
      <w:proofErr w:type="gramEnd"/>
      <w:r w:rsidR="00031B7B" w:rsidRPr="00034F05">
        <w:rPr>
          <w:i/>
          <w:iCs/>
        </w:rPr>
        <w:t xml:space="preserve"> Its Subsidiaries </w:t>
      </w:r>
      <w:r w:rsidRPr="00034F05">
        <w:rPr>
          <w:i/>
          <w:iCs/>
        </w:rPr>
        <w:t>Contents</w:t>
      </w:r>
      <w:r w:rsidRPr="00034F05">
        <w:t>. [online] Available at: https://www.annualreports.com/HostedData/AnnualReportArchive/h/OTC_HYMTF_2023.pdf.</w:t>
      </w:r>
    </w:p>
    <w:p w14:paraId="67B08F0E" w14:textId="031EA215" w:rsidR="007D0236" w:rsidRPr="00034F05" w:rsidRDefault="00031B7B" w:rsidP="006C2C18">
      <w:pPr>
        <w:rPr>
          <w:rFonts w:ascii="Times New Roman" w:hAnsi="Times New Roman" w:cs="Times New Roman"/>
          <w:sz w:val="24"/>
          <w:szCs w:val="24"/>
        </w:rPr>
      </w:pPr>
      <w:r w:rsidRPr="00034F05">
        <w:rPr>
          <w:rFonts w:ascii="Times New Roman" w:hAnsi="Times New Roman" w:cs="Times New Roman"/>
          <w:sz w:val="24"/>
          <w:szCs w:val="24"/>
        </w:rPr>
        <w:t>Korajczyk, R.A. and Levy, A. (</w:t>
      </w:r>
      <w:r w:rsidR="007D0236" w:rsidRPr="00034F05">
        <w:rPr>
          <w:rFonts w:ascii="Times New Roman" w:hAnsi="Times New Roman" w:cs="Times New Roman"/>
          <w:sz w:val="24"/>
          <w:szCs w:val="24"/>
        </w:rPr>
        <w:t>2003</w:t>
      </w:r>
      <w:r w:rsidRPr="00034F05">
        <w:rPr>
          <w:rFonts w:ascii="Times New Roman" w:hAnsi="Times New Roman" w:cs="Times New Roman"/>
          <w:sz w:val="24"/>
          <w:szCs w:val="24"/>
        </w:rPr>
        <w:t>)</w:t>
      </w:r>
      <w:r w:rsidR="007D0236" w:rsidRPr="00034F05">
        <w:rPr>
          <w:rFonts w:ascii="Times New Roman" w:hAnsi="Times New Roman" w:cs="Times New Roman"/>
          <w:sz w:val="24"/>
          <w:szCs w:val="24"/>
        </w:rPr>
        <w:t xml:space="preserve">. Capital structure choice: macroeconomic conditions and financial constraints. Journal of </w:t>
      </w:r>
      <w:r w:rsidR="00520280" w:rsidRPr="00034F05">
        <w:rPr>
          <w:rFonts w:ascii="Times New Roman" w:hAnsi="Times New Roman" w:cs="Times New Roman"/>
          <w:sz w:val="24"/>
          <w:szCs w:val="24"/>
        </w:rPr>
        <w:t>Financial Economics</w:t>
      </w:r>
      <w:r w:rsidR="007D0236" w:rsidRPr="00034F05">
        <w:rPr>
          <w:rFonts w:ascii="Times New Roman" w:hAnsi="Times New Roman" w:cs="Times New Roman"/>
          <w:sz w:val="24"/>
          <w:szCs w:val="24"/>
        </w:rPr>
        <w:t>, 68(1), pp.75-109.</w:t>
      </w:r>
    </w:p>
    <w:p w14:paraId="5F0D9539" w14:textId="08A58DB1" w:rsidR="00006108" w:rsidRPr="00034F05" w:rsidRDefault="00894F0E" w:rsidP="006C2C18">
      <w:pPr>
        <w:rPr>
          <w:rFonts w:ascii="Times New Roman" w:hAnsi="Times New Roman" w:cs="Times New Roman"/>
          <w:sz w:val="24"/>
          <w:szCs w:val="24"/>
        </w:rPr>
      </w:pPr>
      <w:r w:rsidRPr="00034F05">
        <w:rPr>
          <w:rFonts w:ascii="Times New Roman" w:hAnsi="Times New Roman" w:cs="Times New Roman"/>
          <w:sz w:val="24"/>
          <w:szCs w:val="24"/>
        </w:rPr>
        <w:t>Lupi, M., (</w:t>
      </w:r>
      <w:r w:rsidR="00006108" w:rsidRPr="00034F05">
        <w:rPr>
          <w:rFonts w:ascii="Times New Roman" w:hAnsi="Times New Roman" w:cs="Times New Roman"/>
          <w:sz w:val="24"/>
          <w:szCs w:val="24"/>
        </w:rPr>
        <w:t>2026</w:t>
      </w:r>
      <w:r w:rsidRPr="00034F05">
        <w:rPr>
          <w:rFonts w:ascii="Times New Roman" w:hAnsi="Times New Roman" w:cs="Times New Roman"/>
          <w:sz w:val="24"/>
          <w:szCs w:val="24"/>
        </w:rPr>
        <w:t>)</w:t>
      </w:r>
      <w:r w:rsidR="00006108" w:rsidRPr="00034F05">
        <w:rPr>
          <w:rFonts w:ascii="Times New Roman" w:hAnsi="Times New Roman" w:cs="Times New Roman"/>
          <w:sz w:val="24"/>
          <w:szCs w:val="24"/>
        </w:rPr>
        <w:t>. How credit policy ends: Central bankers and the rise and fall of credit controls in Italy, 1973–1983. Contemporary European History, 35, p.e32.</w:t>
      </w:r>
    </w:p>
    <w:p w14:paraId="58A7F834" w14:textId="5FBF1CEB" w:rsidR="00006108" w:rsidRPr="00034F05" w:rsidRDefault="00092805" w:rsidP="006C2C18">
      <w:pPr>
        <w:rPr>
          <w:rFonts w:ascii="Times New Roman" w:hAnsi="Times New Roman" w:cs="Times New Roman"/>
          <w:sz w:val="24"/>
          <w:szCs w:val="24"/>
        </w:rPr>
      </w:pPr>
      <w:r w:rsidRPr="00034F05">
        <w:rPr>
          <w:rFonts w:ascii="Times New Roman" w:hAnsi="Times New Roman" w:cs="Times New Roman"/>
          <w:sz w:val="24"/>
          <w:szCs w:val="24"/>
        </w:rPr>
        <w:t>Lee, C.C. (</w:t>
      </w:r>
      <w:r w:rsidR="00006108" w:rsidRPr="00034F05">
        <w:rPr>
          <w:rFonts w:ascii="Times New Roman" w:hAnsi="Times New Roman" w:cs="Times New Roman"/>
          <w:sz w:val="24"/>
          <w:szCs w:val="24"/>
        </w:rPr>
        <w:t>2014</w:t>
      </w:r>
      <w:r w:rsidRPr="00034F05">
        <w:rPr>
          <w:rFonts w:ascii="Times New Roman" w:hAnsi="Times New Roman" w:cs="Times New Roman"/>
          <w:sz w:val="24"/>
          <w:szCs w:val="24"/>
        </w:rPr>
        <w:t>)</w:t>
      </w:r>
      <w:r w:rsidR="00006108" w:rsidRPr="00034F05">
        <w:rPr>
          <w:rFonts w:ascii="Times New Roman" w:hAnsi="Times New Roman" w:cs="Times New Roman"/>
          <w:sz w:val="24"/>
          <w:szCs w:val="24"/>
        </w:rPr>
        <w:t>. Development and evaluation of the many-to-many supplier negotiation strategy. Computers &amp; Industrial Engineering, 70, pp.90-97.</w:t>
      </w:r>
    </w:p>
    <w:p w14:paraId="403052A2" w14:textId="070679F3" w:rsidR="00960FF1" w:rsidRPr="00034F05" w:rsidRDefault="00960FF1" w:rsidP="006C2C18">
      <w:pPr>
        <w:rPr>
          <w:rFonts w:ascii="Times New Roman" w:hAnsi="Times New Roman" w:cs="Times New Roman"/>
          <w:sz w:val="24"/>
          <w:szCs w:val="24"/>
        </w:rPr>
      </w:pPr>
      <w:r w:rsidRPr="00034F05">
        <w:rPr>
          <w:rFonts w:ascii="Times New Roman" w:hAnsi="Times New Roman" w:cs="Times New Roman"/>
          <w:sz w:val="24"/>
          <w:szCs w:val="24"/>
        </w:rPr>
        <w:t xml:space="preserve">Marcelli, M., Bi, C., </w:t>
      </w:r>
      <w:r w:rsidR="00463F8C" w:rsidRPr="00034F05">
        <w:rPr>
          <w:rFonts w:ascii="Times New Roman" w:hAnsi="Times New Roman" w:cs="Times New Roman"/>
          <w:sz w:val="24"/>
          <w:szCs w:val="24"/>
        </w:rPr>
        <w:t>Funder, J.W. and McPhaul, M.J. (</w:t>
      </w:r>
      <w:r w:rsidRPr="00034F05">
        <w:rPr>
          <w:rFonts w:ascii="Times New Roman" w:hAnsi="Times New Roman" w:cs="Times New Roman"/>
          <w:sz w:val="24"/>
          <w:szCs w:val="24"/>
        </w:rPr>
        <w:t>2024</w:t>
      </w:r>
      <w:r w:rsidR="00463F8C" w:rsidRPr="00034F05">
        <w:rPr>
          <w:rFonts w:ascii="Times New Roman" w:hAnsi="Times New Roman" w:cs="Times New Roman"/>
          <w:sz w:val="24"/>
          <w:szCs w:val="24"/>
        </w:rPr>
        <w:t>)</w:t>
      </w:r>
      <w:r w:rsidRPr="00034F05">
        <w:rPr>
          <w:rFonts w:ascii="Times New Roman" w:hAnsi="Times New Roman" w:cs="Times New Roman"/>
          <w:sz w:val="24"/>
          <w:szCs w:val="24"/>
        </w:rPr>
        <w:t>. Comparing ARR versus suppressed PRA as screening tests for primary aldosteronism. Hypertension, 81(10), pp.2072-2081.</w:t>
      </w:r>
    </w:p>
    <w:p w14:paraId="4EE390C7" w14:textId="730C3220" w:rsidR="007444D8" w:rsidRPr="00034F05" w:rsidRDefault="007444D8" w:rsidP="006C2C18">
      <w:pPr>
        <w:rPr>
          <w:rFonts w:ascii="Times New Roman" w:hAnsi="Times New Roman" w:cs="Times New Roman"/>
          <w:sz w:val="24"/>
          <w:szCs w:val="24"/>
        </w:rPr>
      </w:pPr>
      <w:r w:rsidRPr="00034F05">
        <w:rPr>
          <w:rFonts w:ascii="Times New Roman" w:hAnsi="Times New Roman" w:cs="Times New Roman"/>
          <w:sz w:val="24"/>
          <w:szCs w:val="24"/>
        </w:rPr>
        <w:t>Macas, C.V.M., Aguirre, J.A.E., Arcen</w:t>
      </w:r>
      <w:r w:rsidR="00421D97" w:rsidRPr="00034F05">
        <w:rPr>
          <w:rFonts w:ascii="Times New Roman" w:hAnsi="Times New Roman" w:cs="Times New Roman"/>
          <w:sz w:val="24"/>
          <w:szCs w:val="24"/>
        </w:rPr>
        <w:t>tales-Carrión, R. and Peña, M. (</w:t>
      </w:r>
      <w:r w:rsidRPr="00034F05">
        <w:rPr>
          <w:rFonts w:ascii="Times New Roman" w:hAnsi="Times New Roman" w:cs="Times New Roman"/>
          <w:sz w:val="24"/>
          <w:szCs w:val="24"/>
        </w:rPr>
        <w:t>2021</w:t>
      </w:r>
      <w:r w:rsidR="00421D97" w:rsidRPr="00034F05">
        <w:rPr>
          <w:rFonts w:ascii="Times New Roman" w:hAnsi="Times New Roman" w:cs="Times New Roman"/>
          <w:sz w:val="24"/>
          <w:szCs w:val="24"/>
        </w:rPr>
        <w:t>)</w:t>
      </w:r>
      <w:r w:rsidRPr="00034F05">
        <w:rPr>
          <w:rFonts w:ascii="Times New Roman" w:hAnsi="Times New Roman" w:cs="Times New Roman"/>
          <w:sz w:val="24"/>
          <w:szCs w:val="24"/>
        </w:rPr>
        <w:t xml:space="preserve">, March. Inventory management for retail companies: A literature review and current trends. In 2021 </w:t>
      </w:r>
      <w:proofErr w:type="gramStart"/>
      <w:r w:rsidRPr="00034F05">
        <w:rPr>
          <w:rFonts w:ascii="Times New Roman" w:hAnsi="Times New Roman" w:cs="Times New Roman"/>
          <w:sz w:val="24"/>
          <w:szCs w:val="24"/>
        </w:rPr>
        <w:t>second</w:t>
      </w:r>
      <w:proofErr w:type="gramEnd"/>
      <w:r w:rsidRPr="00034F05">
        <w:rPr>
          <w:rFonts w:ascii="Times New Roman" w:hAnsi="Times New Roman" w:cs="Times New Roman"/>
          <w:sz w:val="24"/>
          <w:szCs w:val="24"/>
        </w:rPr>
        <w:t xml:space="preserve"> international conference on information systems and software technologies (ici2st) (pp. 71-78). IEEE.</w:t>
      </w:r>
    </w:p>
    <w:p w14:paraId="34F29396" w14:textId="3235359D" w:rsidR="00626795" w:rsidRPr="00034F05" w:rsidRDefault="00626795" w:rsidP="006C2C18">
      <w:pPr>
        <w:rPr>
          <w:rFonts w:ascii="Times New Roman" w:hAnsi="Times New Roman" w:cs="Times New Roman"/>
          <w:sz w:val="24"/>
          <w:szCs w:val="24"/>
        </w:rPr>
      </w:pPr>
      <w:r w:rsidRPr="00034F05">
        <w:rPr>
          <w:rFonts w:ascii="Times New Roman" w:hAnsi="Times New Roman" w:cs="Times New Roman"/>
          <w:sz w:val="24"/>
          <w:szCs w:val="24"/>
        </w:rPr>
        <w:t>Malik, M.F., Anua</w:t>
      </w:r>
      <w:r w:rsidR="00F43AAF" w:rsidRPr="00034F05">
        <w:rPr>
          <w:rFonts w:ascii="Times New Roman" w:hAnsi="Times New Roman" w:cs="Times New Roman"/>
          <w:sz w:val="24"/>
          <w:szCs w:val="24"/>
        </w:rPr>
        <w:t>r, M.A., Khan, S. and Khan, F. (</w:t>
      </w:r>
      <w:r w:rsidRPr="00034F05">
        <w:rPr>
          <w:rFonts w:ascii="Times New Roman" w:hAnsi="Times New Roman" w:cs="Times New Roman"/>
          <w:sz w:val="24"/>
          <w:szCs w:val="24"/>
        </w:rPr>
        <w:t>2014</w:t>
      </w:r>
      <w:r w:rsidR="00F43AAF" w:rsidRPr="00034F05">
        <w:rPr>
          <w:rFonts w:ascii="Times New Roman" w:hAnsi="Times New Roman" w:cs="Times New Roman"/>
          <w:sz w:val="24"/>
          <w:szCs w:val="24"/>
        </w:rPr>
        <w:t>)</w:t>
      </w:r>
      <w:r w:rsidRPr="00034F05">
        <w:rPr>
          <w:rFonts w:ascii="Times New Roman" w:hAnsi="Times New Roman" w:cs="Times New Roman"/>
          <w:sz w:val="24"/>
          <w:szCs w:val="24"/>
        </w:rPr>
        <w:t>. Mergers and acquisitions: A conceptual review. International Journal of Accounting and Financial Reporting, 4(2), p.520.</w:t>
      </w:r>
    </w:p>
    <w:p w14:paraId="09A73171" w14:textId="4786FE76" w:rsidR="007D0236" w:rsidRPr="00034F05" w:rsidRDefault="007D0236" w:rsidP="006C2C18">
      <w:pPr>
        <w:rPr>
          <w:rFonts w:ascii="Times New Roman" w:hAnsi="Times New Roman" w:cs="Times New Roman"/>
          <w:sz w:val="24"/>
          <w:szCs w:val="24"/>
        </w:rPr>
      </w:pPr>
      <w:r w:rsidRPr="00034F05">
        <w:rPr>
          <w:rFonts w:ascii="Times New Roman" w:hAnsi="Times New Roman" w:cs="Times New Roman"/>
          <w:sz w:val="24"/>
          <w:szCs w:val="24"/>
        </w:rPr>
        <w:t>Oberholzer, R. and St</w:t>
      </w:r>
      <w:r w:rsidR="00F43AAF" w:rsidRPr="00034F05">
        <w:rPr>
          <w:rFonts w:ascii="Times New Roman" w:hAnsi="Times New Roman" w:cs="Times New Roman"/>
          <w:sz w:val="24"/>
          <w:szCs w:val="24"/>
        </w:rPr>
        <w:t>ack, E.M., (</w:t>
      </w:r>
      <w:r w:rsidRPr="00034F05">
        <w:rPr>
          <w:rFonts w:ascii="Times New Roman" w:hAnsi="Times New Roman" w:cs="Times New Roman"/>
          <w:sz w:val="24"/>
          <w:szCs w:val="24"/>
        </w:rPr>
        <w:t>2014</w:t>
      </w:r>
      <w:r w:rsidR="00F43AAF" w:rsidRPr="00034F05">
        <w:rPr>
          <w:rFonts w:ascii="Times New Roman" w:hAnsi="Times New Roman" w:cs="Times New Roman"/>
          <w:sz w:val="24"/>
          <w:szCs w:val="24"/>
        </w:rPr>
        <w:t>)</w:t>
      </w:r>
      <w:r w:rsidRPr="00034F05">
        <w:rPr>
          <w:rFonts w:ascii="Times New Roman" w:hAnsi="Times New Roman" w:cs="Times New Roman"/>
          <w:sz w:val="24"/>
          <w:szCs w:val="24"/>
        </w:rPr>
        <w:t>. Perceptions of taxation: A comparative study of different population groups in South Africa. Public Relations Review, 40(2), pp.226-239.</w:t>
      </w:r>
    </w:p>
    <w:p w14:paraId="373EE18A" w14:textId="0DDC4C4E" w:rsidR="00C40B53" w:rsidRPr="00034F05" w:rsidRDefault="00C40B53" w:rsidP="006C2C18">
      <w:pPr>
        <w:rPr>
          <w:rFonts w:ascii="Times New Roman" w:hAnsi="Times New Roman" w:cs="Times New Roman"/>
          <w:sz w:val="24"/>
          <w:szCs w:val="24"/>
        </w:rPr>
      </w:pPr>
      <w:proofErr w:type="spellStart"/>
      <w:r w:rsidRPr="00034F05">
        <w:rPr>
          <w:rFonts w:ascii="Times New Roman" w:hAnsi="Times New Roman" w:cs="Times New Roman"/>
          <w:sz w:val="24"/>
          <w:szCs w:val="24"/>
        </w:rPr>
        <w:t>Ponsian</w:t>
      </w:r>
      <w:proofErr w:type="spellEnd"/>
      <w:r w:rsidRPr="00034F05">
        <w:rPr>
          <w:rFonts w:ascii="Times New Roman" w:hAnsi="Times New Roman" w:cs="Times New Roman"/>
          <w:sz w:val="24"/>
          <w:szCs w:val="24"/>
        </w:rPr>
        <w:t xml:space="preserve">, N., </w:t>
      </w:r>
      <w:proofErr w:type="spellStart"/>
      <w:r w:rsidRPr="00034F05">
        <w:rPr>
          <w:rFonts w:ascii="Times New Roman" w:hAnsi="Times New Roman" w:cs="Times New Roman"/>
          <w:sz w:val="24"/>
          <w:szCs w:val="24"/>
        </w:rPr>
        <w:t>Chrispin</w:t>
      </w:r>
      <w:r w:rsidR="008A23D0" w:rsidRPr="00034F05">
        <w:rPr>
          <w:rFonts w:ascii="Times New Roman" w:hAnsi="Times New Roman" w:cs="Times New Roman"/>
          <w:sz w:val="24"/>
          <w:szCs w:val="24"/>
        </w:rPr>
        <w:t>a</w:t>
      </w:r>
      <w:proofErr w:type="spellEnd"/>
      <w:r w:rsidR="008A23D0" w:rsidRPr="00034F05">
        <w:rPr>
          <w:rFonts w:ascii="Times New Roman" w:hAnsi="Times New Roman" w:cs="Times New Roman"/>
          <w:sz w:val="24"/>
          <w:szCs w:val="24"/>
        </w:rPr>
        <w:t xml:space="preserve">, K., Tago, G. and </w:t>
      </w:r>
      <w:proofErr w:type="spellStart"/>
      <w:r w:rsidR="008A23D0" w:rsidRPr="00034F05">
        <w:rPr>
          <w:rFonts w:ascii="Times New Roman" w:hAnsi="Times New Roman" w:cs="Times New Roman"/>
          <w:sz w:val="24"/>
          <w:szCs w:val="24"/>
        </w:rPr>
        <w:t>Mkiibi</w:t>
      </w:r>
      <w:proofErr w:type="spellEnd"/>
      <w:r w:rsidR="008A23D0" w:rsidRPr="00034F05">
        <w:rPr>
          <w:rFonts w:ascii="Times New Roman" w:hAnsi="Times New Roman" w:cs="Times New Roman"/>
          <w:sz w:val="24"/>
          <w:szCs w:val="24"/>
        </w:rPr>
        <w:t>, H. (</w:t>
      </w:r>
      <w:r w:rsidRPr="00034F05">
        <w:rPr>
          <w:rFonts w:ascii="Times New Roman" w:hAnsi="Times New Roman" w:cs="Times New Roman"/>
          <w:sz w:val="24"/>
          <w:szCs w:val="24"/>
        </w:rPr>
        <w:t>2014</w:t>
      </w:r>
      <w:r w:rsidR="008A23D0" w:rsidRPr="00034F05">
        <w:rPr>
          <w:rFonts w:ascii="Times New Roman" w:hAnsi="Times New Roman" w:cs="Times New Roman"/>
          <w:sz w:val="24"/>
          <w:szCs w:val="24"/>
        </w:rPr>
        <w:t>)</w:t>
      </w:r>
      <w:r w:rsidRPr="00034F05">
        <w:rPr>
          <w:rFonts w:ascii="Times New Roman" w:hAnsi="Times New Roman" w:cs="Times New Roman"/>
          <w:sz w:val="24"/>
          <w:szCs w:val="24"/>
        </w:rPr>
        <w:t>. The effect of working capital management on profitability. International Journal of Economics, Finance and Management Sciences, 2(6), pp.347-355.</w:t>
      </w:r>
    </w:p>
    <w:p w14:paraId="0B028BFF" w14:textId="09298373" w:rsidR="00C40B53" w:rsidRPr="00034F05" w:rsidRDefault="0088799C" w:rsidP="006C2C18">
      <w:pPr>
        <w:rPr>
          <w:rFonts w:ascii="Times New Roman" w:hAnsi="Times New Roman" w:cs="Times New Roman"/>
          <w:sz w:val="24"/>
          <w:szCs w:val="24"/>
        </w:rPr>
      </w:pPr>
      <w:r w:rsidRPr="00034F05">
        <w:rPr>
          <w:rFonts w:ascii="Times New Roman" w:hAnsi="Times New Roman" w:cs="Times New Roman"/>
          <w:sz w:val="24"/>
          <w:szCs w:val="24"/>
        </w:rPr>
        <w:t>Prasad, P., Narayanasamy, S., Paul, S., Chatt</w:t>
      </w:r>
      <w:r w:rsidR="002E735C" w:rsidRPr="00034F05">
        <w:rPr>
          <w:rFonts w:ascii="Times New Roman" w:hAnsi="Times New Roman" w:cs="Times New Roman"/>
          <w:sz w:val="24"/>
          <w:szCs w:val="24"/>
        </w:rPr>
        <w:t>opadhyay, S. and Saravanan, P. (</w:t>
      </w:r>
      <w:r w:rsidRPr="00034F05">
        <w:rPr>
          <w:rFonts w:ascii="Times New Roman" w:hAnsi="Times New Roman" w:cs="Times New Roman"/>
          <w:sz w:val="24"/>
          <w:szCs w:val="24"/>
        </w:rPr>
        <w:t>2019</w:t>
      </w:r>
      <w:r w:rsidR="002E735C" w:rsidRPr="00034F05">
        <w:rPr>
          <w:rFonts w:ascii="Times New Roman" w:hAnsi="Times New Roman" w:cs="Times New Roman"/>
          <w:sz w:val="24"/>
          <w:szCs w:val="24"/>
        </w:rPr>
        <w:t>)</w:t>
      </w:r>
      <w:r w:rsidRPr="00034F05">
        <w:rPr>
          <w:rFonts w:ascii="Times New Roman" w:hAnsi="Times New Roman" w:cs="Times New Roman"/>
          <w:sz w:val="24"/>
          <w:szCs w:val="24"/>
        </w:rPr>
        <w:t>. Review of literature on working capital management and future research agenda. Journal of Economic Surveys, 33(3), pp.827-861.</w:t>
      </w:r>
    </w:p>
    <w:p w14:paraId="1E02CD96" w14:textId="6C5F9128" w:rsidR="0088799C" w:rsidRPr="00034F05" w:rsidRDefault="00626795" w:rsidP="006C2C18">
      <w:pPr>
        <w:rPr>
          <w:rFonts w:ascii="Times New Roman" w:hAnsi="Times New Roman" w:cs="Times New Roman"/>
          <w:sz w:val="24"/>
          <w:szCs w:val="24"/>
        </w:rPr>
      </w:pPr>
      <w:r w:rsidRPr="00034F05">
        <w:rPr>
          <w:rFonts w:ascii="Times New Roman" w:hAnsi="Times New Roman" w:cs="Times New Roman"/>
          <w:sz w:val="24"/>
          <w:szCs w:val="24"/>
        </w:rPr>
        <w:t xml:space="preserve">Schlingemann, F.P., </w:t>
      </w:r>
      <w:r w:rsidR="002E735C" w:rsidRPr="00034F05">
        <w:rPr>
          <w:rFonts w:ascii="Times New Roman" w:hAnsi="Times New Roman" w:cs="Times New Roman"/>
          <w:sz w:val="24"/>
          <w:szCs w:val="24"/>
        </w:rPr>
        <w:t>Stulz, R.M. and Walkling, R.A. (</w:t>
      </w:r>
      <w:r w:rsidRPr="00034F05">
        <w:rPr>
          <w:rFonts w:ascii="Times New Roman" w:hAnsi="Times New Roman" w:cs="Times New Roman"/>
          <w:sz w:val="24"/>
          <w:szCs w:val="24"/>
        </w:rPr>
        <w:t>2002</w:t>
      </w:r>
      <w:r w:rsidR="002E735C" w:rsidRPr="00034F05">
        <w:rPr>
          <w:rFonts w:ascii="Times New Roman" w:hAnsi="Times New Roman" w:cs="Times New Roman"/>
          <w:sz w:val="24"/>
          <w:szCs w:val="24"/>
        </w:rPr>
        <w:t>)</w:t>
      </w:r>
      <w:r w:rsidRPr="00034F05">
        <w:rPr>
          <w:rFonts w:ascii="Times New Roman" w:hAnsi="Times New Roman" w:cs="Times New Roman"/>
          <w:sz w:val="24"/>
          <w:szCs w:val="24"/>
        </w:rPr>
        <w:t>. Divestitures and the liquidity of the market for corporate assets. Journal of financial Economics, 64(1), pp.117-144.</w:t>
      </w:r>
    </w:p>
    <w:p w14:paraId="64066456" w14:textId="175C6624" w:rsidR="00960FF1" w:rsidRPr="00034F05" w:rsidRDefault="00C66FF8" w:rsidP="006C2C18">
      <w:pPr>
        <w:rPr>
          <w:rFonts w:ascii="Times New Roman" w:hAnsi="Times New Roman" w:cs="Times New Roman"/>
          <w:sz w:val="24"/>
          <w:szCs w:val="24"/>
        </w:rPr>
      </w:pPr>
      <w:r w:rsidRPr="00034F05">
        <w:rPr>
          <w:rFonts w:ascii="Times New Roman" w:hAnsi="Times New Roman" w:cs="Times New Roman"/>
          <w:sz w:val="24"/>
          <w:szCs w:val="24"/>
        </w:rPr>
        <w:t>Shou, T. (</w:t>
      </w:r>
      <w:r w:rsidR="00960FF1" w:rsidRPr="00034F05">
        <w:rPr>
          <w:rFonts w:ascii="Times New Roman" w:hAnsi="Times New Roman" w:cs="Times New Roman"/>
          <w:sz w:val="24"/>
          <w:szCs w:val="24"/>
        </w:rPr>
        <w:t>2022</w:t>
      </w:r>
      <w:r w:rsidRPr="00034F05">
        <w:rPr>
          <w:rFonts w:ascii="Times New Roman" w:hAnsi="Times New Roman" w:cs="Times New Roman"/>
          <w:sz w:val="24"/>
          <w:szCs w:val="24"/>
        </w:rPr>
        <w:t>)</w:t>
      </w:r>
      <w:r w:rsidR="00960FF1" w:rsidRPr="00034F05">
        <w:rPr>
          <w:rFonts w:ascii="Times New Roman" w:hAnsi="Times New Roman" w:cs="Times New Roman"/>
          <w:sz w:val="24"/>
          <w:szCs w:val="24"/>
        </w:rPr>
        <w:t>, July. A literature review on the net present value (NPV) valuation method. In 2022 2nd International Conference on Enterprise Management and Economic Development (ICEMED 2022) (pp. 826-830). Atlantis Press.</w:t>
      </w:r>
    </w:p>
    <w:p w14:paraId="1878E9C2" w14:textId="7E24A87E" w:rsidR="00520280" w:rsidRPr="00034F05" w:rsidRDefault="00520280" w:rsidP="006C2C18">
      <w:pPr>
        <w:rPr>
          <w:rFonts w:ascii="Times New Roman" w:hAnsi="Times New Roman" w:cs="Times New Roman"/>
          <w:sz w:val="24"/>
          <w:szCs w:val="24"/>
        </w:rPr>
      </w:pPr>
      <w:proofErr w:type="spellStart"/>
      <w:r w:rsidRPr="00034F05">
        <w:rPr>
          <w:rFonts w:ascii="Times New Roman" w:hAnsi="Times New Roman" w:cs="Times New Roman"/>
          <w:sz w:val="24"/>
          <w:szCs w:val="24"/>
        </w:rPr>
        <w:t>SnowFlake</w:t>
      </w:r>
      <w:proofErr w:type="spellEnd"/>
      <w:r w:rsidRPr="00034F05">
        <w:rPr>
          <w:rFonts w:ascii="Times New Roman" w:hAnsi="Times New Roman" w:cs="Times New Roman"/>
          <w:sz w:val="24"/>
          <w:szCs w:val="24"/>
        </w:rPr>
        <w:t xml:space="preserve"> (2026). What Is Trend Analysis? How to </w:t>
      </w:r>
      <w:proofErr w:type="spellStart"/>
      <w:r w:rsidRPr="00034F05">
        <w:rPr>
          <w:rFonts w:ascii="Times New Roman" w:hAnsi="Times New Roman" w:cs="Times New Roman"/>
          <w:sz w:val="24"/>
          <w:szCs w:val="24"/>
        </w:rPr>
        <w:t>Analyze</w:t>
      </w:r>
      <w:proofErr w:type="spellEnd"/>
      <w:r w:rsidRPr="00034F05">
        <w:rPr>
          <w:rFonts w:ascii="Times New Roman" w:hAnsi="Times New Roman" w:cs="Times New Roman"/>
          <w:sz w:val="24"/>
          <w:szCs w:val="24"/>
        </w:rPr>
        <w:t xml:space="preserve"> Trends Step by Step | Snowflake. [online] Snowflake.com. Available at: </w:t>
      </w:r>
      <w:hyperlink r:id="rId14" w:history="1">
        <w:r w:rsidRPr="00034F05">
          <w:rPr>
            <w:rStyle w:val="Hyperlink"/>
            <w:rFonts w:ascii="Times New Roman" w:hAnsi="Times New Roman" w:cs="Times New Roman"/>
            <w:sz w:val="24"/>
            <w:szCs w:val="24"/>
          </w:rPr>
          <w:t>https://www.snowflake.com/en/fundamentals/trend-analysis/</w:t>
        </w:r>
      </w:hyperlink>
      <w:r w:rsidRPr="00034F05">
        <w:rPr>
          <w:rFonts w:ascii="Times New Roman" w:hAnsi="Times New Roman" w:cs="Times New Roman"/>
          <w:sz w:val="24"/>
          <w:szCs w:val="24"/>
        </w:rPr>
        <w:t>.</w:t>
      </w:r>
    </w:p>
    <w:p w14:paraId="027D3F2F" w14:textId="77777777" w:rsidR="00520280" w:rsidRPr="00034F05" w:rsidRDefault="00520280" w:rsidP="006C2C18">
      <w:pPr>
        <w:rPr>
          <w:rFonts w:ascii="Times New Roman" w:hAnsi="Times New Roman" w:cs="Times New Roman"/>
          <w:sz w:val="24"/>
          <w:szCs w:val="24"/>
        </w:rPr>
      </w:pPr>
      <w:r w:rsidRPr="00034F05">
        <w:rPr>
          <w:rFonts w:ascii="Times New Roman" w:hAnsi="Times New Roman" w:cs="Times New Roman"/>
          <w:sz w:val="24"/>
          <w:szCs w:val="24"/>
        </w:rPr>
        <w:lastRenderedPageBreak/>
        <w:t>Yahoo Finance (2013). Hyundai Motor Company. [online] Available at: https://finance.yahoo.com/quote/005385.KS/history/?frequency=1mo&amp;period1=1618892826&amp;period2=1776659113 [Accessed 2024].</w:t>
      </w:r>
    </w:p>
    <w:p w14:paraId="00848949" w14:textId="3E39D1A1" w:rsidR="00960FF1" w:rsidRPr="00034F05" w:rsidRDefault="0055719E" w:rsidP="006C2C18">
      <w:pPr>
        <w:rPr>
          <w:rFonts w:ascii="Times New Roman" w:hAnsi="Times New Roman" w:cs="Times New Roman"/>
          <w:sz w:val="24"/>
          <w:szCs w:val="24"/>
        </w:rPr>
      </w:pPr>
      <w:r w:rsidRPr="00034F05">
        <w:rPr>
          <w:rFonts w:ascii="Times New Roman" w:hAnsi="Times New Roman" w:cs="Times New Roman"/>
          <w:sz w:val="24"/>
          <w:szCs w:val="24"/>
        </w:rPr>
        <w:t>Yan, R. and Zhang, Y. (</w:t>
      </w:r>
      <w:r w:rsidR="00960FF1" w:rsidRPr="00034F05">
        <w:rPr>
          <w:rFonts w:ascii="Times New Roman" w:hAnsi="Times New Roman" w:cs="Times New Roman"/>
          <w:sz w:val="24"/>
          <w:szCs w:val="24"/>
        </w:rPr>
        <w:t>2022</w:t>
      </w:r>
      <w:r w:rsidRPr="00034F05">
        <w:rPr>
          <w:rFonts w:ascii="Times New Roman" w:hAnsi="Times New Roman" w:cs="Times New Roman"/>
          <w:sz w:val="24"/>
          <w:szCs w:val="24"/>
        </w:rPr>
        <w:t>)</w:t>
      </w:r>
      <w:r w:rsidR="00960FF1" w:rsidRPr="00034F05">
        <w:rPr>
          <w:rFonts w:ascii="Times New Roman" w:hAnsi="Times New Roman" w:cs="Times New Roman"/>
          <w:sz w:val="24"/>
          <w:szCs w:val="24"/>
        </w:rPr>
        <w:t>, March. The Introduction of NPV and IRR. In 2022 7th International Conference on Financial Innovation and Economic Development (ICFIED 2022) (pp. 1472-1476). Atlantis Press.</w:t>
      </w:r>
    </w:p>
    <w:p w14:paraId="106A8470" w14:textId="7BBE9313" w:rsidR="00626795" w:rsidRPr="00034F05" w:rsidRDefault="007D0236" w:rsidP="006C2C18">
      <w:pPr>
        <w:rPr>
          <w:rFonts w:ascii="Times New Roman" w:hAnsi="Times New Roman" w:cs="Times New Roman"/>
          <w:sz w:val="24"/>
          <w:szCs w:val="24"/>
        </w:rPr>
      </w:pPr>
      <w:r w:rsidRPr="00034F05">
        <w:rPr>
          <w:rFonts w:ascii="Times New Roman" w:hAnsi="Times New Roman" w:cs="Times New Roman"/>
          <w:sz w:val="24"/>
          <w:szCs w:val="24"/>
        </w:rPr>
        <w:t>Yu,</w:t>
      </w:r>
      <w:r w:rsidR="0055719E" w:rsidRPr="00034F05">
        <w:rPr>
          <w:rFonts w:ascii="Times New Roman" w:hAnsi="Times New Roman" w:cs="Times New Roman"/>
          <w:sz w:val="24"/>
          <w:szCs w:val="24"/>
        </w:rPr>
        <w:t xml:space="preserve"> K., </w:t>
      </w:r>
      <w:proofErr w:type="spellStart"/>
      <w:r w:rsidR="0055719E" w:rsidRPr="00034F05">
        <w:rPr>
          <w:rFonts w:ascii="Times New Roman" w:hAnsi="Times New Roman" w:cs="Times New Roman"/>
          <w:sz w:val="24"/>
          <w:szCs w:val="24"/>
        </w:rPr>
        <w:t>Cadeaux</w:t>
      </w:r>
      <w:proofErr w:type="spellEnd"/>
      <w:r w:rsidR="0055719E" w:rsidRPr="00034F05">
        <w:rPr>
          <w:rFonts w:ascii="Times New Roman" w:hAnsi="Times New Roman" w:cs="Times New Roman"/>
          <w:sz w:val="24"/>
          <w:szCs w:val="24"/>
        </w:rPr>
        <w:t>, J. and Luo, B.N. (</w:t>
      </w:r>
      <w:r w:rsidRPr="00034F05">
        <w:rPr>
          <w:rFonts w:ascii="Times New Roman" w:hAnsi="Times New Roman" w:cs="Times New Roman"/>
          <w:sz w:val="24"/>
          <w:szCs w:val="24"/>
        </w:rPr>
        <w:t>2015</w:t>
      </w:r>
      <w:r w:rsidR="0055719E" w:rsidRPr="00034F05">
        <w:rPr>
          <w:rFonts w:ascii="Times New Roman" w:hAnsi="Times New Roman" w:cs="Times New Roman"/>
          <w:sz w:val="24"/>
          <w:szCs w:val="24"/>
        </w:rPr>
        <w:t>)</w:t>
      </w:r>
      <w:r w:rsidRPr="00034F05">
        <w:rPr>
          <w:rFonts w:ascii="Times New Roman" w:hAnsi="Times New Roman" w:cs="Times New Roman"/>
          <w:sz w:val="24"/>
          <w:szCs w:val="24"/>
        </w:rPr>
        <w:t>. Operational flexibility: Review and meta-analysis. International Journal of Production Economics, 169, pp.190-202.</w:t>
      </w:r>
    </w:p>
    <w:p w14:paraId="664CE313" w14:textId="77777777" w:rsidR="002A7906" w:rsidRPr="00034F05" w:rsidRDefault="002A7906" w:rsidP="006C2C18">
      <w:pPr>
        <w:rPr>
          <w:rFonts w:ascii="Times New Roman" w:hAnsi="Times New Roman" w:cs="Times New Roman"/>
          <w:sz w:val="24"/>
          <w:szCs w:val="24"/>
        </w:rPr>
      </w:pPr>
    </w:p>
    <w:p w14:paraId="38FBBBA7" w14:textId="77777777" w:rsidR="002A7906" w:rsidRPr="00034F05" w:rsidRDefault="002A7906" w:rsidP="006C2C18">
      <w:pPr>
        <w:rPr>
          <w:rFonts w:ascii="Times New Roman" w:hAnsi="Times New Roman" w:cs="Times New Roman"/>
          <w:sz w:val="24"/>
          <w:szCs w:val="24"/>
        </w:rPr>
      </w:pPr>
    </w:p>
    <w:p w14:paraId="2F090BBE" w14:textId="77777777" w:rsidR="002A7906" w:rsidRPr="00034F05" w:rsidRDefault="002A7906" w:rsidP="006C2C18">
      <w:pPr>
        <w:rPr>
          <w:rFonts w:ascii="Times New Roman" w:hAnsi="Times New Roman" w:cs="Times New Roman"/>
          <w:sz w:val="24"/>
          <w:szCs w:val="24"/>
        </w:rPr>
      </w:pPr>
    </w:p>
    <w:p w14:paraId="6828A466" w14:textId="77777777" w:rsidR="002A7906" w:rsidRPr="00034F05" w:rsidRDefault="002A7906" w:rsidP="006C2C18">
      <w:pPr>
        <w:rPr>
          <w:rFonts w:ascii="Times New Roman" w:hAnsi="Times New Roman" w:cs="Times New Roman"/>
          <w:sz w:val="24"/>
          <w:szCs w:val="24"/>
        </w:rPr>
      </w:pPr>
    </w:p>
    <w:p w14:paraId="4AC2EF13" w14:textId="77777777" w:rsidR="002A7906" w:rsidRPr="00034F05" w:rsidRDefault="002A7906" w:rsidP="006C2C18">
      <w:pPr>
        <w:rPr>
          <w:rFonts w:ascii="Times New Roman" w:hAnsi="Times New Roman" w:cs="Times New Roman"/>
          <w:sz w:val="24"/>
          <w:szCs w:val="24"/>
        </w:rPr>
      </w:pPr>
    </w:p>
    <w:p w14:paraId="4B7B39FC" w14:textId="77777777" w:rsidR="00520280" w:rsidRPr="00034F05" w:rsidRDefault="00520280" w:rsidP="006C2C18">
      <w:pPr>
        <w:rPr>
          <w:rFonts w:ascii="Times New Roman" w:hAnsi="Times New Roman" w:cs="Times New Roman"/>
          <w:sz w:val="24"/>
          <w:szCs w:val="24"/>
        </w:rPr>
      </w:pPr>
    </w:p>
    <w:p w14:paraId="437093D6" w14:textId="77777777" w:rsidR="00520280" w:rsidRPr="00034F05" w:rsidRDefault="00520280" w:rsidP="006C2C18">
      <w:pPr>
        <w:rPr>
          <w:rFonts w:ascii="Times New Roman" w:hAnsi="Times New Roman" w:cs="Times New Roman"/>
          <w:sz w:val="24"/>
          <w:szCs w:val="24"/>
        </w:rPr>
      </w:pPr>
    </w:p>
    <w:p w14:paraId="612FDC16" w14:textId="77777777" w:rsidR="00520280" w:rsidRPr="00034F05" w:rsidRDefault="00520280" w:rsidP="006C2C18">
      <w:pPr>
        <w:rPr>
          <w:rFonts w:ascii="Times New Roman" w:hAnsi="Times New Roman" w:cs="Times New Roman"/>
          <w:sz w:val="24"/>
          <w:szCs w:val="24"/>
        </w:rPr>
      </w:pPr>
    </w:p>
    <w:p w14:paraId="1EA47D40" w14:textId="77777777" w:rsidR="00520280" w:rsidRPr="00034F05" w:rsidRDefault="00520280" w:rsidP="006C2C18">
      <w:pPr>
        <w:rPr>
          <w:rFonts w:ascii="Times New Roman" w:hAnsi="Times New Roman" w:cs="Times New Roman"/>
          <w:sz w:val="24"/>
          <w:szCs w:val="24"/>
        </w:rPr>
      </w:pPr>
    </w:p>
    <w:p w14:paraId="05B500D7" w14:textId="77777777" w:rsidR="00520280" w:rsidRPr="00034F05" w:rsidRDefault="00520280" w:rsidP="006C2C18">
      <w:pPr>
        <w:rPr>
          <w:rFonts w:ascii="Times New Roman" w:hAnsi="Times New Roman" w:cs="Times New Roman"/>
          <w:sz w:val="24"/>
          <w:szCs w:val="24"/>
        </w:rPr>
      </w:pPr>
    </w:p>
    <w:p w14:paraId="3ED5C2EF" w14:textId="77777777" w:rsidR="00520280" w:rsidRPr="00034F05" w:rsidRDefault="00520280" w:rsidP="006C2C18">
      <w:pPr>
        <w:rPr>
          <w:rFonts w:ascii="Times New Roman" w:hAnsi="Times New Roman" w:cs="Times New Roman"/>
          <w:sz w:val="24"/>
          <w:szCs w:val="24"/>
        </w:rPr>
      </w:pPr>
    </w:p>
    <w:p w14:paraId="19393E45" w14:textId="77777777" w:rsidR="00520280" w:rsidRPr="00034F05" w:rsidRDefault="00520280" w:rsidP="006C2C18">
      <w:pPr>
        <w:rPr>
          <w:rFonts w:ascii="Times New Roman" w:hAnsi="Times New Roman" w:cs="Times New Roman"/>
          <w:sz w:val="24"/>
          <w:szCs w:val="24"/>
        </w:rPr>
      </w:pPr>
    </w:p>
    <w:p w14:paraId="30D394BF" w14:textId="77777777" w:rsidR="00520280" w:rsidRPr="00034F05" w:rsidRDefault="00520280" w:rsidP="006C2C18">
      <w:pPr>
        <w:rPr>
          <w:rFonts w:ascii="Times New Roman" w:hAnsi="Times New Roman" w:cs="Times New Roman"/>
          <w:sz w:val="24"/>
          <w:szCs w:val="24"/>
        </w:rPr>
      </w:pPr>
    </w:p>
    <w:p w14:paraId="1663188C" w14:textId="77777777" w:rsidR="00520280" w:rsidRPr="00034F05" w:rsidRDefault="00520280" w:rsidP="006C2C18">
      <w:pPr>
        <w:rPr>
          <w:rFonts w:ascii="Times New Roman" w:hAnsi="Times New Roman" w:cs="Times New Roman"/>
          <w:sz w:val="24"/>
          <w:szCs w:val="24"/>
        </w:rPr>
      </w:pPr>
    </w:p>
    <w:p w14:paraId="1E44B9A9" w14:textId="77777777" w:rsidR="00520280" w:rsidRPr="00034F05" w:rsidRDefault="00520280" w:rsidP="006C2C18">
      <w:pPr>
        <w:rPr>
          <w:rFonts w:ascii="Times New Roman" w:hAnsi="Times New Roman" w:cs="Times New Roman"/>
          <w:sz w:val="24"/>
          <w:szCs w:val="24"/>
        </w:rPr>
      </w:pPr>
    </w:p>
    <w:p w14:paraId="28943BD6" w14:textId="77777777" w:rsidR="00520280" w:rsidRPr="00034F05" w:rsidRDefault="00520280" w:rsidP="006C2C18">
      <w:pPr>
        <w:rPr>
          <w:rFonts w:ascii="Times New Roman" w:hAnsi="Times New Roman" w:cs="Times New Roman"/>
          <w:sz w:val="24"/>
          <w:szCs w:val="24"/>
        </w:rPr>
      </w:pPr>
    </w:p>
    <w:p w14:paraId="71EC89FA" w14:textId="77777777" w:rsidR="00520280" w:rsidRPr="00034F05" w:rsidRDefault="00520280" w:rsidP="006C2C18">
      <w:pPr>
        <w:rPr>
          <w:rFonts w:ascii="Times New Roman" w:hAnsi="Times New Roman" w:cs="Times New Roman"/>
          <w:sz w:val="24"/>
          <w:szCs w:val="24"/>
        </w:rPr>
      </w:pPr>
    </w:p>
    <w:p w14:paraId="4300D9E9" w14:textId="77777777" w:rsidR="00520280" w:rsidRPr="00034F05" w:rsidRDefault="00520280" w:rsidP="006C2C18">
      <w:pPr>
        <w:rPr>
          <w:rFonts w:ascii="Times New Roman" w:hAnsi="Times New Roman" w:cs="Times New Roman"/>
          <w:sz w:val="24"/>
          <w:szCs w:val="24"/>
        </w:rPr>
      </w:pPr>
    </w:p>
    <w:p w14:paraId="37EC3F23" w14:textId="77777777" w:rsidR="00520280" w:rsidRPr="00034F05" w:rsidRDefault="00520280" w:rsidP="006C2C18">
      <w:pPr>
        <w:rPr>
          <w:rFonts w:ascii="Times New Roman" w:hAnsi="Times New Roman" w:cs="Times New Roman"/>
          <w:sz w:val="24"/>
          <w:szCs w:val="24"/>
        </w:rPr>
      </w:pPr>
    </w:p>
    <w:p w14:paraId="75B257D5" w14:textId="77777777" w:rsidR="00520280" w:rsidRPr="00034F05" w:rsidRDefault="00520280" w:rsidP="006C2C18">
      <w:pPr>
        <w:rPr>
          <w:rFonts w:ascii="Times New Roman" w:hAnsi="Times New Roman" w:cs="Times New Roman"/>
          <w:sz w:val="24"/>
          <w:szCs w:val="24"/>
        </w:rPr>
      </w:pPr>
    </w:p>
    <w:p w14:paraId="1DD7BF13" w14:textId="77777777" w:rsidR="00520280" w:rsidRPr="00034F05" w:rsidRDefault="00520280" w:rsidP="006C2C18">
      <w:pPr>
        <w:rPr>
          <w:rFonts w:ascii="Times New Roman" w:hAnsi="Times New Roman" w:cs="Times New Roman"/>
          <w:sz w:val="24"/>
          <w:szCs w:val="24"/>
        </w:rPr>
      </w:pPr>
    </w:p>
    <w:p w14:paraId="30AD3403" w14:textId="68AD6132" w:rsidR="002A7906" w:rsidRPr="00034F05" w:rsidRDefault="002A7906" w:rsidP="002A7906">
      <w:pPr>
        <w:pStyle w:val="Heading1"/>
        <w:rPr>
          <w:rFonts w:cs="Times New Roman"/>
        </w:rPr>
      </w:pPr>
      <w:bookmarkStart w:id="50" w:name="_Toc227925000"/>
      <w:r w:rsidRPr="00034F05">
        <w:rPr>
          <w:rFonts w:cs="Times New Roman"/>
        </w:rPr>
        <w:lastRenderedPageBreak/>
        <w:t>Appendi</w:t>
      </w:r>
      <w:r w:rsidR="00034F05" w:rsidRPr="00034F05">
        <w:rPr>
          <w:rFonts w:cs="Times New Roman"/>
        </w:rPr>
        <w:t>ces</w:t>
      </w:r>
      <w:bookmarkEnd w:id="50"/>
    </w:p>
    <w:p w14:paraId="77FCC15F" w14:textId="6A37761F" w:rsidR="002A7906" w:rsidRPr="00034F05" w:rsidRDefault="002A7906" w:rsidP="00034F05">
      <w:pPr>
        <w:pStyle w:val="Heading2"/>
        <w:rPr>
          <w:rFonts w:cs="Times New Roman"/>
        </w:rPr>
      </w:pPr>
      <w:bookmarkStart w:id="51" w:name="_Toc227925001"/>
      <w:r w:rsidRPr="00034F05">
        <w:rPr>
          <w:rFonts w:cs="Times New Roman"/>
        </w:rPr>
        <w:t>Appendix A:</w:t>
      </w:r>
      <w:r w:rsidR="00034F05" w:rsidRPr="00034F05">
        <w:rPr>
          <w:rFonts w:cs="Times New Roman"/>
        </w:rPr>
        <w:t xml:space="preserve"> Profitability Ratios</w:t>
      </w:r>
      <w:bookmarkEnd w:id="51"/>
    </w:p>
    <w:tbl>
      <w:tblPr>
        <w:tblStyle w:val="GridTable4-Accent1"/>
        <w:tblW w:w="10418" w:type="dxa"/>
        <w:tblLook w:val="04A0" w:firstRow="1" w:lastRow="0" w:firstColumn="1" w:lastColumn="0" w:noHBand="0" w:noVBand="1"/>
      </w:tblPr>
      <w:tblGrid>
        <w:gridCol w:w="3060"/>
        <w:gridCol w:w="2883"/>
        <w:gridCol w:w="895"/>
        <w:gridCol w:w="895"/>
        <w:gridCol w:w="895"/>
        <w:gridCol w:w="895"/>
        <w:gridCol w:w="895"/>
      </w:tblGrid>
      <w:tr w:rsidR="002A7906" w:rsidRPr="00034F05" w14:paraId="7E4C6401" w14:textId="77777777" w:rsidTr="002A7906">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3060" w:type="dxa"/>
            <w:noWrap/>
            <w:hideMark/>
          </w:tcPr>
          <w:p w14:paraId="6D70FA37" w14:textId="3FCD8F59" w:rsidR="002A7906" w:rsidRPr="00034F05" w:rsidRDefault="002A7906" w:rsidP="002A7906">
            <w:pPr>
              <w:rPr>
                <w:rFonts w:ascii="Times New Roman" w:eastAsia="Times New Roman" w:hAnsi="Times New Roman" w:cs="Times New Roman"/>
                <w:color w:val="000000"/>
                <w:kern w:val="0"/>
                <w:sz w:val="32"/>
                <w:szCs w:val="32"/>
                <w:lang w:eastAsia="en-GB"/>
                <w14:ligatures w14:val="none"/>
              </w:rPr>
            </w:pPr>
            <w:r w:rsidRPr="00034F05">
              <w:rPr>
                <w:rFonts w:ascii="Times New Roman" w:eastAsia="Times New Roman" w:hAnsi="Times New Roman" w:cs="Times New Roman"/>
                <w:color w:val="000000"/>
                <w:kern w:val="0"/>
                <w:sz w:val="32"/>
                <w:szCs w:val="32"/>
                <w:lang w:eastAsia="en-GB"/>
                <w14:ligatures w14:val="none"/>
              </w:rPr>
              <w:t>Profitability ratios</w:t>
            </w:r>
          </w:p>
        </w:tc>
        <w:tc>
          <w:tcPr>
            <w:tcW w:w="2883" w:type="dxa"/>
            <w:noWrap/>
            <w:hideMark/>
          </w:tcPr>
          <w:p w14:paraId="223BF762" w14:textId="77777777" w:rsidR="002A7906" w:rsidRPr="00034F05" w:rsidRDefault="002A7906" w:rsidP="002A79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32"/>
                <w:szCs w:val="32"/>
                <w:lang w:eastAsia="en-GB"/>
                <w14:ligatures w14:val="none"/>
              </w:rPr>
            </w:pPr>
          </w:p>
        </w:tc>
        <w:tc>
          <w:tcPr>
            <w:tcW w:w="895" w:type="dxa"/>
            <w:noWrap/>
            <w:hideMark/>
          </w:tcPr>
          <w:p w14:paraId="718E378D" w14:textId="77777777" w:rsidR="002A7906" w:rsidRPr="00034F05" w:rsidRDefault="002A7906" w:rsidP="002A79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895" w:type="dxa"/>
            <w:noWrap/>
            <w:hideMark/>
          </w:tcPr>
          <w:p w14:paraId="77F60AF7" w14:textId="77777777" w:rsidR="002A7906" w:rsidRPr="00034F05" w:rsidRDefault="002A7906" w:rsidP="002A79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895" w:type="dxa"/>
            <w:noWrap/>
            <w:hideMark/>
          </w:tcPr>
          <w:p w14:paraId="350F918E" w14:textId="77777777" w:rsidR="002A7906" w:rsidRPr="00034F05" w:rsidRDefault="002A7906" w:rsidP="002A79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895" w:type="dxa"/>
            <w:noWrap/>
            <w:hideMark/>
          </w:tcPr>
          <w:p w14:paraId="314FB6C0" w14:textId="77777777" w:rsidR="002A7906" w:rsidRPr="00034F05" w:rsidRDefault="002A7906" w:rsidP="002A79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c>
          <w:tcPr>
            <w:tcW w:w="895" w:type="dxa"/>
            <w:noWrap/>
            <w:hideMark/>
          </w:tcPr>
          <w:p w14:paraId="5A22A623" w14:textId="77777777" w:rsidR="002A7906" w:rsidRPr="00034F05" w:rsidRDefault="002A7906" w:rsidP="002A790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tc>
      </w:tr>
      <w:tr w:rsidR="002A7906" w:rsidRPr="00034F05" w14:paraId="715FCAC0" w14:textId="77777777" w:rsidTr="002A790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060" w:type="dxa"/>
            <w:noWrap/>
            <w:hideMark/>
          </w:tcPr>
          <w:p w14:paraId="53A56BA7"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 </w:t>
            </w:r>
          </w:p>
        </w:tc>
        <w:tc>
          <w:tcPr>
            <w:tcW w:w="2883" w:type="dxa"/>
            <w:hideMark/>
          </w:tcPr>
          <w:p w14:paraId="0C1FD816"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sz w:val="24"/>
                <w:szCs w:val="24"/>
                <w:lang w:eastAsia="en-GB"/>
                <w14:ligatures w14:val="none"/>
              </w:rPr>
            </w:pPr>
            <w:r w:rsidRPr="00034F05">
              <w:rPr>
                <w:rFonts w:ascii="Times New Roman" w:eastAsia="Times New Roman" w:hAnsi="Times New Roman" w:cs="Times New Roman"/>
                <w:b/>
                <w:bCs/>
                <w:color w:val="000000"/>
                <w:kern w:val="0"/>
                <w:sz w:val="24"/>
                <w:szCs w:val="24"/>
                <w:lang w:eastAsia="en-GB"/>
                <w14:ligatures w14:val="none"/>
              </w:rPr>
              <w:t>Formulas</w:t>
            </w:r>
          </w:p>
        </w:tc>
        <w:tc>
          <w:tcPr>
            <w:tcW w:w="895" w:type="dxa"/>
            <w:noWrap/>
            <w:hideMark/>
          </w:tcPr>
          <w:p w14:paraId="3CB1857B"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2025</w:t>
            </w:r>
          </w:p>
        </w:tc>
        <w:tc>
          <w:tcPr>
            <w:tcW w:w="895" w:type="dxa"/>
            <w:noWrap/>
            <w:hideMark/>
          </w:tcPr>
          <w:p w14:paraId="015A9016"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2024</w:t>
            </w:r>
          </w:p>
        </w:tc>
        <w:tc>
          <w:tcPr>
            <w:tcW w:w="895" w:type="dxa"/>
            <w:noWrap/>
            <w:hideMark/>
          </w:tcPr>
          <w:p w14:paraId="0A564BA6"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2023</w:t>
            </w:r>
          </w:p>
        </w:tc>
        <w:tc>
          <w:tcPr>
            <w:tcW w:w="895" w:type="dxa"/>
            <w:noWrap/>
            <w:hideMark/>
          </w:tcPr>
          <w:p w14:paraId="2BA0E6DD"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2022</w:t>
            </w:r>
          </w:p>
        </w:tc>
        <w:tc>
          <w:tcPr>
            <w:tcW w:w="895" w:type="dxa"/>
            <w:noWrap/>
            <w:hideMark/>
          </w:tcPr>
          <w:p w14:paraId="56C57D2B"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2021</w:t>
            </w:r>
          </w:p>
        </w:tc>
      </w:tr>
      <w:tr w:rsidR="002A7906" w:rsidRPr="00034F05" w14:paraId="210D7C8B" w14:textId="77777777" w:rsidTr="002A7906">
        <w:trPr>
          <w:trHeight w:val="444"/>
        </w:trPr>
        <w:tc>
          <w:tcPr>
            <w:cnfStyle w:val="001000000000" w:firstRow="0" w:lastRow="0" w:firstColumn="1" w:lastColumn="0" w:oddVBand="0" w:evenVBand="0" w:oddHBand="0" w:evenHBand="0" w:firstRowFirstColumn="0" w:firstRowLastColumn="0" w:lastRowFirstColumn="0" w:lastRowLastColumn="0"/>
            <w:tcW w:w="3060" w:type="dxa"/>
            <w:noWrap/>
            <w:hideMark/>
          </w:tcPr>
          <w:p w14:paraId="02F20E1B"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Gross margin ratio</w:t>
            </w:r>
          </w:p>
        </w:tc>
        <w:tc>
          <w:tcPr>
            <w:tcW w:w="2883" w:type="dxa"/>
            <w:hideMark/>
          </w:tcPr>
          <w:p w14:paraId="1B13DA15"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Gross Profit/Net revenue</w:t>
            </w:r>
          </w:p>
        </w:tc>
        <w:tc>
          <w:tcPr>
            <w:tcW w:w="895" w:type="dxa"/>
            <w:hideMark/>
          </w:tcPr>
          <w:p w14:paraId="63A21AEA"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18.37%</w:t>
            </w:r>
          </w:p>
        </w:tc>
        <w:tc>
          <w:tcPr>
            <w:tcW w:w="895" w:type="dxa"/>
            <w:hideMark/>
          </w:tcPr>
          <w:p w14:paraId="5CEF7832"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20.40%</w:t>
            </w:r>
          </w:p>
        </w:tc>
        <w:tc>
          <w:tcPr>
            <w:tcW w:w="895" w:type="dxa"/>
            <w:hideMark/>
          </w:tcPr>
          <w:p w14:paraId="69E2F34C"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20.58%</w:t>
            </w:r>
          </w:p>
        </w:tc>
        <w:tc>
          <w:tcPr>
            <w:tcW w:w="895" w:type="dxa"/>
            <w:hideMark/>
          </w:tcPr>
          <w:p w14:paraId="429CA258"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19.84%</w:t>
            </w:r>
          </w:p>
        </w:tc>
        <w:tc>
          <w:tcPr>
            <w:tcW w:w="895" w:type="dxa"/>
            <w:hideMark/>
          </w:tcPr>
          <w:p w14:paraId="0E0CEDDA"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18.65%</w:t>
            </w:r>
          </w:p>
        </w:tc>
      </w:tr>
      <w:tr w:rsidR="002A7906" w:rsidRPr="00034F05" w14:paraId="32DE8075" w14:textId="77777777" w:rsidTr="002A790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060" w:type="dxa"/>
            <w:noWrap/>
            <w:hideMark/>
          </w:tcPr>
          <w:p w14:paraId="1D6FAAC1"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Net profit margin ratio</w:t>
            </w:r>
          </w:p>
        </w:tc>
        <w:tc>
          <w:tcPr>
            <w:tcW w:w="2883" w:type="dxa"/>
            <w:hideMark/>
          </w:tcPr>
          <w:p w14:paraId="5FF661D0"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Net income/Net revenue</w:t>
            </w:r>
          </w:p>
        </w:tc>
        <w:tc>
          <w:tcPr>
            <w:tcW w:w="895" w:type="dxa"/>
            <w:hideMark/>
          </w:tcPr>
          <w:p w14:paraId="0A134F25"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5.56%</w:t>
            </w:r>
          </w:p>
        </w:tc>
        <w:tc>
          <w:tcPr>
            <w:tcW w:w="895" w:type="dxa"/>
            <w:hideMark/>
          </w:tcPr>
          <w:p w14:paraId="21CFE51B"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7.55%</w:t>
            </w:r>
          </w:p>
        </w:tc>
        <w:tc>
          <w:tcPr>
            <w:tcW w:w="895" w:type="dxa"/>
            <w:hideMark/>
          </w:tcPr>
          <w:p w14:paraId="3F950C28"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7.54%</w:t>
            </w:r>
          </w:p>
        </w:tc>
        <w:tc>
          <w:tcPr>
            <w:tcW w:w="895" w:type="dxa"/>
            <w:hideMark/>
          </w:tcPr>
          <w:p w14:paraId="54004215"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5.60%</w:t>
            </w:r>
          </w:p>
        </w:tc>
        <w:tc>
          <w:tcPr>
            <w:tcW w:w="895" w:type="dxa"/>
            <w:hideMark/>
          </w:tcPr>
          <w:p w14:paraId="28F3FA85"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4.84%</w:t>
            </w:r>
          </w:p>
        </w:tc>
      </w:tr>
      <w:tr w:rsidR="002A7906" w:rsidRPr="00034F05" w14:paraId="77D1FCD0" w14:textId="77777777" w:rsidTr="002A7906">
        <w:trPr>
          <w:trHeight w:val="444"/>
        </w:trPr>
        <w:tc>
          <w:tcPr>
            <w:cnfStyle w:val="001000000000" w:firstRow="0" w:lastRow="0" w:firstColumn="1" w:lastColumn="0" w:oddVBand="0" w:evenVBand="0" w:oddHBand="0" w:evenHBand="0" w:firstRowFirstColumn="0" w:firstRowLastColumn="0" w:lastRowFirstColumn="0" w:lastRowLastColumn="0"/>
            <w:tcW w:w="3060" w:type="dxa"/>
            <w:noWrap/>
            <w:hideMark/>
          </w:tcPr>
          <w:p w14:paraId="1CF2CE90"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Return on assets ratio</w:t>
            </w:r>
          </w:p>
        </w:tc>
        <w:tc>
          <w:tcPr>
            <w:tcW w:w="2883" w:type="dxa"/>
            <w:hideMark/>
          </w:tcPr>
          <w:p w14:paraId="29EB3DC9"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Net profit /Assets</w:t>
            </w:r>
          </w:p>
        </w:tc>
        <w:tc>
          <w:tcPr>
            <w:tcW w:w="895" w:type="dxa"/>
            <w:hideMark/>
          </w:tcPr>
          <w:p w14:paraId="40AE08D5"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2.81%</w:t>
            </w:r>
          </w:p>
        </w:tc>
        <w:tc>
          <w:tcPr>
            <w:tcW w:w="895" w:type="dxa"/>
            <w:hideMark/>
          </w:tcPr>
          <w:p w14:paraId="6F95B1C9"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3.89%</w:t>
            </w:r>
          </w:p>
        </w:tc>
        <w:tc>
          <w:tcPr>
            <w:tcW w:w="895" w:type="dxa"/>
            <w:hideMark/>
          </w:tcPr>
          <w:p w14:paraId="5CD26720"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4.35%</w:t>
            </w:r>
          </w:p>
        </w:tc>
        <w:tc>
          <w:tcPr>
            <w:tcW w:w="895" w:type="dxa"/>
            <w:hideMark/>
          </w:tcPr>
          <w:p w14:paraId="0ECB2140"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3.12%</w:t>
            </w:r>
          </w:p>
        </w:tc>
        <w:tc>
          <w:tcPr>
            <w:tcW w:w="895" w:type="dxa"/>
            <w:hideMark/>
          </w:tcPr>
          <w:p w14:paraId="21C759EF"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2.43%</w:t>
            </w:r>
          </w:p>
        </w:tc>
      </w:tr>
      <w:tr w:rsidR="002A7906" w:rsidRPr="00034F05" w14:paraId="56703239" w14:textId="77777777" w:rsidTr="002A790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060" w:type="dxa"/>
            <w:noWrap/>
            <w:hideMark/>
          </w:tcPr>
          <w:p w14:paraId="4DDCB358"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Return on Equity ratio</w:t>
            </w:r>
          </w:p>
        </w:tc>
        <w:tc>
          <w:tcPr>
            <w:tcW w:w="2883" w:type="dxa"/>
            <w:hideMark/>
          </w:tcPr>
          <w:p w14:paraId="26D91382"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EAIT/Total equity*100</w:t>
            </w:r>
          </w:p>
        </w:tc>
        <w:tc>
          <w:tcPr>
            <w:tcW w:w="895" w:type="dxa"/>
            <w:hideMark/>
          </w:tcPr>
          <w:p w14:paraId="70CE2236"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8.12%</w:t>
            </w:r>
          </w:p>
        </w:tc>
        <w:tc>
          <w:tcPr>
            <w:tcW w:w="895" w:type="dxa"/>
            <w:hideMark/>
          </w:tcPr>
          <w:p w14:paraId="2F037677"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11.00%</w:t>
            </w:r>
          </w:p>
        </w:tc>
        <w:tc>
          <w:tcPr>
            <w:tcW w:w="895" w:type="dxa"/>
            <w:hideMark/>
          </w:tcPr>
          <w:p w14:paraId="32E48F05"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12.05%</w:t>
            </w:r>
          </w:p>
        </w:tc>
        <w:tc>
          <w:tcPr>
            <w:tcW w:w="895" w:type="dxa"/>
            <w:hideMark/>
          </w:tcPr>
          <w:p w14:paraId="054F79DA"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8.78%</w:t>
            </w:r>
          </w:p>
        </w:tc>
        <w:tc>
          <w:tcPr>
            <w:tcW w:w="895" w:type="dxa"/>
            <w:hideMark/>
          </w:tcPr>
          <w:p w14:paraId="55025B2A"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6.89%</w:t>
            </w:r>
          </w:p>
        </w:tc>
      </w:tr>
    </w:tbl>
    <w:p w14:paraId="0A81421F" w14:textId="77777777" w:rsidR="002A7906" w:rsidRPr="00034F05" w:rsidRDefault="002A7906" w:rsidP="006C2C18">
      <w:pPr>
        <w:rPr>
          <w:rFonts w:ascii="Times New Roman" w:hAnsi="Times New Roman" w:cs="Times New Roman"/>
          <w:sz w:val="24"/>
          <w:szCs w:val="24"/>
        </w:rPr>
      </w:pPr>
    </w:p>
    <w:p w14:paraId="3C9A7428" w14:textId="769E87CF" w:rsidR="00160626" w:rsidRPr="00034F05" w:rsidRDefault="00160626" w:rsidP="00160626">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drawing>
          <wp:inline distT="0" distB="0" distL="0" distR="0" wp14:anchorId="64404D74" wp14:editId="1A13E7CF">
            <wp:extent cx="5524809" cy="3139440"/>
            <wp:effectExtent l="0" t="0" r="0" b="3810"/>
            <wp:docPr id="165392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9009" cy="3141827"/>
                    </a:xfrm>
                    <a:prstGeom prst="rect">
                      <a:avLst/>
                    </a:prstGeom>
                    <a:noFill/>
                  </pic:spPr>
                </pic:pic>
              </a:graphicData>
            </a:graphic>
          </wp:inline>
        </w:drawing>
      </w:r>
    </w:p>
    <w:p w14:paraId="27E0AAB3" w14:textId="0AF3209D" w:rsidR="002A7906" w:rsidRPr="00034F05" w:rsidRDefault="002A7906" w:rsidP="006C2C18">
      <w:pPr>
        <w:rPr>
          <w:rFonts w:ascii="Times New Roman" w:hAnsi="Times New Roman" w:cs="Times New Roman"/>
          <w:sz w:val="24"/>
          <w:szCs w:val="24"/>
        </w:rPr>
      </w:pPr>
    </w:p>
    <w:p w14:paraId="2C36D651" w14:textId="4DCEAAD7"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5BC851B2" w14:textId="27F9C7D0" w:rsidR="002A7906" w:rsidRPr="00034F05" w:rsidRDefault="002A7906" w:rsidP="00034F05">
      <w:pPr>
        <w:pStyle w:val="Heading2"/>
        <w:rPr>
          <w:rFonts w:cs="Times New Roman"/>
        </w:rPr>
      </w:pPr>
      <w:bookmarkStart w:id="52" w:name="_Toc227925002"/>
      <w:r w:rsidRPr="00034F05">
        <w:rPr>
          <w:rFonts w:cs="Times New Roman"/>
        </w:rPr>
        <w:lastRenderedPageBreak/>
        <w:t>Appendix B:</w:t>
      </w:r>
      <w:r w:rsidR="00034F05" w:rsidRPr="00034F05">
        <w:rPr>
          <w:rFonts w:cs="Times New Roman"/>
        </w:rPr>
        <w:t xml:space="preserve"> Liquidity Ratios</w:t>
      </w:r>
      <w:bookmarkEnd w:id="52"/>
    </w:p>
    <w:tbl>
      <w:tblPr>
        <w:tblStyle w:val="GridTable4-Accent1"/>
        <w:tblW w:w="10262" w:type="dxa"/>
        <w:tblLook w:val="04A0" w:firstRow="1" w:lastRow="0" w:firstColumn="1" w:lastColumn="0" w:noHBand="0" w:noVBand="1"/>
      </w:tblPr>
      <w:tblGrid>
        <w:gridCol w:w="2785"/>
        <w:gridCol w:w="3805"/>
        <w:gridCol w:w="750"/>
        <w:gridCol w:w="750"/>
        <w:gridCol w:w="750"/>
        <w:gridCol w:w="750"/>
        <w:gridCol w:w="672"/>
      </w:tblGrid>
      <w:tr w:rsidR="002A7906" w:rsidRPr="00034F05" w14:paraId="20C99EB8" w14:textId="77777777" w:rsidTr="002A7906">
        <w:trPr>
          <w:cnfStyle w:val="100000000000" w:firstRow="1" w:lastRow="0" w:firstColumn="0" w:lastColumn="0" w:oddVBand="0" w:evenVBand="0" w:oddHBand="0"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785" w:type="dxa"/>
            <w:noWrap/>
            <w:hideMark/>
          </w:tcPr>
          <w:p w14:paraId="5C7793AB" w14:textId="77777777" w:rsidR="002A7906" w:rsidRPr="00034F05" w:rsidRDefault="002A7906" w:rsidP="002A7906">
            <w:pPr>
              <w:rPr>
                <w:rFonts w:ascii="Times New Roman" w:eastAsia="Times New Roman" w:hAnsi="Times New Roman" w:cs="Times New Roman"/>
                <w:color w:val="000000"/>
                <w:kern w:val="0"/>
                <w:sz w:val="32"/>
                <w:szCs w:val="32"/>
                <w:lang w:eastAsia="en-GB"/>
                <w14:ligatures w14:val="none"/>
              </w:rPr>
            </w:pPr>
            <w:r w:rsidRPr="00034F05">
              <w:rPr>
                <w:rFonts w:ascii="Times New Roman" w:eastAsia="Times New Roman" w:hAnsi="Times New Roman" w:cs="Times New Roman"/>
                <w:color w:val="000000"/>
                <w:kern w:val="0"/>
                <w:sz w:val="32"/>
                <w:szCs w:val="32"/>
                <w:lang w:eastAsia="en-GB"/>
                <w14:ligatures w14:val="none"/>
              </w:rPr>
              <w:t>Liquidity ratios</w:t>
            </w:r>
          </w:p>
        </w:tc>
        <w:tc>
          <w:tcPr>
            <w:tcW w:w="3805" w:type="dxa"/>
            <w:hideMark/>
          </w:tcPr>
          <w:p w14:paraId="7268F3EA"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Formulas</w:t>
            </w:r>
          </w:p>
        </w:tc>
        <w:tc>
          <w:tcPr>
            <w:tcW w:w="750" w:type="dxa"/>
            <w:noWrap/>
            <w:hideMark/>
          </w:tcPr>
          <w:p w14:paraId="3F624E52"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2025</w:t>
            </w:r>
          </w:p>
        </w:tc>
        <w:tc>
          <w:tcPr>
            <w:tcW w:w="750" w:type="dxa"/>
            <w:noWrap/>
            <w:hideMark/>
          </w:tcPr>
          <w:p w14:paraId="39637270"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2024</w:t>
            </w:r>
          </w:p>
        </w:tc>
        <w:tc>
          <w:tcPr>
            <w:tcW w:w="750" w:type="dxa"/>
            <w:noWrap/>
            <w:hideMark/>
          </w:tcPr>
          <w:p w14:paraId="3729F394"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2023</w:t>
            </w:r>
          </w:p>
        </w:tc>
        <w:tc>
          <w:tcPr>
            <w:tcW w:w="750" w:type="dxa"/>
            <w:noWrap/>
            <w:hideMark/>
          </w:tcPr>
          <w:p w14:paraId="5F7233C7"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2022</w:t>
            </w:r>
          </w:p>
        </w:tc>
        <w:tc>
          <w:tcPr>
            <w:tcW w:w="672" w:type="dxa"/>
            <w:noWrap/>
            <w:hideMark/>
          </w:tcPr>
          <w:p w14:paraId="3B395048"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2021</w:t>
            </w:r>
          </w:p>
        </w:tc>
      </w:tr>
      <w:tr w:rsidR="002A7906" w:rsidRPr="00034F05" w14:paraId="79634B7C" w14:textId="77777777" w:rsidTr="002A7906">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2785" w:type="dxa"/>
            <w:noWrap/>
            <w:hideMark/>
          </w:tcPr>
          <w:p w14:paraId="71DAB409" w14:textId="77777777" w:rsidR="002A7906" w:rsidRPr="00034F05" w:rsidRDefault="002A7906" w:rsidP="002A7906">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3805" w:type="dxa"/>
            <w:hideMark/>
          </w:tcPr>
          <w:p w14:paraId="6E39AA23"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50" w:type="dxa"/>
            <w:noWrap/>
            <w:hideMark/>
          </w:tcPr>
          <w:p w14:paraId="3540FE12"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50" w:type="dxa"/>
            <w:noWrap/>
            <w:hideMark/>
          </w:tcPr>
          <w:p w14:paraId="195FCE09"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50" w:type="dxa"/>
            <w:noWrap/>
            <w:hideMark/>
          </w:tcPr>
          <w:p w14:paraId="0B6FEC6A"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50" w:type="dxa"/>
            <w:noWrap/>
            <w:hideMark/>
          </w:tcPr>
          <w:p w14:paraId="5FCD5A60"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672" w:type="dxa"/>
            <w:noWrap/>
            <w:hideMark/>
          </w:tcPr>
          <w:p w14:paraId="6410F3BB"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r>
      <w:tr w:rsidR="002A7906" w:rsidRPr="00034F05" w14:paraId="4D2952CA" w14:textId="77777777" w:rsidTr="002A7906">
        <w:trPr>
          <w:trHeight w:val="668"/>
        </w:trPr>
        <w:tc>
          <w:tcPr>
            <w:cnfStyle w:val="001000000000" w:firstRow="0" w:lastRow="0" w:firstColumn="1" w:lastColumn="0" w:oddVBand="0" w:evenVBand="0" w:oddHBand="0" w:evenHBand="0" w:firstRowFirstColumn="0" w:firstRowLastColumn="0" w:lastRowFirstColumn="0" w:lastRowLastColumn="0"/>
            <w:tcW w:w="2785" w:type="dxa"/>
            <w:noWrap/>
            <w:hideMark/>
          </w:tcPr>
          <w:p w14:paraId="7153CC3B"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Current ratio</w:t>
            </w:r>
          </w:p>
        </w:tc>
        <w:tc>
          <w:tcPr>
            <w:tcW w:w="3805" w:type="dxa"/>
            <w:hideMark/>
          </w:tcPr>
          <w:p w14:paraId="36CEDAC3"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Current assets/Current liabilities</w:t>
            </w:r>
          </w:p>
        </w:tc>
        <w:tc>
          <w:tcPr>
            <w:tcW w:w="750" w:type="dxa"/>
            <w:hideMark/>
          </w:tcPr>
          <w:p w14:paraId="38AB30E6"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1.36</w:t>
            </w:r>
          </w:p>
        </w:tc>
        <w:tc>
          <w:tcPr>
            <w:tcW w:w="750" w:type="dxa"/>
            <w:hideMark/>
          </w:tcPr>
          <w:p w14:paraId="1A7FBB07"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1.46</w:t>
            </w:r>
          </w:p>
        </w:tc>
        <w:tc>
          <w:tcPr>
            <w:tcW w:w="750" w:type="dxa"/>
            <w:hideMark/>
          </w:tcPr>
          <w:p w14:paraId="3136BC5B"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1.39</w:t>
            </w:r>
          </w:p>
        </w:tc>
        <w:tc>
          <w:tcPr>
            <w:tcW w:w="750" w:type="dxa"/>
            <w:hideMark/>
          </w:tcPr>
          <w:p w14:paraId="1BE4CD79"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1.3</w:t>
            </w:r>
          </w:p>
        </w:tc>
        <w:tc>
          <w:tcPr>
            <w:tcW w:w="672" w:type="dxa"/>
            <w:hideMark/>
          </w:tcPr>
          <w:p w14:paraId="33AB4957"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1.38</w:t>
            </w:r>
          </w:p>
        </w:tc>
      </w:tr>
      <w:tr w:rsidR="002A7906" w:rsidRPr="00034F05" w14:paraId="01F8388E" w14:textId="77777777" w:rsidTr="002A7906">
        <w:trPr>
          <w:cnfStyle w:val="000000100000" w:firstRow="0" w:lastRow="0" w:firstColumn="0" w:lastColumn="0" w:oddVBand="0" w:evenVBand="0" w:oddHBand="1"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2785" w:type="dxa"/>
            <w:noWrap/>
            <w:hideMark/>
          </w:tcPr>
          <w:p w14:paraId="4559F476"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Quick Ratio</w:t>
            </w:r>
          </w:p>
        </w:tc>
        <w:tc>
          <w:tcPr>
            <w:tcW w:w="3805" w:type="dxa"/>
            <w:hideMark/>
          </w:tcPr>
          <w:p w14:paraId="27042DFB"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(current asset-Inventory)/Current liabilities</w:t>
            </w:r>
          </w:p>
        </w:tc>
        <w:tc>
          <w:tcPr>
            <w:tcW w:w="750" w:type="dxa"/>
            <w:hideMark/>
          </w:tcPr>
          <w:p w14:paraId="6664CB3A"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1.12</w:t>
            </w:r>
          </w:p>
        </w:tc>
        <w:tc>
          <w:tcPr>
            <w:tcW w:w="750" w:type="dxa"/>
            <w:hideMark/>
          </w:tcPr>
          <w:p w14:paraId="43D55021"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1.21</w:t>
            </w:r>
          </w:p>
        </w:tc>
        <w:tc>
          <w:tcPr>
            <w:tcW w:w="750" w:type="dxa"/>
            <w:hideMark/>
          </w:tcPr>
          <w:p w14:paraId="696FD695"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1.15</w:t>
            </w:r>
          </w:p>
        </w:tc>
        <w:tc>
          <w:tcPr>
            <w:tcW w:w="750" w:type="dxa"/>
            <w:hideMark/>
          </w:tcPr>
          <w:p w14:paraId="0287EEBF"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1.11</w:t>
            </w:r>
          </w:p>
        </w:tc>
        <w:tc>
          <w:tcPr>
            <w:tcW w:w="672" w:type="dxa"/>
            <w:hideMark/>
          </w:tcPr>
          <w:p w14:paraId="33DEB5FB"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1.2</w:t>
            </w:r>
          </w:p>
        </w:tc>
      </w:tr>
    </w:tbl>
    <w:p w14:paraId="2B3A55B4" w14:textId="77777777" w:rsidR="002A7906" w:rsidRPr="00034F05" w:rsidRDefault="002A7906" w:rsidP="006C2C18">
      <w:pPr>
        <w:rPr>
          <w:rFonts w:ascii="Times New Roman" w:hAnsi="Times New Roman" w:cs="Times New Roman"/>
          <w:sz w:val="24"/>
          <w:szCs w:val="24"/>
        </w:rPr>
      </w:pPr>
    </w:p>
    <w:p w14:paraId="69EE0C1D" w14:textId="2C2E59B7" w:rsidR="00D80F94" w:rsidRPr="00034F05" w:rsidRDefault="00D80F94" w:rsidP="00D80F94">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drawing>
          <wp:inline distT="0" distB="0" distL="0" distR="0" wp14:anchorId="5FB745F2" wp14:editId="2A6FDC26">
            <wp:extent cx="5138748" cy="3086100"/>
            <wp:effectExtent l="0" t="0" r="5080" b="0"/>
            <wp:docPr id="1888358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690" cy="3089068"/>
                    </a:xfrm>
                    <a:prstGeom prst="rect">
                      <a:avLst/>
                    </a:prstGeom>
                    <a:noFill/>
                  </pic:spPr>
                </pic:pic>
              </a:graphicData>
            </a:graphic>
          </wp:inline>
        </w:drawing>
      </w:r>
    </w:p>
    <w:p w14:paraId="64A83771" w14:textId="4A8B4CCF" w:rsidR="00160626" w:rsidRPr="00034F05" w:rsidRDefault="00160626" w:rsidP="00D80F94">
      <w:pPr>
        <w:rPr>
          <w:rFonts w:ascii="Times New Roman" w:hAnsi="Times New Roman" w:cs="Times New Roman"/>
          <w:sz w:val="24"/>
          <w:szCs w:val="24"/>
        </w:rPr>
      </w:pPr>
    </w:p>
    <w:p w14:paraId="5D0E7471" w14:textId="030E1E61"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79EF819C" w14:textId="2FFBFF6B" w:rsidR="002A7906" w:rsidRPr="00034F05" w:rsidRDefault="002A7906" w:rsidP="00034F05">
      <w:pPr>
        <w:pStyle w:val="Heading2"/>
        <w:rPr>
          <w:rFonts w:cs="Times New Roman"/>
        </w:rPr>
      </w:pPr>
      <w:bookmarkStart w:id="53" w:name="_Toc227925003"/>
      <w:r w:rsidRPr="00034F05">
        <w:rPr>
          <w:rFonts w:cs="Times New Roman"/>
        </w:rPr>
        <w:lastRenderedPageBreak/>
        <w:t>Appendix C:</w:t>
      </w:r>
      <w:r w:rsidR="00034F05" w:rsidRPr="00034F05">
        <w:rPr>
          <w:rFonts w:cs="Times New Roman"/>
        </w:rPr>
        <w:t xml:space="preserve"> Efficiency Ratios</w:t>
      </w:r>
      <w:bookmarkEnd w:id="53"/>
    </w:p>
    <w:tbl>
      <w:tblPr>
        <w:tblStyle w:val="GridTable4-Accent1"/>
        <w:tblW w:w="10218" w:type="dxa"/>
        <w:tblLook w:val="04A0" w:firstRow="1" w:lastRow="0" w:firstColumn="1" w:lastColumn="0" w:noHBand="0" w:noVBand="1"/>
      </w:tblPr>
      <w:tblGrid>
        <w:gridCol w:w="2605"/>
        <w:gridCol w:w="3914"/>
        <w:gridCol w:w="747"/>
        <w:gridCol w:w="747"/>
        <w:gridCol w:w="747"/>
        <w:gridCol w:w="747"/>
        <w:gridCol w:w="711"/>
      </w:tblGrid>
      <w:tr w:rsidR="002A7906" w:rsidRPr="00034F05" w14:paraId="5A35E25B" w14:textId="77777777" w:rsidTr="002A7906">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2605" w:type="dxa"/>
            <w:noWrap/>
            <w:hideMark/>
          </w:tcPr>
          <w:p w14:paraId="2FDD2073" w14:textId="77777777" w:rsidR="002A7906" w:rsidRPr="00034F05" w:rsidRDefault="002A7906" w:rsidP="002A7906">
            <w:pPr>
              <w:rPr>
                <w:rFonts w:ascii="Times New Roman" w:eastAsia="Times New Roman" w:hAnsi="Times New Roman" w:cs="Times New Roman"/>
                <w:color w:val="000000"/>
                <w:kern w:val="0"/>
                <w:sz w:val="32"/>
                <w:szCs w:val="32"/>
                <w:lang w:eastAsia="en-GB"/>
                <w14:ligatures w14:val="none"/>
              </w:rPr>
            </w:pPr>
            <w:r w:rsidRPr="00034F05">
              <w:rPr>
                <w:rFonts w:ascii="Times New Roman" w:eastAsia="Times New Roman" w:hAnsi="Times New Roman" w:cs="Times New Roman"/>
                <w:color w:val="000000"/>
                <w:kern w:val="0"/>
                <w:sz w:val="32"/>
                <w:szCs w:val="32"/>
                <w:lang w:eastAsia="en-GB"/>
                <w14:ligatures w14:val="none"/>
              </w:rPr>
              <w:t>Efficiency ratio</w:t>
            </w:r>
          </w:p>
        </w:tc>
        <w:tc>
          <w:tcPr>
            <w:tcW w:w="3914" w:type="dxa"/>
            <w:hideMark/>
          </w:tcPr>
          <w:p w14:paraId="5132B47E"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Formulas</w:t>
            </w:r>
          </w:p>
        </w:tc>
        <w:tc>
          <w:tcPr>
            <w:tcW w:w="747" w:type="dxa"/>
            <w:noWrap/>
            <w:hideMark/>
          </w:tcPr>
          <w:p w14:paraId="21432203"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2025</w:t>
            </w:r>
          </w:p>
        </w:tc>
        <w:tc>
          <w:tcPr>
            <w:tcW w:w="747" w:type="dxa"/>
            <w:noWrap/>
            <w:hideMark/>
          </w:tcPr>
          <w:p w14:paraId="277C9792"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2024</w:t>
            </w:r>
          </w:p>
        </w:tc>
        <w:tc>
          <w:tcPr>
            <w:tcW w:w="747" w:type="dxa"/>
            <w:noWrap/>
            <w:hideMark/>
          </w:tcPr>
          <w:p w14:paraId="71CF84A4"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2023</w:t>
            </w:r>
          </w:p>
        </w:tc>
        <w:tc>
          <w:tcPr>
            <w:tcW w:w="747" w:type="dxa"/>
            <w:noWrap/>
            <w:hideMark/>
          </w:tcPr>
          <w:p w14:paraId="41208828"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2022</w:t>
            </w:r>
          </w:p>
        </w:tc>
        <w:tc>
          <w:tcPr>
            <w:tcW w:w="711" w:type="dxa"/>
            <w:noWrap/>
            <w:hideMark/>
          </w:tcPr>
          <w:p w14:paraId="181434AF"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2021</w:t>
            </w:r>
          </w:p>
        </w:tc>
      </w:tr>
      <w:tr w:rsidR="002A7906" w:rsidRPr="00034F05" w14:paraId="4E9E90E6" w14:textId="77777777" w:rsidTr="002A7906">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605" w:type="dxa"/>
            <w:noWrap/>
            <w:hideMark/>
          </w:tcPr>
          <w:p w14:paraId="6039B385" w14:textId="77777777" w:rsidR="002A7906" w:rsidRPr="00034F05" w:rsidRDefault="002A7906" w:rsidP="002A7906">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3914" w:type="dxa"/>
            <w:hideMark/>
          </w:tcPr>
          <w:p w14:paraId="20A8D5D4"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47" w:type="dxa"/>
            <w:noWrap/>
            <w:hideMark/>
          </w:tcPr>
          <w:p w14:paraId="081FD7B2"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47" w:type="dxa"/>
            <w:noWrap/>
            <w:hideMark/>
          </w:tcPr>
          <w:p w14:paraId="48A28B8D"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47" w:type="dxa"/>
            <w:noWrap/>
            <w:hideMark/>
          </w:tcPr>
          <w:p w14:paraId="1ED0696E"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47" w:type="dxa"/>
            <w:noWrap/>
            <w:hideMark/>
          </w:tcPr>
          <w:p w14:paraId="3C696632"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11" w:type="dxa"/>
            <w:noWrap/>
            <w:hideMark/>
          </w:tcPr>
          <w:p w14:paraId="32825FB6"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r>
      <w:tr w:rsidR="002A7906" w:rsidRPr="00034F05" w14:paraId="22A50361" w14:textId="77777777" w:rsidTr="002A7906">
        <w:trPr>
          <w:trHeight w:val="446"/>
        </w:trPr>
        <w:tc>
          <w:tcPr>
            <w:cnfStyle w:val="001000000000" w:firstRow="0" w:lastRow="0" w:firstColumn="1" w:lastColumn="0" w:oddVBand="0" w:evenVBand="0" w:oddHBand="0" w:evenHBand="0" w:firstRowFirstColumn="0" w:firstRowLastColumn="0" w:lastRowFirstColumn="0" w:lastRowLastColumn="0"/>
            <w:tcW w:w="2605" w:type="dxa"/>
            <w:noWrap/>
            <w:hideMark/>
          </w:tcPr>
          <w:p w14:paraId="3429A1D8" w14:textId="2E4C3A3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Inventory Turnover Ratio</w:t>
            </w:r>
          </w:p>
        </w:tc>
        <w:tc>
          <w:tcPr>
            <w:tcW w:w="3914" w:type="dxa"/>
            <w:hideMark/>
          </w:tcPr>
          <w:p w14:paraId="3C32B096"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CGS/Inventory</w:t>
            </w:r>
          </w:p>
        </w:tc>
        <w:tc>
          <w:tcPr>
            <w:tcW w:w="747" w:type="dxa"/>
            <w:hideMark/>
          </w:tcPr>
          <w:p w14:paraId="7FAD5184"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9.01</w:t>
            </w:r>
          </w:p>
        </w:tc>
        <w:tc>
          <w:tcPr>
            <w:tcW w:w="747" w:type="dxa"/>
            <w:hideMark/>
          </w:tcPr>
          <w:p w14:paraId="371D2BCA"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8.85</w:t>
            </w:r>
          </w:p>
        </w:tc>
        <w:tc>
          <w:tcPr>
            <w:tcW w:w="747" w:type="dxa"/>
            <w:hideMark/>
          </w:tcPr>
          <w:p w14:paraId="7525C184"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9.35</w:t>
            </w:r>
          </w:p>
        </w:tc>
        <w:tc>
          <w:tcPr>
            <w:tcW w:w="747" w:type="dxa"/>
            <w:hideMark/>
          </w:tcPr>
          <w:p w14:paraId="447DDCB0"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9.97</w:t>
            </w:r>
          </w:p>
        </w:tc>
        <w:tc>
          <w:tcPr>
            <w:tcW w:w="711" w:type="dxa"/>
            <w:hideMark/>
          </w:tcPr>
          <w:p w14:paraId="2B882FF8"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10.1</w:t>
            </w:r>
          </w:p>
        </w:tc>
      </w:tr>
      <w:tr w:rsidR="002A7906" w:rsidRPr="00034F05" w14:paraId="16988F81" w14:textId="77777777" w:rsidTr="002A7906">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605" w:type="dxa"/>
            <w:noWrap/>
            <w:hideMark/>
          </w:tcPr>
          <w:p w14:paraId="2F7F6240"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Account receivable turnover ratio</w:t>
            </w:r>
          </w:p>
        </w:tc>
        <w:tc>
          <w:tcPr>
            <w:tcW w:w="3914" w:type="dxa"/>
            <w:hideMark/>
          </w:tcPr>
          <w:p w14:paraId="44E90C10"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Net sales/Accounts receivable</w:t>
            </w:r>
          </w:p>
        </w:tc>
        <w:tc>
          <w:tcPr>
            <w:tcW w:w="747" w:type="dxa"/>
            <w:hideMark/>
          </w:tcPr>
          <w:p w14:paraId="3B80A159"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14.12</w:t>
            </w:r>
          </w:p>
        </w:tc>
        <w:tc>
          <w:tcPr>
            <w:tcW w:w="747" w:type="dxa"/>
            <w:hideMark/>
          </w:tcPr>
          <w:p w14:paraId="50BA9D83"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18.2</w:t>
            </w:r>
          </w:p>
        </w:tc>
        <w:tc>
          <w:tcPr>
            <w:tcW w:w="747" w:type="dxa"/>
            <w:hideMark/>
          </w:tcPr>
          <w:p w14:paraId="22397DB0"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20.05</w:t>
            </w:r>
          </w:p>
        </w:tc>
        <w:tc>
          <w:tcPr>
            <w:tcW w:w="747" w:type="dxa"/>
            <w:hideMark/>
          </w:tcPr>
          <w:p w14:paraId="12978D46"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16.31</w:t>
            </w:r>
          </w:p>
        </w:tc>
        <w:tc>
          <w:tcPr>
            <w:tcW w:w="711" w:type="dxa"/>
            <w:hideMark/>
          </w:tcPr>
          <w:p w14:paraId="5B138314"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15.96</w:t>
            </w:r>
          </w:p>
        </w:tc>
      </w:tr>
      <w:tr w:rsidR="002A7906" w:rsidRPr="00034F05" w14:paraId="6787CB2C" w14:textId="77777777" w:rsidTr="002A7906">
        <w:trPr>
          <w:trHeight w:val="446"/>
        </w:trPr>
        <w:tc>
          <w:tcPr>
            <w:cnfStyle w:val="001000000000" w:firstRow="0" w:lastRow="0" w:firstColumn="1" w:lastColumn="0" w:oddVBand="0" w:evenVBand="0" w:oddHBand="0" w:evenHBand="0" w:firstRowFirstColumn="0" w:firstRowLastColumn="0" w:lastRowFirstColumn="0" w:lastRowLastColumn="0"/>
            <w:tcW w:w="2605" w:type="dxa"/>
            <w:noWrap/>
            <w:hideMark/>
          </w:tcPr>
          <w:p w14:paraId="75C5F74A"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Asset turnover ratio</w:t>
            </w:r>
          </w:p>
        </w:tc>
        <w:tc>
          <w:tcPr>
            <w:tcW w:w="3914" w:type="dxa"/>
            <w:hideMark/>
          </w:tcPr>
          <w:p w14:paraId="46ACD143"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Net sales/Total assets</w:t>
            </w:r>
          </w:p>
        </w:tc>
        <w:tc>
          <w:tcPr>
            <w:tcW w:w="747" w:type="dxa"/>
            <w:hideMark/>
          </w:tcPr>
          <w:p w14:paraId="6EE4C916"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0.51</w:t>
            </w:r>
          </w:p>
        </w:tc>
        <w:tc>
          <w:tcPr>
            <w:tcW w:w="747" w:type="dxa"/>
            <w:hideMark/>
          </w:tcPr>
          <w:p w14:paraId="5A033159"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0.52</w:t>
            </w:r>
          </w:p>
        </w:tc>
        <w:tc>
          <w:tcPr>
            <w:tcW w:w="747" w:type="dxa"/>
            <w:hideMark/>
          </w:tcPr>
          <w:p w14:paraId="478913F3"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0.58</w:t>
            </w:r>
          </w:p>
        </w:tc>
        <w:tc>
          <w:tcPr>
            <w:tcW w:w="747" w:type="dxa"/>
            <w:hideMark/>
          </w:tcPr>
          <w:p w14:paraId="70CF2B57"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0.56</w:t>
            </w:r>
          </w:p>
        </w:tc>
        <w:tc>
          <w:tcPr>
            <w:tcW w:w="711" w:type="dxa"/>
            <w:hideMark/>
          </w:tcPr>
          <w:p w14:paraId="56BE8F2E"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0.5</w:t>
            </w:r>
          </w:p>
        </w:tc>
      </w:tr>
      <w:tr w:rsidR="002A7906" w:rsidRPr="00034F05" w14:paraId="615064F5" w14:textId="77777777" w:rsidTr="002A7906">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605" w:type="dxa"/>
            <w:noWrap/>
            <w:hideMark/>
          </w:tcPr>
          <w:p w14:paraId="5F8A53AA"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payable payment period</w:t>
            </w:r>
          </w:p>
        </w:tc>
        <w:tc>
          <w:tcPr>
            <w:tcW w:w="3914" w:type="dxa"/>
            <w:hideMark/>
          </w:tcPr>
          <w:p w14:paraId="58B88430" w14:textId="21DEF1C6"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Average accounts payable/Cost of goods sold*365</w:t>
            </w:r>
          </w:p>
        </w:tc>
        <w:tc>
          <w:tcPr>
            <w:tcW w:w="747" w:type="dxa"/>
            <w:hideMark/>
          </w:tcPr>
          <w:p w14:paraId="39B400B3"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43.2</w:t>
            </w:r>
          </w:p>
        </w:tc>
        <w:tc>
          <w:tcPr>
            <w:tcW w:w="747" w:type="dxa"/>
            <w:hideMark/>
          </w:tcPr>
          <w:p w14:paraId="498BB602"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46</w:t>
            </w:r>
          </w:p>
        </w:tc>
        <w:tc>
          <w:tcPr>
            <w:tcW w:w="747" w:type="dxa"/>
            <w:hideMark/>
          </w:tcPr>
          <w:p w14:paraId="0FD2428C"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44</w:t>
            </w:r>
          </w:p>
        </w:tc>
        <w:tc>
          <w:tcPr>
            <w:tcW w:w="747" w:type="dxa"/>
            <w:hideMark/>
          </w:tcPr>
          <w:p w14:paraId="104FA3D8"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48.8</w:t>
            </w:r>
          </w:p>
        </w:tc>
        <w:tc>
          <w:tcPr>
            <w:tcW w:w="711" w:type="dxa"/>
            <w:hideMark/>
          </w:tcPr>
          <w:p w14:paraId="5A4D44AC"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48.1</w:t>
            </w:r>
          </w:p>
        </w:tc>
      </w:tr>
    </w:tbl>
    <w:p w14:paraId="725E71F8" w14:textId="77777777" w:rsidR="002A7906" w:rsidRPr="00034F05" w:rsidRDefault="002A7906" w:rsidP="006C2C18">
      <w:pPr>
        <w:rPr>
          <w:rFonts w:ascii="Times New Roman" w:hAnsi="Times New Roman" w:cs="Times New Roman"/>
          <w:sz w:val="24"/>
          <w:szCs w:val="24"/>
        </w:rPr>
      </w:pPr>
    </w:p>
    <w:p w14:paraId="1371122D" w14:textId="77777777" w:rsidR="00D80F94" w:rsidRPr="00034F05" w:rsidRDefault="00D80F94" w:rsidP="006C2C18">
      <w:pPr>
        <w:rPr>
          <w:rFonts w:ascii="Times New Roman" w:hAnsi="Times New Roman" w:cs="Times New Roman"/>
          <w:sz w:val="24"/>
          <w:szCs w:val="24"/>
        </w:rPr>
      </w:pPr>
    </w:p>
    <w:p w14:paraId="408BE4AE" w14:textId="64B32843" w:rsidR="002A7906" w:rsidRPr="00034F05" w:rsidRDefault="00D80F94" w:rsidP="006C2C18">
      <w:pPr>
        <w:rPr>
          <w:rFonts w:ascii="Times New Roman" w:hAnsi="Times New Roman" w:cs="Times New Roman"/>
          <w:sz w:val="24"/>
          <w:szCs w:val="24"/>
        </w:rPr>
      </w:pPr>
      <w:r w:rsidRPr="00034F05">
        <w:rPr>
          <w:rFonts w:ascii="Times New Roman" w:hAnsi="Times New Roman" w:cs="Times New Roman"/>
          <w:noProof/>
          <w:sz w:val="24"/>
          <w:szCs w:val="24"/>
          <w:lang w:val="en-US"/>
        </w:rPr>
        <w:drawing>
          <wp:inline distT="0" distB="0" distL="0" distR="0" wp14:anchorId="2777E2AB" wp14:editId="3B9BC90B">
            <wp:extent cx="5570220" cy="3352948"/>
            <wp:effectExtent l="0" t="0" r="0" b="0"/>
            <wp:docPr id="825238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4041" cy="3355248"/>
                    </a:xfrm>
                    <a:prstGeom prst="rect">
                      <a:avLst/>
                    </a:prstGeom>
                    <a:noFill/>
                  </pic:spPr>
                </pic:pic>
              </a:graphicData>
            </a:graphic>
          </wp:inline>
        </w:drawing>
      </w:r>
    </w:p>
    <w:p w14:paraId="1E727A1B" w14:textId="5497BF4A"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4E013E9F" w14:textId="1C04128F" w:rsidR="002A7906" w:rsidRPr="00034F05" w:rsidRDefault="002A7906" w:rsidP="00034F05">
      <w:pPr>
        <w:pStyle w:val="Heading2"/>
        <w:rPr>
          <w:rFonts w:cs="Times New Roman"/>
          <w:sz w:val="24"/>
          <w:szCs w:val="24"/>
        </w:rPr>
      </w:pPr>
      <w:bookmarkStart w:id="54" w:name="_Toc227925004"/>
      <w:r w:rsidRPr="00034F05">
        <w:rPr>
          <w:rFonts w:cs="Times New Roman"/>
          <w:sz w:val="24"/>
          <w:szCs w:val="24"/>
        </w:rPr>
        <w:lastRenderedPageBreak/>
        <w:t>Appendix D:</w:t>
      </w:r>
      <w:r w:rsidR="00034F05" w:rsidRPr="00034F05">
        <w:rPr>
          <w:rFonts w:cs="Times New Roman"/>
          <w:sz w:val="24"/>
          <w:szCs w:val="24"/>
        </w:rPr>
        <w:t xml:space="preserve"> </w:t>
      </w:r>
      <w:r w:rsidR="00034F05" w:rsidRPr="00034F05">
        <w:rPr>
          <w:rFonts w:eastAsia="Times New Roman" w:cs="Times New Roman"/>
          <w:lang w:eastAsia="en-GB"/>
        </w:rPr>
        <w:t>Leverage/Gearing ratio</w:t>
      </w:r>
      <w:bookmarkEnd w:id="54"/>
    </w:p>
    <w:tbl>
      <w:tblPr>
        <w:tblStyle w:val="GridTable4-Accent1"/>
        <w:tblW w:w="9905" w:type="dxa"/>
        <w:tblLook w:val="04A0" w:firstRow="1" w:lastRow="0" w:firstColumn="1" w:lastColumn="0" w:noHBand="0" w:noVBand="1"/>
      </w:tblPr>
      <w:tblGrid>
        <w:gridCol w:w="4045"/>
        <w:gridCol w:w="2473"/>
        <w:gridCol w:w="724"/>
        <w:gridCol w:w="724"/>
        <w:gridCol w:w="724"/>
        <w:gridCol w:w="724"/>
        <w:gridCol w:w="656"/>
      </w:tblGrid>
      <w:tr w:rsidR="002A7906" w:rsidRPr="00034F05" w14:paraId="222D9097" w14:textId="77777777" w:rsidTr="002A7906">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4045" w:type="dxa"/>
            <w:noWrap/>
            <w:hideMark/>
          </w:tcPr>
          <w:p w14:paraId="574CB92E" w14:textId="600D5D16" w:rsidR="002A7906" w:rsidRPr="00034F05" w:rsidRDefault="002A7906" w:rsidP="002A7906">
            <w:pPr>
              <w:rPr>
                <w:rFonts w:ascii="Times New Roman" w:eastAsia="Times New Roman" w:hAnsi="Times New Roman" w:cs="Times New Roman"/>
                <w:color w:val="000000"/>
                <w:kern w:val="0"/>
                <w:sz w:val="32"/>
                <w:szCs w:val="32"/>
                <w:lang w:eastAsia="en-GB"/>
                <w14:ligatures w14:val="none"/>
              </w:rPr>
            </w:pPr>
            <w:r w:rsidRPr="00034F05">
              <w:rPr>
                <w:rFonts w:ascii="Times New Roman" w:eastAsia="Times New Roman" w:hAnsi="Times New Roman" w:cs="Times New Roman"/>
                <w:color w:val="000000"/>
                <w:kern w:val="0"/>
                <w:sz w:val="32"/>
                <w:szCs w:val="32"/>
                <w:lang w:eastAsia="en-GB"/>
                <w14:ligatures w14:val="none"/>
              </w:rPr>
              <w:t>Leverage/Gearing ratio</w:t>
            </w:r>
          </w:p>
        </w:tc>
        <w:tc>
          <w:tcPr>
            <w:tcW w:w="2308" w:type="dxa"/>
            <w:hideMark/>
          </w:tcPr>
          <w:p w14:paraId="35690AA1"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Formulas</w:t>
            </w:r>
          </w:p>
        </w:tc>
        <w:tc>
          <w:tcPr>
            <w:tcW w:w="724" w:type="dxa"/>
            <w:noWrap/>
            <w:hideMark/>
          </w:tcPr>
          <w:p w14:paraId="19C99211"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2025</w:t>
            </w:r>
          </w:p>
        </w:tc>
        <w:tc>
          <w:tcPr>
            <w:tcW w:w="724" w:type="dxa"/>
            <w:noWrap/>
            <w:hideMark/>
          </w:tcPr>
          <w:p w14:paraId="64F545E7"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2024</w:t>
            </w:r>
          </w:p>
        </w:tc>
        <w:tc>
          <w:tcPr>
            <w:tcW w:w="724" w:type="dxa"/>
            <w:noWrap/>
            <w:hideMark/>
          </w:tcPr>
          <w:p w14:paraId="3087A3CF"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2023</w:t>
            </w:r>
          </w:p>
        </w:tc>
        <w:tc>
          <w:tcPr>
            <w:tcW w:w="724" w:type="dxa"/>
            <w:noWrap/>
            <w:hideMark/>
          </w:tcPr>
          <w:p w14:paraId="5EA3FD76"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2022</w:t>
            </w:r>
          </w:p>
        </w:tc>
        <w:tc>
          <w:tcPr>
            <w:tcW w:w="656" w:type="dxa"/>
            <w:noWrap/>
            <w:hideMark/>
          </w:tcPr>
          <w:p w14:paraId="543F79B9"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2021</w:t>
            </w:r>
          </w:p>
        </w:tc>
      </w:tr>
      <w:tr w:rsidR="002A7906" w:rsidRPr="00034F05" w14:paraId="7101C8EC" w14:textId="77777777" w:rsidTr="002A7906">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4045" w:type="dxa"/>
            <w:noWrap/>
            <w:hideMark/>
          </w:tcPr>
          <w:p w14:paraId="4910B74A"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 </w:t>
            </w:r>
          </w:p>
        </w:tc>
        <w:tc>
          <w:tcPr>
            <w:tcW w:w="2308" w:type="dxa"/>
            <w:hideMark/>
          </w:tcPr>
          <w:p w14:paraId="215461D5"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 </w:t>
            </w:r>
          </w:p>
        </w:tc>
        <w:tc>
          <w:tcPr>
            <w:tcW w:w="724" w:type="dxa"/>
            <w:noWrap/>
            <w:hideMark/>
          </w:tcPr>
          <w:p w14:paraId="3D39FAF3"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24" w:type="dxa"/>
            <w:noWrap/>
            <w:hideMark/>
          </w:tcPr>
          <w:p w14:paraId="745D1C8F"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24" w:type="dxa"/>
            <w:noWrap/>
            <w:hideMark/>
          </w:tcPr>
          <w:p w14:paraId="331D8373"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724" w:type="dxa"/>
            <w:noWrap/>
            <w:hideMark/>
          </w:tcPr>
          <w:p w14:paraId="0E48A307"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656" w:type="dxa"/>
            <w:noWrap/>
            <w:hideMark/>
          </w:tcPr>
          <w:p w14:paraId="13A30BA1" w14:textId="77777777" w:rsidR="002A7906" w:rsidRPr="00034F05" w:rsidRDefault="002A7906" w:rsidP="002A790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r>
      <w:tr w:rsidR="002A7906" w:rsidRPr="00034F05" w14:paraId="52D5D3C3" w14:textId="77777777" w:rsidTr="002A7906">
        <w:trPr>
          <w:trHeight w:val="440"/>
        </w:trPr>
        <w:tc>
          <w:tcPr>
            <w:cnfStyle w:val="001000000000" w:firstRow="0" w:lastRow="0" w:firstColumn="1" w:lastColumn="0" w:oddVBand="0" w:evenVBand="0" w:oddHBand="0" w:evenHBand="0" w:firstRowFirstColumn="0" w:firstRowLastColumn="0" w:lastRowFirstColumn="0" w:lastRowLastColumn="0"/>
            <w:tcW w:w="4045" w:type="dxa"/>
            <w:noWrap/>
            <w:hideMark/>
          </w:tcPr>
          <w:p w14:paraId="6C85F0BB"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Debt to equity ratio</w:t>
            </w:r>
          </w:p>
        </w:tc>
        <w:tc>
          <w:tcPr>
            <w:tcW w:w="2308" w:type="dxa"/>
            <w:hideMark/>
          </w:tcPr>
          <w:p w14:paraId="69711E75" w14:textId="5B7074FD"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Total liabilities/Shareholders' equity</w:t>
            </w:r>
          </w:p>
        </w:tc>
        <w:tc>
          <w:tcPr>
            <w:tcW w:w="724" w:type="dxa"/>
            <w:noWrap/>
            <w:hideMark/>
          </w:tcPr>
          <w:p w14:paraId="33AA5754"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1.89</w:t>
            </w:r>
          </w:p>
        </w:tc>
        <w:tc>
          <w:tcPr>
            <w:tcW w:w="724" w:type="dxa"/>
            <w:noWrap/>
            <w:hideMark/>
          </w:tcPr>
          <w:p w14:paraId="28E50FC7"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1.83</w:t>
            </w:r>
          </w:p>
        </w:tc>
        <w:tc>
          <w:tcPr>
            <w:tcW w:w="724" w:type="dxa"/>
            <w:noWrap/>
            <w:hideMark/>
          </w:tcPr>
          <w:p w14:paraId="769B0C19"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1.77</w:t>
            </w:r>
          </w:p>
        </w:tc>
        <w:tc>
          <w:tcPr>
            <w:tcW w:w="724" w:type="dxa"/>
            <w:noWrap/>
            <w:hideMark/>
          </w:tcPr>
          <w:p w14:paraId="352C0DE0"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1.81</w:t>
            </w:r>
          </w:p>
        </w:tc>
        <w:tc>
          <w:tcPr>
            <w:tcW w:w="656" w:type="dxa"/>
            <w:noWrap/>
            <w:hideMark/>
          </w:tcPr>
          <w:p w14:paraId="761D0856"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1.83</w:t>
            </w:r>
          </w:p>
        </w:tc>
      </w:tr>
      <w:tr w:rsidR="002A7906" w:rsidRPr="00034F05" w14:paraId="29FD6A6A" w14:textId="77777777" w:rsidTr="002A7906">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4045" w:type="dxa"/>
            <w:noWrap/>
            <w:hideMark/>
          </w:tcPr>
          <w:p w14:paraId="7029B7E1" w14:textId="77777777"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Interest coverage ratio</w:t>
            </w:r>
          </w:p>
        </w:tc>
        <w:tc>
          <w:tcPr>
            <w:tcW w:w="2308" w:type="dxa"/>
            <w:hideMark/>
          </w:tcPr>
          <w:p w14:paraId="0B801CFD"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Operating income/Interest expenses</w:t>
            </w:r>
          </w:p>
        </w:tc>
        <w:tc>
          <w:tcPr>
            <w:tcW w:w="724" w:type="dxa"/>
            <w:noWrap/>
            <w:hideMark/>
          </w:tcPr>
          <w:p w14:paraId="4CE4DF44"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2.48</w:t>
            </w:r>
          </w:p>
        </w:tc>
        <w:tc>
          <w:tcPr>
            <w:tcW w:w="724" w:type="dxa"/>
            <w:noWrap/>
            <w:hideMark/>
          </w:tcPr>
          <w:p w14:paraId="035606E1"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3.23</w:t>
            </w:r>
          </w:p>
        </w:tc>
        <w:tc>
          <w:tcPr>
            <w:tcW w:w="724" w:type="dxa"/>
            <w:noWrap/>
            <w:hideMark/>
          </w:tcPr>
          <w:p w14:paraId="16528AAE"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3.9</w:t>
            </w:r>
          </w:p>
        </w:tc>
        <w:tc>
          <w:tcPr>
            <w:tcW w:w="724" w:type="dxa"/>
            <w:noWrap/>
            <w:hideMark/>
          </w:tcPr>
          <w:p w14:paraId="779EFDBD"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3.96</w:t>
            </w:r>
          </w:p>
        </w:tc>
        <w:tc>
          <w:tcPr>
            <w:tcW w:w="656" w:type="dxa"/>
            <w:noWrap/>
            <w:hideMark/>
          </w:tcPr>
          <w:p w14:paraId="29793545"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3.99</w:t>
            </w:r>
          </w:p>
        </w:tc>
      </w:tr>
    </w:tbl>
    <w:p w14:paraId="5396D8A4" w14:textId="77777777" w:rsidR="002A7906" w:rsidRPr="00034F05" w:rsidRDefault="002A7906" w:rsidP="006C2C18">
      <w:pPr>
        <w:rPr>
          <w:rFonts w:ascii="Times New Roman" w:hAnsi="Times New Roman" w:cs="Times New Roman"/>
          <w:sz w:val="24"/>
          <w:szCs w:val="24"/>
        </w:rPr>
      </w:pPr>
    </w:p>
    <w:p w14:paraId="4DA7DFB1" w14:textId="77777777" w:rsidR="00D80F94" w:rsidRPr="00034F05" w:rsidRDefault="00D80F94" w:rsidP="006C2C18">
      <w:pPr>
        <w:rPr>
          <w:rFonts w:ascii="Times New Roman" w:hAnsi="Times New Roman" w:cs="Times New Roman"/>
          <w:sz w:val="24"/>
          <w:szCs w:val="24"/>
        </w:rPr>
      </w:pPr>
    </w:p>
    <w:p w14:paraId="1B8F7C8D" w14:textId="710756CB" w:rsidR="00D80F94" w:rsidRPr="00034F05" w:rsidRDefault="00D80F94" w:rsidP="00D80F94">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drawing>
          <wp:inline distT="0" distB="0" distL="0" distR="0" wp14:anchorId="1625F646" wp14:editId="7F179863">
            <wp:extent cx="5820742" cy="3495675"/>
            <wp:effectExtent l="0" t="0" r="8890" b="0"/>
            <wp:docPr id="260100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40289" cy="3507414"/>
                    </a:xfrm>
                    <a:prstGeom prst="rect">
                      <a:avLst/>
                    </a:prstGeom>
                    <a:noFill/>
                  </pic:spPr>
                </pic:pic>
              </a:graphicData>
            </a:graphic>
          </wp:inline>
        </w:drawing>
      </w:r>
    </w:p>
    <w:p w14:paraId="3B2F287E" w14:textId="44C17FA0" w:rsidR="002A7906" w:rsidRPr="00034F05" w:rsidRDefault="002A7906" w:rsidP="00BB59D8">
      <w:pPr>
        <w:jc w:val="center"/>
        <w:rPr>
          <w:rFonts w:ascii="Times New Roman" w:hAnsi="Times New Roman" w:cs="Times New Roman"/>
          <w:sz w:val="24"/>
          <w:szCs w:val="24"/>
        </w:rPr>
      </w:pPr>
    </w:p>
    <w:p w14:paraId="4E49F7B6" w14:textId="04818112"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488097CC" w14:textId="2A0D1E96" w:rsidR="002A7906" w:rsidRPr="00034F05" w:rsidRDefault="002A7906" w:rsidP="00034F05">
      <w:pPr>
        <w:pStyle w:val="Heading2"/>
        <w:rPr>
          <w:rFonts w:cs="Times New Roman"/>
        </w:rPr>
      </w:pPr>
      <w:bookmarkStart w:id="55" w:name="_Toc227925005"/>
      <w:r w:rsidRPr="00034F05">
        <w:rPr>
          <w:rFonts w:cs="Times New Roman"/>
        </w:rPr>
        <w:lastRenderedPageBreak/>
        <w:t>Appendix E:</w:t>
      </w:r>
      <w:r w:rsidR="00034F05" w:rsidRPr="00034F05">
        <w:rPr>
          <w:rFonts w:cs="Times New Roman"/>
        </w:rPr>
        <w:t xml:space="preserve"> Investment Ratios</w:t>
      </w:r>
      <w:bookmarkEnd w:id="55"/>
    </w:p>
    <w:tbl>
      <w:tblPr>
        <w:tblStyle w:val="GridTable4-Accent1"/>
        <w:tblW w:w="10068" w:type="dxa"/>
        <w:tblLook w:val="04A0" w:firstRow="1" w:lastRow="0" w:firstColumn="1" w:lastColumn="0" w:noHBand="0" w:noVBand="1"/>
      </w:tblPr>
      <w:tblGrid>
        <w:gridCol w:w="2261"/>
        <w:gridCol w:w="2272"/>
        <w:gridCol w:w="1041"/>
        <w:gridCol w:w="1151"/>
        <w:gridCol w:w="1151"/>
        <w:gridCol w:w="1151"/>
        <w:gridCol w:w="1041"/>
      </w:tblGrid>
      <w:tr w:rsidR="002A7906" w:rsidRPr="00034F05" w14:paraId="3EDFC4ED" w14:textId="77777777" w:rsidTr="002A7906">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2261" w:type="dxa"/>
            <w:noWrap/>
            <w:hideMark/>
          </w:tcPr>
          <w:p w14:paraId="2A40799B" w14:textId="77777777" w:rsidR="002A7906" w:rsidRPr="00034F05" w:rsidRDefault="002A7906" w:rsidP="002A7906">
            <w:pPr>
              <w:rPr>
                <w:rFonts w:ascii="Times New Roman" w:eastAsia="Times New Roman" w:hAnsi="Times New Roman" w:cs="Times New Roman"/>
                <w:color w:val="000000"/>
                <w:kern w:val="0"/>
                <w:sz w:val="36"/>
                <w:szCs w:val="36"/>
                <w:lang w:eastAsia="en-GB"/>
                <w14:ligatures w14:val="none"/>
              </w:rPr>
            </w:pPr>
            <w:r w:rsidRPr="00034F05">
              <w:rPr>
                <w:rFonts w:ascii="Times New Roman" w:eastAsia="Times New Roman" w:hAnsi="Times New Roman" w:cs="Times New Roman"/>
                <w:color w:val="000000"/>
                <w:kern w:val="0"/>
                <w:sz w:val="36"/>
                <w:szCs w:val="36"/>
                <w:lang w:eastAsia="en-GB"/>
                <w14:ligatures w14:val="none"/>
              </w:rPr>
              <w:t>Investment ratio</w:t>
            </w:r>
          </w:p>
        </w:tc>
        <w:tc>
          <w:tcPr>
            <w:tcW w:w="2391" w:type="dxa"/>
            <w:hideMark/>
          </w:tcPr>
          <w:p w14:paraId="06860541"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Formulas</w:t>
            </w:r>
          </w:p>
        </w:tc>
        <w:tc>
          <w:tcPr>
            <w:tcW w:w="1019" w:type="dxa"/>
            <w:noWrap/>
            <w:hideMark/>
          </w:tcPr>
          <w:p w14:paraId="5E844F33"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2025</w:t>
            </w:r>
          </w:p>
        </w:tc>
        <w:tc>
          <w:tcPr>
            <w:tcW w:w="1126" w:type="dxa"/>
            <w:noWrap/>
            <w:hideMark/>
          </w:tcPr>
          <w:p w14:paraId="14DF4766"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2024</w:t>
            </w:r>
          </w:p>
        </w:tc>
        <w:tc>
          <w:tcPr>
            <w:tcW w:w="1126" w:type="dxa"/>
            <w:noWrap/>
            <w:hideMark/>
          </w:tcPr>
          <w:p w14:paraId="54C2CECC"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2023</w:t>
            </w:r>
          </w:p>
        </w:tc>
        <w:tc>
          <w:tcPr>
            <w:tcW w:w="1126" w:type="dxa"/>
            <w:noWrap/>
            <w:hideMark/>
          </w:tcPr>
          <w:p w14:paraId="50845188"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2022</w:t>
            </w:r>
          </w:p>
        </w:tc>
        <w:tc>
          <w:tcPr>
            <w:tcW w:w="1019" w:type="dxa"/>
            <w:noWrap/>
            <w:hideMark/>
          </w:tcPr>
          <w:p w14:paraId="7F38BE0C"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2021</w:t>
            </w:r>
          </w:p>
        </w:tc>
      </w:tr>
      <w:tr w:rsidR="002A7906" w:rsidRPr="00034F05" w14:paraId="762CD612" w14:textId="77777777" w:rsidTr="002A7906">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2261" w:type="dxa"/>
            <w:noWrap/>
            <w:hideMark/>
          </w:tcPr>
          <w:p w14:paraId="29928799" w14:textId="4273EBBD"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Earnings per share</w:t>
            </w:r>
          </w:p>
        </w:tc>
        <w:tc>
          <w:tcPr>
            <w:tcW w:w="2391" w:type="dxa"/>
            <w:hideMark/>
          </w:tcPr>
          <w:p w14:paraId="7568C7B4" w14:textId="292B8130"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(Net Income-Preferred Dividend)/ Weighted average Number of shares outstanding</w:t>
            </w:r>
          </w:p>
        </w:tc>
        <w:tc>
          <w:tcPr>
            <w:tcW w:w="1019" w:type="dxa"/>
            <w:noWrap/>
            <w:hideMark/>
          </w:tcPr>
          <w:p w14:paraId="4FC23D66"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27.4</w:t>
            </w:r>
          </w:p>
        </w:tc>
        <w:tc>
          <w:tcPr>
            <w:tcW w:w="1126" w:type="dxa"/>
            <w:noWrap/>
            <w:hideMark/>
          </w:tcPr>
          <w:p w14:paraId="69BA5961"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33.33</w:t>
            </w:r>
          </w:p>
        </w:tc>
        <w:tc>
          <w:tcPr>
            <w:tcW w:w="1126" w:type="dxa"/>
            <w:noWrap/>
            <w:hideMark/>
          </w:tcPr>
          <w:p w14:paraId="2D03CA96"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36.56</w:t>
            </w:r>
          </w:p>
        </w:tc>
        <w:tc>
          <w:tcPr>
            <w:tcW w:w="1126" w:type="dxa"/>
            <w:noWrap/>
            <w:hideMark/>
          </w:tcPr>
          <w:p w14:paraId="057FA8FF"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19.97</w:t>
            </w:r>
          </w:p>
        </w:tc>
        <w:tc>
          <w:tcPr>
            <w:tcW w:w="1019" w:type="dxa"/>
            <w:noWrap/>
            <w:hideMark/>
          </w:tcPr>
          <w:p w14:paraId="0D830393"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17.08</w:t>
            </w:r>
          </w:p>
        </w:tc>
      </w:tr>
      <w:tr w:rsidR="002A7906" w:rsidRPr="00034F05" w14:paraId="12056012" w14:textId="77777777" w:rsidTr="002A7906">
        <w:trPr>
          <w:trHeight w:val="452"/>
        </w:trPr>
        <w:tc>
          <w:tcPr>
            <w:cnfStyle w:val="001000000000" w:firstRow="0" w:lastRow="0" w:firstColumn="1" w:lastColumn="0" w:oddVBand="0" w:evenVBand="0" w:oddHBand="0" w:evenHBand="0" w:firstRowFirstColumn="0" w:firstRowLastColumn="0" w:lastRowFirstColumn="0" w:lastRowLastColumn="0"/>
            <w:tcW w:w="2261" w:type="dxa"/>
            <w:noWrap/>
            <w:hideMark/>
          </w:tcPr>
          <w:p w14:paraId="311D6F2B" w14:textId="2CC6DA0B" w:rsidR="002A7906" w:rsidRPr="00034F05" w:rsidRDefault="002A7906" w:rsidP="002A7906">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Price/Earnings ratio</w:t>
            </w:r>
          </w:p>
        </w:tc>
        <w:tc>
          <w:tcPr>
            <w:tcW w:w="2391" w:type="dxa"/>
            <w:hideMark/>
          </w:tcPr>
          <w:p w14:paraId="513E9D8F" w14:textId="07887A34"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Market value per share/</w:t>
            </w:r>
            <w:r w:rsidR="00D80F94" w:rsidRPr="00034F05">
              <w:rPr>
                <w:rFonts w:ascii="Times New Roman" w:eastAsia="Times New Roman" w:hAnsi="Times New Roman" w:cs="Times New Roman"/>
                <w:color w:val="000000"/>
                <w:kern w:val="0"/>
                <w:sz w:val="24"/>
                <w:szCs w:val="24"/>
                <w:lang w:eastAsia="en-GB"/>
                <w14:ligatures w14:val="none"/>
              </w:rPr>
              <w:t>Earnings</w:t>
            </w:r>
            <w:r w:rsidRPr="00034F05">
              <w:rPr>
                <w:rFonts w:ascii="Times New Roman" w:eastAsia="Times New Roman" w:hAnsi="Times New Roman" w:cs="Times New Roman"/>
                <w:color w:val="000000"/>
                <w:kern w:val="0"/>
                <w:sz w:val="24"/>
                <w:szCs w:val="24"/>
                <w:lang w:eastAsia="en-GB"/>
                <w14:ligatures w14:val="none"/>
              </w:rPr>
              <w:t xml:space="preserve"> per share (EPS)</w:t>
            </w:r>
          </w:p>
        </w:tc>
        <w:tc>
          <w:tcPr>
            <w:tcW w:w="1019" w:type="dxa"/>
            <w:noWrap/>
            <w:hideMark/>
          </w:tcPr>
          <w:p w14:paraId="6A2F6817"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7455.073</w:t>
            </w:r>
          </w:p>
        </w:tc>
        <w:tc>
          <w:tcPr>
            <w:tcW w:w="1126" w:type="dxa"/>
            <w:noWrap/>
            <w:hideMark/>
          </w:tcPr>
          <w:p w14:paraId="37B91ED6"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4578.4578</w:t>
            </w:r>
          </w:p>
        </w:tc>
        <w:tc>
          <w:tcPr>
            <w:tcW w:w="1126" w:type="dxa"/>
            <w:noWrap/>
            <w:hideMark/>
          </w:tcPr>
          <w:p w14:paraId="53E0C179"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3104.4858</w:t>
            </w:r>
          </w:p>
        </w:tc>
        <w:tc>
          <w:tcPr>
            <w:tcW w:w="1126" w:type="dxa"/>
            <w:noWrap/>
            <w:hideMark/>
          </w:tcPr>
          <w:p w14:paraId="706B0E9A"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3705.5583</w:t>
            </w:r>
          </w:p>
        </w:tc>
        <w:tc>
          <w:tcPr>
            <w:tcW w:w="1019" w:type="dxa"/>
            <w:noWrap/>
            <w:hideMark/>
          </w:tcPr>
          <w:p w14:paraId="561C2D5E"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5766.979</w:t>
            </w:r>
          </w:p>
        </w:tc>
      </w:tr>
    </w:tbl>
    <w:p w14:paraId="1D2DA6BD" w14:textId="77777777" w:rsidR="002A7906" w:rsidRPr="00034F05" w:rsidRDefault="002A7906" w:rsidP="006C2C18">
      <w:pPr>
        <w:rPr>
          <w:rFonts w:ascii="Times New Roman" w:hAnsi="Times New Roman" w:cs="Times New Roman"/>
          <w:sz w:val="24"/>
          <w:szCs w:val="24"/>
        </w:rPr>
      </w:pPr>
    </w:p>
    <w:p w14:paraId="55C4E46F" w14:textId="77777777" w:rsidR="00D80F94" w:rsidRPr="00034F05" w:rsidRDefault="00D80F94" w:rsidP="006C2C18">
      <w:pPr>
        <w:rPr>
          <w:rFonts w:ascii="Times New Roman" w:hAnsi="Times New Roman" w:cs="Times New Roman"/>
          <w:sz w:val="24"/>
          <w:szCs w:val="24"/>
        </w:rPr>
      </w:pPr>
    </w:p>
    <w:p w14:paraId="73020E10" w14:textId="6BDF470C" w:rsidR="002A7906" w:rsidRPr="00034F05" w:rsidRDefault="00D80F94" w:rsidP="00D80F94">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drawing>
          <wp:inline distT="0" distB="0" distL="0" distR="0" wp14:anchorId="3BB2E6DC" wp14:editId="1BF06896">
            <wp:extent cx="5894613" cy="3543300"/>
            <wp:effectExtent l="0" t="0" r="0" b="0"/>
            <wp:docPr id="1270713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6722" cy="3550579"/>
                    </a:xfrm>
                    <a:prstGeom prst="rect">
                      <a:avLst/>
                    </a:prstGeom>
                    <a:noFill/>
                  </pic:spPr>
                </pic:pic>
              </a:graphicData>
            </a:graphic>
          </wp:inline>
        </w:drawing>
      </w:r>
    </w:p>
    <w:p w14:paraId="7CC7CB18" w14:textId="3A7002FE" w:rsidR="002A7906" w:rsidRPr="00034F05" w:rsidRDefault="002A7906" w:rsidP="006C2C18">
      <w:pPr>
        <w:rPr>
          <w:rFonts w:ascii="Times New Roman" w:hAnsi="Times New Roman" w:cs="Times New Roman"/>
          <w:sz w:val="24"/>
          <w:szCs w:val="24"/>
        </w:rPr>
      </w:pPr>
    </w:p>
    <w:p w14:paraId="762F98CC" w14:textId="5D25FD91"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5581EAAF" w14:textId="5F80C902" w:rsidR="002A7906" w:rsidRPr="00034F05" w:rsidRDefault="002A7906" w:rsidP="00034F05">
      <w:pPr>
        <w:pStyle w:val="Heading2"/>
        <w:rPr>
          <w:rFonts w:cs="Times New Roman"/>
        </w:rPr>
      </w:pPr>
      <w:bookmarkStart w:id="56" w:name="_Toc227925006"/>
      <w:r w:rsidRPr="00034F05">
        <w:rPr>
          <w:rFonts w:cs="Times New Roman"/>
        </w:rPr>
        <w:lastRenderedPageBreak/>
        <w:t>Appendix F:</w:t>
      </w:r>
      <w:r w:rsidR="00034F05" w:rsidRPr="00034F05">
        <w:rPr>
          <w:rFonts w:cs="Times New Roman"/>
        </w:rPr>
        <w:t xml:space="preserve"> Cash Flow Analysis</w:t>
      </w:r>
      <w:bookmarkEnd w:id="56"/>
    </w:p>
    <w:tbl>
      <w:tblPr>
        <w:tblStyle w:val="GridTable4-Accent1"/>
        <w:tblW w:w="10248" w:type="dxa"/>
        <w:tblLook w:val="04A0" w:firstRow="1" w:lastRow="0" w:firstColumn="1" w:lastColumn="0" w:noHBand="0" w:noVBand="1"/>
      </w:tblPr>
      <w:tblGrid>
        <w:gridCol w:w="1995"/>
        <w:gridCol w:w="2883"/>
        <w:gridCol w:w="1096"/>
        <w:gridCol w:w="1096"/>
        <w:gridCol w:w="1096"/>
        <w:gridCol w:w="1096"/>
        <w:gridCol w:w="986"/>
      </w:tblGrid>
      <w:tr w:rsidR="00160626" w:rsidRPr="00034F05" w14:paraId="7A678478" w14:textId="77777777" w:rsidTr="00160626">
        <w:trPr>
          <w:cnfStyle w:val="100000000000" w:firstRow="1" w:lastRow="0" w:firstColumn="0" w:lastColumn="0" w:oddVBand="0" w:evenVBand="0" w:oddHBand="0"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995" w:type="dxa"/>
            <w:noWrap/>
            <w:hideMark/>
          </w:tcPr>
          <w:p w14:paraId="7EE8A40A" w14:textId="3EDAF0F7" w:rsidR="002A7906" w:rsidRPr="00034F05" w:rsidRDefault="002A7906" w:rsidP="002A7906">
            <w:pPr>
              <w:rPr>
                <w:rFonts w:ascii="Times New Roman" w:eastAsia="Times New Roman" w:hAnsi="Times New Roman" w:cs="Times New Roman"/>
                <w:color w:val="000000"/>
                <w:kern w:val="0"/>
                <w:sz w:val="32"/>
                <w:szCs w:val="32"/>
                <w:lang w:eastAsia="en-GB"/>
                <w14:ligatures w14:val="none"/>
              </w:rPr>
            </w:pPr>
            <w:r w:rsidRPr="00034F05">
              <w:rPr>
                <w:rFonts w:ascii="Times New Roman" w:eastAsia="Times New Roman" w:hAnsi="Times New Roman" w:cs="Times New Roman"/>
                <w:color w:val="000000"/>
                <w:kern w:val="0"/>
                <w:sz w:val="32"/>
                <w:szCs w:val="32"/>
                <w:lang w:eastAsia="en-GB"/>
                <w14:ligatures w14:val="none"/>
              </w:rPr>
              <w:t xml:space="preserve">Cash </w:t>
            </w:r>
            <w:r w:rsidR="00160626" w:rsidRPr="00034F05">
              <w:rPr>
                <w:rFonts w:ascii="Times New Roman" w:eastAsia="Times New Roman" w:hAnsi="Times New Roman" w:cs="Times New Roman"/>
                <w:color w:val="000000"/>
                <w:kern w:val="0"/>
                <w:sz w:val="32"/>
                <w:szCs w:val="32"/>
                <w:lang w:eastAsia="en-GB"/>
                <w14:ligatures w14:val="none"/>
              </w:rPr>
              <w:t>Flow</w:t>
            </w:r>
            <w:r w:rsidRPr="00034F05">
              <w:rPr>
                <w:rFonts w:ascii="Times New Roman" w:eastAsia="Times New Roman" w:hAnsi="Times New Roman" w:cs="Times New Roman"/>
                <w:color w:val="000000"/>
                <w:kern w:val="0"/>
                <w:sz w:val="32"/>
                <w:szCs w:val="32"/>
                <w:lang w:eastAsia="en-GB"/>
                <w14:ligatures w14:val="none"/>
              </w:rPr>
              <w:t xml:space="preserve"> Analysis</w:t>
            </w:r>
          </w:p>
        </w:tc>
        <w:tc>
          <w:tcPr>
            <w:tcW w:w="2883" w:type="dxa"/>
            <w:hideMark/>
          </w:tcPr>
          <w:p w14:paraId="3DEA0779"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Formulas</w:t>
            </w:r>
          </w:p>
        </w:tc>
        <w:tc>
          <w:tcPr>
            <w:tcW w:w="1096" w:type="dxa"/>
            <w:noWrap/>
            <w:hideMark/>
          </w:tcPr>
          <w:p w14:paraId="562D7FE7"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2025</w:t>
            </w:r>
          </w:p>
        </w:tc>
        <w:tc>
          <w:tcPr>
            <w:tcW w:w="1096" w:type="dxa"/>
            <w:noWrap/>
            <w:hideMark/>
          </w:tcPr>
          <w:p w14:paraId="2A909DAE"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2024</w:t>
            </w:r>
          </w:p>
        </w:tc>
        <w:tc>
          <w:tcPr>
            <w:tcW w:w="1096" w:type="dxa"/>
            <w:noWrap/>
            <w:hideMark/>
          </w:tcPr>
          <w:p w14:paraId="08FDF11C"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2023</w:t>
            </w:r>
          </w:p>
        </w:tc>
        <w:tc>
          <w:tcPr>
            <w:tcW w:w="1096" w:type="dxa"/>
            <w:noWrap/>
            <w:hideMark/>
          </w:tcPr>
          <w:p w14:paraId="11176AEF"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2022</w:t>
            </w:r>
          </w:p>
        </w:tc>
        <w:tc>
          <w:tcPr>
            <w:tcW w:w="986" w:type="dxa"/>
            <w:noWrap/>
            <w:hideMark/>
          </w:tcPr>
          <w:p w14:paraId="4A6E094C" w14:textId="77777777" w:rsidR="002A7906" w:rsidRPr="00034F05" w:rsidRDefault="002A7906" w:rsidP="002A790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2021</w:t>
            </w:r>
          </w:p>
        </w:tc>
      </w:tr>
      <w:tr w:rsidR="00160626" w:rsidRPr="00034F05" w14:paraId="5B771659" w14:textId="77777777" w:rsidTr="00160626">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995" w:type="dxa"/>
            <w:noWrap/>
            <w:hideMark/>
          </w:tcPr>
          <w:p w14:paraId="7051E3F4" w14:textId="77777777" w:rsidR="002A7906" w:rsidRPr="00034F05" w:rsidRDefault="002A7906" w:rsidP="002A7906">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Operating cash flow</w:t>
            </w:r>
          </w:p>
        </w:tc>
        <w:tc>
          <w:tcPr>
            <w:tcW w:w="2883" w:type="dxa"/>
            <w:hideMark/>
          </w:tcPr>
          <w:p w14:paraId="10A30B4B"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Net Income + Non-Cash Expenses (Depreciation/Amortization) - Increase in Working Capital.</w:t>
            </w:r>
          </w:p>
        </w:tc>
        <w:tc>
          <w:tcPr>
            <w:tcW w:w="1096" w:type="dxa"/>
            <w:noWrap/>
            <w:hideMark/>
          </w:tcPr>
          <w:p w14:paraId="59F4F544"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-5991270</w:t>
            </w:r>
          </w:p>
        </w:tc>
        <w:tc>
          <w:tcPr>
            <w:tcW w:w="1096" w:type="dxa"/>
            <w:noWrap/>
            <w:hideMark/>
          </w:tcPr>
          <w:p w14:paraId="25721450"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-5661641</w:t>
            </w:r>
          </w:p>
        </w:tc>
        <w:tc>
          <w:tcPr>
            <w:tcW w:w="1096" w:type="dxa"/>
            <w:noWrap/>
            <w:hideMark/>
          </w:tcPr>
          <w:p w14:paraId="2481F60A"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-2518760</w:t>
            </w:r>
          </w:p>
        </w:tc>
        <w:tc>
          <w:tcPr>
            <w:tcW w:w="1096" w:type="dxa"/>
            <w:noWrap/>
            <w:hideMark/>
          </w:tcPr>
          <w:p w14:paraId="28C8A138"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10627311</w:t>
            </w:r>
          </w:p>
        </w:tc>
        <w:tc>
          <w:tcPr>
            <w:tcW w:w="986" w:type="dxa"/>
            <w:noWrap/>
            <w:hideMark/>
          </w:tcPr>
          <w:p w14:paraId="33DDB50A"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-1176416</w:t>
            </w:r>
          </w:p>
        </w:tc>
      </w:tr>
      <w:tr w:rsidR="00160626" w:rsidRPr="00034F05" w14:paraId="22A21E67" w14:textId="77777777" w:rsidTr="00160626">
        <w:trPr>
          <w:trHeight w:val="462"/>
        </w:trPr>
        <w:tc>
          <w:tcPr>
            <w:cnfStyle w:val="001000000000" w:firstRow="0" w:lastRow="0" w:firstColumn="1" w:lastColumn="0" w:oddVBand="0" w:evenVBand="0" w:oddHBand="0" w:evenHBand="0" w:firstRowFirstColumn="0" w:firstRowLastColumn="0" w:lastRowFirstColumn="0" w:lastRowLastColumn="0"/>
            <w:tcW w:w="1995" w:type="dxa"/>
            <w:noWrap/>
            <w:hideMark/>
          </w:tcPr>
          <w:p w14:paraId="02A14CBF" w14:textId="77777777" w:rsidR="002A7906" w:rsidRPr="00034F05" w:rsidRDefault="002A7906" w:rsidP="002A7906">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Free cash flow</w:t>
            </w:r>
          </w:p>
        </w:tc>
        <w:tc>
          <w:tcPr>
            <w:tcW w:w="2883" w:type="dxa"/>
            <w:hideMark/>
          </w:tcPr>
          <w:p w14:paraId="0109EAE5" w14:textId="77777777" w:rsidR="002A7906" w:rsidRPr="00034F05" w:rsidRDefault="002A7906" w:rsidP="002A79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Operating Cash Flow (OCF) - Capital Expenditures (</w:t>
            </w:r>
            <w:proofErr w:type="spellStart"/>
            <w:r w:rsidRPr="00034F05">
              <w:rPr>
                <w:rFonts w:ascii="Times New Roman" w:eastAsia="Times New Roman" w:hAnsi="Times New Roman" w:cs="Times New Roman"/>
                <w:color w:val="000000"/>
                <w:kern w:val="0"/>
                <w:lang w:eastAsia="en-GB"/>
                <w14:ligatures w14:val="none"/>
              </w:rPr>
              <w:t>CapEx</w:t>
            </w:r>
            <w:proofErr w:type="spellEnd"/>
            <w:r w:rsidRPr="00034F05">
              <w:rPr>
                <w:rFonts w:ascii="Times New Roman" w:eastAsia="Times New Roman" w:hAnsi="Times New Roman" w:cs="Times New Roman"/>
                <w:color w:val="000000"/>
                <w:kern w:val="0"/>
                <w:lang w:eastAsia="en-GB"/>
                <w14:ligatures w14:val="none"/>
              </w:rPr>
              <w:t>)</w:t>
            </w:r>
          </w:p>
        </w:tc>
        <w:tc>
          <w:tcPr>
            <w:tcW w:w="1096" w:type="dxa"/>
            <w:noWrap/>
            <w:hideMark/>
          </w:tcPr>
          <w:p w14:paraId="74850CD0"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-17061126</w:t>
            </w:r>
          </w:p>
        </w:tc>
        <w:tc>
          <w:tcPr>
            <w:tcW w:w="1096" w:type="dxa"/>
            <w:noWrap/>
            <w:hideMark/>
          </w:tcPr>
          <w:p w14:paraId="2F496C30"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-16029096</w:t>
            </w:r>
          </w:p>
        </w:tc>
        <w:tc>
          <w:tcPr>
            <w:tcW w:w="1096" w:type="dxa"/>
            <w:noWrap/>
            <w:hideMark/>
          </w:tcPr>
          <w:p w14:paraId="2EC83200"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-11369941</w:t>
            </w:r>
          </w:p>
        </w:tc>
        <w:tc>
          <w:tcPr>
            <w:tcW w:w="1096" w:type="dxa"/>
            <w:noWrap/>
            <w:hideMark/>
          </w:tcPr>
          <w:p w14:paraId="5132E531"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4893609</w:t>
            </w:r>
          </w:p>
        </w:tc>
        <w:tc>
          <w:tcPr>
            <w:tcW w:w="986" w:type="dxa"/>
            <w:noWrap/>
            <w:hideMark/>
          </w:tcPr>
          <w:p w14:paraId="288F75AC" w14:textId="77777777" w:rsidR="002A7906" w:rsidRPr="00034F05" w:rsidRDefault="002A7906" w:rsidP="002A7906">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-7037743</w:t>
            </w:r>
          </w:p>
        </w:tc>
      </w:tr>
      <w:tr w:rsidR="00160626" w:rsidRPr="00034F05" w14:paraId="6ED3BF95" w14:textId="77777777" w:rsidTr="00160626">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995" w:type="dxa"/>
            <w:noWrap/>
            <w:hideMark/>
          </w:tcPr>
          <w:p w14:paraId="407523DE" w14:textId="77777777" w:rsidR="002A7906" w:rsidRPr="00034F05" w:rsidRDefault="002A7906" w:rsidP="002A7906">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Cash flow adequacy</w:t>
            </w:r>
          </w:p>
        </w:tc>
        <w:tc>
          <w:tcPr>
            <w:tcW w:w="2883" w:type="dxa"/>
            <w:hideMark/>
          </w:tcPr>
          <w:p w14:paraId="68EDDC4E" w14:textId="77777777" w:rsidR="002A7906" w:rsidRPr="00034F05" w:rsidRDefault="002A7906" w:rsidP="002A790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Operating cash flow/ (capital expenditure + Debt repayment + Dividend)</w:t>
            </w:r>
          </w:p>
        </w:tc>
        <w:tc>
          <w:tcPr>
            <w:tcW w:w="1096" w:type="dxa"/>
            <w:noWrap/>
            <w:hideMark/>
          </w:tcPr>
          <w:p w14:paraId="08298251"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-0.09</w:t>
            </w:r>
          </w:p>
        </w:tc>
        <w:tc>
          <w:tcPr>
            <w:tcW w:w="1096" w:type="dxa"/>
            <w:noWrap/>
            <w:hideMark/>
          </w:tcPr>
          <w:p w14:paraId="3B791912"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-0.09</w:t>
            </w:r>
          </w:p>
        </w:tc>
        <w:tc>
          <w:tcPr>
            <w:tcW w:w="1096" w:type="dxa"/>
            <w:noWrap/>
            <w:hideMark/>
          </w:tcPr>
          <w:p w14:paraId="2FC3917F"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-0.05</w:t>
            </w:r>
          </w:p>
        </w:tc>
        <w:tc>
          <w:tcPr>
            <w:tcW w:w="1096" w:type="dxa"/>
            <w:noWrap/>
            <w:hideMark/>
          </w:tcPr>
          <w:p w14:paraId="7CB17353"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0.29</w:t>
            </w:r>
          </w:p>
        </w:tc>
        <w:tc>
          <w:tcPr>
            <w:tcW w:w="986" w:type="dxa"/>
            <w:noWrap/>
            <w:hideMark/>
          </w:tcPr>
          <w:p w14:paraId="3EA22E37" w14:textId="77777777" w:rsidR="002A7906" w:rsidRPr="00034F05" w:rsidRDefault="002A7906" w:rsidP="002A7906">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-0.03</w:t>
            </w:r>
          </w:p>
        </w:tc>
      </w:tr>
    </w:tbl>
    <w:p w14:paraId="16B9EF6B" w14:textId="77777777" w:rsidR="002A7906" w:rsidRPr="00034F05" w:rsidRDefault="002A7906" w:rsidP="006C2C18">
      <w:pPr>
        <w:rPr>
          <w:rFonts w:ascii="Times New Roman" w:hAnsi="Times New Roman" w:cs="Times New Roman"/>
        </w:rPr>
      </w:pPr>
    </w:p>
    <w:p w14:paraId="6930FECD" w14:textId="1463F21E" w:rsidR="00D52990" w:rsidRPr="00034F05" w:rsidRDefault="00D52990" w:rsidP="00D52990">
      <w:pPr>
        <w:jc w:val="center"/>
        <w:rPr>
          <w:rFonts w:ascii="Times New Roman" w:hAnsi="Times New Roman" w:cs="Times New Roman"/>
        </w:rPr>
      </w:pPr>
      <w:r w:rsidRPr="00034F05">
        <w:rPr>
          <w:rFonts w:ascii="Times New Roman" w:hAnsi="Times New Roman" w:cs="Times New Roman"/>
          <w:noProof/>
          <w:lang w:val="en-US"/>
        </w:rPr>
        <w:drawing>
          <wp:inline distT="0" distB="0" distL="0" distR="0" wp14:anchorId="38E94BF7" wp14:editId="71937533">
            <wp:extent cx="5886035" cy="3733800"/>
            <wp:effectExtent l="0" t="0" r="635" b="0"/>
            <wp:docPr id="13890644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4866" cy="3739402"/>
                    </a:xfrm>
                    <a:prstGeom prst="rect">
                      <a:avLst/>
                    </a:prstGeom>
                    <a:noFill/>
                  </pic:spPr>
                </pic:pic>
              </a:graphicData>
            </a:graphic>
          </wp:inline>
        </w:drawing>
      </w:r>
    </w:p>
    <w:p w14:paraId="1CCBC5E0" w14:textId="7A5BD1E6" w:rsidR="00291C82" w:rsidRPr="00034F05" w:rsidRDefault="00291C82" w:rsidP="006C2C18">
      <w:pPr>
        <w:rPr>
          <w:rFonts w:ascii="Times New Roman" w:hAnsi="Times New Roman" w:cs="Times New Roman"/>
        </w:rPr>
      </w:pPr>
    </w:p>
    <w:p w14:paraId="2F90583F" w14:textId="337327CB" w:rsidR="00034F05" w:rsidRPr="00034F05" w:rsidRDefault="00034F05">
      <w:pPr>
        <w:rPr>
          <w:rFonts w:ascii="Times New Roman" w:hAnsi="Times New Roman" w:cs="Times New Roman"/>
        </w:rPr>
      </w:pPr>
      <w:r w:rsidRPr="00034F05">
        <w:rPr>
          <w:rFonts w:ascii="Times New Roman" w:hAnsi="Times New Roman" w:cs="Times New Roman"/>
        </w:rPr>
        <w:br w:type="page"/>
      </w:r>
    </w:p>
    <w:p w14:paraId="25606979" w14:textId="574DA1B1" w:rsidR="00FC0041" w:rsidRPr="00034F05" w:rsidRDefault="00FC0041" w:rsidP="00034F05">
      <w:pPr>
        <w:pStyle w:val="Heading2"/>
        <w:rPr>
          <w:rFonts w:cs="Times New Roman"/>
        </w:rPr>
      </w:pPr>
      <w:bookmarkStart w:id="57" w:name="_Toc227925007"/>
      <w:r w:rsidRPr="00034F05">
        <w:rPr>
          <w:rFonts w:cs="Times New Roman"/>
        </w:rPr>
        <w:lastRenderedPageBreak/>
        <w:t>Appendix G:</w:t>
      </w:r>
      <w:r w:rsidR="00034F05" w:rsidRPr="00034F05">
        <w:rPr>
          <w:rFonts w:cs="Times New Roman"/>
        </w:rPr>
        <w:t xml:space="preserve"> Working Capital Management Analysis</w:t>
      </w:r>
      <w:bookmarkEnd w:id="57"/>
    </w:p>
    <w:tbl>
      <w:tblPr>
        <w:tblStyle w:val="GridTable4-Accent1"/>
        <w:tblW w:w="9070" w:type="dxa"/>
        <w:tblLook w:val="04A0" w:firstRow="1" w:lastRow="0" w:firstColumn="1" w:lastColumn="0" w:noHBand="0" w:noVBand="1"/>
      </w:tblPr>
      <w:tblGrid>
        <w:gridCol w:w="2028"/>
        <w:gridCol w:w="3772"/>
        <w:gridCol w:w="696"/>
        <w:gridCol w:w="696"/>
        <w:gridCol w:w="696"/>
        <w:gridCol w:w="696"/>
        <w:gridCol w:w="696"/>
      </w:tblGrid>
      <w:tr w:rsidR="00FC0041" w:rsidRPr="00034F05" w14:paraId="7886C735" w14:textId="77777777" w:rsidTr="00FC0041">
        <w:trPr>
          <w:cnfStyle w:val="100000000000" w:firstRow="1" w:lastRow="0" w:firstColumn="0" w:lastColumn="0" w:oddVBand="0" w:evenVBand="0" w:oddHBand="0"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028" w:type="dxa"/>
            <w:noWrap/>
            <w:hideMark/>
          </w:tcPr>
          <w:p w14:paraId="55657B2D" w14:textId="77777777" w:rsidR="00FC0041" w:rsidRPr="00034F05" w:rsidRDefault="00FC0041" w:rsidP="00FC0041">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 </w:t>
            </w:r>
          </w:p>
        </w:tc>
        <w:tc>
          <w:tcPr>
            <w:tcW w:w="3772" w:type="dxa"/>
            <w:noWrap/>
            <w:hideMark/>
          </w:tcPr>
          <w:p w14:paraId="31334CA8" w14:textId="77777777" w:rsidR="00FC0041" w:rsidRPr="00034F05" w:rsidRDefault="00FC0041" w:rsidP="00FC0041">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 </w:t>
            </w:r>
          </w:p>
        </w:tc>
        <w:tc>
          <w:tcPr>
            <w:tcW w:w="660" w:type="dxa"/>
            <w:noWrap/>
            <w:hideMark/>
          </w:tcPr>
          <w:p w14:paraId="1810A4AC" w14:textId="77777777" w:rsidR="00FC0041" w:rsidRPr="00034F05" w:rsidRDefault="00FC0041" w:rsidP="00FC0041">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2025</w:t>
            </w:r>
          </w:p>
        </w:tc>
        <w:tc>
          <w:tcPr>
            <w:tcW w:w="660" w:type="dxa"/>
            <w:noWrap/>
            <w:hideMark/>
          </w:tcPr>
          <w:p w14:paraId="518A1394" w14:textId="77777777" w:rsidR="00FC0041" w:rsidRPr="00034F05" w:rsidRDefault="00FC0041" w:rsidP="00FC0041">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2024</w:t>
            </w:r>
          </w:p>
        </w:tc>
        <w:tc>
          <w:tcPr>
            <w:tcW w:w="660" w:type="dxa"/>
            <w:noWrap/>
            <w:hideMark/>
          </w:tcPr>
          <w:p w14:paraId="391DFE57" w14:textId="77777777" w:rsidR="00FC0041" w:rsidRPr="00034F05" w:rsidRDefault="00FC0041" w:rsidP="00FC0041">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2023</w:t>
            </w:r>
          </w:p>
        </w:tc>
        <w:tc>
          <w:tcPr>
            <w:tcW w:w="660" w:type="dxa"/>
            <w:noWrap/>
            <w:hideMark/>
          </w:tcPr>
          <w:p w14:paraId="4EB326D2" w14:textId="77777777" w:rsidR="00FC0041" w:rsidRPr="00034F05" w:rsidRDefault="00FC0041" w:rsidP="00FC0041">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2022</w:t>
            </w:r>
          </w:p>
        </w:tc>
        <w:tc>
          <w:tcPr>
            <w:tcW w:w="630" w:type="dxa"/>
            <w:noWrap/>
            <w:hideMark/>
          </w:tcPr>
          <w:p w14:paraId="49E5309D" w14:textId="77777777" w:rsidR="00FC0041" w:rsidRPr="00034F05" w:rsidRDefault="00FC0041" w:rsidP="00FC0041">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2021</w:t>
            </w:r>
          </w:p>
        </w:tc>
      </w:tr>
      <w:tr w:rsidR="00FC0041" w:rsidRPr="00034F05" w14:paraId="2BA711F8" w14:textId="77777777" w:rsidTr="00FC0041">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028" w:type="dxa"/>
            <w:noWrap/>
            <w:hideMark/>
          </w:tcPr>
          <w:p w14:paraId="659523BA" w14:textId="77777777" w:rsidR="00FC0041" w:rsidRPr="00034F05" w:rsidRDefault="00FC0041" w:rsidP="00FC0041">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Inventory Days</w:t>
            </w:r>
          </w:p>
        </w:tc>
        <w:tc>
          <w:tcPr>
            <w:tcW w:w="3772" w:type="dxa"/>
            <w:noWrap/>
            <w:hideMark/>
          </w:tcPr>
          <w:p w14:paraId="258890EE" w14:textId="3B3ECBE8" w:rsidR="00FC0041" w:rsidRPr="00034F05" w:rsidRDefault="00FC0041" w:rsidP="00FC00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(Inventory/COGS) *365</w:t>
            </w:r>
          </w:p>
        </w:tc>
        <w:tc>
          <w:tcPr>
            <w:tcW w:w="660" w:type="dxa"/>
            <w:noWrap/>
            <w:hideMark/>
          </w:tcPr>
          <w:p w14:paraId="032CC5B1"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49.6</w:t>
            </w:r>
          </w:p>
        </w:tc>
        <w:tc>
          <w:tcPr>
            <w:tcW w:w="660" w:type="dxa"/>
            <w:noWrap/>
            <w:hideMark/>
          </w:tcPr>
          <w:p w14:paraId="67A8D8DC"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51.8</w:t>
            </w:r>
          </w:p>
        </w:tc>
        <w:tc>
          <w:tcPr>
            <w:tcW w:w="660" w:type="dxa"/>
            <w:noWrap/>
            <w:hideMark/>
          </w:tcPr>
          <w:p w14:paraId="53946DA7"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49.1</w:t>
            </w:r>
          </w:p>
        </w:tc>
        <w:tc>
          <w:tcPr>
            <w:tcW w:w="660" w:type="dxa"/>
            <w:noWrap/>
            <w:hideMark/>
          </w:tcPr>
          <w:p w14:paraId="003F8892"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45.6</w:t>
            </w:r>
          </w:p>
        </w:tc>
        <w:tc>
          <w:tcPr>
            <w:tcW w:w="630" w:type="dxa"/>
            <w:noWrap/>
            <w:hideMark/>
          </w:tcPr>
          <w:p w14:paraId="206707E8"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44.4</w:t>
            </w:r>
          </w:p>
        </w:tc>
      </w:tr>
      <w:tr w:rsidR="00FC0041" w:rsidRPr="00034F05" w14:paraId="5D451AA0" w14:textId="77777777" w:rsidTr="00FC0041">
        <w:trPr>
          <w:trHeight w:val="633"/>
        </w:trPr>
        <w:tc>
          <w:tcPr>
            <w:cnfStyle w:val="001000000000" w:firstRow="0" w:lastRow="0" w:firstColumn="1" w:lastColumn="0" w:oddVBand="0" w:evenVBand="0" w:oddHBand="0" w:evenHBand="0" w:firstRowFirstColumn="0" w:firstRowLastColumn="0" w:lastRowFirstColumn="0" w:lastRowLastColumn="0"/>
            <w:tcW w:w="2028" w:type="dxa"/>
            <w:noWrap/>
            <w:hideMark/>
          </w:tcPr>
          <w:p w14:paraId="43693248" w14:textId="77777777" w:rsidR="00FC0041" w:rsidRPr="00034F05" w:rsidRDefault="00FC0041" w:rsidP="00FC0041">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Receivable Days</w:t>
            </w:r>
          </w:p>
        </w:tc>
        <w:tc>
          <w:tcPr>
            <w:tcW w:w="3772" w:type="dxa"/>
            <w:noWrap/>
            <w:hideMark/>
          </w:tcPr>
          <w:p w14:paraId="35BAD02B" w14:textId="5BD82DA4" w:rsidR="00FC0041" w:rsidRPr="00034F05" w:rsidRDefault="00FC0041" w:rsidP="00FC00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(Receivable/Revenue) *365</w:t>
            </w:r>
          </w:p>
        </w:tc>
        <w:tc>
          <w:tcPr>
            <w:tcW w:w="660" w:type="dxa"/>
            <w:noWrap/>
            <w:hideMark/>
          </w:tcPr>
          <w:p w14:paraId="5AD0DD8F"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25.9</w:t>
            </w:r>
          </w:p>
        </w:tc>
        <w:tc>
          <w:tcPr>
            <w:tcW w:w="660" w:type="dxa"/>
            <w:noWrap/>
            <w:hideMark/>
          </w:tcPr>
          <w:p w14:paraId="19D08BEC"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20.1</w:t>
            </w:r>
          </w:p>
        </w:tc>
        <w:tc>
          <w:tcPr>
            <w:tcW w:w="660" w:type="dxa"/>
            <w:noWrap/>
            <w:hideMark/>
          </w:tcPr>
          <w:p w14:paraId="70948F75"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18.2</w:t>
            </w:r>
          </w:p>
        </w:tc>
        <w:tc>
          <w:tcPr>
            <w:tcW w:w="660" w:type="dxa"/>
            <w:noWrap/>
            <w:hideMark/>
          </w:tcPr>
          <w:p w14:paraId="0E507A96"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22.4</w:t>
            </w:r>
          </w:p>
        </w:tc>
        <w:tc>
          <w:tcPr>
            <w:tcW w:w="630" w:type="dxa"/>
            <w:noWrap/>
            <w:hideMark/>
          </w:tcPr>
          <w:p w14:paraId="407B825E"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22.9</w:t>
            </w:r>
          </w:p>
        </w:tc>
      </w:tr>
      <w:tr w:rsidR="00FC0041" w:rsidRPr="00034F05" w14:paraId="2B889FFC" w14:textId="77777777" w:rsidTr="00FC0041">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028" w:type="dxa"/>
            <w:noWrap/>
            <w:hideMark/>
          </w:tcPr>
          <w:p w14:paraId="3F1B5B18" w14:textId="77777777" w:rsidR="00FC0041" w:rsidRPr="00034F05" w:rsidRDefault="00FC0041" w:rsidP="00FC0041">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Payables Days</w:t>
            </w:r>
          </w:p>
        </w:tc>
        <w:tc>
          <w:tcPr>
            <w:tcW w:w="3772" w:type="dxa"/>
            <w:noWrap/>
            <w:hideMark/>
          </w:tcPr>
          <w:p w14:paraId="178281EF" w14:textId="0C34CA43" w:rsidR="00FC0041" w:rsidRPr="00034F05" w:rsidRDefault="00FC0041" w:rsidP="00FC00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(payable/COGS) *365</w:t>
            </w:r>
          </w:p>
        </w:tc>
        <w:tc>
          <w:tcPr>
            <w:tcW w:w="660" w:type="dxa"/>
            <w:noWrap/>
            <w:hideMark/>
          </w:tcPr>
          <w:p w14:paraId="04BF7BFA"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52.9</w:t>
            </w:r>
          </w:p>
        </w:tc>
        <w:tc>
          <w:tcPr>
            <w:tcW w:w="660" w:type="dxa"/>
            <w:noWrap/>
            <w:hideMark/>
          </w:tcPr>
          <w:p w14:paraId="4103EA9B"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57.8</w:t>
            </w:r>
          </w:p>
        </w:tc>
        <w:tc>
          <w:tcPr>
            <w:tcW w:w="660" w:type="dxa"/>
            <w:noWrap/>
            <w:hideMark/>
          </w:tcPr>
          <w:p w14:paraId="4E4C0C68"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55.4</w:t>
            </w:r>
          </w:p>
        </w:tc>
        <w:tc>
          <w:tcPr>
            <w:tcW w:w="660" w:type="dxa"/>
            <w:noWrap/>
            <w:hideMark/>
          </w:tcPr>
          <w:p w14:paraId="5684D24A"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60.9</w:t>
            </w:r>
          </w:p>
        </w:tc>
        <w:tc>
          <w:tcPr>
            <w:tcW w:w="630" w:type="dxa"/>
            <w:noWrap/>
            <w:hideMark/>
          </w:tcPr>
          <w:p w14:paraId="408438ED" w14:textId="77777777" w:rsidR="00FC0041" w:rsidRPr="00034F05" w:rsidRDefault="00FC0041" w:rsidP="00FC004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59.1</w:t>
            </w:r>
          </w:p>
        </w:tc>
      </w:tr>
      <w:tr w:rsidR="00FC0041" w:rsidRPr="00034F05" w14:paraId="1D3D4E02" w14:textId="77777777" w:rsidTr="00FC0041">
        <w:trPr>
          <w:trHeight w:val="633"/>
        </w:trPr>
        <w:tc>
          <w:tcPr>
            <w:cnfStyle w:val="001000000000" w:firstRow="0" w:lastRow="0" w:firstColumn="1" w:lastColumn="0" w:oddVBand="0" w:evenVBand="0" w:oddHBand="0" w:evenHBand="0" w:firstRowFirstColumn="0" w:firstRowLastColumn="0" w:lastRowFirstColumn="0" w:lastRowLastColumn="0"/>
            <w:tcW w:w="2028" w:type="dxa"/>
            <w:noWrap/>
            <w:hideMark/>
          </w:tcPr>
          <w:p w14:paraId="336E4FC1" w14:textId="77777777" w:rsidR="00FC0041" w:rsidRPr="00034F05" w:rsidRDefault="00FC0041" w:rsidP="00FC0041">
            <w:pP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CCC</w:t>
            </w:r>
          </w:p>
        </w:tc>
        <w:tc>
          <w:tcPr>
            <w:tcW w:w="3772" w:type="dxa"/>
            <w:noWrap/>
            <w:hideMark/>
          </w:tcPr>
          <w:p w14:paraId="29F66459" w14:textId="5B595284" w:rsidR="00FC0041" w:rsidRPr="00034F05" w:rsidRDefault="00FC0041" w:rsidP="00FC00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 xml:space="preserve">(Inventory </w:t>
            </w:r>
            <w:proofErr w:type="spellStart"/>
            <w:r w:rsidRPr="00034F05">
              <w:rPr>
                <w:rFonts w:ascii="Times New Roman" w:eastAsia="Times New Roman" w:hAnsi="Times New Roman" w:cs="Times New Roman"/>
                <w:color w:val="000000"/>
                <w:kern w:val="0"/>
                <w:sz w:val="24"/>
                <w:szCs w:val="24"/>
                <w:lang w:eastAsia="en-GB"/>
                <w14:ligatures w14:val="none"/>
              </w:rPr>
              <w:t>days+Receivable</w:t>
            </w:r>
            <w:proofErr w:type="spellEnd"/>
            <w:r w:rsidRPr="00034F05">
              <w:rPr>
                <w:rFonts w:ascii="Times New Roman" w:eastAsia="Times New Roman" w:hAnsi="Times New Roman" w:cs="Times New Roman"/>
                <w:color w:val="000000"/>
                <w:kern w:val="0"/>
                <w:sz w:val="24"/>
                <w:szCs w:val="24"/>
                <w:lang w:eastAsia="en-GB"/>
                <w14:ligatures w14:val="none"/>
              </w:rPr>
              <w:t xml:space="preserve"> Days-Payable days</w:t>
            </w:r>
          </w:p>
        </w:tc>
        <w:tc>
          <w:tcPr>
            <w:tcW w:w="660" w:type="dxa"/>
            <w:noWrap/>
            <w:hideMark/>
          </w:tcPr>
          <w:p w14:paraId="6C747DE0"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22.6</w:t>
            </w:r>
          </w:p>
        </w:tc>
        <w:tc>
          <w:tcPr>
            <w:tcW w:w="660" w:type="dxa"/>
            <w:noWrap/>
            <w:hideMark/>
          </w:tcPr>
          <w:p w14:paraId="4C0DE885"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14.1</w:t>
            </w:r>
          </w:p>
        </w:tc>
        <w:tc>
          <w:tcPr>
            <w:tcW w:w="660" w:type="dxa"/>
            <w:noWrap/>
            <w:hideMark/>
          </w:tcPr>
          <w:p w14:paraId="4C9E10C1"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11.9</w:t>
            </w:r>
          </w:p>
        </w:tc>
        <w:tc>
          <w:tcPr>
            <w:tcW w:w="660" w:type="dxa"/>
            <w:noWrap/>
            <w:hideMark/>
          </w:tcPr>
          <w:p w14:paraId="66F59F2B"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7.1</w:t>
            </w:r>
          </w:p>
        </w:tc>
        <w:tc>
          <w:tcPr>
            <w:tcW w:w="630" w:type="dxa"/>
            <w:noWrap/>
            <w:hideMark/>
          </w:tcPr>
          <w:p w14:paraId="77E81367" w14:textId="77777777" w:rsidR="00FC0041" w:rsidRPr="00034F05" w:rsidRDefault="00FC0041" w:rsidP="00FC004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8.2</w:t>
            </w:r>
          </w:p>
        </w:tc>
      </w:tr>
    </w:tbl>
    <w:p w14:paraId="39B2722F" w14:textId="77777777" w:rsidR="00FC0041" w:rsidRPr="00034F05" w:rsidRDefault="00FC0041" w:rsidP="006C2C18">
      <w:pPr>
        <w:rPr>
          <w:rFonts w:ascii="Times New Roman" w:hAnsi="Times New Roman" w:cs="Times New Roman"/>
        </w:rPr>
      </w:pPr>
    </w:p>
    <w:p w14:paraId="1F5543AA" w14:textId="4694EB24" w:rsidR="00291C82" w:rsidRPr="00034F05" w:rsidRDefault="00291C82" w:rsidP="00291C82">
      <w:pPr>
        <w:jc w:val="center"/>
        <w:rPr>
          <w:rFonts w:ascii="Times New Roman" w:hAnsi="Times New Roman" w:cs="Times New Roman"/>
        </w:rPr>
      </w:pPr>
      <w:r w:rsidRPr="00034F05">
        <w:rPr>
          <w:rFonts w:ascii="Times New Roman" w:hAnsi="Times New Roman" w:cs="Times New Roman"/>
          <w:noProof/>
          <w:lang w:val="en-US"/>
        </w:rPr>
        <w:drawing>
          <wp:inline distT="0" distB="0" distL="0" distR="0" wp14:anchorId="2C723ED1" wp14:editId="3BC48425">
            <wp:extent cx="5973842" cy="3590925"/>
            <wp:effectExtent l="0" t="0" r="8255" b="0"/>
            <wp:docPr id="4531077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2649" cy="3596219"/>
                    </a:xfrm>
                    <a:prstGeom prst="rect">
                      <a:avLst/>
                    </a:prstGeom>
                    <a:noFill/>
                  </pic:spPr>
                </pic:pic>
              </a:graphicData>
            </a:graphic>
          </wp:inline>
        </w:drawing>
      </w:r>
    </w:p>
    <w:p w14:paraId="351DDE6E" w14:textId="3BE6B72E" w:rsidR="00B03FFA" w:rsidRPr="00034F05" w:rsidRDefault="00B03FFA" w:rsidP="00291C82">
      <w:pPr>
        <w:jc w:val="center"/>
        <w:rPr>
          <w:rFonts w:ascii="Times New Roman" w:hAnsi="Times New Roman" w:cs="Times New Roman"/>
        </w:rPr>
      </w:pPr>
    </w:p>
    <w:p w14:paraId="1D0E3F79" w14:textId="73D37737" w:rsidR="00034F05" w:rsidRPr="00034F05" w:rsidRDefault="00034F05">
      <w:pPr>
        <w:rPr>
          <w:rFonts w:ascii="Times New Roman" w:hAnsi="Times New Roman" w:cs="Times New Roman"/>
        </w:rPr>
      </w:pPr>
      <w:r w:rsidRPr="00034F05">
        <w:rPr>
          <w:rFonts w:ascii="Times New Roman" w:hAnsi="Times New Roman" w:cs="Times New Roman"/>
        </w:rPr>
        <w:br w:type="page"/>
      </w:r>
    </w:p>
    <w:p w14:paraId="3257BE52" w14:textId="21240ED2" w:rsidR="00B03FFA" w:rsidRPr="00034F05" w:rsidRDefault="00B03FFA" w:rsidP="00034F05">
      <w:pPr>
        <w:pStyle w:val="Heading2"/>
        <w:rPr>
          <w:rFonts w:cs="Times New Roman"/>
        </w:rPr>
      </w:pPr>
      <w:bookmarkStart w:id="58" w:name="_Toc227925008"/>
      <w:r w:rsidRPr="00034F05">
        <w:rPr>
          <w:rFonts w:cs="Times New Roman"/>
        </w:rPr>
        <w:lastRenderedPageBreak/>
        <w:t>Appendix H: NPV</w:t>
      </w:r>
      <w:r w:rsidR="00034F05" w:rsidRPr="00034F05">
        <w:rPr>
          <w:rFonts w:cs="Times New Roman"/>
        </w:rPr>
        <w:t xml:space="preserve"> Calculations</w:t>
      </w:r>
      <w:bookmarkEnd w:id="58"/>
    </w:p>
    <w:tbl>
      <w:tblPr>
        <w:tblStyle w:val="GridTable4-Accent1"/>
        <w:tblW w:w="10100" w:type="dxa"/>
        <w:tblLook w:val="04A0" w:firstRow="1" w:lastRow="0" w:firstColumn="1" w:lastColumn="0" w:noHBand="0" w:noVBand="1"/>
      </w:tblPr>
      <w:tblGrid>
        <w:gridCol w:w="1960"/>
        <w:gridCol w:w="1460"/>
        <w:gridCol w:w="1340"/>
        <w:gridCol w:w="989"/>
        <w:gridCol w:w="1280"/>
        <w:gridCol w:w="989"/>
        <w:gridCol w:w="1280"/>
        <w:gridCol w:w="989"/>
      </w:tblGrid>
      <w:tr w:rsidR="00B03FFA" w:rsidRPr="00034F05" w14:paraId="7AA4A11A" w14:textId="77777777" w:rsidTr="00B03FFA">
        <w:trPr>
          <w:cnfStyle w:val="100000000000" w:firstRow="1" w:lastRow="0" w:firstColumn="0" w:lastColumn="0" w:oddVBand="0" w:evenVBand="0" w:oddHBand="0"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1960" w:type="dxa"/>
            <w:hideMark/>
          </w:tcPr>
          <w:p w14:paraId="31FBA011" w14:textId="77777777" w:rsidR="00B03FFA" w:rsidRPr="00034F05" w:rsidRDefault="00B03FFA" w:rsidP="00B03FFA">
            <w:pPr>
              <w:jc w:val="cente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Year</w:t>
            </w:r>
          </w:p>
        </w:tc>
        <w:tc>
          <w:tcPr>
            <w:tcW w:w="1460" w:type="dxa"/>
            <w:hideMark/>
          </w:tcPr>
          <w:p w14:paraId="1D386E6A" w14:textId="14464855"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Discount Factor (10%)</w:t>
            </w:r>
          </w:p>
        </w:tc>
        <w:tc>
          <w:tcPr>
            <w:tcW w:w="1340" w:type="dxa"/>
            <w:hideMark/>
          </w:tcPr>
          <w:p w14:paraId="18F0A1DE"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Cash flow of Project A</w:t>
            </w:r>
          </w:p>
        </w:tc>
        <w:tc>
          <w:tcPr>
            <w:tcW w:w="860" w:type="dxa"/>
            <w:hideMark/>
          </w:tcPr>
          <w:p w14:paraId="627E6E74"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Present value</w:t>
            </w:r>
          </w:p>
        </w:tc>
        <w:tc>
          <w:tcPr>
            <w:tcW w:w="1280" w:type="dxa"/>
            <w:hideMark/>
          </w:tcPr>
          <w:p w14:paraId="276049CF"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Cash flow of Project B</w:t>
            </w:r>
          </w:p>
        </w:tc>
        <w:tc>
          <w:tcPr>
            <w:tcW w:w="960" w:type="dxa"/>
            <w:hideMark/>
          </w:tcPr>
          <w:p w14:paraId="33FC52BB"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Present value</w:t>
            </w:r>
          </w:p>
        </w:tc>
        <w:tc>
          <w:tcPr>
            <w:tcW w:w="1280" w:type="dxa"/>
            <w:hideMark/>
          </w:tcPr>
          <w:p w14:paraId="71FEA32D"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Cash flow of Project C</w:t>
            </w:r>
          </w:p>
        </w:tc>
        <w:tc>
          <w:tcPr>
            <w:tcW w:w="960" w:type="dxa"/>
            <w:hideMark/>
          </w:tcPr>
          <w:p w14:paraId="50C6EDFB"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Present value</w:t>
            </w:r>
          </w:p>
        </w:tc>
      </w:tr>
      <w:tr w:rsidR="00B03FFA" w:rsidRPr="00034F05" w14:paraId="569FADD8" w14:textId="77777777" w:rsidTr="00B03F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18C56A5E"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w:t>
            </w:r>
          </w:p>
        </w:tc>
        <w:tc>
          <w:tcPr>
            <w:tcW w:w="1460" w:type="dxa"/>
            <w:noWrap/>
            <w:hideMark/>
          </w:tcPr>
          <w:p w14:paraId="688E5ECE"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w:t>
            </w:r>
          </w:p>
        </w:tc>
        <w:tc>
          <w:tcPr>
            <w:tcW w:w="1340" w:type="dxa"/>
            <w:noWrap/>
            <w:hideMark/>
          </w:tcPr>
          <w:p w14:paraId="38D7E9B1"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50</w:t>
            </w:r>
          </w:p>
        </w:tc>
        <w:tc>
          <w:tcPr>
            <w:tcW w:w="860" w:type="dxa"/>
            <w:noWrap/>
            <w:hideMark/>
          </w:tcPr>
          <w:p w14:paraId="4E2CF182"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50</w:t>
            </w:r>
          </w:p>
        </w:tc>
        <w:tc>
          <w:tcPr>
            <w:tcW w:w="1280" w:type="dxa"/>
            <w:noWrap/>
            <w:hideMark/>
          </w:tcPr>
          <w:p w14:paraId="2D39E9A3"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50</w:t>
            </w:r>
          </w:p>
        </w:tc>
        <w:tc>
          <w:tcPr>
            <w:tcW w:w="960" w:type="dxa"/>
            <w:noWrap/>
            <w:hideMark/>
          </w:tcPr>
          <w:p w14:paraId="21C4CACA"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50</w:t>
            </w:r>
          </w:p>
        </w:tc>
        <w:tc>
          <w:tcPr>
            <w:tcW w:w="1280" w:type="dxa"/>
            <w:noWrap/>
            <w:hideMark/>
          </w:tcPr>
          <w:p w14:paraId="15A4602E"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50</w:t>
            </w:r>
          </w:p>
        </w:tc>
        <w:tc>
          <w:tcPr>
            <w:tcW w:w="960" w:type="dxa"/>
            <w:noWrap/>
            <w:hideMark/>
          </w:tcPr>
          <w:p w14:paraId="5E0A9269"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50</w:t>
            </w:r>
          </w:p>
        </w:tc>
      </w:tr>
      <w:tr w:rsidR="00B03FFA" w:rsidRPr="00034F05" w14:paraId="270426E1" w14:textId="77777777" w:rsidTr="00B03FFA">
        <w:trPr>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6DD204B"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w:t>
            </w:r>
          </w:p>
        </w:tc>
        <w:tc>
          <w:tcPr>
            <w:tcW w:w="1460" w:type="dxa"/>
            <w:noWrap/>
            <w:hideMark/>
          </w:tcPr>
          <w:p w14:paraId="2C2CBB82"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0.909</w:t>
            </w:r>
          </w:p>
        </w:tc>
        <w:tc>
          <w:tcPr>
            <w:tcW w:w="1340" w:type="dxa"/>
            <w:noWrap/>
            <w:hideMark/>
          </w:tcPr>
          <w:p w14:paraId="4B223109"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860" w:type="dxa"/>
            <w:noWrap/>
            <w:hideMark/>
          </w:tcPr>
          <w:p w14:paraId="79BFF2B1"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9.09</w:t>
            </w:r>
          </w:p>
        </w:tc>
        <w:tc>
          <w:tcPr>
            <w:tcW w:w="1280" w:type="dxa"/>
            <w:noWrap/>
            <w:hideMark/>
          </w:tcPr>
          <w:p w14:paraId="53CE7AFE"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960" w:type="dxa"/>
            <w:noWrap/>
            <w:hideMark/>
          </w:tcPr>
          <w:p w14:paraId="33514481"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9.999</w:t>
            </w:r>
          </w:p>
        </w:tc>
        <w:tc>
          <w:tcPr>
            <w:tcW w:w="1280" w:type="dxa"/>
            <w:noWrap/>
            <w:hideMark/>
          </w:tcPr>
          <w:p w14:paraId="4FBDE7B9"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c>
          <w:tcPr>
            <w:tcW w:w="960" w:type="dxa"/>
            <w:noWrap/>
            <w:hideMark/>
          </w:tcPr>
          <w:p w14:paraId="436F7C66"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4.545</w:t>
            </w:r>
          </w:p>
        </w:tc>
      </w:tr>
      <w:tr w:rsidR="00B03FFA" w:rsidRPr="00034F05" w14:paraId="2F1FFE88" w14:textId="77777777" w:rsidTr="00B03F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655446B3"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w:t>
            </w:r>
          </w:p>
        </w:tc>
        <w:tc>
          <w:tcPr>
            <w:tcW w:w="1460" w:type="dxa"/>
            <w:noWrap/>
            <w:hideMark/>
          </w:tcPr>
          <w:p w14:paraId="6D292D5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0.826</w:t>
            </w:r>
          </w:p>
        </w:tc>
        <w:tc>
          <w:tcPr>
            <w:tcW w:w="1340" w:type="dxa"/>
            <w:noWrap/>
            <w:hideMark/>
          </w:tcPr>
          <w:p w14:paraId="5FBE886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12</w:t>
            </w:r>
          </w:p>
        </w:tc>
        <w:tc>
          <w:tcPr>
            <w:tcW w:w="860" w:type="dxa"/>
            <w:noWrap/>
            <w:hideMark/>
          </w:tcPr>
          <w:p w14:paraId="2B82B64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9.912</w:t>
            </w:r>
          </w:p>
        </w:tc>
        <w:tc>
          <w:tcPr>
            <w:tcW w:w="1280" w:type="dxa"/>
            <w:noWrap/>
            <w:hideMark/>
          </w:tcPr>
          <w:p w14:paraId="509673E4"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960" w:type="dxa"/>
            <w:noWrap/>
            <w:hideMark/>
          </w:tcPr>
          <w:p w14:paraId="36E8C5F9"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9.086</w:t>
            </w:r>
          </w:p>
        </w:tc>
        <w:tc>
          <w:tcPr>
            <w:tcW w:w="1280" w:type="dxa"/>
            <w:noWrap/>
            <w:hideMark/>
          </w:tcPr>
          <w:p w14:paraId="1AFFBAA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960" w:type="dxa"/>
            <w:noWrap/>
            <w:hideMark/>
          </w:tcPr>
          <w:p w14:paraId="5FA74572"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8.26</w:t>
            </w:r>
          </w:p>
        </w:tc>
      </w:tr>
      <w:tr w:rsidR="00B03FFA" w:rsidRPr="00034F05" w14:paraId="0DBC7413" w14:textId="77777777" w:rsidTr="00B03FFA">
        <w:trPr>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79747242"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w:t>
            </w:r>
          </w:p>
        </w:tc>
        <w:tc>
          <w:tcPr>
            <w:tcW w:w="1460" w:type="dxa"/>
            <w:noWrap/>
            <w:hideMark/>
          </w:tcPr>
          <w:p w14:paraId="0350396E"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0.751</w:t>
            </w:r>
          </w:p>
        </w:tc>
        <w:tc>
          <w:tcPr>
            <w:tcW w:w="1340" w:type="dxa"/>
            <w:noWrap/>
            <w:hideMark/>
          </w:tcPr>
          <w:p w14:paraId="37B7D05B"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14</w:t>
            </w:r>
          </w:p>
        </w:tc>
        <w:tc>
          <w:tcPr>
            <w:tcW w:w="860" w:type="dxa"/>
            <w:noWrap/>
            <w:hideMark/>
          </w:tcPr>
          <w:p w14:paraId="21C11106"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10.514</w:t>
            </w:r>
          </w:p>
        </w:tc>
        <w:tc>
          <w:tcPr>
            <w:tcW w:w="1280" w:type="dxa"/>
            <w:noWrap/>
            <w:hideMark/>
          </w:tcPr>
          <w:p w14:paraId="06B6D51F"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960" w:type="dxa"/>
            <w:noWrap/>
            <w:hideMark/>
          </w:tcPr>
          <w:p w14:paraId="2F1AB3BF"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8.261</w:t>
            </w:r>
          </w:p>
        </w:tc>
        <w:tc>
          <w:tcPr>
            <w:tcW w:w="1280" w:type="dxa"/>
            <w:noWrap/>
            <w:hideMark/>
          </w:tcPr>
          <w:p w14:paraId="2E6E63AE"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w:t>
            </w:r>
          </w:p>
        </w:tc>
        <w:tc>
          <w:tcPr>
            <w:tcW w:w="960" w:type="dxa"/>
            <w:noWrap/>
            <w:hideMark/>
          </w:tcPr>
          <w:p w14:paraId="5BF2D404"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15.02</w:t>
            </w:r>
          </w:p>
        </w:tc>
      </w:tr>
      <w:tr w:rsidR="00B03FFA" w:rsidRPr="00034F05" w14:paraId="6C1397A2" w14:textId="77777777" w:rsidTr="00B03F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11BDAF7B"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w:t>
            </w:r>
          </w:p>
        </w:tc>
        <w:tc>
          <w:tcPr>
            <w:tcW w:w="1460" w:type="dxa"/>
            <w:noWrap/>
            <w:hideMark/>
          </w:tcPr>
          <w:p w14:paraId="3501CC77"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0.683</w:t>
            </w:r>
          </w:p>
        </w:tc>
        <w:tc>
          <w:tcPr>
            <w:tcW w:w="1340" w:type="dxa"/>
            <w:noWrap/>
            <w:hideMark/>
          </w:tcPr>
          <w:p w14:paraId="210DAF59"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860" w:type="dxa"/>
            <w:noWrap/>
            <w:hideMark/>
          </w:tcPr>
          <w:p w14:paraId="250CB31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6.83</w:t>
            </w:r>
          </w:p>
        </w:tc>
        <w:tc>
          <w:tcPr>
            <w:tcW w:w="1280" w:type="dxa"/>
            <w:noWrap/>
            <w:hideMark/>
          </w:tcPr>
          <w:p w14:paraId="733E3C75"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960" w:type="dxa"/>
            <w:noWrap/>
            <w:hideMark/>
          </w:tcPr>
          <w:p w14:paraId="35A257EE"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7.513</w:t>
            </w:r>
          </w:p>
        </w:tc>
        <w:tc>
          <w:tcPr>
            <w:tcW w:w="1280" w:type="dxa"/>
            <w:noWrap/>
            <w:hideMark/>
          </w:tcPr>
          <w:p w14:paraId="30141004"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25</w:t>
            </w:r>
          </w:p>
        </w:tc>
        <w:tc>
          <w:tcPr>
            <w:tcW w:w="960" w:type="dxa"/>
            <w:noWrap/>
            <w:hideMark/>
          </w:tcPr>
          <w:p w14:paraId="0CB73908"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17.075</w:t>
            </w:r>
          </w:p>
        </w:tc>
      </w:tr>
      <w:tr w:rsidR="00B03FFA" w:rsidRPr="00034F05" w14:paraId="3087F992" w14:textId="77777777" w:rsidTr="00B03FFA">
        <w:trPr>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46AD16BD"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c>
          <w:tcPr>
            <w:tcW w:w="1460" w:type="dxa"/>
            <w:noWrap/>
            <w:hideMark/>
          </w:tcPr>
          <w:p w14:paraId="794E3848"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0.621</w:t>
            </w:r>
          </w:p>
        </w:tc>
        <w:tc>
          <w:tcPr>
            <w:tcW w:w="1340" w:type="dxa"/>
            <w:noWrap/>
            <w:hideMark/>
          </w:tcPr>
          <w:p w14:paraId="48D22A60"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w:t>
            </w:r>
          </w:p>
        </w:tc>
        <w:tc>
          <w:tcPr>
            <w:tcW w:w="860" w:type="dxa"/>
            <w:noWrap/>
            <w:hideMark/>
          </w:tcPr>
          <w:p w14:paraId="41B08768"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4.968</w:t>
            </w:r>
          </w:p>
        </w:tc>
        <w:tc>
          <w:tcPr>
            <w:tcW w:w="1280" w:type="dxa"/>
            <w:noWrap/>
            <w:hideMark/>
          </w:tcPr>
          <w:p w14:paraId="2C477527"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960" w:type="dxa"/>
            <w:noWrap/>
            <w:hideMark/>
          </w:tcPr>
          <w:p w14:paraId="4C6620E0"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6.831</w:t>
            </w:r>
          </w:p>
        </w:tc>
        <w:tc>
          <w:tcPr>
            <w:tcW w:w="1280" w:type="dxa"/>
            <w:noWrap/>
            <w:hideMark/>
          </w:tcPr>
          <w:p w14:paraId="050804B3"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c>
          <w:tcPr>
            <w:tcW w:w="960" w:type="dxa"/>
            <w:noWrap/>
            <w:hideMark/>
          </w:tcPr>
          <w:p w14:paraId="1FA8F9E8"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3.105</w:t>
            </w:r>
          </w:p>
        </w:tc>
      </w:tr>
      <w:tr w:rsidR="00B03FFA" w:rsidRPr="00034F05" w14:paraId="78B7B4B2" w14:textId="77777777" w:rsidTr="00B03F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6B7E2A08"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Total Present Value</w:t>
            </w:r>
          </w:p>
        </w:tc>
        <w:tc>
          <w:tcPr>
            <w:tcW w:w="1460" w:type="dxa"/>
            <w:noWrap/>
            <w:hideMark/>
          </w:tcPr>
          <w:p w14:paraId="621F667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340" w:type="dxa"/>
            <w:noWrap/>
            <w:hideMark/>
          </w:tcPr>
          <w:p w14:paraId="69ABFE0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860" w:type="dxa"/>
            <w:noWrap/>
            <w:hideMark/>
          </w:tcPr>
          <w:p w14:paraId="063E832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41.314</w:t>
            </w:r>
          </w:p>
        </w:tc>
        <w:tc>
          <w:tcPr>
            <w:tcW w:w="1280" w:type="dxa"/>
            <w:noWrap/>
            <w:hideMark/>
          </w:tcPr>
          <w:p w14:paraId="273B4D9C"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960" w:type="dxa"/>
            <w:noWrap/>
            <w:hideMark/>
          </w:tcPr>
          <w:p w14:paraId="291D219B"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41.69</w:t>
            </w:r>
          </w:p>
        </w:tc>
        <w:tc>
          <w:tcPr>
            <w:tcW w:w="1280" w:type="dxa"/>
            <w:noWrap/>
            <w:hideMark/>
          </w:tcPr>
          <w:p w14:paraId="5D9EF92B"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960" w:type="dxa"/>
            <w:noWrap/>
            <w:hideMark/>
          </w:tcPr>
          <w:p w14:paraId="36C9D9DD"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48.01</w:t>
            </w:r>
          </w:p>
        </w:tc>
      </w:tr>
      <w:tr w:rsidR="00B03FFA" w:rsidRPr="00034F05" w14:paraId="4E688435" w14:textId="77777777" w:rsidTr="00B03FFA">
        <w:trPr>
          <w:trHeight w:val="288"/>
        </w:trPr>
        <w:tc>
          <w:tcPr>
            <w:cnfStyle w:val="001000000000" w:firstRow="0" w:lastRow="0" w:firstColumn="1" w:lastColumn="0" w:oddVBand="0" w:evenVBand="0" w:oddHBand="0" w:evenHBand="0" w:firstRowFirstColumn="0" w:firstRowLastColumn="0" w:lastRowFirstColumn="0" w:lastRowLastColumn="0"/>
            <w:tcW w:w="1960" w:type="dxa"/>
            <w:noWrap/>
            <w:hideMark/>
          </w:tcPr>
          <w:p w14:paraId="3A9C0075"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NPV</w:t>
            </w:r>
          </w:p>
        </w:tc>
        <w:tc>
          <w:tcPr>
            <w:tcW w:w="1460" w:type="dxa"/>
            <w:noWrap/>
            <w:hideMark/>
          </w:tcPr>
          <w:p w14:paraId="0DCA62A5"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340" w:type="dxa"/>
            <w:noWrap/>
            <w:hideMark/>
          </w:tcPr>
          <w:p w14:paraId="28371B20"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860" w:type="dxa"/>
            <w:noWrap/>
            <w:hideMark/>
          </w:tcPr>
          <w:p w14:paraId="65186387"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-8.686</w:t>
            </w:r>
          </w:p>
        </w:tc>
        <w:tc>
          <w:tcPr>
            <w:tcW w:w="1280" w:type="dxa"/>
            <w:noWrap/>
            <w:hideMark/>
          </w:tcPr>
          <w:p w14:paraId="73AF2821"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960" w:type="dxa"/>
            <w:noWrap/>
            <w:hideMark/>
          </w:tcPr>
          <w:p w14:paraId="21A35E05"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-8.31</w:t>
            </w:r>
          </w:p>
        </w:tc>
        <w:tc>
          <w:tcPr>
            <w:tcW w:w="1280" w:type="dxa"/>
            <w:noWrap/>
            <w:hideMark/>
          </w:tcPr>
          <w:p w14:paraId="135AAC2D"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960" w:type="dxa"/>
            <w:noWrap/>
            <w:hideMark/>
          </w:tcPr>
          <w:p w14:paraId="188C0355"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-2.00</w:t>
            </w:r>
          </w:p>
        </w:tc>
      </w:tr>
    </w:tbl>
    <w:p w14:paraId="0B0ECB31" w14:textId="77777777" w:rsidR="00B03FFA" w:rsidRPr="00034F05" w:rsidRDefault="00B03FFA" w:rsidP="00B03FFA">
      <w:pPr>
        <w:rPr>
          <w:rFonts w:ascii="Times New Roman" w:hAnsi="Times New Roman" w:cs="Times New Roman"/>
          <w:sz w:val="24"/>
          <w:szCs w:val="24"/>
        </w:rPr>
      </w:pPr>
    </w:p>
    <w:p w14:paraId="6E46FC34" w14:textId="5186FD6A" w:rsidR="00B03FFA" w:rsidRPr="00034F05" w:rsidRDefault="00B03FFA" w:rsidP="00034F05">
      <w:pPr>
        <w:pStyle w:val="Heading2"/>
        <w:rPr>
          <w:rFonts w:cs="Times New Roman"/>
        </w:rPr>
      </w:pPr>
      <w:bookmarkStart w:id="59" w:name="_Toc227925009"/>
      <w:r w:rsidRPr="00034F05">
        <w:rPr>
          <w:rFonts w:cs="Times New Roman"/>
        </w:rPr>
        <w:t>Appendix I: Payback period</w:t>
      </w:r>
      <w:r w:rsidR="00034F05" w:rsidRPr="00034F05">
        <w:rPr>
          <w:rFonts w:cs="Times New Roman"/>
        </w:rPr>
        <w:t xml:space="preserve"> Calculations</w:t>
      </w:r>
      <w:bookmarkEnd w:id="59"/>
    </w:p>
    <w:tbl>
      <w:tblPr>
        <w:tblStyle w:val="GridTable4-Accent1"/>
        <w:tblW w:w="9393" w:type="dxa"/>
        <w:tblLook w:val="04A0" w:firstRow="1" w:lastRow="0" w:firstColumn="1" w:lastColumn="0" w:noHBand="0" w:noVBand="1"/>
      </w:tblPr>
      <w:tblGrid>
        <w:gridCol w:w="1883"/>
        <w:gridCol w:w="1402"/>
        <w:gridCol w:w="1076"/>
        <w:gridCol w:w="1364"/>
        <w:gridCol w:w="1229"/>
        <w:gridCol w:w="1210"/>
        <w:gridCol w:w="1229"/>
      </w:tblGrid>
      <w:tr w:rsidR="00B03FFA" w:rsidRPr="00034F05" w14:paraId="49FD4B46" w14:textId="77777777" w:rsidTr="00B03FFA">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1883" w:type="dxa"/>
            <w:hideMark/>
          </w:tcPr>
          <w:p w14:paraId="6634D911" w14:textId="77777777" w:rsidR="00B03FFA" w:rsidRPr="00034F05" w:rsidRDefault="00B03FFA" w:rsidP="00B03FFA">
            <w:pPr>
              <w:jc w:val="center"/>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Year</w:t>
            </w:r>
          </w:p>
        </w:tc>
        <w:tc>
          <w:tcPr>
            <w:tcW w:w="1402" w:type="dxa"/>
            <w:hideMark/>
          </w:tcPr>
          <w:p w14:paraId="147859E3"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Cash flow of Project A</w:t>
            </w:r>
          </w:p>
        </w:tc>
        <w:tc>
          <w:tcPr>
            <w:tcW w:w="1076" w:type="dxa"/>
            <w:hideMark/>
          </w:tcPr>
          <w:p w14:paraId="681D24D7" w14:textId="77777777" w:rsidR="00B03FFA" w:rsidRPr="00034F05" w:rsidRDefault="00B03FFA" w:rsidP="00B03FFA">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Cum. Cash flow</w:t>
            </w:r>
          </w:p>
        </w:tc>
        <w:tc>
          <w:tcPr>
            <w:tcW w:w="1364" w:type="dxa"/>
            <w:hideMark/>
          </w:tcPr>
          <w:p w14:paraId="411B41F8"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Cash flow of Project B</w:t>
            </w:r>
          </w:p>
        </w:tc>
        <w:tc>
          <w:tcPr>
            <w:tcW w:w="1229" w:type="dxa"/>
            <w:hideMark/>
          </w:tcPr>
          <w:p w14:paraId="4DBE9638" w14:textId="77777777" w:rsidR="00B03FFA" w:rsidRPr="00034F05" w:rsidRDefault="00B03FFA" w:rsidP="00B03FFA">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Cum. Cash flow</w:t>
            </w:r>
          </w:p>
        </w:tc>
        <w:tc>
          <w:tcPr>
            <w:tcW w:w="1210" w:type="dxa"/>
            <w:hideMark/>
          </w:tcPr>
          <w:p w14:paraId="2395B4FE" w14:textId="77777777" w:rsidR="00B03FFA" w:rsidRPr="00034F05" w:rsidRDefault="00B03FFA" w:rsidP="00B03F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 w:val="24"/>
                <w:szCs w:val="24"/>
                <w:lang w:eastAsia="en-GB"/>
                <w14:ligatures w14:val="none"/>
              </w:rPr>
            </w:pPr>
            <w:r w:rsidRPr="00034F05">
              <w:rPr>
                <w:rFonts w:ascii="Times New Roman" w:eastAsia="Times New Roman" w:hAnsi="Times New Roman" w:cs="Times New Roman"/>
                <w:color w:val="000000"/>
                <w:kern w:val="0"/>
                <w:sz w:val="24"/>
                <w:szCs w:val="24"/>
                <w:lang w:eastAsia="en-GB"/>
                <w14:ligatures w14:val="none"/>
              </w:rPr>
              <w:t>Cash flow of Project C</w:t>
            </w:r>
          </w:p>
        </w:tc>
        <w:tc>
          <w:tcPr>
            <w:tcW w:w="1229" w:type="dxa"/>
            <w:hideMark/>
          </w:tcPr>
          <w:p w14:paraId="414D3529" w14:textId="77777777" w:rsidR="00B03FFA" w:rsidRPr="00034F05" w:rsidRDefault="00B03FFA" w:rsidP="00B03FFA">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Cum. Cash Flow</w:t>
            </w:r>
          </w:p>
        </w:tc>
      </w:tr>
      <w:tr w:rsidR="00B03FFA" w:rsidRPr="00034F05" w14:paraId="48E87548" w14:textId="77777777" w:rsidTr="00B03FFA">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153D8D0E"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402" w:type="dxa"/>
            <w:noWrap/>
            <w:hideMark/>
          </w:tcPr>
          <w:p w14:paraId="755916A4"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076" w:type="dxa"/>
            <w:noWrap/>
            <w:hideMark/>
          </w:tcPr>
          <w:p w14:paraId="75C6997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364" w:type="dxa"/>
            <w:noWrap/>
            <w:hideMark/>
          </w:tcPr>
          <w:p w14:paraId="5EFB8A28"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229" w:type="dxa"/>
            <w:noWrap/>
            <w:hideMark/>
          </w:tcPr>
          <w:p w14:paraId="72F00575"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210" w:type="dxa"/>
            <w:noWrap/>
            <w:hideMark/>
          </w:tcPr>
          <w:p w14:paraId="7D0E4D0A"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c>
          <w:tcPr>
            <w:tcW w:w="1229" w:type="dxa"/>
            <w:noWrap/>
            <w:hideMark/>
          </w:tcPr>
          <w:p w14:paraId="28AE7C6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 </w:t>
            </w:r>
          </w:p>
        </w:tc>
      </w:tr>
      <w:tr w:rsidR="00B03FFA" w:rsidRPr="00034F05" w14:paraId="6C53A1C8" w14:textId="77777777" w:rsidTr="00B03FFA">
        <w:trPr>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18E82586"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w:t>
            </w:r>
          </w:p>
        </w:tc>
        <w:tc>
          <w:tcPr>
            <w:tcW w:w="1402" w:type="dxa"/>
            <w:noWrap/>
            <w:hideMark/>
          </w:tcPr>
          <w:p w14:paraId="1CF43B68"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1076" w:type="dxa"/>
            <w:noWrap/>
            <w:hideMark/>
          </w:tcPr>
          <w:p w14:paraId="6097C152"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1364" w:type="dxa"/>
            <w:noWrap/>
            <w:hideMark/>
          </w:tcPr>
          <w:p w14:paraId="38E05E00"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229" w:type="dxa"/>
            <w:noWrap/>
            <w:hideMark/>
          </w:tcPr>
          <w:p w14:paraId="1282FF78"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210" w:type="dxa"/>
            <w:noWrap/>
            <w:hideMark/>
          </w:tcPr>
          <w:p w14:paraId="468F4D6D"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c>
          <w:tcPr>
            <w:tcW w:w="1229" w:type="dxa"/>
            <w:noWrap/>
            <w:hideMark/>
          </w:tcPr>
          <w:p w14:paraId="029A163C"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r>
      <w:tr w:rsidR="00B03FFA" w:rsidRPr="00034F05" w14:paraId="078AAB6A" w14:textId="77777777" w:rsidTr="00B03FFA">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5F727962"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w:t>
            </w:r>
          </w:p>
        </w:tc>
        <w:tc>
          <w:tcPr>
            <w:tcW w:w="1402" w:type="dxa"/>
            <w:noWrap/>
            <w:hideMark/>
          </w:tcPr>
          <w:p w14:paraId="45A77B98"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12</w:t>
            </w:r>
          </w:p>
        </w:tc>
        <w:tc>
          <w:tcPr>
            <w:tcW w:w="1076" w:type="dxa"/>
            <w:noWrap/>
            <w:hideMark/>
          </w:tcPr>
          <w:p w14:paraId="453D4BA3"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22</w:t>
            </w:r>
          </w:p>
        </w:tc>
        <w:tc>
          <w:tcPr>
            <w:tcW w:w="1364" w:type="dxa"/>
            <w:noWrap/>
            <w:hideMark/>
          </w:tcPr>
          <w:p w14:paraId="5B8B88C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229" w:type="dxa"/>
            <w:noWrap/>
            <w:hideMark/>
          </w:tcPr>
          <w:p w14:paraId="130A141B"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22</w:t>
            </w:r>
          </w:p>
        </w:tc>
        <w:tc>
          <w:tcPr>
            <w:tcW w:w="1210" w:type="dxa"/>
            <w:noWrap/>
            <w:hideMark/>
          </w:tcPr>
          <w:p w14:paraId="04B207EF"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1229" w:type="dxa"/>
            <w:noWrap/>
            <w:hideMark/>
          </w:tcPr>
          <w:p w14:paraId="3CE7112C"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15</w:t>
            </w:r>
          </w:p>
        </w:tc>
      </w:tr>
      <w:tr w:rsidR="00B03FFA" w:rsidRPr="00034F05" w14:paraId="1A392A1C" w14:textId="77777777" w:rsidTr="00B03FFA">
        <w:trPr>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6DDEC098"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w:t>
            </w:r>
          </w:p>
        </w:tc>
        <w:tc>
          <w:tcPr>
            <w:tcW w:w="1402" w:type="dxa"/>
            <w:noWrap/>
            <w:hideMark/>
          </w:tcPr>
          <w:p w14:paraId="158F852D"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14</w:t>
            </w:r>
          </w:p>
        </w:tc>
        <w:tc>
          <w:tcPr>
            <w:tcW w:w="1076" w:type="dxa"/>
            <w:noWrap/>
            <w:hideMark/>
          </w:tcPr>
          <w:p w14:paraId="3DF4CFDD"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36</w:t>
            </w:r>
          </w:p>
        </w:tc>
        <w:tc>
          <w:tcPr>
            <w:tcW w:w="1364" w:type="dxa"/>
            <w:noWrap/>
            <w:hideMark/>
          </w:tcPr>
          <w:p w14:paraId="73D713D2"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229" w:type="dxa"/>
            <w:noWrap/>
            <w:hideMark/>
          </w:tcPr>
          <w:p w14:paraId="1D204485"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33</w:t>
            </w:r>
          </w:p>
        </w:tc>
        <w:tc>
          <w:tcPr>
            <w:tcW w:w="1210" w:type="dxa"/>
            <w:noWrap/>
            <w:hideMark/>
          </w:tcPr>
          <w:p w14:paraId="79F16513"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20</w:t>
            </w:r>
          </w:p>
        </w:tc>
        <w:tc>
          <w:tcPr>
            <w:tcW w:w="1229" w:type="dxa"/>
            <w:noWrap/>
            <w:hideMark/>
          </w:tcPr>
          <w:p w14:paraId="3CBF8409"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35</w:t>
            </w:r>
          </w:p>
        </w:tc>
      </w:tr>
      <w:tr w:rsidR="00B03FFA" w:rsidRPr="00034F05" w14:paraId="703BE4F2" w14:textId="77777777" w:rsidTr="00B03FFA">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1E1129AC"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w:t>
            </w:r>
          </w:p>
        </w:tc>
        <w:tc>
          <w:tcPr>
            <w:tcW w:w="1402" w:type="dxa"/>
            <w:noWrap/>
            <w:hideMark/>
          </w:tcPr>
          <w:p w14:paraId="1378797D"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w:t>
            </w:r>
          </w:p>
        </w:tc>
        <w:tc>
          <w:tcPr>
            <w:tcW w:w="1076" w:type="dxa"/>
            <w:noWrap/>
            <w:hideMark/>
          </w:tcPr>
          <w:p w14:paraId="0FD96743"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46</w:t>
            </w:r>
          </w:p>
        </w:tc>
        <w:tc>
          <w:tcPr>
            <w:tcW w:w="1364" w:type="dxa"/>
            <w:noWrap/>
            <w:hideMark/>
          </w:tcPr>
          <w:p w14:paraId="225B2752"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229" w:type="dxa"/>
            <w:noWrap/>
            <w:hideMark/>
          </w:tcPr>
          <w:p w14:paraId="1E002E3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44</w:t>
            </w:r>
          </w:p>
        </w:tc>
        <w:tc>
          <w:tcPr>
            <w:tcW w:w="1210" w:type="dxa"/>
            <w:noWrap/>
            <w:hideMark/>
          </w:tcPr>
          <w:p w14:paraId="07F8A029"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25</w:t>
            </w:r>
          </w:p>
        </w:tc>
        <w:tc>
          <w:tcPr>
            <w:tcW w:w="1229" w:type="dxa"/>
            <w:noWrap/>
            <w:hideMark/>
          </w:tcPr>
          <w:p w14:paraId="68250BA0"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60</w:t>
            </w:r>
          </w:p>
        </w:tc>
      </w:tr>
      <w:tr w:rsidR="00B03FFA" w:rsidRPr="00034F05" w14:paraId="0BCAC98E" w14:textId="77777777" w:rsidTr="00B03FFA">
        <w:trPr>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44CB005D" w14:textId="77777777" w:rsidR="00B03FFA" w:rsidRPr="00034F05" w:rsidRDefault="00B03FFA" w:rsidP="00B03FFA">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c>
          <w:tcPr>
            <w:tcW w:w="1402" w:type="dxa"/>
            <w:noWrap/>
            <w:hideMark/>
          </w:tcPr>
          <w:p w14:paraId="3AD9D1B8"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w:t>
            </w:r>
          </w:p>
        </w:tc>
        <w:tc>
          <w:tcPr>
            <w:tcW w:w="1076" w:type="dxa"/>
            <w:noWrap/>
            <w:hideMark/>
          </w:tcPr>
          <w:p w14:paraId="514F42D4"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54</w:t>
            </w:r>
          </w:p>
        </w:tc>
        <w:tc>
          <w:tcPr>
            <w:tcW w:w="1364" w:type="dxa"/>
            <w:noWrap/>
            <w:hideMark/>
          </w:tcPr>
          <w:p w14:paraId="68C3A7B0"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229" w:type="dxa"/>
            <w:noWrap/>
            <w:hideMark/>
          </w:tcPr>
          <w:p w14:paraId="350501A0"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55</w:t>
            </w:r>
          </w:p>
        </w:tc>
        <w:tc>
          <w:tcPr>
            <w:tcW w:w="1210" w:type="dxa"/>
            <w:noWrap/>
            <w:hideMark/>
          </w:tcPr>
          <w:p w14:paraId="1C1C262D"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w:t>
            </w:r>
          </w:p>
        </w:tc>
        <w:tc>
          <w:tcPr>
            <w:tcW w:w="1229" w:type="dxa"/>
            <w:noWrap/>
            <w:hideMark/>
          </w:tcPr>
          <w:p w14:paraId="7EF15806" w14:textId="77777777" w:rsidR="00B03FFA" w:rsidRPr="00034F05" w:rsidRDefault="00B03FFA" w:rsidP="00B03F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65</w:t>
            </w:r>
          </w:p>
        </w:tc>
      </w:tr>
      <w:tr w:rsidR="00B03FFA" w:rsidRPr="00034F05" w14:paraId="0F24488E" w14:textId="77777777" w:rsidTr="00B03FFA">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883" w:type="dxa"/>
            <w:noWrap/>
            <w:hideMark/>
          </w:tcPr>
          <w:p w14:paraId="7DA30B4C" w14:textId="77777777" w:rsidR="00B03FFA" w:rsidRPr="00034F05" w:rsidRDefault="00B03FFA" w:rsidP="00B03FFA">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Payback period</w:t>
            </w:r>
          </w:p>
        </w:tc>
        <w:tc>
          <w:tcPr>
            <w:tcW w:w="1402" w:type="dxa"/>
            <w:noWrap/>
            <w:hideMark/>
          </w:tcPr>
          <w:p w14:paraId="72F56415"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1076" w:type="dxa"/>
            <w:noWrap/>
            <w:hideMark/>
          </w:tcPr>
          <w:p w14:paraId="4B0D7509"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4.5</w:t>
            </w:r>
          </w:p>
        </w:tc>
        <w:tc>
          <w:tcPr>
            <w:tcW w:w="1364" w:type="dxa"/>
            <w:noWrap/>
            <w:hideMark/>
          </w:tcPr>
          <w:p w14:paraId="5E4FBA67"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1229" w:type="dxa"/>
            <w:noWrap/>
            <w:hideMark/>
          </w:tcPr>
          <w:p w14:paraId="33AEDCFB"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4.55</w:t>
            </w:r>
          </w:p>
        </w:tc>
        <w:tc>
          <w:tcPr>
            <w:tcW w:w="1210" w:type="dxa"/>
            <w:noWrap/>
            <w:hideMark/>
          </w:tcPr>
          <w:p w14:paraId="566061AC"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 </w:t>
            </w:r>
          </w:p>
        </w:tc>
        <w:tc>
          <w:tcPr>
            <w:tcW w:w="1229" w:type="dxa"/>
            <w:noWrap/>
            <w:hideMark/>
          </w:tcPr>
          <w:p w14:paraId="4A8FF12E" w14:textId="77777777" w:rsidR="00B03FFA" w:rsidRPr="00034F05" w:rsidRDefault="00B03FFA" w:rsidP="00B03F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3.6</w:t>
            </w:r>
          </w:p>
        </w:tc>
      </w:tr>
    </w:tbl>
    <w:p w14:paraId="0F2AC71F" w14:textId="77777777" w:rsidR="00B03FFA" w:rsidRPr="00034F05" w:rsidRDefault="00B03FFA" w:rsidP="00B03FFA">
      <w:pPr>
        <w:rPr>
          <w:rFonts w:ascii="Times New Roman" w:hAnsi="Times New Roman" w:cs="Times New Roman"/>
          <w:sz w:val="24"/>
          <w:szCs w:val="24"/>
        </w:rPr>
      </w:pPr>
    </w:p>
    <w:p w14:paraId="2AAF6112" w14:textId="660E75E1" w:rsidR="00B03FFA" w:rsidRPr="00034F05" w:rsidRDefault="009F32A8" w:rsidP="00034F05">
      <w:pPr>
        <w:pStyle w:val="Heading2"/>
        <w:rPr>
          <w:rFonts w:cs="Times New Roman"/>
        </w:rPr>
      </w:pPr>
      <w:bookmarkStart w:id="60" w:name="_Toc227925010"/>
      <w:r w:rsidRPr="00034F05">
        <w:rPr>
          <w:rFonts w:cs="Times New Roman"/>
        </w:rPr>
        <w:t>Appendix J: ARR</w:t>
      </w:r>
      <w:r w:rsidR="00034F05" w:rsidRPr="00034F05">
        <w:rPr>
          <w:rFonts w:cs="Times New Roman"/>
        </w:rPr>
        <w:t xml:space="preserve"> Calculations</w:t>
      </w:r>
      <w:bookmarkEnd w:id="60"/>
    </w:p>
    <w:tbl>
      <w:tblPr>
        <w:tblStyle w:val="GridTable4-Accent1"/>
        <w:tblW w:w="7240" w:type="dxa"/>
        <w:tblLook w:val="04A0" w:firstRow="1" w:lastRow="0" w:firstColumn="1" w:lastColumn="0" w:noHBand="0" w:noVBand="1"/>
      </w:tblPr>
      <w:tblGrid>
        <w:gridCol w:w="1960"/>
        <w:gridCol w:w="1460"/>
        <w:gridCol w:w="1120"/>
        <w:gridCol w:w="1420"/>
        <w:gridCol w:w="1280"/>
      </w:tblGrid>
      <w:tr w:rsidR="009F32A8" w:rsidRPr="00034F05" w14:paraId="381D88BD" w14:textId="77777777" w:rsidTr="009F32A8">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960" w:type="dxa"/>
            <w:hideMark/>
          </w:tcPr>
          <w:p w14:paraId="37D73FF5" w14:textId="77777777" w:rsidR="009F32A8" w:rsidRPr="00034F05" w:rsidRDefault="009F32A8" w:rsidP="009F32A8">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Project</w:t>
            </w:r>
          </w:p>
        </w:tc>
        <w:tc>
          <w:tcPr>
            <w:tcW w:w="1460" w:type="dxa"/>
            <w:hideMark/>
          </w:tcPr>
          <w:p w14:paraId="57BD6E4C"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Total Cash Flow</w:t>
            </w:r>
          </w:p>
        </w:tc>
        <w:tc>
          <w:tcPr>
            <w:tcW w:w="1120" w:type="dxa"/>
            <w:hideMark/>
          </w:tcPr>
          <w:p w14:paraId="193D40B7"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roofErr w:type="spellStart"/>
            <w:r w:rsidRPr="00034F05">
              <w:rPr>
                <w:rFonts w:ascii="Times New Roman" w:eastAsia="Times New Roman" w:hAnsi="Times New Roman" w:cs="Times New Roman"/>
                <w:color w:val="000000"/>
                <w:kern w:val="0"/>
                <w:lang w:eastAsia="en-GB"/>
                <w14:ligatures w14:val="none"/>
              </w:rPr>
              <w:t>Avg</w:t>
            </w:r>
            <w:proofErr w:type="spellEnd"/>
            <w:r w:rsidRPr="00034F05">
              <w:rPr>
                <w:rFonts w:ascii="Times New Roman" w:eastAsia="Times New Roman" w:hAnsi="Times New Roman" w:cs="Times New Roman"/>
                <w:color w:val="000000"/>
                <w:kern w:val="0"/>
                <w:lang w:eastAsia="en-GB"/>
                <w14:ligatures w14:val="none"/>
              </w:rPr>
              <w:t xml:space="preserve"> Cash Flow</w:t>
            </w:r>
          </w:p>
        </w:tc>
        <w:tc>
          <w:tcPr>
            <w:tcW w:w="1420" w:type="dxa"/>
            <w:hideMark/>
          </w:tcPr>
          <w:p w14:paraId="5DE85D8F"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Profit (–10 dep)</w:t>
            </w:r>
          </w:p>
        </w:tc>
        <w:tc>
          <w:tcPr>
            <w:tcW w:w="1280" w:type="dxa"/>
            <w:hideMark/>
          </w:tcPr>
          <w:p w14:paraId="365A0FD1"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ARR</w:t>
            </w:r>
          </w:p>
        </w:tc>
      </w:tr>
      <w:tr w:rsidR="009F32A8" w:rsidRPr="00034F05" w14:paraId="09B61BFB" w14:textId="77777777" w:rsidTr="009F32A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60137CE5" w14:textId="77777777" w:rsidR="009F32A8" w:rsidRPr="00034F05" w:rsidRDefault="009F32A8" w:rsidP="009F32A8">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A</w:t>
            </w:r>
          </w:p>
        </w:tc>
        <w:tc>
          <w:tcPr>
            <w:tcW w:w="1460" w:type="dxa"/>
            <w:hideMark/>
          </w:tcPr>
          <w:p w14:paraId="66AB4CE8"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54</w:t>
            </w:r>
          </w:p>
        </w:tc>
        <w:tc>
          <w:tcPr>
            <w:tcW w:w="1120" w:type="dxa"/>
            <w:hideMark/>
          </w:tcPr>
          <w:p w14:paraId="54B259D0"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10.8</w:t>
            </w:r>
          </w:p>
        </w:tc>
        <w:tc>
          <w:tcPr>
            <w:tcW w:w="1420" w:type="dxa"/>
            <w:hideMark/>
          </w:tcPr>
          <w:p w14:paraId="592C723A"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0.8</w:t>
            </w:r>
          </w:p>
        </w:tc>
        <w:tc>
          <w:tcPr>
            <w:tcW w:w="1280" w:type="dxa"/>
            <w:hideMark/>
          </w:tcPr>
          <w:p w14:paraId="192709F8"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1.60%</w:t>
            </w:r>
          </w:p>
        </w:tc>
      </w:tr>
      <w:tr w:rsidR="009F32A8" w:rsidRPr="00034F05" w14:paraId="196AFAEA" w14:textId="77777777" w:rsidTr="009F32A8">
        <w:trPr>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2A5C1818" w14:textId="77777777" w:rsidR="009F32A8" w:rsidRPr="00034F05" w:rsidRDefault="009F32A8" w:rsidP="009F32A8">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B</w:t>
            </w:r>
          </w:p>
        </w:tc>
        <w:tc>
          <w:tcPr>
            <w:tcW w:w="1460" w:type="dxa"/>
            <w:hideMark/>
          </w:tcPr>
          <w:p w14:paraId="2A151521" w14:textId="77777777" w:rsidR="009F32A8" w:rsidRPr="00034F05" w:rsidRDefault="009F32A8" w:rsidP="009F3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55</w:t>
            </w:r>
          </w:p>
        </w:tc>
        <w:tc>
          <w:tcPr>
            <w:tcW w:w="1120" w:type="dxa"/>
            <w:hideMark/>
          </w:tcPr>
          <w:p w14:paraId="05D8669D" w14:textId="77777777" w:rsidR="009F32A8" w:rsidRPr="00034F05" w:rsidRDefault="009F32A8" w:rsidP="009F3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11</w:t>
            </w:r>
          </w:p>
        </w:tc>
        <w:tc>
          <w:tcPr>
            <w:tcW w:w="1420" w:type="dxa"/>
            <w:hideMark/>
          </w:tcPr>
          <w:p w14:paraId="59E53D6C" w14:textId="77777777" w:rsidR="009F32A8" w:rsidRPr="00034F05" w:rsidRDefault="009F32A8" w:rsidP="009F3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w:t>
            </w:r>
          </w:p>
        </w:tc>
        <w:tc>
          <w:tcPr>
            <w:tcW w:w="1280" w:type="dxa"/>
            <w:hideMark/>
          </w:tcPr>
          <w:p w14:paraId="4A722E67" w14:textId="77777777" w:rsidR="009F32A8" w:rsidRPr="00034F05" w:rsidRDefault="009F32A8" w:rsidP="009F3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2.00%</w:t>
            </w:r>
          </w:p>
        </w:tc>
      </w:tr>
      <w:tr w:rsidR="009F32A8" w:rsidRPr="00034F05" w14:paraId="69420CBB" w14:textId="77777777" w:rsidTr="009F32A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3828A026" w14:textId="77777777" w:rsidR="009F32A8" w:rsidRPr="00034F05" w:rsidRDefault="009F32A8" w:rsidP="009F32A8">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w:t>
            </w:r>
          </w:p>
        </w:tc>
        <w:tc>
          <w:tcPr>
            <w:tcW w:w="1460" w:type="dxa"/>
            <w:hideMark/>
          </w:tcPr>
          <w:p w14:paraId="0994B40A"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65</w:t>
            </w:r>
          </w:p>
        </w:tc>
        <w:tc>
          <w:tcPr>
            <w:tcW w:w="1120" w:type="dxa"/>
            <w:hideMark/>
          </w:tcPr>
          <w:p w14:paraId="28CB9C21"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13</w:t>
            </w:r>
          </w:p>
        </w:tc>
        <w:tc>
          <w:tcPr>
            <w:tcW w:w="1420" w:type="dxa"/>
            <w:hideMark/>
          </w:tcPr>
          <w:p w14:paraId="2631762E"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3</w:t>
            </w:r>
          </w:p>
        </w:tc>
        <w:tc>
          <w:tcPr>
            <w:tcW w:w="1280" w:type="dxa"/>
            <w:hideMark/>
          </w:tcPr>
          <w:p w14:paraId="528F9488"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6.00%</w:t>
            </w:r>
          </w:p>
        </w:tc>
      </w:tr>
    </w:tbl>
    <w:p w14:paraId="45B49F15" w14:textId="74CBC560" w:rsidR="009F32A8" w:rsidRPr="00034F05" w:rsidRDefault="009F32A8" w:rsidP="00B03FFA">
      <w:pPr>
        <w:rPr>
          <w:rFonts w:ascii="Times New Roman" w:hAnsi="Times New Roman" w:cs="Times New Roman"/>
          <w:sz w:val="24"/>
          <w:szCs w:val="24"/>
        </w:rPr>
      </w:pPr>
    </w:p>
    <w:p w14:paraId="485FDDD3" w14:textId="2C4FD03A"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54805DC8" w14:textId="7516E71C" w:rsidR="009F32A8" w:rsidRPr="00034F05" w:rsidRDefault="009F32A8" w:rsidP="00034F05">
      <w:pPr>
        <w:pStyle w:val="Heading2"/>
        <w:rPr>
          <w:rFonts w:cs="Times New Roman"/>
        </w:rPr>
      </w:pPr>
      <w:bookmarkStart w:id="61" w:name="_Toc227925011"/>
      <w:r w:rsidRPr="00034F05">
        <w:rPr>
          <w:rFonts w:cs="Times New Roman"/>
        </w:rPr>
        <w:lastRenderedPageBreak/>
        <w:t>Appendix K: Profitability index</w:t>
      </w:r>
      <w:bookmarkEnd w:id="61"/>
    </w:p>
    <w:tbl>
      <w:tblPr>
        <w:tblStyle w:val="GridTable4-Accent1"/>
        <w:tblW w:w="4540" w:type="dxa"/>
        <w:tblLook w:val="04A0" w:firstRow="1" w:lastRow="0" w:firstColumn="1" w:lastColumn="0" w:noHBand="0" w:noVBand="1"/>
      </w:tblPr>
      <w:tblGrid>
        <w:gridCol w:w="1960"/>
        <w:gridCol w:w="1460"/>
        <w:gridCol w:w="1120"/>
      </w:tblGrid>
      <w:tr w:rsidR="009F32A8" w:rsidRPr="00034F05" w14:paraId="78B326A5" w14:textId="77777777" w:rsidTr="009F32A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3851B5A4" w14:textId="77777777" w:rsidR="009F32A8" w:rsidRPr="00034F05" w:rsidRDefault="009F32A8" w:rsidP="009F32A8">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Project</w:t>
            </w:r>
          </w:p>
        </w:tc>
        <w:tc>
          <w:tcPr>
            <w:tcW w:w="1460" w:type="dxa"/>
            <w:hideMark/>
          </w:tcPr>
          <w:p w14:paraId="31B2244E"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PV</w:t>
            </w:r>
          </w:p>
        </w:tc>
        <w:tc>
          <w:tcPr>
            <w:tcW w:w="1120" w:type="dxa"/>
            <w:hideMark/>
          </w:tcPr>
          <w:p w14:paraId="1A278201"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PI</w:t>
            </w:r>
          </w:p>
        </w:tc>
      </w:tr>
      <w:tr w:rsidR="009F32A8" w:rsidRPr="00034F05" w14:paraId="33DC95BC" w14:textId="77777777" w:rsidTr="009F32A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0BDE7052" w14:textId="77777777" w:rsidR="009F32A8" w:rsidRPr="00034F05" w:rsidRDefault="009F32A8" w:rsidP="009F32A8">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A</w:t>
            </w:r>
          </w:p>
        </w:tc>
        <w:tc>
          <w:tcPr>
            <w:tcW w:w="1460" w:type="dxa"/>
            <w:hideMark/>
          </w:tcPr>
          <w:p w14:paraId="6F87AE50"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41.31</w:t>
            </w:r>
          </w:p>
        </w:tc>
        <w:tc>
          <w:tcPr>
            <w:tcW w:w="1120" w:type="dxa"/>
            <w:hideMark/>
          </w:tcPr>
          <w:p w14:paraId="43371991" w14:textId="77777777" w:rsidR="009F32A8" w:rsidRPr="00034F05" w:rsidRDefault="009F32A8" w:rsidP="009F32A8">
            <w:pPr>
              <w:ind w:firstLineChars="100" w:firstLine="22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0.83</w:t>
            </w:r>
          </w:p>
        </w:tc>
      </w:tr>
      <w:tr w:rsidR="009F32A8" w:rsidRPr="00034F05" w14:paraId="3C50B60D" w14:textId="77777777" w:rsidTr="009F32A8">
        <w:trPr>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306920C5" w14:textId="77777777" w:rsidR="009F32A8" w:rsidRPr="00034F05" w:rsidRDefault="009F32A8" w:rsidP="009F32A8">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B</w:t>
            </w:r>
          </w:p>
        </w:tc>
        <w:tc>
          <w:tcPr>
            <w:tcW w:w="1460" w:type="dxa"/>
            <w:hideMark/>
          </w:tcPr>
          <w:p w14:paraId="4C1AE661" w14:textId="77777777" w:rsidR="009F32A8" w:rsidRPr="00034F05" w:rsidRDefault="009F32A8" w:rsidP="009F3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41.69</w:t>
            </w:r>
          </w:p>
        </w:tc>
        <w:tc>
          <w:tcPr>
            <w:tcW w:w="1120" w:type="dxa"/>
            <w:hideMark/>
          </w:tcPr>
          <w:p w14:paraId="3F04F5A6" w14:textId="77777777" w:rsidR="009F32A8" w:rsidRPr="00034F05" w:rsidRDefault="009F32A8" w:rsidP="009F32A8">
            <w:pPr>
              <w:ind w:firstLineChars="100" w:firstLine="22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0.83</w:t>
            </w:r>
          </w:p>
        </w:tc>
      </w:tr>
      <w:tr w:rsidR="009F32A8" w:rsidRPr="00034F05" w14:paraId="05F2A5B0" w14:textId="77777777" w:rsidTr="009F32A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7F64D4E7" w14:textId="77777777" w:rsidR="009F32A8" w:rsidRPr="00034F05" w:rsidRDefault="009F32A8" w:rsidP="009F32A8">
            <w:pP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w:t>
            </w:r>
          </w:p>
        </w:tc>
        <w:tc>
          <w:tcPr>
            <w:tcW w:w="1460" w:type="dxa"/>
            <w:hideMark/>
          </w:tcPr>
          <w:p w14:paraId="5A48AD5C" w14:textId="77777777" w:rsidR="009F32A8" w:rsidRPr="00034F05" w:rsidRDefault="009F32A8" w:rsidP="009F32A8">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48.01</w:t>
            </w:r>
          </w:p>
        </w:tc>
        <w:tc>
          <w:tcPr>
            <w:tcW w:w="1120" w:type="dxa"/>
            <w:hideMark/>
          </w:tcPr>
          <w:p w14:paraId="312F7D9C" w14:textId="77777777" w:rsidR="009F32A8" w:rsidRPr="00034F05" w:rsidRDefault="009F32A8" w:rsidP="009F32A8">
            <w:pPr>
              <w:ind w:firstLineChars="100" w:firstLine="22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034F05">
              <w:rPr>
                <w:rFonts w:ascii="Times New Roman" w:eastAsia="Times New Roman" w:hAnsi="Times New Roman" w:cs="Times New Roman"/>
                <w:b/>
                <w:bCs/>
                <w:color w:val="000000"/>
                <w:kern w:val="0"/>
                <w:lang w:eastAsia="en-GB"/>
                <w14:ligatures w14:val="none"/>
              </w:rPr>
              <w:t>0.96</w:t>
            </w:r>
          </w:p>
        </w:tc>
      </w:tr>
    </w:tbl>
    <w:p w14:paraId="7C919634" w14:textId="77777777" w:rsidR="009F32A8" w:rsidRPr="00034F05" w:rsidRDefault="009F32A8" w:rsidP="00B03FFA">
      <w:pPr>
        <w:rPr>
          <w:rFonts w:ascii="Times New Roman" w:hAnsi="Times New Roman" w:cs="Times New Roman"/>
          <w:sz w:val="24"/>
          <w:szCs w:val="24"/>
        </w:rPr>
      </w:pPr>
    </w:p>
    <w:p w14:paraId="55F3E875" w14:textId="443EA358" w:rsidR="009F32A8" w:rsidRPr="00034F05" w:rsidRDefault="009F32A8" w:rsidP="00034F05">
      <w:pPr>
        <w:pStyle w:val="Heading2"/>
        <w:rPr>
          <w:rFonts w:cs="Times New Roman"/>
        </w:rPr>
      </w:pPr>
      <w:bookmarkStart w:id="62" w:name="_Toc227925012"/>
      <w:r w:rsidRPr="00034F05">
        <w:rPr>
          <w:rFonts w:cs="Times New Roman"/>
        </w:rPr>
        <w:t>Appendix L: IRR</w:t>
      </w:r>
      <w:bookmarkEnd w:id="62"/>
    </w:p>
    <w:tbl>
      <w:tblPr>
        <w:tblStyle w:val="GridTable4-Accent1"/>
        <w:tblW w:w="3420" w:type="dxa"/>
        <w:tblLook w:val="04A0" w:firstRow="1" w:lastRow="0" w:firstColumn="1" w:lastColumn="0" w:noHBand="0" w:noVBand="1"/>
      </w:tblPr>
      <w:tblGrid>
        <w:gridCol w:w="1960"/>
        <w:gridCol w:w="1460"/>
      </w:tblGrid>
      <w:tr w:rsidR="009F32A8" w:rsidRPr="00034F05" w14:paraId="55F0FCEF" w14:textId="77777777" w:rsidTr="009F32A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1EFD8044" w14:textId="77777777" w:rsidR="009F32A8" w:rsidRPr="00034F05" w:rsidRDefault="009F32A8" w:rsidP="009F32A8">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Project</w:t>
            </w:r>
          </w:p>
        </w:tc>
        <w:tc>
          <w:tcPr>
            <w:tcW w:w="1460" w:type="dxa"/>
            <w:hideMark/>
          </w:tcPr>
          <w:p w14:paraId="7E2E6BF8" w14:textId="77777777" w:rsidR="009F32A8" w:rsidRPr="00034F05" w:rsidRDefault="009F32A8" w:rsidP="009F3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IRR</w:t>
            </w:r>
          </w:p>
        </w:tc>
      </w:tr>
      <w:tr w:rsidR="009F32A8" w:rsidRPr="00034F05" w14:paraId="4926EC69" w14:textId="77777777" w:rsidTr="009F32A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19242FC6" w14:textId="77777777" w:rsidR="009F32A8" w:rsidRPr="00034F05" w:rsidRDefault="009F32A8" w:rsidP="009F32A8">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A</w:t>
            </w:r>
          </w:p>
        </w:tc>
        <w:tc>
          <w:tcPr>
            <w:tcW w:w="1460" w:type="dxa"/>
            <w:hideMark/>
          </w:tcPr>
          <w:p w14:paraId="1C497555" w14:textId="77777777" w:rsidR="009F32A8" w:rsidRPr="00034F05" w:rsidRDefault="009F32A8" w:rsidP="009F32A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w:t>
            </w:r>
          </w:p>
        </w:tc>
      </w:tr>
      <w:tr w:rsidR="009F32A8" w:rsidRPr="00034F05" w14:paraId="08D35D13" w14:textId="77777777" w:rsidTr="009F32A8">
        <w:trPr>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75484A43" w14:textId="77777777" w:rsidR="009F32A8" w:rsidRPr="00034F05" w:rsidRDefault="009F32A8" w:rsidP="009F32A8">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B</w:t>
            </w:r>
          </w:p>
        </w:tc>
        <w:tc>
          <w:tcPr>
            <w:tcW w:w="1460" w:type="dxa"/>
            <w:hideMark/>
          </w:tcPr>
          <w:p w14:paraId="7155EF89" w14:textId="77777777" w:rsidR="009F32A8" w:rsidRPr="00034F05" w:rsidRDefault="009F32A8" w:rsidP="009F32A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4.50%</w:t>
            </w:r>
          </w:p>
        </w:tc>
      </w:tr>
      <w:tr w:rsidR="009F32A8" w:rsidRPr="00034F05" w14:paraId="133ABA09" w14:textId="77777777" w:rsidTr="009F32A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60" w:type="dxa"/>
            <w:hideMark/>
          </w:tcPr>
          <w:p w14:paraId="2FA65096" w14:textId="77777777" w:rsidR="009F32A8" w:rsidRPr="00034F05" w:rsidRDefault="009F32A8" w:rsidP="009F32A8">
            <w:pPr>
              <w:jc w:val="center"/>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C</w:t>
            </w:r>
          </w:p>
        </w:tc>
        <w:tc>
          <w:tcPr>
            <w:tcW w:w="1460" w:type="dxa"/>
            <w:hideMark/>
          </w:tcPr>
          <w:p w14:paraId="1A6E4431" w14:textId="77777777" w:rsidR="009F32A8" w:rsidRPr="00034F05" w:rsidRDefault="009F32A8" w:rsidP="009F32A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034F05">
              <w:rPr>
                <w:rFonts w:ascii="Times New Roman" w:eastAsia="Times New Roman" w:hAnsi="Times New Roman" w:cs="Times New Roman"/>
                <w:color w:val="000000"/>
                <w:kern w:val="0"/>
                <w:lang w:eastAsia="en-GB"/>
                <w14:ligatures w14:val="none"/>
              </w:rPr>
              <w:t>8%</w:t>
            </w:r>
          </w:p>
        </w:tc>
      </w:tr>
    </w:tbl>
    <w:p w14:paraId="3EB05713" w14:textId="7791445B" w:rsidR="009F32A8" w:rsidRPr="00034F05" w:rsidRDefault="009F32A8" w:rsidP="00B03FFA">
      <w:pPr>
        <w:rPr>
          <w:rFonts w:ascii="Times New Roman" w:hAnsi="Times New Roman" w:cs="Times New Roman"/>
          <w:sz w:val="24"/>
          <w:szCs w:val="24"/>
        </w:rPr>
      </w:pPr>
    </w:p>
    <w:p w14:paraId="1AF8449B" w14:textId="29AEA412" w:rsidR="00034F05" w:rsidRPr="00034F05" w:rsidRDefault="00034F05">
      <w:pPr>
        <w:rPr>
          <w:rFonts w:ascii="Times New Roman" w:hAnsi="Times New Roman" w:cs="Times New Roman"/>
          <w:sz w:val="24"/>
          <w:szCs w:val="24"/>
        </w:rPr>
      </w:pPr>
      <w:r w:rsidRPr="00034F05">
        <w:rPr>
          <w:rFonts w:ascii="Times New Roman" w:hAnsi="Times New Roman" w:cs="Times New Roman"/>
          <w:sz w:val="24"/>
          <w:szCs w:val="24"/>
        </w:rPr>
        <w:br w:type="page"/>
      </w:r>
    </w:p>
    <w:p w14:paraId="2130D9FC" w14:textId="4C736555" w:rsidR="006C70E3" w:rsidRPr="00034F05" w:rsidRDefault="006C70E3" w:rsidP="00034F05">
      <w:pPr>
        <w:pStyle w:val="Heading2"/>
        <w:rPr>
          <w:rFonts w:cs="Times New Roman"/>
        </w:rPr>
      </w:pPr>
      <w:bookmarkStart w:id="63" w:name="_Toc227925013"/>
      <w:r w:rsidRPr="00034F05">
        <w:rPr>
          <w:rFonts w:cs="Times New Roman"/>
        </w:rPr>
        <w:lastRenderedPageBreak/>
        <w:t>Appendix M:</w:t>
      </w:r>
      <w:r w:rsidR="00034F05" w:rsidRPr="00034F05">
        <w:rPr>
          <w:rFonts w:cs="Times New Roman"/>
        </w:rPr>
        <w:t xml:space="preserve"> Financial Statements (Data Source)</w:t>
      </w:r>
      <w:bookmarkEnd w:id="63"/>
    </w:p>
    <w:p w14:paraId="4E753182" w14:textId="775FF37E"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drawing>
          <wp:inline distT="0" distB="0" distL="0" distR="0" wp14:anchorId="370D0DED" wp14:editId="4AF7C4FC">
            <wp:extent cx="5864045" cy="7191375"/>
            <wp:effectExtent l="0" t="0" r="3810" b="0"/>
            <wp:docPr id="3365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2630" name=""/>
                    <pic:cNvPicPr/>
                  </pic:nvPicPr>
                  <pic:blipFill>
                    <a:blip r:embed="rId22"/>
                    <a:stretch>
                      <a:fillRect/>
                    </a:stretch>
                  </pic:blipFill>
                  <pic:spPr>
                    <a:xfrm>
                      <a:off x="0" y="0"/>
                      <a:ext cx="5898278" cy="7233356"/>
                    </a:xfrm>
                    <a:prstGeom prst="rect">
                      <a:avLst/>
                    </a:prstGeom>
                  </pic:spPr>
                </pic:pic>
              </a:graphicData>
            </a:graphic>
          </wp:inline>
        </w:drawing>
      </w:r>
    </w:p>
    <w:p w14:paraId="335BB75E" w14:textId="1E18B4DF"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4BFFD201" wp14:editId="61D63C42">
            <wp:extent cx="5917050" cy="7724775"/>
            <wp:effectExtent l="0" t="0" r="7620" b="0"/>
            <wp:docPr id="18819700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6577" cy="7750268"/>
                    </a:xfrm>
                    <a:prstGeom prst="rect">
                      <a:avLst/>
                    </a:prstGeom>
                    <a:noFill/>
                  </pic:spPr>
                </pic:pic>
              </a:graphicData>
            </a:graphic>
          </wp:inline>
        </w:drawing>
      </w:r>
    </w:p>
    <w:p w14:paraId="451AC1CA" w14:textId="08BB144B"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57B98D17" wp14:editId="241EABE9">
            <wp:extent cx="5884958" cy="5495925"/>
            <wp:effectExtent l="0" t="0" r="1905" b="0"/>
            <wp:docPr id="2312901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5807" cy="5515396"/>
                    </a:xfrm>
                    <a:prstGeom prst="rect">
                      <a:avLst/>
                    </a:prstGeom>
                    <a:noFill/>
                  </pic:spPr>
                </pic:pic>
              </a:graphicData>
            </a:graphic>
          </wp:inline>
        </w:drawing>
      </w:r>
    </w:p>
    <w:p w14:paraId="1CC8598D" w14:textId="5307D6C0"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6EC66E4C" wp14:editId="5B0223A1">
            <wp:extent cx="5867867" cy="6781800"/>
            <wp:effectExtent l="0" t="0" r="0" b="0"/>
            <wp:docPr id="1522095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95437" name=""/>
                    <pic:cNvPicPr/>
                  </pic:nvPicPr>
                  <pic:blipFill>
                    <a:blip r:embed="rId25"/>
                    <a:stretch>
                      <a:fillRect/>
                    </a:stretch>
                  </pic:blipFill>
                  <pic:spPr>
                    <a:xfrm>
                      <a:off x="0" y="0"/>
                      <a:ext cx="5882598" cy="6798826"/>
                    </a:xfrm>
                    <a:prstGeom prst="rect">
                      <a:avLst/>
                    </a:prstGeom>
                  </pic:spPr>
                </pic:pic>
              </a:graphicData>
            </a:graphic>
          </wp:inline>
        </w:drawing>
      </w:r>
    </w:p>
    <w:p w14:paraId="4C8AE7D7" w14:textId="13D8896C"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751C9E57" wp14:editId="76428DD5">
            <wp:extent cx="5855316" cy="5476875"/>
            <wp:effectExtent l="0" t="0" r="0" b="0"/>
            <wp:docPr id="596186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86706" name=""/>
                    <pic:cNvPicPr/>
                  </pic:nvPicPr>
                  <pic:blipFill>
                    <a:blip r:embed="rId26"/>
                    <a:stretch>
                      <a:fillRect/>
                    </a:stretch>
                  </pic:blipFill>
                  <pic:spPr>
                    <a:xfrm>
                      <a:off x="0" y="0"/>
                      <a:ext cx="5881061" cy="5500956"/>
                    </a:xfrm>
                    <a:prstGeom prst="rect">
                      <a:avLst/>
                    </a:prstGeom>
                  </pic:spPr>
                </pic:pic>
              </a:graphicData>
            </a:graphic>
          </wp:inline>
        </w:drawing>
      </w:r>
    </w:p>
    <w:p w14:paraId="20D67765" w14:textId="4CCC5854"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56656728" wp14:editId="01A6EAA6">
            <wp:extent cx="5856364" cy="6429375"/>
            <wp:effectExtent l="0" t="0" r="0" b="0"/>
            <wp:docPr id="182809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97717" name=""/>
                    <pic:cNvPicPr/>
                  </pic:nvPicPr>
                  <pic:blipFill>
                    <a:blip r:embed="rId27"/>
                    <a:stretch>
                      <a:fillRect/>
                    </a:stretch>
                  </pic:blipFill>
                  <pic:spPr>
                    <a:xfrm>
                      <a:off x="0" y="0"/>
                      <a:ext cx="5872504" cy="6447094"/>
                    </a:xfrm>
                    <a:prstGeom prst="rect">
                      <a:avLst/>
                    </a:prstGeom>
                  </pic:spPr>
                </pic:pic>
              </a:graphicData>
            </a:graphic>
          </wp:inline>
        </w:drawing>
      </w:r>
    </w:p>
    <w:p w14:paraId="6224CCCF" w14:textId="1395D81C"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76905A6C" wp14:editId="274E27ED">
            <wp:extent cx="5790999" cy="7200900"/>
            <wp:effectExtent l="0" t="0" r="635" b="0"/>
            <wp:docPr id="71577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7258" name=""/>
                    <pic:cNvPicPr/>
                  </pic:nvPicPr>
                  <pic:blipFill>
                    <a:blip r:embed="rId28"/>
                    <a:stretch>
                      <a:fillRect/>
                    </a:stretch>
                  </pic:blipFill>
                  <pic:spPr>
                    <a:xfrm>
                      <a:off x="0" y="0"/>
                      <a:ext cx="5826332" cy="7244835"/>
                    </a:xfrm>
                    <a:prstGeom prst="rect">
                      <a:avLst/>
                    </a:prstGeom>
                  </pic:spPr>
                </pic:pic>
              </a:graphicData>
            </a:graphic>
          </wp:inline>
        </w:drawing>
      </w:r>
    </w:p>
    <w:p w14:paraId="5A332A4D" w14:textId="27868397" w:rsidR="006C70E3" w:rsidRPr="00034F05" w:rsidRDefault="006C70E3"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6E730208" wp14:editId="6A04A25F">
            <wp:extent cx="5813625" cy="5391150"/>
            <wp:effectExtent l="0" t="0" r="0" b="0"/>
            <wp:docPr id="910266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66058" name=""/>
                    <pic:cNvPicPr/>
                  </pic:nvPicPr>
                  <pic:blipFill>
                    <a:blip r:embed="rId29"/>
                    <a:stretch>
                      <a:fillRect/>
                    </a:stretch>
                  </pic:blipFill>
                  <pic:spPr>
                    <a:xfrm>
                      <a:off x="0" y="0"/>
                      <a:ext cx="5821603" cy="5398548"/>
                    </a:xfrm>
                    <a:prstGeom prst="rect">
                      <a:avLst/>
                    </a:prstGeom>
                  </pic:spPr>
                </pic:pic>
              </a:graphicData>
            </a:graphic>
          </wp:inline>
        </w:drawing>
      </w:r>
    </w:p>
    <w:p w14:paraId="67E6B154" w14:textId="0A2C3CE5" w:rsidR="006C70E3"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5E28C1C1" wp14:editId="24658809">
            <wp:extent cx="5889232" cy="6943725"/>
            <wp:effectExtent l="0" t="0" r="0" b="0"/>
            <wp:docPr id="1356756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56080" name=""/>
                    <pic:cNvPicPr/>
                  </pic:nvPicPr>
                  <pic:blipFill>
                    <a:blip r:embed="rId30"/>
                    <a:stretch>
                      <a:fillRect/>
                    </a:stretch>
                  </pic:blipFill>
                  <pic:spPr>
                    <a:xfrm>
                      <a:off x="0" y="0"/>
                      <a:ext cx="5904603" cy="6961848"/>
                    </a:xfrm>
                    <a:prstGeom prst="rect">
                      <a:avLst/>
                    </a:prstGeom>
                  </pic:spPr>
                </pic:pic>
              </a:graphicData>
            </a:graphic>
          </wp:inline>
        </w:drawing>
      </w:r>
    </w:p>
    <w:p w14:paraId="48233C79" w14:textId="69FC9130" w:rsidR="00005A39"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195ADD25" wp14:editId="23900E7D">
            <wp:extent cx="5906283" cy="6086475"/>
            <wp:effectExtent l="0" t="0" r="0" b="0"/>
            <wp:docPr id="135942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22615" name=""/>
                    <pic:cNvPicPr/>
                  </pic:nvPicPr>
                  <pic:blipFill>
                    <a:blip r:embed="rId31"/>
                    <a:stretch>
                      <a:fillRect/>
                    </a:stretch>
                  </pic:blipFill>
                  <pic:spPr>
                    <a:xfrm>
                      <a:off x="0" y="0"/>
                      <a:ext cx="5911089" cy="6091428"/>
                    </a:xfrm>
                    <a:prstGeom prst="rect">
                      <a:avLst/>
                    </a:prstGeom>
                  </pic:spPr>
                </pic:pic>
              </a:graphicData>
            </a:graphic>
          </wp:inline>
        </w:drawing>
      </w:r>
    </w:p>
    <w:p w14:paraId="1B0739A8" w14:textId="7DB31B40" w:rsidR="00005A39"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5B296986" wp14:editId="27E67051">
            <wp:extent cx="5929334" cy="6543675"/>
            <wp:effectExtent l="0" t="0" r="0" b="0"/>
            <wp:docPr id="1602683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683625" name=""/>
                    <pic:cNvPicPr/>
                  </pic:nvPicPr>
                  <pic:blipFill>
                    <a:blip r:embed="rId32"/>
                    <a:stretch>
                      <a:fillRect/>
                    </a:stretch>
                  </pic:blipFill>
                  <pic:spPr>
                    <a:xfrm>
                      <a:off x="0" y="0"/>
                      <a:ext cx="5942554" cy="6558264"/>
                    </a:xfrm>
                    <a:prstGeom prst="rect">
                      <a:avLst/>
                    </a:prstGeom>
                  </pic:spPr>
                </pic:pic>
              </a:graphicData>
            </a:graphic>
          </wp:inline>
        </w:drawing>
      </w:r>
    </w:p>
    <w:p w14:paraId="630AC2F0" w14:textId="657ED365" w:rsidR="00005A39"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4D80B750" wp14:editId="131FFEE0">
            <wp:extent cx="5878142" cy="6934200"/>
            <wp:effectExtent l="0" t="0" r="8890" b="0"/>
            <wp:docPr id="209955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58111" name=""/>
                    <pic:cNvPicPr/>
                  </pic:nvPicPr>
                  <pic:blipFill>
                    <a:blip r:embed="rId33"/>
                    <a:stretch>
                      <a:fillRect/>
                    </a:stretch>
                  </pic:blipFill>
                  <pic:spPr>
                    <a:xfrm>
                      <a:off x="0" y="0"/>
                      <a:ext cx="5890206" cy="6948432"/>
                    </a:xfrm>
                    <a:prstGeom prst="rect">
                      <a:avLst/>
                    </a:prstGeom>
                  </pic:spPr>
                </pic:pic>
              </a:graphicData>
            </a:graphic>
          </wp:inline>
        </w:drawing>
      </w:r>
    </w:p>
    <w:p w14:paraId="5868CFD6" w14:textId="748C518C" w:rsidR="00005A39"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46214F0A" wp14:editId="4C320BD7">
            <wp:extent cx="5848694" cy="5048250"/>
            <wp:effectExtent l="0" t="0" r="0" b="0"/>
            <wp:docPr id="149982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27762" name=""/>
                    <pic:cNvPicPr/>
                  </pic:nvPicPr>
                  <pic:blipFill>
                    <a:blip r:embed="rId34"/>
                    <a:stretch>
                      <a:fillRect/>
                    </a:stretch>
                  </pic:blipFill>
                  <pic:spPr>
                    <a:xfrm>
                      <a:off x="0" y="0"/>
                      <a:ext cx="5860869" cy="5058759"/>
                    </a:xfrm>
                    <a:prstGeom prst="rect">
                      <a:avLst/>
                    </a:prstGeom>
                  </pic:spPr>
                </pic:pic>
              </a:graphicData>
            </a:graphic>
          </wp:inline>
        </w:drawing>
      </w:r>
    </w:p>
    <w:p w14:paraId="69EEA1A5" w14:textId="49747200" w:rsidR="00005A39"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13464976" wp14:editId="49F1CFBF">
            <wp:extent cx="5786770" cy="6848475"/>
            <wp:effectExtent l="0" t="0" r="4445" b="0"/>
            <wp:docPr id="101495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952204" name=""/>
                    <pic:cNvPicPr/>
                  </pic:nvPicPr>
                  <pic:blipFill>
                    <a:blip r:embed="rId35"/>
                    <a:stretch>
                      <a:fillRect/>
                    </a:stretch>
                  </pic:blipFill>
                  <pic:spPr>
                    <a:xfrm>
                      <a:off x="0" y="0"/>
                      <a:ext cx="5797808" cy="6861538"/>
                    </a:xfrm>
                    <a:prstGeom prst="rect">
                      <a:avLst/>
                    </a:prstGeom>
                  </pic:spPr>
                </pic:pic>
              </a:graphicData>
            </a:graphic>
          </wp:inline>
        </w:drawing>
      </w:r>
    </w:p>
    <w:p w14:paraId="32EEF371" w14:textId="01073288" w:rsidR="00005A39" w:rsidRPr="00034F05" w:rsidRDefault="00005A39" w:rsidP="006C70E3">
      <w:pPr>
        <w:jc w:val="center"/>
        <w:rPr>
          <w:rFonts w:ascii="Times New Roman" w:hAnsi="Times New Roman" w:cs="Times New Roman"/>
          <w:sz w:val="24"/>
          <w:szCs w:val="24"/>
        </w:rPr>
      </w:pPr>
      <w:r w:rsidRPr="00034F05">
        <w:rPr>
          <w:rFonts w:ascii="Times New Roman" w:hAnsi="Times New Roman" w:cs="Times New Roman"/>
          <w:noProof/>
          <w:sz w:val="24"/>
          <w:szCs w:val="24"/>
          <w:lang w:val="en-US"/>
        </w:rPr>
        <w:lastRenderedPageBreak/>
        <w:drawing>
          <wp:inline distT="0" distB="0" distL="0" distR="0" wp14:anchorId="0C2A3EE3" wp14:editId="14D7831C">
            <wp:extent cx="5828885" cy="5362575"/>
            <wp:effectExtent l="0" t="0" r="635" b="0"/>
            <wp:docPr id="1789668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68736" name=""/>
                    <pic:cNvPicPr/>
                  </pic:nvPicPr>
                  <pic:blipFill>
                    <a:blip r:embed="rId36"/>
                    <a:stretch>
                      <a:fillRect/>
                    </a:stretch>
                  </pic:blipFill>
                  <pic:spPr>
                    <a:xfrm>
                      <a:off x="0" y="0"/>
                      <a:ext cx="5840712" cy="5373456"/>
                    </a:xfrm>
                    <a:prstGeom prst="rect">
                      <a:avLst/>
                    </a:prstGeom>
                  </pic:spPr>
                </pic:pic>
              </a:graphicData>
            </a:graphic>
          </wp:inline>
        </w:drawing>
      </w:r>
    </w:p>
    <w:sectPr w:rsidR="00005A39" w:rsidRPr="00034F05">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25F4E" w14:textId="77777777" w:rsidR="00916A0D" w:rsidRDefault="00916A0D" w:rsidP="0043492F">
      <w:pPr>
        <w:spacing w:after="0" w:line="240" w:lineRule="auto"/>
      </w:pPr>
      <w:r>
        <w:separator/>
      </w:r>
    </w:p>
  </w:endnote>
  <w:endnote w:type="continuationSeparator" w:id="0">
    <w:p w14:paraId="4CF96F70" w14:textId="77777777" w:rsidR="00916A0D" w:rsidRDefault="00916A0D" w:rsidP="00434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15072346"/>
      <w:docPartObj>
        <w:docPartGallery w:val="Page Numbers (Bottom of Page)"/>
        <w:docPartUnique/>
      </w:docPartObj>
    </w:sdtPr>
    <w:sdtEndPr>
      <w:rPr>
        <w:color w:val="7F7F7F" w:themeColor="background1" w:themeShade="7F"/>
        <w:spacing w:val="60"/>
      </w:rPr>
    </w:sdtEndPr>
    <w:sdtContent>
      <w:p w14:paraId="422EFC14" w14:textId="56B6F676" w:rsidR="0043492F" w:rsidRPr="00034F05" w:rsidRDefault="0043492F" w:rsidP="00034F05">
        <w:pPr>
          <w:pStyle w:val="Footer"/>
          <w:pBdr>
            <w:top w:val="single" w:sz="4" w:space="1" w:color="D9D9D9" w:themeColor="background1" w:themeShade="D9"/>
          </w:pBdr>
          <w:rPr>
            <w:rFonts w:ascii="Times New Roman" w:hAnsi="Times New Roman" w:cs="Times New Roman"/>
            <w:b/>
            <w:bCs/>
          </w:rPr>
        </w:pPr>
        <w:r w:rsidRPr="00034F05">
          <w:rPr>
            <w:rFonts w:ascii="Times New Roman" w:hAnsi="Times New Roman" w:cs="Times New Roman"/>
          </w:rPr>
          <w:fldChar w:fldCharType="begin"/>
        </w:r>
        <w:r w:rsidRPr="00034F05">
          <w:rPr>
            <w:rFonts w:ascii="Times New Roman" w:hAnsi="Times New Roman" w:cs="Times New Roman"/>
          </w:rPr>
          <w:instrText xml:space="preserve"> PAGE   \* MERGEFORMAT </w:instrText>
        </w:r>
        <w:r w:rsidRPr="00034F05">
          <w:rPr>
            <w:rFonts w:ascii="Times New Roman" w:hAnsi="Times New Roman" w:cs="Times New Roman"/>
          </w:rPr>
          <w:fldChar w:fldCharType="separate"/>
        </w:r>
        <w:r w:rsidR="00034F05" w:rsidRPr="00034F05">
          <w:rPr>
            <w:rFonts w:ascii="Times New Roman" w:hAnsi="Times New Roman" w:cs="Times New Roman"/>
            <w:b/>
            <w:bCs/>
            <w:noProof/>
          </w:rPr>
          <w:t>38</w:t>
        </w:r>
        <w:r w:rsidRPr="00034F05">
          <w:rPr>
            <w:rFonts w:ascii="Times New Roman" w:hAnsi="Times New Roman" w:cs="Times New Roman"/>
            <w:b/>
            <w:bCs/>
            <w:noProof/>
          </w:rPr>
          <w:fldChar w:fldCharType="end"/>
        </w:r>
        <w:r w:rsidRPr="00034F05">
          <w:rPr>
            <w:rFonts w:ascii="Times New Roman" w:hAnsi="Times New Roman" w:cs="Times New Roman"/>
            <w:b/>
            <w:bCs/>
          </w:rPr>
          <w:t xml:space="preserve"> | </w:t>
        </w:r>
        <w:r w:rsidRPr="00034F05">
          <w:rPr>
            <w:rFonts w:ascii="Times New Roman" w:hAnsi="Times New Roman" w:cs="Times New Roman"/>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68B4E" w14:textId="77777777" w:rsidR="00916A0D" w:rsidRDefault="00916A0D" w:rsidP="0043492F">
      <w:pPr>
        <w:spacing w:after="0" w:line="240" w:lineRule="auto"/>
      </w:pPr>
      <w:r>
        <w:separator/>
      </w:r>
    </w:p>
  </w:footnote>
  <w:footnote w:type="continuationSeparator" w:id="0">
    <w:p w14:paraId="6C2920A8" w14:textId="77777777" w:rsidR="00916A0D" w:rsidRDefault="00916A0D" w:rsidP="004349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769CC"/>
    <w:multiLevelType w:val="hybridMultilevel"/>
    <w:tmpl w:val="F3EA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837182"/>
    <w:multiLevelType w:val="multilevel"/>
    <w:tmpl w:val="C650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2A6C4F"/>
    <w:multiLevelType w:val="hybridMultilevel"/>
    <w:tmpl w:val="D6481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D93DDB"/>
    <w:multiLevelType w:val="hybridMultilevel"/>
    <w:tmpl w:val="D6481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2B5DE8"/>
    <w:multiLevelType w:val="hybridMultilevel"/>
    <w:tmpl w:val="D6481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3F6BC0"/>
    <w:multiLevelType w:val="hybridMultilevel"/>
    <w:tmpl w:val="FC5602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FD501C"/>
    <w:multiLevelType w:val="multilevel"/>
    <w:tmpl w:val="07FA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2F5E7A"/>
    <w:multiLevelType w:val="multilevel"/>
    <w:tmpl w:val="76F0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375AE"/>
    <w:multiLevelType w:val="hybridMultilevel"/>
    <w:tmpl w:val="D6481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4890899">
    <w:abstractNumId w:val="1"/>
  </w:num>
  <w:num w:numId="2" w16cid:durableId="1841431329">
    <w:abstractNumId w:val="6"/>
  </w:num>
  <w:num w:numId="3" w16cid:durableId="1167017783">
    <w:abstractNumId w:val="7"/>
  </w:num>
  <w:num w:numId="4" w16cid:durableId="1337269543">
    <w:abstractNumId w:val="0"/>
  </w:num>
  <w:num w:numId="5" w16cid:durableId="527792324">
    <w:abstractNumId w:val="5"/>
  </w:num>
  <w:num w:numId="6" w16cid:durableId="928857223">
    <w:abstractNumId w:val="8"/>
  </w:num>
  <w:num w:numId="7" w16cid:durableId="1890143313">
    <w:abstractNumId w:val="4"/>
  </w:num>
  <w:num w:numId="8" w16cid:durableId="677973802">
    <w:abstractNumId w:val="3"/>
  </w:num>
  <w:num w:numId="9" w16cid:durableId="1413042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C5A"/>
    <w:rsid w:val="00005A39"/>
    <w:rsid w:val="00006108"/>
    <w:rsid w:val="00016061"/>
    <w:rsid w:val="000266D0"/>
    <w:rsid w:val="00031B7B"/>
    <w:rsid w:val="00034F05"/>
    <w:rsid w:val="000671C8"/>
    <w:rsid w:val="00092805"/>
    <w:rsid w:val="00160626"/>
    <w:rsid w:val="00291C82"/>
    <w:rsid w:val="002A7906"/>
    <w:rsid w:val="002E735C"/>
    <w:rsid w:val="002F2B08"/>
    <w:rsid w:val="003E570C"/>
    <w:rsid w:val="00421D97"/>
    <w:rsid w:val="0043492F"/>
    <w:rsid w:val="00463F8C"/>
    <w:rsid w:val="00520280"/>
    <w:rsid w:val="0055719E"/>
    <w:rsid w:val="00626795"/>
    <w:rsid w:val="00627C66"/>
    <w:rsid w:val="00632951"/>
    <w:rsid w:val="006A2212"/>
    <w:rsid w:val="006C2C18"/>
    <w:rsid w:val="006C70E3"/>
    <w:rsid w:val="007444D8"/>
    <w:rsid w:val="007C6CDB"/>
    <w:rsid w:val="007D0236"/>
    <w:rsid w:val="00831E0F"/>
    <w:rsid w:val="0088799C"/>
    <w:rsid w:val="00894F0E"/>
    <w:rsid w:val="008A23D0"/>
    <w:rsid w:val="00916A0D"/>
    <w:rsid w:val="00960FF1"/>
    <w:rsid w:val="00991AA6"/>
    <w:rsid w:val="009E2778"/>
    <w:rsid w:val="009F32A8"/>
    <w:rsid w:val="00A17A96"/>
    <w:rsid w:val="00A74AB4"/>
    <w:rsid w:val="00A82287"/>
    <w:rsid w:val="00AB3BC4"/>
    <w:rsid w:val="00B03FFA"/>
    <w:rsid w:val="00B066FB"/>
    <w:rsid w:val="00B164CA"/>
    <w:rsid w:val="00BA0216"/>
    <w:rsid w:val="00BB59D8"/>
    <w:rsid w:val="00BC03C9"/>
    <w:rsid w:val="00C25A1D"/>
    <w:rsid w:val="00C40B53"/>
    <w:rsid w:val="00C66FF8"/>
    <w:rsid w:val="00CB7198"/>
    <w:rsid w:val="00D52990"/>
    <w:rsid w:val="00D80F94"/>
    <w:rsid w:val="00DB550D"/>
    <w:rsid w:val="00E07DDB"/>
    <w:rsid w:val="00E2112D"/>
    <w:rsid w:val="00E52E08"/>
    <w:rsid w:val="00EA4596"/>
    <w:rsid w:val="00F43AAF"/>
    <w:rsid w:val="00F45C5A"/>
    <w:rsid w:val="00FC0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28A9"/>
  <w15:chartTrackingRefBased/>
  <w15:docId w15:val="{4EB0E258-027A-433F-BB41-242EB1FD9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906"/>
    <w:pPr>
      <w:keepNext/>
      <w:keepLines/>
      <w:spacing w:before="240" w:after="0" w:line="360" w:lineRule="auto"/>
      <w:outlineLvl w:val="0"/>
    </w:pPr>
    <w:rPr>
      <w:rFonts w:ascii="Times New Roman" w:eastAsiaTheme="majorEastAsia" w:hAnsi="Times New Roman" w:cstheme="majorBidi"/>
      <w:b/>
      <w:color w:val="000000" w:themeColor="text1"/>
      <w:sz w:val="36"/>
      <w:szCs w:val="32"/>
    </w:rPr>
  </w:style>
  <w:style w:type="paragraph" w:styleId="Heading2">
    <w:name w:val="heading 2"/>
    <w:basedOn w:val="Normal"/>
    <w:next w:val="Normal"/>
    <w:link w:val="Heading2Char"/>
    <w:uiPriority w:val="9"/>
    <w:unhideWhenUsed/>
    <w:qFormat/>
    <w:rsid w:val="002A7906"/>
    <w:pPr>
      <w:keepNext/>
      <w:keepLines/>
      <w:spacing w:before="40" w:after="0" w:line="360" w:lineRule="auto"/>
      <w:outlineLvl w:val="1"/>
    </w:pPr>
    <w:rPr>
      <w:rFonts w:ascii="Times New Roman" w:eastAsiaTheme="majorEastAsia" w:hAnsi="Times New Roman" w:cstheme="majorBidi"/>
      <w:b/>
      <w:i/>
      <w:color w:val="000000" w:themeColor="text1"/>
      <w:sz w:val="32"/>
      <w:szCs w:val="26"/>
    </w:rPr>
  </w:style>
  <w:style w:type="paragraph" w:styleId="Heading3">
    <w:name w:val="heading 3"/>
    <w:basedOn w:val="Normal"/>
    <w:next w:val="Normal"/>
    <w:link w:val="Heading3Char"/>
    <w:uiPriority w:val="9"/>
    <w:unhideWhenUsed/>
    <w:qFormat/>
    <w:rsid w:val="002F2B08"/>
    <w:pPr>
      <w:keepNext/>
      <w:keepLines/>
      <w:spacing w:before="40" w:after="0"/>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906"/>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2A7906"/>
    <w:rPr>
      <w:rFonts w:ascii="Times New Roman" w:eastAsiaTheme="majorEastAsia" w:hAnsi="Times New Roman" w:cstheme="majorBidi"/>
      <w:b/>
      <w:i/>
      <w:color w:val="000000" w:themeColor="text1"/>
      <w:sz w:val="32"/>
      <w:szCs w:val="26"/>
    </w:rPr>
  </w:style>
  <w:style w:type="table" w:styleId="GridTable4-Accent1">
    <w:name w:val="Grid Table 4 Accent 1"/>
    <w:basedOn w:val="TableNormal"/>
    <w:uiPriority w:val="49"/>
    <w:rsid w:val="002A790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2F2B08"/>
    <w:rPr>
      <w:rFonts w:ascii="Times New Roman" w:eastAsiaTheme="majorEastAsia" w:hAnsi="Times New Roman" w:cstheme="majorBidi"/>
      <w:b/>
      <w:color w:val="000000" w:themeColor="text1"/>
      <w:sz w:val="24"/>
      <w:szCs w:val="24"/>
    </w:rPr>
  </w:style>
  <w:style w:type="table" w:styleId="GridTable4">
    <w:name w:val="Grid Table 4"/>
    <w:basedOn w:val="TableNormal"/>
    <w:uiPriority w:val="49"/>
    <w:rsid w:val="009F32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960FF1"/>
    <w:rPr>
      <w:color w:val="0563C1" w:themeColor="hyperlink"/>
      <w:u w:val="single"/>
    </w:rPr>
  </w:style>
  <w:style w:type="character" w:customStyle="1" w:styleId="UnresolvedMention1">
    <w:name w:val="Unresolved Mention1"/>
    <w:basedOn w:val="DefaultParagraphFont"/>
    <w:uiPriority w:val="99"/>
    <w:semiHidden/>
    <w:unhideWhenUsed/>
    <w:rsid w:val="00960FF1"/>
    <w:rPr>
      <w:color w:val="605E5C"/>
      <w:shd w:val="clear" w:color="auto" w:fill="E1DFDD"/>
    </w:rPr>
  </w:style>
  <w:style w:type="paragraph" w:styleId="NormalWeb">
    <w:name w:val="Normal (Web)"/>
    <w:basedOn w:val="Normal"/>
    <w:uiPriority w:val="99"/>
    <w:semiHidden/>
    <w:unhideWhenUsed/>
    <w:rsid w:val="005202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434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92F"/>
  </w:style>
  <w:style w:type="paragraph" w:styleId="Footer">
    <w:name w:val="footer"/>
    <w:basedOn w:val="Normal"/>
    <w:link w:val="FooterChar"/>
    <w:uiPriority w:val="99"/>
    <w:unhideWhenUsed/>
    <w:rsid w:val="00434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92F"/>
  </w:style>
  <w:style w:type="paragraph" w:styleId="TOC1">
    <w:name w:val="toc 1"/>
    <w:basedOn w:val="Normal"/>
    <w:next w:val="Normal"/>
    <w:autoRedefine/>
    <w:uiPriority w:val="39"/>
    <w:unhideWhenUsed/>
    <w:rsid w:val="00034F05"/>
    <w:pPr>
      <w:spacing w:before="120" w:after="120"/>
    </w:pPr>
    <w:rPr>
      <w:rFonts w:cstheme="minorHAnsi"/>
      <w:b/>
      <w:bCs/>
      <w:caps/>
      <w:sz w:val="20"/>
      <w:szCs w:val="20"/>
    </w:rPr>
  </w:style>
  <w:style w:type="paragraph" w:styleId="TOC2">
    <w:name w:val="toc 2"/>
    <w:basedOn w:val="Normal"/>
    <w:next w:val="Normal"/>
    <w:autoRedefine/>
    <w:uiPriority w:val="39"/>
    <w:unhideWhenUsed/>
    <w:rsid w:val="00034F05"/>
    <w:pPr>
      <w:spacing w:after="0"/>
      <w:ind w:left="220"/>
    </w:pPr>
    <w:rPr>
      <w:rFonts w:cstheme="minorHAnsi"/>
      <w:smallCaps/>
      <w:sz w:val="20"/>
      <w:szCs w:val="20"/>
    </w:rPr>
  </w:style>
  <w:style w:type="paragraph" w:styleId="TOC3">
    <w:name w:val="toc 3"/>
    <w:basedOn w:val="Normal"/>
    <w:next w:val="Normal"/>
    <w:autoRedefine/>
    <w:uiPriority w:val="39"/>
    <w:unhideWhenUsed/>
    <w:rsid w:val="00034F05"/>
    <w:pPr>
      <w:spacing w:after="0"/>
      <w:ind w:left="440"/>
    </w:pPr>
    <w:rPr>
      <w:rFonts w:cstheme="minorHAnsi"/>
      <w:i/>
      <w:iCs/>
      <w:sz w:val="20"/>
      <w:szCs w:val="20"/>
    </w:rPr>
  </w:style>
  <w:style w:type="paragraph" w:styleId="TOC4">
    <w:name w:val="toc 4"/>
    <w:basedOn w:val="Normal"/>
    <w:next w:val="Normal"/>
    <w:autoRedefine/>
    <w:uiPriority w:val="39"/>
    <w:unhideWhenUsed/>
    <w:rsid w:val="00034F05"/>
    <w:pPr>
      <w:spacing w:after="0"/>
      <w:ind w:left="660"/>
    </w:pPr>
    <w:rPr>
      <w:rFonts w:cstheme="minorHAnsi"/>
      <w:sz w:val="18"/>
      <w:szCs w:val="18"/>
    </w:rPr>
  </w:style>
  <w:style w:type="paragraph" w:styleId="TOC5">
    <w:name w:val="toc 5"/>
    <w:basedOn w:val="Normal"/>
    <w:next w:val="Normal"/>
    <w:autoRedefine/>
    <w:uiPriority w:val="39"/>
    <w:unhideWhenUsed/>
    <w:rsid w:val="00034F05"/>
    <w:pPr>
      <w:spacing w:after="0"/>
      <w:ind w:left="880"/>
    </w:pPr>
    <w:rPr>
      <w:rFonts w:cstheme="minorHAnsi"/>
      <w:sz w:val="18"/>
      <w:szCs w:val="18"/>
    </w:rPr>
  </w:style>
  <w:style w:type="paragraph" w:styleId="TOC6">
    <w:name w:val="toc 6"/>
    <w:basedOn w:val="Normal"/>
    <w:next w:val="Normal"/>
    <w:autoRedefine/>
    <w:uiPriority w:val="39"/>
    <w:unhideWhenUsed/>
    <w:rsid w:val="00034F05"/>
    <w:pPr>
      <w:spacing w:after="0"/>
      <w:ind w:left="1100"/>
    </w:pPr>
    <w:rPr>
      <w:rFonts w:cstheme="minorHAnsi"/>
      <w:sz w:val="18"/>
      <w:szCs w:val="18"/>
    </w:rPr>
  </w:style>
  <w:style w:type="paragraph" w:styleId="TOC7">
    <w:name w:val="toc 7"/>
    <w:basedOn w:val="Normal"/>
    <w:next w:val="Normal"/>
    <w:autoRedefine/>
    <w:uiPriority w:val="39"/>
    <w:unhideWhenUsed/>
    <w:rsid w:val="00034F05"/>
    <w:pPr>
      <w:spacing w:after="0"/>
      <w:ind w:left="1320"/>
    </w:pPr>
    <w:rPr>
      <w:rFonts w:cstheme="minorHAnsi"/>
      <w:sz w:val="18"/>
      <w:szCs w:val="18"/>
    </w:rPr>
  </w:style>
  <w:style w:type="paragraph" w:styleId="TOC8">
    <w:name w:val="toc 8"/>
    <w:basedOn w:val="Normal"/>
    <w:next w:val="Normal"/>
    <w:autoRedefine/>
    <w:uiPriority w:val="39"/>
    <w:unhideWhenUsed/>
    <w:rsid w:val="00034F05"/>
    <w:pPr>
      <w:spacing w:after="0"/>
      <w:ind w:left="1540"/>
    </w:pPr>
    <w:rPr>
      <w:rFonts w:cstheme="minorHAnsi"/>
      <w:sz w:val="18"/>
      <w:szCs w:val="18"/>
    </w:rPr>
  </w:style>
  <w:style w:type="paragraph" w:styleId="TOC9">
    <w:name w:val="toc 9"/>
    <w:basedOn w:val="Normal"/>
    <w:next w:val="Normal"/>
    <w:autoRedefine/>
    <w:uiPriority w:val="39"/>
    <w:unhideWhenUsed/>
    <w:rsid w:val="00034F05"/>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6037">
      <w:bodyDiv w:val="1"/>
      <w:marLeft w:val="0"/>
      <w:marRight w:val="0"/>
      <w:marTop w:val="0"/>
      <w:marBottom w:val="0"/>
      <w:divBdr>
        <w:top w:val="none" w:sz="0" w:space="0" w:color="auto"/>
        <w:left w:val="none" w:sz="0" w:space="0" w:color="auto"/>
        <w:bottom w:val="none" w:sz="0" w:space="0" w:color="auto"/>
        <w:right w:val="none" w:sz="0" w:space="0" w:color="auto"/>
      </w:divBdr>
    </w:div>
    <w:div w:id="92165099">
      <w:bodyDiv w:val="1"/>
      <w:marLeft w:val="0"/>
      <w:marRight w:val="0"/>
      <w:marTop w:val="0"/>
      <w:marBottom w:val="0"/>
      <w:divBdr>
        <w:top w:val="none" w:sz="0" w:space="0" w:color="auto"/>
        <w:left w:val="none" w:sz="0" w:space="0" w:color="auto"/>
        <w:bottom w:val="none" w:sz="0" w:space="0" w:color="auto"/>
        <w:right w:val="none" w:sz="0" w:space="0" w:color="auto"/>
      </w:divBdr>
    </w:div>
    <w:div w:id="159855915">
      <w:bodyDiv w:val="1"/>
      <w:marLeft w:val="0"/>
      <w:marRight w:val="0"/>
      <w:marTop w:val="0"/>
      <w:marBottom w:val="0"/>
      <w:divBdr>
        <w:top w:val="none" w:sz="0" w:space="0" w:color="auto"/>
        <w:left w:val="none" w:sz="0" w:space="0" w:color="auto"/>
        <w:bottom w:val="none" w:sz="0" w:space="0" w:color="auto"/>
        <w:right w:val="none" w:sz="0" w:space="0" w:color="auto"/>
      </w:divBdr>
    </w:div>
    <w:div w:id="277688298">
      <w:bodyDiv w:val="1"/>
      <w:marLeft w:val="0"/>
      <w:marRight w:val="0"/>
      <w:marTop w:val="0"/>
      <w:marBottom w:val="0"/>
      <w:divBdr>
        <w:top w:val="none" w:sz="0" w:space="0" w:color="auto"/>
        <w:left w:val="none" w:sz="0" w:space="0" w:color="auto"/>
        <w:bottom w:val="none" w:sz="0" w:space="0" w:color="auto"/>
        <w:right w:val="none" w:sz="0" w:space="0" w:color="auto"/>
      </w:divBdr>
    </w:div>
    <w:div w:id="313412759">
      <w:bodyDiv w:val="1"/>
      <w:marLeft w:val="0"/>
      <w:marRight w:val="0"/>
      <w:marTop w:val="0"/>
      <w:marBottom w:val="0"/>
      <w:divBdr>
        <w:top w:val="none" w:sz="0" w:space="0" w:color="auto"/>
        <w:left w:val="none" w:sz="0" w:space="0" w:color="auto"/>
        <w:bottom w:val="none" w:sz="0" w:space="0" w:color="auto"/>
        <w:right w:val="none" w:sz="0" w:space="0" w:color="auto"/>
      </w:divBdr>
    </w:div>
    <w:div w:id="386880869">
      <w:bodyDiv w:val="1"/>
      <w:marLeft w:val="0"/>
      <w:marRight w:val="0"/>
      <w:marTop w:val="0"/>
      <w:marBottom w:val="0"/>
      <w:divBdr>
        <w:top w:val="none" w:sz="0" w:space="0" w:color="auto"/>
        <w:left w:val="none" w:sz="0" w:space="0" w:color="auto"/>
        <w:bottom w:val="none" w:sz="0" w:space="0" w:color="auto"/>
        <w:right w:val="none" w:sz="0" w:space="0" w:color="auto"/>
      </w:divBdr>
    </w:div>
    <w:div w:id="608704030">
      <w:bodyDiv w:val="1"/>
      <w:marLeft w:val="0"/>
      <w:marRight w:val="0"/>
      <w:marTop w:val="0"/>
      <w:marBottom w:val="0"/>
      <w:divBdr>
        <w:top w:val="none" w:sz="0" w:space="0" w:color="auto"/>
        <w:left w:val="none" w:sz="0" w:space="0" w:color="auto"/>
        <w:bottom w:val="none" w:sz="0" w:space="0" w:color="auto"/>
        <w:right w:val="none" w:sz="0" w:space="0" w:color="auto"/>
      </w:divBdr>
    </w:div>
    <w:div w:id="672992180">
      <w:bodyDiv w:val="1"/>
      <w:marLeft w:val="0"/>
      <w:marRight w:val="0"/>
      <w:marTop w:val="0"/>
      <w:marBottom w:val="0"/>
      <w:divBdr>
        <w:top w:val="none" w:sz="0" w:space="0" w:color="auto"/>
        <w:left w:val="none" w:sz="0" w:space="0" w:color="auto"/>
        <w:bottom w:val="none" w:sz="0" w:space="0" w:color="auto"/>
        <w:right w:val="none" w:sz="0" w:space="0" w:color="auto"/>
      </w:divBdr>
    </w:div>
    <w:div w:id="939332073">
      <w:bodyDiv w:val="1"/>
      <w:marLeft w:val="0"/>
      <w:marRight w:val="0"/>
      <w:marTop w:val="0"/>
      <w:marBottom w:val="0"/>
      <w:divBdr>
        <w:top w:val="none" w:sz="0" w:space="0" w:color="auto"/>
        <w:left w:val="none" w:sz="0" w:space="0" w:color="auto"/>
        <w:bottom w:val="none" w:sz="0" w:space="0" w:color="auto"/>
        <w:right w:val="none" w:sz="0" w:space="0" w:color="auto"/>
      </w:divBdr>
    </w:div>
    <w:div w:id="1146968199">
      <w:bodyDiv w:val="1"/>
      <w:marLeft w:val="0"/>
      <w:marRight w:val="0"/>
      <w:marTop w:val="0"/>
      <w:marBottom w:val="0"/>
      <w:divBdr>
        <w:top w:val="none" w:sz="0" w:space="0" w:color="auto"/>
        <w:left w:val="none" w:sz="0" w:space="0" w:color="auto"/>
        <w:bottom w:val="none" w:sz="0" w:space="0" w:color="auto"/>
        <w:right w:val="none" w:sz="0" w:space="0" w:color="auto"/>
      </w:divBdr>
    </w:div>
    <w:div w:id="1172918753">
      <w:bodyDiv w:val="1"/>
      <w:marLeft w:val="0"/>
      <w:marRight w:val="0"/>
      <w:marTop w:val="0"/>
      <w:marBottom w:val="0"/>
      <w:divBdr>
        <w:top w:val="none" w:sz="0" w:space="0" w:color="auto"/>
        <w:left w:val="none" w:sz="0" w:space="0" w:color="auto"/>
        <w:bottom w:val="none" w:sz="0" w:space="0" w:color="auto"/>
        <w:right w:val="none" w:sz="0" w:space="0" w:color="auto"/>
      </w:divBdr>
    </w:div>
    <w:div w:id="1180966427">
      <w:bodyDiv w:val="1"/>
      <w:marLeft w:val="0"/>
      <w:marRight w:val="0"/>
      <w:marTop w:val="0"/>
      <w:marBottom w:val="0"/>
      <w:divBdr>
        <w:top w:val="none" w:sz="0" w:space="0" w:color="auto"/>
        <w:left w:val="none" w:sz="0" w:space="0" w:color="auto"/>
        <w:bottom w:val="none" w:sz="0" w:space="0" w:color="auto"/>
        <w:right w:val="none" w:sz="0" w:space="0" w:color="auto"/>
      </w:divBdr>
    </w:div>
    <w:div w:id="1450976974">
      <w:bodyDiv w:val="1"/>
      <w:marLeft w:val="0"/>
      <w:marRight w:val="0"/>
      <w:marTop w:val="0"/>
      <w:marBottom w:val="0"/>
      <w:divBdr>
        <w:top w:val="none" w:sz="0" w:space="0" w:color="auto"/>
        <w:left w:val="none" w:sz="0" w:space="0" w:color="auto"/>
        <w:bottom w:val="none" w:sz="0" w:space="0" w:color="auto"/>
        <w:right w:val="none" w:sz="0" w:space="0" w:color="auto"/>
      </w:divBdr>
      <w:divsChild>
        <w:div w:id="530530077">
          <w:marLeft w:val="0"/>
          <w:marRight w:val="0"/>
          <w:marTop w:val="0"/>
          <w:marBottom w:val="0"/>
          <w:divBdr>
            <w:top w:val="none" w:sz="0" w:space="0" w:color="auto"/>
            <w:left w:val="none" w:sz="0" w:space="0" w:color="auto"/>
            <w:bottom w:val="none" w:sz="0" w:space="0" w:color="auto"/>
            <w:right w:val="none" w:sz="0" w:space="0" w:color="auto"/>
          </w:divBdr>
          <w:divsChild>
            <w:div w:id="1617634384">
              <w:marLeft w:val="0"/>
              <w:marRight w:val="0"/>
              <w:marTop w:val="0"/>
              <w:marBottom w:val="0"/>
              <w:divBdr>
                <w:top w:val="none" w:sz="0" w:space="0" w:color="auto"/>
                <w:left w:val="none" w:sz="0" w:space="0" w:color="auto"/>
                <w:bottom w:val="none" w:sz="0" w:space="0" w:color="auto"/>
                <w:right w:val="none" w:sz="0" w:space="0" w:color="auto"/>
              </w:divBdr>
              <w:divsChild>
                <w:div w:id="852231561">
                  <w:marLeft w:val="0"/>
                  <w:marRight w:val="0"/>
                  <w:marTop w:val="0"/>
                  <w:marBottom w:val="0"/>
                  <w:divBdr>
                    <w:top w:val="none" w:sz="0" w:space="0" w:color="auto"/>
                    <w:left w:val="none" w:sz="0" w:space="0" w:color="auto"/>
                    <w:bottom w:val="none" w:sz="0" w:space="0" w:color="auto"/>
                    <w:right w:val="none" w:sz="0" w:space="0" w:color="auto"/>
                  </w:divBdr>
                  <w:divsChild>
                    <w:div w:id="476647800">
                      <w:marLeft w:val="0"/>
                      <w:marRight w:val="0"/>
                      <w:marTop w:val="0"/>
                      <w:marBottom w:val="0"/>
                      <w:divBdr>
                        <w:top w:val="none" w:sz="0" w:space="0" w:color="auto"/>
                        <w:left w:val="none" w:sz="0" w:space="0" w:color="auto"/>
                        <w:bottom w:val="none" w:sz="0" w:space="0" w:color="auto"/>
                        <w:right w:val="none" w:sz="0" w:space="0" w:color="auto"/>
                      </w:divBdr>
                      <w:divsChild>
                        <w:div w:id="248659753">
                          <w:marLeft w:val="0"/>
                          <w:marRight w:val="0"/>
                          <w:marTop w:val="0"/>
                          <w:marBottom w:val="0"/>
                          <w:divBdr>
                            <w:top w:val="none" w:sz="0" w:space="0" w:color="auto"/>
                            <w:left w:val="none" w:sz="0" w:space="0" w:color="auto"/>
                            <w:bottom w:val="none" w:sz="0" w:space="0" w:color="auto"/>
                            <w:right w:val="none" w:sz="0" w:space="0" w:color="auto"/>
                          </w:divBdr>
                          <w:divsChild>
                            <w:div w:id="88298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951989">
      <w:bodyDiv w:val="1"/>
      <w:marLeft w:val="0"/>
      <w:marRight w:val="0"/>
      <w:marTop w:val="0"/>
      <w:marBottom w:val="0"/>
      <w:divBdr>
        <w:top w:val="none" w:sz="0" w:space="0" w:color="auto"/>
        <w:left w:val="none" w:sz="0" w:space="0" w:color="auto"/>
        <w:bottom w:val="none" w:sz="0" w:space="0" w:color="auto"/>
        <w:right w:val="none" w:sz="0" w:space="0" w:color="auto"/>
      </w:divBdr>
      <w:divsChild>
        <w:div w:id="769204722">
          <w:marLeft w:val="0"/>
          <w:marRight w:val="0"/>
          <w:marTop w:val="0"/>
          <w:marBottom w:val="0"/>
          <w:divBdr>
            <w:top w:val="none" w:sz="0" w:space="0" w:color="auto"/>
            <w:left w:val="none" w:sz="0" w:space="0" w:color="auto"/>
            <w:bottom w:val="none" w:sz="0" w:space="0" w:color="auto"/>
            <w:right w:val="none" w:sz="0" w:space="0" w:color="auto"/>
          </w:divBdr>
        </w:div>
      </w:divsChild>
    </w:div>
    <w:div w:id="1646009384">
      <w:bodyDiv w:val="1"/>
      <w:marLeft w:val="0"/>
      <w:marRight w:val="0"/>
      <w:marTop w:val="0"/>
      <w:marBottom w:val="0"/>
      <w:divBdr>
        <w:top w:val="none" w:sz="0" w:space="0" w:color="auto"/>
        <w:left w:val="none" w:sz="0" w:space="0" w:color="auto"/>
        <w:bottom w:val="none" w:sz="0" w:space="0" w:color="auto"/>
        <w:right w:val="none" w:sz="0" w:space="0" w:color="auto"/>
      </w:divBdr>
    </w:div>
    <w:div w:id="1684816912">
      <w:bodyDiv w:val="1"/>
      <w:marLeft w:val="0"/>
      <w:marRight w:val="0"/>
      <w:marTop w:val="0"/>
      <w:marBottom w:val="0"/>
      <w:divBdr>
        <w:top w:val="none" w:sz="0" w:space="0" w:color="auto"/>
        <w:left w:val="none" w:sz="0" w:space="0" w:color="auto"/>
        <w:bottom w:val="none" w:sz="0" w:space="0" w:color="auto"/>
        <w:right w:val="none" w:sz="0" w:space="0" w:color="auto"/>
      </w:divBdr>
    </w:div>
    <w:div w:id="1717201349">
      <w:bodyDiv w:val="1"/>
      <w:marLeft w:val="0"/>
      <w:marRight w:val="0"/>
      <w:marTop w:val="0"/>
      <w:marBottom w:val="0"/>
      <w:divBdr>
        <w:top w:val="none" w:sz="0" w:space="0" w:color="auto"/>
        <w:left w:val="none" w:sz="0" w:space="0" w:color="auto"/>
        <w:bottom w:val="none" w:sz="0" w:space="0" w:color="auto"/>
        <w:right w:val="none" w:sz="0" w:space="0" w:color="auto"/>
      </w:divBdr>
      <w:divsChild>
        <w:div w:id="1666930643">
          <w:marLeft w:val="0"/>
          <w:marRight w:val="0"/>
          <w:marTop w:val="0"/>
          <w:marBottom w:val="0"/>
          <w:divBdr>
            <w:top w:val="none" w:sz="0" w:space="0" w:color="auto"/>
            <w:left w:val="none" w:sz="0" w:space="0" w:color="auto"/>
            <w:bottom w:val="none" w:sz="0" w:space="0" w:color="auto"/>
            <w:right w:val="none" w:sz="0" w:space="0" w:color="auto"/>
          </w:divBdr>
        </w:div>
      </w:divsChild>
    </w:div>
    <w:div w:id="1817070986">
      <w:bodyDiv w:val="1"/>
      <w:marLeft w:val="0"/>
      <w:marRight w:val="0"/>
      <w:marTop w:val="0"/>
      <w:marBottom w:val="0"/>
      <w:divBdr>
        <w:top w:val="none" w:sz="0" w:space="0" w:color="auto"/>
        <w:left w:val="none" w:sz="0" w:space="0" w:color="auto"/>
        <w:bottom w:val="none" w:sz="0" w:space="0" w:color="auto"/>
        <w:right w:val="none" w:sz="0" w:space="0" w:color="auto"/>
      </w:divBdr>
    </w:div>
    <w:div w:id="1975788546">
      <w:bodyDiv w:val="1"/>
      <w:marLeft w:val="0"/>
      <w:marRight w:val="0"/>
      <w:marTop w:val="0"/>
      <w:marBottom w:val="0"/>
      <w:divBdr>
        <w:top w:val="none" w:sz="0" w:space="0" w:color="auto"/>
        <w:left w:val="none" w:sz="0" w:space="0" w:color="auto"/>
        <w:bottom w:val="none" w:sz="0" w:space="0" w:color="auto"/>
        <w:right w:val="none" w:sz="0" w:space="0" w:color="auto"/>
      </w:divBdr>
    </w:div>
    <w:div w:id="210823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hbs.edu/blog/post/liquidity-ratios"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hyperlink" Target="https://www.deskera.com/blog/efficiency-ratios/"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lianz-trade.com/en_US/insights/cash-conversion-cycle.html"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upflow.io/blog/cfo-reads/cash-flow-analysis"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nowflake.com/en/fundamentals/trend-analysis/"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94DB6-C3E1-49BE-9D82-75BF6638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7645</Words>
  <Characters>43580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AJITH N</dc:creator>
  <cp:keywords/>
  <dc:description/>
  <cp:lastModifiedBy>AJITH N</cp:lastModifiedBy>
  <cp:revision>2</cp:revision>
  <dcterms:created xsi:type="dcterms:W3CDTF">2026-04-24T08:03:00Z</dcterms:created>
  <dcterms:modified xsi:type="dcterms:W3CDTF">2026-04-24T08:03:00Z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9fc815e6-f743-409a-8535-c110a28b77b5</vt:lpwstr>
  </property>
</Properties>
</file>