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77834" w14:textId="77777777" w:rsidR="00E92102" w:rsidRDefault="00E92102" w:rsidP="00E92102">
      <w:pPr>
        <w:jc w:val="center"/>
        <w:rPr>
          <w:b/>
          <w:bCs/>
          <w:sz w:val="28"/>
          <w:szCs w:val="28"/>
          <w:u w:val="single"/>
        </w:rPr>
      </w:pPr>
      <w:r w:rsidRPr="00E92102">
        <w:rPr>
          <w:b/>
          <w:bCs/>
          <w:sz w:val="28"/>
          <w:szCs w:val="28"/>
          <w:u w:val="single"/>
        </w:rPr>
        <w:t xml:space="preserve">Critical Commentary on Dearest Persephone </w:t>
      </w:r>
    </w:p>
    <w:p w14:paraId="73F2FC53" w14:textId="7B6B2C78" w:rsidR="00E92102" w:rsidRDefault="00E92102" w:rsidP="00E92102">
      <w:pPr>
        <w:jc w:val="center"/>
        <w:rPr>
          <w:b/>
          <w:bCs/>
          <w:sz w:val="28"/>
          <w:szCs w:val="28"/>
          <w:u w:val="single"/>
        </w:rPr>
      </w:pPr>
      <w:r w:rsidRPr="00E92102">
        <w:rPr>
          <w:b/>
          <w:bCs/>
          <w:sz w:val="28"/>
          <w:szCs w:val="28"/>
          <w:u w:val="single"/>
        </w:rPr>
        <w:t>by Lyra Bright</w:t>
      </w:r>
    </w:p>
    <w:p w14:paraId="5995DFAB" w14:textId="65B2887F" w:rsidR="00E92102" w:rsidRDefault="00E92102" w:rsidP="00E92102">
      <w:pPr>
        <w:jc w:val="center"/>
        <w:rPr>
          <w:b/>
          <w:bCs/>
          <w:sz w:val="28"/>
          <w:szCs w:val="28"/>
          <w:u w:val="single"/>
        </w:rPr>
      </w:pPr>
    </w:p>
    <w:p w14:paraId="652C7693" w14:textId="0424BE30" w:rsidR="009C59BD" w:rsidRDefault="00E92102" w:rsidP="00E92102">
      <w:pPr>
        <w:rPr>
          <w:sz w:val="24"/>
          <w:szCs w:val="24"/>
        </w:rPr>
      </w:pPr>
      <w:r w:rsidRPr="00081DCD">
        <w:rPr>
          <w:i/>
          <w:iCs/>
          <w:sz w:val="24"/>
          <w:szCs w:val="24"/>
        </w:rPr>
        <w:t>Dearest Persephone</w:t>
      </w:r>
      <w:r>
        <w:rPr>
          <w:sz w:val="24"/>
          <w:szCs w:val="24"/>
        </w:rPr>
        <w:t xml:space="preserve"> is my dive into how it may have felt to personally relate to the abduction of Persephone. It takes the form of letters and prayers addressed to the Goddess Persephone. The account of my protagonist, who I shall name </w:t>
      </w:r>
      <w:r w:rsidR="00C811BA">
        <w:rPr>
          <w:sz w:val="24"/>
          <w:szCs w:val="24"/>
        </w:rPr>
        <w:t xml:space="preserve">Aeliana, </w:t>
      </w:r>
      <w:r>
        <w:rPr>
          <w:sz w:val="24"/>
          <w:szCs w:val="24"/>
        </w:rPr>
        <w:t>to make it easier to follow as she remains nameless in her account, spans the time of three to four months. I used the letter format as a plot devise to jump through time in a short word count.</w:t>
      </w:r>
      <w:r w:rsidR="004B3BE7">
        <w:rPr>
          <w:sz w:val="24"/>
          <w:szCs w:val="24"/>
        </w:rPr>
        <w:t xml:space="preserve"> My intention behind writing this piece was to explore the social pressures put on young women of around fifteen to marry for status and family prosperity. </w:t>
      </w:r>
      <w:r w:rsidR="006D4347">
        <w:rPr>
          <w:sz w:val="24"/>
          <w:szCs w:val="24"/>
        </w:rPr>
        <w:t xml:space="preserve">As the myth of Persephone is </w:t>
      </w:r>
      <w:r w:rsidR="00FE13CF">
        <w:rPr>
          <w:sz w:val="24"/>
          <w:szCs w:val="24"/>
        </w:rPr>
        <w:t>a</w:t>
      </w:r>
      <w:r w:rsidR="006D4347">
        <w:rPr>
          <w:sz w:val="24"/>
          <w:szCs w:val="24"/>
        </w:rPr>
        <w:t xml:space="preserve"> marriage story exploring the difficulties this presents for everyone involved</w:t>
      </w:r>
      <w:r w:rsidR="00FE13CF">
        <w:rPr>
          <w:sz w:val="24"/>
          <w:szCs w:val="24"/>
        </w:rPr>
        <w:t>.</w:t>
      </w:r>
      <w:r w:rsidR="005362A0">
        <w:rPr>
          <w:sz w:val="24"/>
          <w:szCs w:val="24"/>
        </w:rPr>
        <w:tab/>
      </w:r>
      <w:r w:rsidR="005362A0">
        <w:rPr>
          <w:sz w:val="24"/>
          <w:szCs w:val="24"/>
        </w:rPr>
        <w:tab/>
      </w:r>
      <w:r w:rsidR="00C17336" w:rsidRPr="00C17336">
        <w:rPr>
          <w:sz w:val="24"/>
          <w:szCs w:val="24"/>
        </w:rPr>
        <w:t xml:space="preserve">Inspiration struck for this story upon learning about the interrelationship between the myth of Persephone and the Eleusinian mystery cult. I did not want to do a retelling of the myth of Persephone’s abduction, which admittedly would have been </w:t>
      </w:r>
      <w:r w:rsidR="00C04EF0">
        <w:rPr>
          <w:sz w:val="24"/>
          <w:szCs w:val="24"/>
        </w:rPr>
        <w:t>more straightforward</w:t>
      </w:r>
      <w:r w:rsidR="00C17336" w:rsidRPr="00C17336">
        <w:rPr>
          <w:sz w:val="24"/>
          <w:szCs w:val="24"/>
        </w:rPr>
        <w:t>; instead, I decided to look at how a young girl may have related to the story through a religious and cultural gaze.</w:t>
      </w:r>
      <w:r w:rsidR="008E1B6F">
        <w:rPr>
          <w:sz w:val="24"/>
          <w:szCs w:val="24"/>
        </w:rPr>
        <w:t xml:space="preserve"> </w:t>
      </w:r>
      <w:r w:rsidR="008E1B6F" w:rsidRPr="008E1B6F">
        <w:rPr>
          <w:sz w:val="24"/>
          <w:szCs w:val="24"/>
        </w:rPr>
        <w:t>I choose a young protagonist to explore the reality of overcoming powerlessness.</w:t>
      </w:r>
      <w:r w:rsidR="00113B11">
        <w:rPr>
          <w:sz w:val="24"/>
          <w:szCs w:val="24"/>
        </w:rPr>
        <w:t xml:space="preserve"> Gaining power and autonomy over oneself is especially relevant for women in the Hellenistic world, because they would not have had access to education outside of the domestic sphere (Pomeroy, 197</w:t>
      </w:r>
      <w:r w:rsidR="007C6B3B">
        <w:rPr>
          <w:sz w:val="24"/>
          <w:szCs w:val="24"/>
        </w:rPr>
        <w:t>5</w:t>
      </w:r>
      <w:r w:rsidR="00113B11">
        <w:rPr>
          <w:sz w:val="24"/>
          <w:szCs w:val="24"/>
        </w:rPr>
        <w:t>).</w:t>
      </w:r>
      <w:r w:rsidR="00F47958">
        <w:rPr>
          <w:rStyle w:val="FootnoteReference"/>
          <w:sz w:val="24"/>
          <w:szCs w:val="24"/>
        </w:rPr>
        <w:footnoteReference w:id="1"/>
      </w:r>
      <w:r w:rsidR="00113B11">
        <w:rPr>
          <w:sz w:val="24"/>
          <w:szCs w:val="24"/>
        </w:rPr>
        <w:t xml:space="preserve"> Eleusis is a region </w:t>
      </w:r>
      <w:r w:rsidR="00183479">
        <w:rPr>
          <w:sz w:val="24"/>
          <w:szCs w:val="24"/>
        </w:rPr>
        <w:t>of Greece a meagre fourteen miles from Athens (</w:t>
      </w:r>
      <w:r w:rsidR="00183479" w:rsidRPr="00183479">
        <w:rPr>
          <w:sz w:val="24"/>
          <w:szCs w:val="24"/>
        </w:rPr>
        <w:t xml:space="preserve">Britannica, </w:t>
      </w:r>
      <w:r w:rsidR="00183479">
        <w:rPr>
          <w:sz w:val="24"/>
          <w:szCs w:val="24"/>
        </w:rPr>
        <w:t>2019)</w:t>
      </w:r>
      <w:r w:rsidR="00183479">
        <w:rPr>
          <w:rStyle w:val="FootnoteReference"/>
          <w:sz w:val="24"/>
          <w:szCs w:val="24"/>
        </w:rPr>
        <w:footnoteReference w:id="2"/>
      </w:r>
      <w:r w:rsidR="00183479">
        <w:rPr>
          <w:sz w:val="24"/>
          <w:szCs w:val="24"/>
        </w:rPr>
        <w:t>, meaning the Athenian views on women are particularly relevant for my protagonist.</w:t>
      </w:r>
      <w:r w:rsidR="00081DCD">
        <w:rPr>
          <w:sz w:val="24"/>
          <w:szCs w:val="24"/>
        </w:rPr>
        <w:tab/>
      </w:r>
      <w:r w:rsidR="00081DCD">
        <w:rPr>
          <w:sz w:val="24"/>
          <w:szCs w:val="24"/>
        </w:rPr>
        <w:tab/>
      </w:r>
      <w:r w:rsidR="00081DCD">
        <w:rPr>
          <w:sz w:val="24"/>
          <w:szCs w:val="24"/>
        </w:rPr>
        <w:tab/>
      </w:r>
      <w:r w:rsidR="00081DCD">
        <w:rPr>
          <w:sz w:val="24"/>
          <w:szCs w:val="24"/>
        </w:rPr>
        <w:tab/>
      </w:r>
      <w:r w:rsidR="00081DCD">
        <w:rPr>
          <w:sz w:val="24"/>
          <w:szCs w:val="24"/>
        </w:rPr>
        <w:tab/>
      </w:r>
      <w:r w:rsidR="00081DCD">
        <w:rPr>
          <w:sz w:val="24"/>
          <w:szCs w:val="24"/>
        </w:rPr>
        <w:tab/>
      </w:r>
      <w:r w:rsidR="00081DCD">
        <w:rPr>
          <w:sz w:val="24"/>
          <w:szCs w:val="24"/>
        </w:rPr>
        <w:tab/>
      </w:r>
      <w:r w:rsidR="00F06785">
        <w:rPr>
          <w:sz w:val="24"/>
          <w:szCs w:val="24"/>
        </w:rPr>
        <w:t>Once I had an idea for a setting</w:t>
      </w:r>
      <w:r w:rsidR="007E30E4">
        <w:rPr>
          <w:sz w:val="24"/>
          <w:szCs w:val="24"/>
        </w:rPr>
        <w:t>,</w:t>
      </w:r>
      <w:r w:rsidR="00F06785">
        <w:rPr>
          <w:sz w:val="24"/>
          <w:szCs w:val="24"/>
        </w:rPr>
        <w:t xml:space="preserve"> I got down to work brainstorming my ideas.</w:t>
      </w:r>
      <w:r w:rsidR="007E30E4">
        <w:rPr>
          <w:sz w:val="24"/>
          <w:szCs w:val="24"/>
        </w:rPr>
        <w:t xml:space="preserve"> I knew I wanted my protagonist to somehow break the vow of secrecy either by accident or as a deliberate act of malice. This took me down two possible avenues. One, from the perspective of a peeping slave </w:t>
      </w:r>
      <w:r w:rsidR="00D00208">
        <w:rPr>
          <w:sz w:val="24"/>
          <w:szCs w:val="24"/>
        </w:rPr>
        <w:t xml:space="preserve">spying on the mysteries, </w:t>
      </w:r>
      <w:r w:rsidR="007E30E4">
        <w:rPr>
          <w:sz w:val="24"/>
          <w:szCs w:val="24"/>
        </w:rPr>
        <w:t xml:space="preserve">who is unable to </w:t>
      </w:r>
      <w:r w:rsidR="004D6450">
        <w:rPr>
          <w:sz w:val="24"/>
          <w:szCs w:val="24"/>
        </w:rPr>
        <w:t xml:space="preserve">join the cult through lack of understanding of Greek. The second idea is the root of </w:t>
      </w:r>
      <w:r w:rsidR="004D6450" w:rsidRPr="004D6450">
        <w:rPr>
          <w:i/>
          <w:iCs/>
          <w:sz w:val="24"/>
          <w:szCs w:val="24"/>
        </w:rPr>
        <w:t>Dearest Persephone</w:t>
      </w:r>
      <w:r w:rsidR="004D6450">
        <w:rPr>
          <w:sz w:val="24"/>
          <w:szCs w:val="24"/>
        </w:rPr>
        <w:t xml:space="preserve">, which started with a young girl anxious to join the mysteries, who is disappointed </w:t>
      </w:r>
      <w:r w:rsidR="002C6B82">
        <w:rPr>
          <w:sz w:val="24"/>
          <w:szCs w:val="24"/>
        </w:rPr>
        <w:t xml:space="preserve">that </w:t>
      </w:r>
      <w:r w:rsidR="004D6450">
        <w:rPr>
          <w:sz w:val="24"/>
          <w:szCs w:val="24"/>
        </w:rPr>
        <w:t xml:space="preserve">her sister would not join with </w:t>
      </w:r>
      <w:r w:rsidR="00927A1A">
        <w:rPr>
          <w:sz w:val="24"/>
          <w:szCs w:val="24"/>
        </w:rPr>
        <w:t>her and</w:t>
      </w:r>
      <w:r w:rsidR="004D6450">
        <w:rPr>
          <w:sz w:val="24"/>
          <w:szCs w:val="24"/>
        </w:rPr>
        <w:t xml:space="preserve"> ends up being banished because of the careless act of telling said sister about the initiation</w:t>
      </w:r>
      <w:r w:rsidR="00927A1A">
        <w:rPr>
          <w:sz w:val="24"/>
          <w:szCs w:val="24"/>
        </w:rPr>
        <w:t>,</w:t>
      </w:r>
      <w:r w:rsidR="004D6450">
        <w:rPr>
          <w:sz w:val="24"/>
          <w:szCs w:val="24"/>
        </w:rPr>
        <w:t xml:space="preserve"> in an attempt to make her join.</w:t>
      </w:r>
      <w:r w:rsidR="009C44C4">
        <w:rPr>
          <w:sz w:val="24"/>
          <w:szCs w:val="24"/>
        </w:rPr>
        <w:t xml:space="preserve"> The sister character went through the most changes as I tried to work out</w:t>
      </w:r>
      <w:r w:rsidR="00215BBE">
        <w:rPr>
          <w:sz w:val="24"/>
          <w:szCs w:val="24"/>
        </w:rPr>
        <w:t xml:space="preserve"> how it would come out that Aeliana had broken her vow. Flavia went through a transition from sister to friend to lover; as Aeliana’s sister it did not seem right for her to betray her in order to have her banished, and as a friend the bond between them did not feel strong enough to warrant the level of trust needed to break a sacred vow. However, as Aeliana’s lover Flavia can go through a range of contradictory emotions to make the outcome feel true to form.</w:t>
      </w:r>
      <w:r w:rsidR="003924B4">
        <w:rPr>
          <w:sz w:val="24"/>
          <w:szCs w:val="24"/>
        </w:rPr>
        <w:t xml:space="preserve"> As Aeliana’s lover she can feel disgusted at Flavia’s desire for a family, hurt by her loyalty to her family, and so in love that she feels betrayed enough to have her banished. In essence Flavia takes on the role of Hades. Aeliana’s banishment is akin to Persephone’s abduction; Aeliana has no choice in </w:t>
      </w:r>
      <w:r w:rsidR="003924B4">
        <w:rPr>
          <w:sz w:val="24"/>
          <w:szCs w:val="24"/>
        </w:rPr>
        <w:lastRenderedPageBreak/>
        <w:t>how her life turns out however</w:t>
      </w:r>
      <w:r w:rsidR="00611BCB">
        <w:rPr>
          <w:sz w:val="24"/>
          <w:szCs w:val="24"/>
        </w:rPr>
        <w:t>,</w:t>
      </w:r>
      <w:r w:rsidR="003924B4">
        <w:rPr>
          <w:sz w:val="24"/>
          <w:szCs w:val="24"/>
        </w:rPr>
        <w:t xml:space="preserve"> she does gain the freedom to be with her lover.</w:t>
      </w:r>
      <w:r w:rsidR="005362A0">
        <w:rPr>
          <w:sz w:val="24"/>
          <w:szCs w:val="24"/>
        </w:rPr>
        <w:tab/>
      </w:r>
      <w:r w:rsidR="005362A0">
        <w:rPr>
          <w:sz w:val="24"/>
          <w:szCs w:val="24"/>
        </w:rPr>
        <w:tab/>
      </w:r>
      <w:r w:rsidR="005362A0">
        <w:rPr>
          <w:sz w:val="24"/>
          <w:szCs w:val="24"/>
        </w:rPr>
        <w:tab/>
      </w:r>
      <w:r w:rsidR="008E1B6F" w:rsidRPr="008E1B6F">
        <w:rPr>
          <w:sz w:val="24"/>
          <w:szCs w:val="24"/>
        </w:rPr>
        <w:t>I took wholesale metaphors stra</w:t>
      </w:r>
      <w:r w:rsidR="00502251">
        <w:rPr>
          <w:sz w:val="24"/>
          <w:szCs w:val="24"/>
        </w:rPr>
        <w:t>ight</w:t>
      </w:r>
      <w:r w:rsidR="008E1B6F" w:rsidRPr="008E1B6F">
        <w:rPr>
          <w:sz w:val="24"/>
          <w:szCs w:val="24"/>
        </w:rPr>
        <w:t xml:space="preserve"> from the Homeric Hymn to Demeter as well as</w:t>
      </w:r>
      <w:r w:rsidR="00C04EF0">
        <w:rPr>
          <w:sz w:val="24"/>
          <w:szCs w:val="24"/>
        </w:rPr>
        <w:t xml:space="preserve"> later Roman works such as Ovid’s </w:t>
      </w:r>
      <w:r w:rsidR="008E1B6F" w:rsidRPr="008E1B6F">
        <w:rPr>
          <w:sz w:val="24"/>
          <w:szCs w:val="24"/>
        </w:rPr>
        <w:t>versions of the myth. This was a deliberate act to draw the reader back to the source material. Descriptors such as ‘flower faced girl,</w:t>
      </w:r>
      <w:r w:rsidR="00C04EF0">
        <w:rPr>
          <w:sz w:val="24"/>
          <w:szCs w:val="24"/>
        </w:rPr>
        <w:t>’</w:t>
      </w:r>
      <w:r w:rsidR="008E1B6F" w:rsidRPr="008E1B6F">
        <w:rPr>
          <w:sz w:val="24"/>
          <w:szCs w:val="24"/>
        </w:rPr>
        <w:t xml:space="preserve"> had the unexpected bonus of cementing the voice of my protagonist firmly within the time of Eleusis</w:t>
      </w:r>
      <w:r w:rsidR="008E1B6F">
        <w:rPr>
          <w:sz w:val="24"/>
          <w:szCs w:val="24"/>
        </w:rPr>
        <w:t xml:space="preserve">. </w:t>
      </w:r>
      <w:r w:rsidR="009C59BD">
        <w:rPr>
          <w:sz w:val="24"/>
          <w:szCs w:val="24"/>
        </w:rPr>
        <w:t>Young maidens in the hymn to Demeter are often described as blooming flowers</w:t>
      </w:r>
      <w:r w:rsidR="00284EE3">
        <w:rPr>
          <w:sz w:val="24"/>
          <w:szCs w:val="24"/>
        </w:rPr>
        <w:t>,</w:t>
      </w:r>
      <w:r w:rsidR="009C59BD">
        <w:rPr>
          <w:sz w:val="24"/>
          <w:szCs w:val="24"/>
        </w:rPr>
        <w:t xml:space="preserve"> </w:t>
      </w:r>
      <w:r w:rsidR="00284EE3">
        <w:rPr>
          <w:sz w:val="24"/>
          <w:szCs w:val="24"/>
        </w:rPr>
        <w:t>suggesting</w:t>
      </w:r>
      <w:r w:rsidR="009C59BD">
        <w:rPr>
          <w:sz w:val="24"/>
          <w:szCs w:val="24"/>
        </w:rPr>
        <w:t xml:space="preserve"> the idea of marriage being like plucking said flower; a plucked flower is irreversibly changed, forever unable to </w:t>
      </w:r>
      <w:r w:rsidR="00C04EF0">
        <w:rPr>
          <w:sz w:val="24"/>
          <w:szCs w:val="24"/>
        </w:rPr>
        <w:t>continue</w:t>
      </w:r>
      <w:r w:rsidR="009C59BD">
        <w:rPr>
          <w:sz w:val="24"/>
          <w:szCs w:val="24"/>
        </w:rPr>
        <w:t xml:space="preserve"> growing.</w:t>
      </w:r>
    </w:p>
    <w:p w14:paraId="5678255A" w14:textId="13A0D20A" w:rsidR="009B2F82" w:rsidRDefault="009C59BD" w:rsidP="009C59BD">
      <w:pPr>
        <w:ind w:left="720" w:right="946"/>
        <w:rPr>
          <w:sz w:val="24"/>
          <w:szCs w:val="24"/>
        </w:rPr>
      </w:pPr>
      <w:r w:rsidRPr="009B2F82">
        <w:rPr>
          <w:sz w:val="24"/>
          <w:szCs w:val="24"/>
        </w:rPr>
        <w:t xml:space="preserve">You have deserted us in favour of one raped and bound in marriage. You wish to be a flower ripe to be plucked, never knowing how beautiful you could be if left to flourish. </w:t>
      </w:r>
      <w:r w:rsidR="009B2F82">
        <w:rPr>
          <w:sz w:val="24"/>
          <w:szCs w:val="24"/>
        </w:rPr>
        <w:t>(Bright</w:t>
      </w:r>
      <w:r w:rsidR="00735C71">
        <w:rPr>
          <w:sz w:val="24"/>
          <w:szCs w:val="24"/>
        </w:rPr>
        <w:t>,</w:t>
      </w:r>
      <w:r w:rsidR="009B2F82">
        <w:rPr>
          <w:sz w:val="24"/>
          <w:szCs w:val="24"/>
        </w:rPr>
        <w:t xml:space="preserve"> 2022)</w:t>
      </w:r>
      <w:r w:rsidR="00375C18">
        <w:rPr>
          <w:rStyle w:val="FootnoteReference"/>
          <w:sz w:val="24"/>
          <w:szCs w:val="24"/>
        </w:rPr>
        <w:footnoteReference w:id="3"/>
      </w:r>
    </w:p>
    <w:p w14:paraId="44868AF9" w14:textId="6D8A3669" w:rsidR="00A843DE" w:rsidRDefault="009B2F82" w:rsidP="005362A0">
      <w:pPr>
        <w:ind w:right="-22"/>
        <w:rPr>
          <w:sz w:val="24"/>
          <w:szCs w:val="24"/>
        </w:rPr>
      </w:pPr>
      <w:r>
        <w:rPr>
          <w:sz w:val="24"/>
          <w:szCs w:val="24"/>
        </w:rPr>
        <w:t>I wanted to have Aeliana presented with the dilemma of Flavia not agreeing with her choice to join the cult of Eleusis</w:t>
      </w:r>
      <w:r w:rsidR="003E2FCD">
        <w:rPr>
          <w:sz w:val="24"/>
          <w:szCs w:val="24"/>
        </w:rPr>
        <w:t>. Flavia resents the comparison of herself and other young women to that of blossoms. She uses her distaste for the metaphor to illustrate her passionate anger for her role in the</w:t>
      </w:r>
      <w:r w:rsidR="00A85456">
        <w:rPr>
          <w:sz w:val="24"/>
          <w:szCs w:val="24"/>
        </w:rPr>
        <w:t>ir</w:t>
      </w:r>
      <w:r w:rsidR="003E2FCD">
        <w:rPr>
          <w:sz w:val="24"/>
          <w:szCs w:val="24"/>
        </w:rPr>
        <w:t xml:space="preserve"> patriarchal society. She wants more. She hungers for her independence and is deeply saddened by her friend and lover not wanting the same for her.</w:t>
      </w:r>
      <w:r w:rsidR="00613989">
        <w:rPr>
          <w:sz w:val="24"/>
          <w:szCs w:val="24"/>
        </w:rPr>
        <w:t xml:space="preserve"> Flavia sees marriage as the deliberate violation of her freedom.</w:t>
      </w:r>
      <w:r w:rsidR="006161C2">
        <w:rPr>
          <w:sz w:val="24"/>
          <w:szCs w:val="24"/>
        </w:rPr>
        <w:t xml:space="preserve"> </w:t>
      </w:r>
      <w:r w:rsidR="00963B4C">
        <w:rPr>
          <w:sz w:val="24"/>
          <w:szCs w:val="24"/>
        </w:rPr>
        <w:t xml:space="preserve">Flavia wishes to have autonomy over her finances and her body, something that ironically was only available to </w:t>
      </w:r>
      <w:r w:rsidR="00BE730D">
        <w:rPr>
          <w:sz w:val="24"/>
          <w:szCs w:val="24"/>
        </w:rPr>
        <w:t xml:space="preserve">free </w:t>
      </w:r>
      <w:r w:rsidR="00963B4C">
        <w:rPr>
          <w:sz w:val="24"/>
          <w:szCs w:val="24"/>
        </w:rPr>
        <w:t>prostitutes</w:t>
      </w:r>
      <w:r w:rsidR="00BE730D">
        <w:rPr>
          <w:sz w:val="24"/>
          <w:szCs w:val="24"/>
        </w:rPr>
        <w:t>; otherwise known as hetairai</w:t>
      </w:r>
      <w:r w:rsidR="00963B4C">
        <w:rPr>
          <w:sz w:val="24"/>
          <w:szCs w:val="24"/>
        </w:rPr>
        <w:t xml:space="preserve"> (Pomeroy, 197</w:t>
      </w:r>
      <w:r w:rsidR="007C6B3B">
        <w:rPr>
          <w:sz w:val="24"/>
          <w:szCs w:val="24"/>
        </w:rPr>
        <w:t>5</w:t>
      </w:r>
      <w:r w:rsidR="00963B4C">
        <w:rPr>
          <w:sz w:val="24"/>
          <w:szCs w:val="24"/>
        </w:rPr>
        <w:t>).</w:t>
      </w:r>
      <w:r w:rsidR="00963B4C">
        <w:rPr>
          <w:rStyle w:val="FootnoteReference"/>
          <w:sz w:val="24"/>
          <w:szCs w:val="24"/>
        </w:rPr>
        <w:footnoteReference w:id="4"/>
      </w:r>
      <w:r w:rsidR="00963B4C">
        <w:rPr>
          <w:sz w:val="24"/>
          <w:szCs w:val="24"/>
        </w:rPr>
        <w:t xml:space="preserve"> Homosexuality was not </w:t>
      </w:r>
      <w:r w:rsidR="0017276B">
        <w:rPr>
          <w:sz w:val="24"/>
          <w:szCs w:val="24"/>
        </w:rPr>
        <w:t>a viable option for</w:t>
      </w:r>
      <w:r w:rsidR="00963B4C">
        <w:rPr>
          <w:sz w:val="24"/>
          <w:szCs w:val="24"/>
        </w:rPr>
        <w:t xml:space="preserve"> Athenian women as it was in other parts of Ancient Greece, such as Lesbos, as Athenian Women were </w:t>
      </w:r>
      <w:r w:rsidR="00BE730D">
        <w:rPr>
          <w:sz w:val="24"/>
          <w:szCs w:val="24"/>
        </w:rPr>
        <w:t>confined</w:t>
      </w:r>
      <w:r w:rsidR="00963B4C">
        <w:rPr>
          <w:sz w:val="24"/>
          <w:szCs w:val="24"/>
        </w:rPr>
        <w:t xml:space="preserve"> to their domestic sphere</w:t>
      </w:r>
      <w:r w:rsidR="00BE730D">
        <w:rPr>
          <w:sz w:val="24"/>
          <w:szCs w:val="24"/>
        </w:rPr>
        <w:t xml:space="preserve"> (Pomeroy, 197</w:t>
      </w:r>
      <w:r w:rsidR="007C6B3B">
        <w:rPr>
          <w:sz w:val="24"/>
          <w:szCs w:val="24"/>
        </w:rPr>
        <w:t>5</w:t>
      </w:r>
      <w:r w:rsidR="00BE730D">
        <w:rPr>
          <w:sz w:val="24"/>
          <w:szCs w:val="24"/>
        </w:rPr>
        <w:t>).</w:t>
      </w:r>
      <w:r w:rsidR="00BE730D">
        <w:rPr>
          <w:rStyle w:val="FootnoteReference"/>
          <w:sz w:val="24"/>
          <w:szCs w:val="24"/>
        </w:rPr>
        <w:footnoteReference w:id="5"/>
      </w:r>
      <w:r w:rsidR="00F16AB6">
        <w:rPr>
          <w:sz w:val="24"/>
          <w:szCs w:val="24"/>
        </w:rPr>
        <w:t xml:space="preserve"> </w:t>
      </w:r>
      <w:r w:rsidR="00284EE3">
        <w:rPr>
          <w:sz w:val="24"/>
          <w:szCs w:val="24"/>
        </w:rPr>
        <w:t xml:space="preserve">Flavia acts irrationally because of her lack of other options; risking everything, including the life of Aeliana in the hopes that they will end up together. </w:t>
      </w:r>
      <w:r w:rsidR="00023437">
        <w:rPr>
          <w:sz w:val="24"/>
          <w:szCs w:val="24"/>
        </w:rPr>
        <w:t xml:space="preserve">As Clinton states in </w:t>
      </w:r>
      <w:r w:rsidR="00023437" w:rsidRPr="00611BCB">
        <w:rPr>
          <w:i/>
          <w:iCs/>
          <w:sz w:val="24"/>
          <w:szCs w:val="24"/>
        </w:rPr>
        <w:t>The Mysteries of Demeter and Kore</w:t>
      </w:r>
      <w:r w:rsidR="00023437">
        <w:rPr>
          <w:sz w:val="24"/>
          <w:szCs w:val="24"/>
        </w:rPr>
        <w:t xml:space="preserve"> anyone breaking the law of secrecy could well be executed (Clinton).</w:t>
      </w:r>
      <w:r w:rsidR="00023437">
        <w:rPr>
          <w:rStyle w:val="FootnoteReference"/>
          <w:sz w:val="24"/>
          <w:szCs w:val="24"/>
        </w:rPr>
        <w:footnoteReference w:id="6"/>
      </w:r>
      <w:r w:rsidR="00611BCB">
        <w:rPr>
          <w:sz w:val="24"/>
          <w:szCs w:val="24"/>
        </w:rPr>
        <w:t xml:space="preserve"> I decided not to have them </w:t>
      </w:r>
      <w:r w:rsidR="004673A8">
        <w:rPr>
          <w:sz w:val="24"/>
          <w:szCs w:val="24"/>
        </w:rPr>
        <w:t>executed</w:t>
      </w:r>
      <w:r w:rsidR="00611BCB">
        <w:rPr>
          <w:sz w:val="24"/>
          <w:szCs w:val="24"/>
        </w:rPr>
        <w:t xml:space="preserve"> only banished however</w:t>
      </w:r>
      <w:r w:rsidR="004673A8">
        <w:rPr>
          <w:sz w:val="24"/>
          <w:szCs w:val="24"/>
        </w:rPr>
        <w:t>,</w:t>
      </w:r>
      <w:r w:rsidR="00611BCB">
        <w:rPr>
          <w:sz w:val="24"/>
          <w:szCs w:val="24"/>
        </w:rPr>
        <w:t xml:space="preserve"> in hindsight that may have made for a more satisfy</w:t>
      </w:r>
      <w:r w:rsidR="004673A8">
        <w:rPr>
          <w:sz w:val="24"/>
          <w:szCs w:val="24"/>
        </w:rPr>
        <w:t>ingly dramatic ending.</w:t>
      </w:r>
      <w:r w:rsidR="005362A0">
        <w:rPr>
          <w:sz w:val="24"/>
          <w:szCs w:val="24"/>
        </w:rPr>
        <w:tab/>
      </w:r>
      <w:r w:rsidR="005362A0">
        <w:rPr>
          <w:sz w:val="24"/>
          <w:szCs w:val="24"/>
        </w:rPr>
        <w:tab/>
      </w:r>
      <w:r w:rsidR="00611BCB">
        <w:rPr>
          <w:sz w:val="24"/>
          <w:szCs w:val="24"/>
        </w:rPr>
        <w:tab/>
      </w:r>
      <w:r w:rsidR="00611BCB">
        <w:rPr>
          <w:sz w:val="24"/>
          <w:szCs w:val="24"/>
        </w:rPr>
        <w:tab/>
      </w:r>
      <w:r w:rsidR="004673A8">
        <w:rPr>
          <w:sz w:val="24"/>
          <w:szCs w:val="24"/>
        </w:rPr>
        <w:tab/>
      </w:r>
      <w:r w:rsidR="004673A8">
        <w:rPr>
          <w:sz w:val="24"/>
          <w:szCs w:val="24"/>
        </w:rPr>
        <w:tab/>
      </w:r>
      <w:r w:rsidR="004673A8">
        <w:rPr>
          <w:sz w:val="24"/>
          <w:szCs w:val="24"/>
        </w:rPr>
        <w:tab/>
      </w:r>
      <w:r w:rsidR="004673A8">
        <w:rPr>
          <w:sz w:val="24"/>
          <w:szCs w:val="24"/>
        </w:rPr>
        <w:tab/>
      </w:r>
      <w:r w:rsidR="004673A8">
        <w:rPr>
          <w:sz w:val="24"/>
          <w:szCs w:val="24"/>
        </w:rPr>
        <w:tab/>
      </w:r>
      <w:r w:rsidR="004673A8">
        <w:rPr>
          <w:sz w:val="24"/>
          <w:szCs w:val="24"/>
        </w:rPr>
        <w:tab/>
      </w:r>
      <w:r w:rsidR="00114613" w:rsidRPr="00114613">
        <w:rPr>
          <w:sz w:val="24"/>
          <w:szCs w:val="24"/>
        </w:rPr>
        <w:t xml:space="preserve">My decision to use the form of letters and prayers, originally was to cover a wide </w:t>
      </w:r>
      <w:r w:rsidR="00284EE3" w:rsidRPr="00114613">
        <w:rPr>
          <w:sz w:val="24"/>
          <w:szCs w:val="24"/>
        </w:rPr>
        <w:t>period</w:t>
      </w:r>
      <w:r w:rsidR="00114613" w:rsidRPr="00114613">
        <w:rPr>
          <w:sz w:val="24"/>
          <w:szCs w:val="24"/>
        </w:rPr>
        <w:t xml:space="preserve"> </w:t>
      </w:r>
      <w:r w:rsidR="00284EE3">
        <w:rPr>
          <w:sz w:val="24"/>
          <w:szCs w:val="24"/>
        </w:rPr>
        <w:t xml:space="preserve">of time </w:t>
      </w:r>
      <w:r w:rsidR="00114613" w:rsidRPr="00114613">
        <w:rPr>
          <w:sz w:val="24"/>
          <w:szCs w:val="24"/>
        </w:rPr>
        <w:t xml:space="preserve">in such a short word count. I wanted to show the passing of time as well as giving most of my word count to </w:t>
      </w:r>
      <w:r w:rsidR="00A843DE">
        <w:rPr>
          <w:sz w:val="24"/>
          <w:szCs w:val="24"/>
        </w:rPr>
        <w:t>Aeliana</w:t>
      </w:r>
      <w:r w:rsidR="00114613" w:rsidRPr="00114613">
        <w:rPr>
          <w:sz w:val="24"/>
          <w:szCs w:val="24"/>
        </w:rPr>
        <w:t>’s pious nature. This is significant because her love for Persephone is the only choice, she has an active role in.</w:t>
      </w:r>
      <w:r w:rsidR="003C6578">
        <w:rPr>
          <w:sz w:val="24"/>
          <w:szCs w:val="24"/>
        </w:rPr>
        <w:t xml:space="preserve"> </w:t>
      </w:r>
      <w:r w:rsidR="001C41D6">
        <w:rPr>
          <w:sz w:val="24"/>
          <w:szCs w:val="24"/>
        </w:rPr>
        <w:t>The form of letters a</w:t>
      </w:r>
      <w:r w:rsidR="001544D4">
        <w:rPr>
          <w:sz w:val="24"/>
          <w:szCs w:val="24"/>
        </w:rPr>
        <w:t>l</w:t>
      </w:r>
      <w:r w:rsidR="001C41D6">
        <w:rPr>
          <w:sz w:val="24"/>
          <w:szCs w:val="24"/>
        </w:rPr>
        <w:t>lo</w:t>
      </w:r>
      <w:r w:rsidR="001544D4">
        <w:rPr>
          <w:sz w:val="24"/>
          <w:szCs w:val="24"/>
        </w:rPr>
        <w:t>we</w:t>
      </w:r>
      <w:r w:rsidR="001C41D6">
        <w:rPr>
          <w:sz w:val="24"/>
          <w:szCs w:val="24"/>
        </w:rPr>
        <w:t xml:space="preserve">d me to try out first person present, admittedly I made </w:t>
      </w:r>
      <w:r w:rsidR="00F06785">
        <w:rPr>
          <w:sz w:val="24"/>
          <w:szCs w:val="24"/>
        </w:rPr>
        <w:t>a lot</w:t>
      </w:r>
      <w:r w:rsidR="001C41D6">
        <w:rPr>
          <w:sz w:val="24"/>
          <w:szCs w:val="24"/>
        </w:rPr>
        <w:t xml:space="preserve"> of mistakes with staying in the correct tense. However, despite my mistakes it felt right to have this kind of voice because it is a direct communication with the Goddess like a prayer or a diary.</w:t>
      </w:r>
      <w:r w:rsidR="003C6578">
        <w:rPr>
          <w:sz w:val="24"/>
          <w:szCs w:val="24"/>
        </w:rPr>
        <w:tab/>
      </w:r>
      <w:r w:rsidR="003C6578">
        <w:rPr>
          <w:sz w:val="24"/>
          <w:szCs w:val="24"/>
        </w:rPr>
        <w:tab/>
      </w:r>
      <w:r>
        <w:rPr>
          <w:sz w:val="24"/>
          <w:szCs w:val="24"/>
        </w:rPr>
        <w:tab/>
      </w:r>
      <w:r>
        <w:rPr>
          <w:sz w:val="24"/>
          <w:szCs w:val="24"/>
        </w:rPr>
        <w:tab/>
      </w:r>
      <w:r w:rsidR="003924B4">
        <w:rPr>
          <w:sz w:val="24"/>
          <w:szCs w:val="24"/>
        </w:rPr>
        <w:tab/>
      </w:r>
      <w:r w:rsidR="003C6578">
        <w:rPr>
          <w:sz w:val="24"/>
          <w:szCs w:val="24"/>
        </w:rPr>
        <w:t xml:space="preserve">The section of my story dedicated to the cult of Eleusis is predominantly of my own artistic creation. The </w:t>
      </w:r>
      <w:r w:rsidR="005362A0">
        <w:rPr>
          <w:sz w:val="24"/>
          <w:szCs w:val="24"/>
        </w:rPr>
        <w:t>Eleusinian</w:t>
      </w:r>
      <w:r w:rsidR="003C6578">
        <w:rPr>
          <w:sz w:val="24"/>
          <w:szCs w:val="24"/>
        </w:rPr>
        <w:t xml:space="preserve"> mysteries are as the name indicates a mystery cult; meaning we have next to nothing telling us what their religious practices involved. However, there are </w:t>
      </w:r>
      <w:r w:rsidR="003C6578">
        <w:rPr>
          <w:sz w:val="24"/>
          <w:szCs w:val="24"/>
        </w:rPr>
        <w:lastRenderedPageBreak/>
        <w:t>several indications in Ovid’s Fasti and other retellings of the myth that indicate certain elements of cult activity.</w:t>
      </w:r>
    </w:p>
    <w:p w14:paraId="2805F855" w14:textId="5F4823F5" w:rsidR="00916194" w:rsidRDefault="00502251" w:rsidP="00502251">
      <w:pPr>
        <w:ind w:left="851" w:right="804" w:hanging="131"/>
        <w:rPr>
          <w:sz w:val="24"/>
          <w:szCs w:val="24"/>
        </w:rPr>
      </w:pPr>
      <w:r>
        <w:rPr>
          <w:sz w:val="24"/>
          <w:szCs w:val="24"/>
        </w:rPr>
        <w:t xml:space="preserve">  </w:t>
      </w:r>
      <w:r w:rsidR="00C2241F">
        <w:rPr>
          <w:sz w:val="24"/>
          <w:szCs w:val="24"/>
        </w:rPr>
        <w:t xml:space="preserve"> </w:t>
      </w:r>
      <w:r w:rsidR="00A843DE" w:rsidRPr="00A843DE">
        <w:rPr>
          <w:sz w:val="24"/>
          <w:szCs w:val="24"/>
        </w:rPr>
        <w:t>I dress in dull dark robes, mourning garb for such a joyous occasion. I smear my face in soot and water, imitating the sorrowful stricken face of your fierce mother. My hair is unbound. Bedraggled tendrils cling to my wet cheeks. I gaze once more into the glass, my wretched appearance staring back unfazed. I walk out to join the swarm, our funeral procession if you will, our many voices wailing in unison</w:t>
      </w:r>
      <w:r w:rsidR="00A843DE">
        <w:rPr>
          <w:sz w:val="24"/>
          <w:szCs w:val="24"/>
        </w:rPr>
        <w:t xml:space="preserve"> (Bright 2022)</w:t>
      </w:r>
      <w:r w:rsidR="00987A5F">
        <w:rPr>
          <w:rStyle w:val="FootnoteReference"/>
          <w:sz w:val="24"/>
          <w:szCs w:val="24"/>
        </w:rPr>
        <w:footnoteReference w:id="7"/>
      </w:r>
      <w:r w:rsidR="00A843DE">
        <w:rPr>
          <w:sz w:val="24"/>
          <w:szCs w:val="24"/>
        </w:rPr>
        <w:t>.</w:t>
      </w:r>
      <w:r w:rsidR="00A843DE" w:rsidRPr="00A843DE">
        <w:rPr>
          <w:sz w:val="24"/>
          <w:szCs w:val="24"/>
        </w:rPr>
        <w:t xml:space="preserve"> </w:t>
      </w:r>
    </w:p>
    <w:p w14:paraId="30EC0F9F" w14:textId="61FB6A05" w:rsidR="00133E51" w:rsidRDefault="00987A5F" w:rsidP="004E2133">
      <w:pPr>
        <w:rPr>
          <w:sz w:val="24"/>
          <w:szCs w:val="24"/>
        </w:rPr>
      </w:pPr>
      <w:r>
        <w:rPr>
          <w:sz w:val="24"/>
          <w:szCs w:val="24"/>
        </w:rPr>
        <w:t xml:space="preserve">The Homeric Hymn to Demeter translated by Nagy described the mother Goddess as neglecting </w:t>
      </w:r>
      <w:r w:rsidR="008F0F87">
        <w:rPr>
          <w:sz w:val="24"/>
          <w:szCs w:val="24"/>
        </w:rPr>
        <w:t>herself</w:t>
      </w:r>
      <w:r>
        <w:rPr>
          <w:sz w:val="24"/>
          <w:szCs w:val="24"/>
        </w:rPr>
        <w:t xml:space="preserve"> in her grief for the los</w:t>
      </w:r>
      <w:r w:rsidR="005362A0">
        <w:rPr>
          <w:sz w:val="24"/>
          <w:szCs w:val="24"/>
        </w:rPr>
        <w:t>s</w:t>
      </w:r>
      <w:r>
        <w:rPr>
          <w:sz w:val="24"/>
          <w:szCs w:val="24"/>
        </w:rPr>
        <w:t xml:space="preserve"> of Persephone; “</w:t>
      </w:r>
      <w:r w:rsidR="008F0F87">
        <w:rPr>
          <w:sz w:val="24"/>
          <w:szCs w:val="24"/>
        </w:rPr>
        <w:t>not once did she take of ambrosia and nectar, sweet to drink, in her grief, nor did she bathe her skin in water”(</w:t>
      </w:r>
      <w:r w:rsidR="008F0F87" w:rsidRPr="00AD70A7">
        <w:rPr>
          <w:sz w:val="24"/>
          <w:szCs w:val="24"/>
        </w:rPr>
        <w:t>Nagy</w:t>
      </w:r>
      <w:r w:rsidR="00AD70A7" w:rsidRPr="00AD70A7">
        <w:rPr>
          <w:sz w:val="24"/>
          <w:szCs w:val="24"/>
        </w:rPr>
        <w:t>, HHD</w:t>
      </w:r>
      <w:r w:rsidR="008F0F87" w:rsidRPr="00AD70A7">
        <w:rPr>
          <w:sz w:val="24"/>
          <w:szCs w:val="24"/>
        </w:rPr>
        <w:t>)</w:t>
      </w:r>
      <w:r w:rsidR="003C6578" w:rsidRPr="00AD70A7">
        <w:rPr>
          <w:sz w:val="24"/>
          <w:szCs w:val="24"/>
        </w:rPr>
        <w:t>.</w:t>
      </w:r>
      <w:r w:rsidR="008F0F87" w:rsidRPr="00AD70A7">
        <w:rPr>
          <w:rStyle w:val="FootnoteReference"/>
          <w:sz w:val="24"/>
          <w:szCs w:val="24"/>
        </w:rPr>
        <w:footnoteReference w:id="8"/>
      </w:r>
      <w:r w:rsidR="008305BD">
        <w:rPr>
          <w:sz w:val="24"/>
          <w:szCs w:val="24"/>
        </w:rPr>
        <w:t xml:space="preserve"> It was important to link my artistic choices involving cult activity back to the myth wherever possible, as such I chose to describe the initiates mourning in a similar fashion </w:t>
      </w:r>
      <w:r w:rsidR="005362A0">
        <w:rPr>
          <w:sz w:val="24"/>
          <w:szCs w:val="24"/>
        </w:rPr>
        <w:t>to</w:t>
      </w:r>
      <w:r w:rsidR="008305BD">
        <w:rPr>
          <w:sz w:val="24"/>
          <w:szCs w:val="24"/>
        </w:rPr>
        <w:t xml:space="preserve"> Demeter</w:t>
      </w:r>
      <w:r w:rsidR="005362A0">
        <w:rPr>
          <w:sz w:val="24"/>
          <w:szCs w:val="24"/>
        </w:rPr>
        <w:t>,</w:t>
      </w:r>
      <w:r w:rsidR="008305BD">
        <w:rPr>
          <w:sz w:val="24"/>
          <w:szCs w:val="24"/>
        </w:rPr>
        <w:t xml:space="preserve"> </w:t>
      </w:r>
      <w:r w:rsidR="005362A0">
        <w:rPr>
          <w:sz w:val="24"/>
          <w:szCs w:val="24"/>
        </w:rPr>
        <w:t>as described in the</w:t>
      </w:r>
      <w:r w:rsidR="008305BD">
        <w:rPr>
          <w:sz w:val="24"/>
          <w:szCs w:val="24"/>
        </w:rPr>
        <w:t xml:space="preserve"> literary sources. Aeliana smears her face in water and soot to give a fierce but stricken look like that of the Goddess of the harvest. Aeliana’s hair is unkept and her robe is black</w:t>
      </w:r>
      <w:r w:rsidR="00D26EF1">
        <w:rPr>
          <w:sz w:val="24"/>
          <w:szCs w:val="24"/>
        </w:rPr>
        <w:t xml:space="preserve"> like that of Demeter when she withdraws from the company of the Gods; “your mother, the one with the dark robe” (Nagy</w:t>
      </w:r>
      <w:r w:rsidR="00AD70A7">
        <w:rPr>
          <w:sz w:val="24"/>
          <w:szCs w:val="24"/>
        </w:rPr>
        <w:t>, HHD</w:t>
      </w:r>
      <w:r w:rsidR="00D26EF1">
        <w:rPr>
          <w:sz w:val="24"/>
          <w:szCs w:val="24"/>
        </w:rPr>
        <w:t>)</w:t>
      </w:r>
      <w:r w:rsidR="00D26EF1">
        <w:rPr>
          <w:rStyle w:val="FootnoteReference"/>
          <w:sz w:val="24"/>
          <w:szCs w:val="24"/>
        </w:rPr>
        <w:footnoteReference w:id="9"/>
      </w:r>
      <w:r w:rsidR="00D26EF1">
        <w:rPr>
          <w:sz w:val="24"/>
          <w:szCs w:val="24"/>
        </w:rPr>
        <w:t xml:space="preserve"> and “the Goddess tore her unkept locks and smote her breast” (Ovid, Met)</w:t>
      </w:r>
      <w:r w:rsidR="003C6578">
        <w:rPr>
          <w:sz w:val="24"/>
          <w:szCs w:val="24"/>
        </w:rPr>
        <w:t>.</w:t>
      </w:r>
      <w:r w:rsidR="009A339E">
        <w:rPr>
          <w:rStyle w:val="FootnoteReference"/>
          <w:sz w:val="24"/>
          <w:szCs w:val="24"/>
        </w:rPr>
        <w:footnoteReference w:id="10"/>
      </w:r>
      <w:r w:rsidR="00AD70A7">
        <w:rPr>
          <w:sz w:val="24"/>
          <w:szCs w:val="24"/>
        </w:rPr>
        <w:t xml:space="preserve"> It felt significant to have Aeliana critically examine her bedraggled appearance in the mirror as she is actively embodying the myth as part of her initiation; it gives her great pride to be </w:t>
      </w:r>
      <w:r w:rsidR="00B4464D">
        <w:rPr>
          <w:sz w:val="24"/>
          <w:szCs w:val="24"/>
        </w:rPr>
        <w:t>embodying Demeter and her grief.</w:t>
      </w:r>
      <w:r w:rsidR="006A48C8">
        <w:rPr>
          <w:sz w:val="24"/>
          <w:szCs w:val="24"/>
        </w:rPr>
        <w:t xml:space="preserve">    </w:t>
      </w:r>
      <w:r w:rsidR="00F95E81">
        <w:rPr>
          <w:sz w:val="24"/>
          <w:szCs w:val="24"/>
        </w:rPr>
        <w:tab/>
      </w:r>
      <w:r w:rsidR="00F95E81">
        <w:rPr>
          <w:sz w:val="24"/>
          <w:szCs w:val="24"/>
        </w:rPr>
        <w:tab/>
      </w:r>
      <w:r w:rsidR="00F95E81">
        <w:rPr>
          <w:sz w:val="24"/>
          <w:szCs w:val="24"/>
        </w:rPr>
        <w:tab/>
      </w:r>
      <w:r w:rsidR="00501D73">
        <w:rPr>
          <w:sz w:val="24"/>
          <w:szCs w:val="24"/>
        </w:rPr>
        <w:t>The kyke</w:t>
      </w:r>
      <w:r w:rsidR="00501D73" w:rsidRPr="00501D73">
        <w:rPr>
          <w:rFonts w:cstheme="minorHAnsi"/>
          <w:sz w:val="24"/>
          <w:szCs w:val="24"/>
        </w:rPr>
        <w:t>ô</w:t>
      </w:r>
      <w:r w:rsidR="00501D73">
        <w:rPr>
          <w:rFonts w:cstheme="minorHAnsi"/>
          <w:sz w:val="24"/>
          <w:szCs w:val="24"/>
        </w:rPr>
        <w:t>n</w:t>
      </w:r>
      <w:r w:rsidR="00501D73">
        <w:rPr>
          <w:rFonts w:cstheme="minorHAnsi"/>
        </w:rPr>
        <w:t xml:space="preserve">, </w:t>
      </w:r>
      <w:r w:rsidR="00501D73" w:rsidRPr="00501D73">
        <w:rPr>
          <w:rFonts w:cstheme="minorHAnsi"/>
          <w:sz w:val="24"/>
          <w:szCs w:val="24"/>
        </w:rPr>
        <w:t>sometimes referred to a</w:t>
      </w:r>
      <w:r w:rsidR="00501D73">
        <w:rPr>
          <w:sz w:val="24"/>
          <w:szCs w:val="24"/>
        </w:rPr>
        <w:t xml:space="preserve">s the </w:t>
      </w:r>
      <w:r w:rsidR="00A04CBE">
        <w:rPr>
          <w:sz w:val="24"/>
          <w:szCs w:val="24"/>
        </w:rPr>
        <w:t>kuke</w:t>
      </w:r>
      <w:r w:rsidR="00A04CBE" w:rsidRPr="00A04CBE">
        <w:rPr>
          <w:sz w:val="24"/>
          <w:szCs w:val="24"/>
        </w:rPr>
        <w:t>ô</w:t>
      </w:r>
      <w:r w:rsidR="00A04CBE">
        <w:rPr>
          <w:sz w:val="24"/>
          <w:szCs w:val="24"/>
        </w:rPr>
        <w:t>n is a barley drink that had a significant role in the Eleusinian mysteries (Fritz 2006).</w:t>
      </w:r>
      <w:r w:rsidR="00A04CBE">
        <w:rPr>
          <w:rStyle w:val="FootnoteReference"/>
          <w:sz w:val="24"/>
          <w:szCs w:val="24"/>
        </w:rPr>
        <w:footnoteReference w:id="11"/>
      </w:r>
      <w:r w:rsidR="00A04CBE">
        <w:rPr>
          <w:sz w:val="24"/>
          <w:szCs w:val="24"/>
        </w:rPr>
        <w:t xml:space="preserve"> In the Homeric Hymn to Demeter</w:t>
      </w:r>
      <w:r w:rsidR="00B8380D">
        <w:rPr>
          <w:sz w:val="24"/>
          <w:szCs w:val="24"/>
        </w:rPr>
        <w:t>,</w:t>
      </w:r>
      <w:r w:rsidR="00A04CBE">
        <w:rPr>
          <w:sz w:val="24"/>
          <w:szCs w:val="24"/>
        </w:rPr>
        <w:t xml:space="preserve"> translated by Nagy</w:t>
      </w:r>
      <w:r w:rsidR="00B8380D">
        <w:rPr>
          <w:sz w:val="24"/>
          <w:szCs w:val="24"/>
        </w:rPr>
        <w:t>,</w:t>
      </w:r>
      <w:r w:rsidR="00A04CBE">
        <w:rPr>
          <w:sz w:val="24"/>
          <w:szCs w:val="24"/>
        </w:rPr>
        <w:t xml:space="preserve"> Demeter gives instructions to Metaneira</w:t>
      </w:r>
      <w:r w:rsidR="00B8380D">
        <w:rPr>
          <w:sz w:val="24"/>
          <w:szCs w:val="24"/>
        </w:rPr>
        <w:t xml:space="preserve"> explaining how to make the kuke</w:t>
      </w:r>
      <w:r w:rsidR="00B8380D" w:rsidRPr="00B8380D">
        <w:rPr>
          <w:sz w:val="24"/>
          <w:szCs w:val="24"/>
        </w:rPr>
        <w:t>ô</w:t>
      </w:r>
      <w:r w:rsidR="00B8380D">
        <w:rPr>
          <w:sz w:val="24"/>
          <w:szCs w:val="24"/>
        </w:rPr>
        <w:t>n, mixing barley, water and “delicate pennyroyal”</w:t>
      </w:r>
      <w:r w:rsidR="00DE70DE">
        <w:rPr>
          <w:sz w:val="24"/>
          <w:szCs w:val="24"/>
        </w:rPr>
        <w:t xml:space="preserve"> </w:t>
      </w:r>
      <w:r w:rsidR="00B8380D">
        <w:rPr>
          <w:sz w:val="24"/>
          <w:szCs w:val="24"/>
        </w:rPr>
        <w:t>(</w:t>
      </w:r>
      <w:r w:rsidR="00DE70DE">
        <w:rPr>
          <w:sz w:val="24"/>
          <w:szCs w:val="24"/>
        </w:rPr>
        <w:t>Nagy, HHD).</w:t>
      </w:r>
      <w:r w:rsidR="00DE70DE">
        <w:rPr>
          <w:rStyle w:val="FootnoteReference"/>
          <w:sz w:val="24"/>
          <w:szCs w:val="24"/>
        </w:rPr>
        <w:footnoteReference w:id="12"/>
      </w:r>
      <w:r w:rsidR="006A48C8" w:rsidRPr="00501D73">
        <w:rPr>
          <w:sz w:val="24"/>
          <w:szCs w:val="24"/>
        </w:rPr>
        <w:t xml:space="preserve"> </w:t>
      </w:r>
      <w:r w:rsidR="00DE70DE">
        <w:rPr>
          <w:sz w:val="24"/>
          <w:szCs w:val="24"/>
        </w:rPr>
        <w:t>Pennyroyal or Mentha Pulegium is a small perennial creeping plant that had historical medicinal purposes such as abortion, it is also known to cause auditory and visual hallucinations</w:t>
      </w:r>
      <w:r w:rsidR="00123795">
        <w:rPr>
          <w:sz w:val="24"/>
          <w:szCs w:val="24"/>
        </w:rPr>
        <w:t xml:space="preserve"> (Drugs.com 2022).</w:t>
      </w:r>
      <w:r w:rsidR="00123795">
        <w:rPr>
          <w:rStyle w:val="FootnoteReference"/>
          <w:sz w:val="24"/>
          <w:szCs w:val="24"/>
        </w:rPr>
        <w:footnoteReference w:id="13"/>
      </w:r>
      <w:r w:rsidR="00DE70DE">
        <w:rPr>
          <w:sz w:val="24"/>
          <w:szCs w:val="24"/>
        </w:rPr>
        <w:t xml:space="preserve"> </w:t>
      </w:r>
      <w:r w:rsidR="006A48C8" w:rsidRPr="00501D73">
        <w:rPr>
          <w:sz w:val="24"/>
          <w:szCs w:val="24"/>
        </w:rPr>
        <w:t xml:space="preserve">                                            </w:t>
      </w:r>
    </w:p>
    <w:p w14:paraId="0FC2E1EF" w14:textId="7D4CD71D" w:rsidR="00133E51" w:rsidRDefault="00133E51" w:rsidP="00F609BD">
      <w:pPr>
        <w:ind w:left="720" w:right="970"/>
        <w:rPr>
          <w:sz w:val="24"/>
          <w:szCs w:val="24"/>
        </w:rPr>
      </w:pPr>
      <w:r w:rsidRPr="00133E51">
        <w:rPr>
          <w:sz w:val="24"/>
          <w:szCs w:val="24"/>
        </w:rPr>
        <w:t>Barely audible, she bid me drink slow and long. Her whispers becoming deafening with every sip, until the noise was no more. My brain became shattered and sharp then fuzzy and focussed until finally my thoughts were still</w:t>
      </w:r>
      <w:r w:rsidR="00977DA9">
        <w:rPr>
          <w:sz w:val="24"/>
          <w:szCs w:val="24"/>
        </w:rPr>
        <w:t xml:space="preserve"> </w:t>
      </w:r>
      <w:r w:rsidR="00F609BD">
        <w:rPr>
          <w:sz w:val="24"/>
          <w:szCs w:val="24"/>
        </w:rPr>
        <w:t>(Bright 2022)</w:t>
      </w:r>
      <w:r w:rsidR="00977DA9">
        <w:rPr>
          <w:sz w:val="24"/>
          <w:szCs w:val="24"/>
        </w:rPr>
        <w:t>.</w:t>
      </w:r>
      <w:r w:rsidR="00F95E81">
        <w:rPr>
          <w:rStyle w:val="FootnoteReference"/>
          <w:sz w:val="24"/>
          <w:szCs w:val="24"/>
        </w:rPr>
        <w:footnoteReference w:id="14"/>
      </w:r>
    </w:p>
    <w:p w14:paraId="07E5795C" w14:textId="0FBA37A9" w:rsidR="00977DA9" w:rsidRDefault="00977DA9" w:rsidP="00F1708F">
      <w:pPr>
        <w:ind w:right="-22"/>
        <w:rPr>
          <w:sz w:val="24"/>
          <w:szCs w:val="24"/>
        </w:rPr>
      </w:pPr>
      <w:r>
        <w:rPr>
          <w:sz w:val="24"/>
          <w:szCs w:val="24"/>
        </w:rPr>
        <w:lastRenderedPageBreak/>
        <w:t xml:space="preserve">Taking into consideration the </w:t>
      </w:r>
      <w:r w:rsidR="00F1708F">
        <w:rPr>
          <w:sz w:val="24"/>
          <w:szCs w:val="24"/>
        </w:rPr>
        <w:t>psychoactive</w:t>
      </w:r>
      <w:r>
        <w:rPr>
          <w:sz w:val="24"/>
          <w:szCs w:val="24"/>
        </w:rPr>
        <w:t xml:space="preserve"> </w:t>
      </w:r>
      <w:r w:rsidR="00F1708F">
        <w:rPr>
          <w:sz w:val="24"/>
          <w:szCs w:val="24"/>
        </w:rPr>
        <w:t>properties of the kuke</w:t>
      </w:r>
      <w:r w:rsidR="00F1708F">
        <w:rPr>
          <w:rFonts w:cstheme="minorHAnsi"/>
          <w:sz w:val="24"/>
          <w:szCs w:val="24"/>
        </w:rPr>
        <w:t>ô</w:t>
      </w:r>
      <w:r w:rsidR="00F1708F">
        <w:rPr>
          <w:sz w:val="24"/>
          <w:szCs w:val="24"/>
        </w:rPr>
        <w:t xml:space="preserve">n drink I created Aeliana’s divine interaction with Persephone. </w:t>
      </w:r>
      <w:r w:rsidR="006C7097">
        <w:rPr>
          <w:sz w:val="24"/>
          <w:szCs w:val="24"/>
        </w:rPr>
        <w:t>I used contradictory adjectives to create the delirious state that Aeliana feels when drinking the kuke</w:t>
      </w:r>
      <w:r w:rsidR="006C7097">
        <w:rPr>
          <w:rFonts w:cstheme="minorHAnsi"/>
          <w:sz w:val="24"/>
          <w:szCs w:val="24"/>
        </w:rPr>
        <w:t>ô</w:t>
      </w:r>
      <w:r w:rsidR="006C7097">
        <w:rPr>
          <w:sz w:val="24"/>
          <w:szCs w:val="24"/>
        </w:rPr>
        <w:t xml:space="preserve">n. Whispers become </w:t>
      </w:r>
      <w:r w:rsidR="0061095D">
        <w:rPr>
          <w:sz w:val="24"/>
          <w:szCs w:val="24"/>
        </w:rPr>
        <w:t>deafening;</w:t>
      </w:r>
      <w:r w:rsidR="006C7097">
        <w:rPr>
          <w:sz w:val="24"/>
          <w:szCs w:val="24"/>
        </w:rPr>
        <w:t xml:space="preserve"> thoughts are sharp </w:t>
      </w:r>
      <w:r w:rsidR="0061095D">
        <w:rPr>
          <w:sz w:val="24"/>
          <w:szCs w:val="24"/>
        </w:rPr>
        <w:t>then</w:t>
      </w:r>
      <w:r w:rsidR="006C7097">
        <w:rPr>
          <w:sz w:val="24"/>
          <w:szCs w:val="24"/>
        </w:rPr>
        <w:t xml:space="preserve"> shattered</w:t>
      </w:r>
      <w:r w:rsidR="0061095D">
        <w:rPr>
          <w:sz w:val="24"/>
          <w:szCs w:val="24"/>
        </w:rPr>
        <w:t xml:space="preserve">. I did this by </w:t>
      </w:r>
      <w:r w:rsidR="006C7097">
        <w:rPr>
          <w:sz w:val="24"/>
          <w:szCs w:val="24"/>
        </w:rPr>
        <w:t xml:space="preserve">design to create a sense of disorientation in the reader. </w:t>
      </w:r>
      <w:r w:rsidR="0061095D">
        <w:rPr>
          <w:sz w:val="24"/>
          <w:szCs w:val="24"/>
        </w:rPr>
        <w:t>I am proud of my use of language to imagine this feeling.</w:t>
      </w:r>
      <w:r w:rsidR="00BC48E8">
        <w:rPr>
          <w:sz w:val="24"/>
          <w:szCs w:val="24"/>
        </w:rPr>
        <w:t xml:space="preserve"> However, from this point on is where I make the most mistakes.</w:t>
      </w:r>
    </w:p>
    <w:p w14:paraId="75F60A1C" w14:textId="6228C49A" w:rsidR="00BC48E8" w:rsidRDefault="00BC48E8" w:rsidP="00BC48E8">
      <w:pPr>
        <w:ind w:left="720" w:right="970"/>
        <w:rPr>
          <w:sz w:val="24"/>
          <w:szCs w:val="24"/>
        </w:rPr>
      </w:pPr>
      <w:r w:rsidRPr="00BC48E8">
        <w:rPr>
          <w:sz w:val="24"/>
          <w:szCs w:val="24"/>
        </w:rPr>
        <w:t>The ebb and flow increasing in speed as my blood ran into the waves, congealing with blue and red hues. The waves grow, breaking on my skin. Crashing, I fall</w:t>
      </w:r>
      <w:r w:rsidRPr="00BC48E8">
        <w:rPr>
          <w:sz w:val="24"/>
          <w:szCs w:val="24"/>
        </w:rPr>
        <w:t xml:space="preserve"> </w:t>
      </w:r>
      <w:r>
        <w:rPr>
          <w:sz w:val="24"/>
          <w:szCs w:val="24"/>
        </w:rPr>
        <w:t>(Bright 2022).</w:t>
      </w:r>
      <w:r>
        <w:rPr>
          <w:rStyle w:val="FootnoteReference"/>
          <w:sz w:val="24"/>
          <w:szCs w:val="24"/>
        </w:rPr>
        <w:footnoteReference w:id="15"/>
      </w:r>
    </w:p>
    <w:p w14:paraId="297492BA" w14:textId="1D0B6FAE" w:rsidR="00CC09A0" w:rsidRPr="00853656" w:rsidRDefault="00BC48E8" w:rsidP="00853656">
      <w:pPr>
        <w:ind w:right="-22"/>
      </w:pPr>
      <w:r>
        <w:rPr>
          <w:sz w:val="24"/>
          <w:szCs w:val="24"/>
        </w:rPr>
        <w:t>Unfortunately, my tenses are all over the p</w:t>
      </w:r>
      <w:r w:rsidR="00E0574C">
        <w:rPr>
          <w:sz w:val="24"/>
          <w:szCs w:val="24"/>
        </w:rPr>
        <w:t>lace; “my blood ran” is past tense; “the waves grow” (Bright 2022)</w:t>
      </w:r>
      <w:r w:rsidR="00E0574C">
        <w:rPr>
          <w:rStyle w:val="FootnoteReference"/>
          <w:sz w:val="24"/>
          <w:szCs w:val="24"/>
        </w:rPr>
        <w:footnoteReference w:id="16"/>
      </w:r>
      <w:r w:rsidR="00E0574C">
        <w:rPr>
          <w:sz w:val="24"/>
          <w:szCs w:val="24"/>
        </w:rPr>
        <w:t xml:space="preserve"> is present tense. I wish I could say that this is the only time this happened throughout the piece, but I cannot. Unfortunately, I let my general living stresses get in the way of my creative critical process, leaving me with a piece that was </w:t>
      </w:r>
      <w:r w:rsidR="00853656">
        <w:rPr>
          <w:sz w:val="24"/>
          <w:szCs w:val="24"/>
        </w:rPr>
        <w:t>rushed, and it showed. If I have learnt anything from this process that is to take my time but most importantly to give myself the time to take.</w:t>
      </w:r>
      <w:r w:rsidR="00853656">
        <w:tab/>
      </w:r>
      <w:r w:rsidR="00853656">
        <w:tab/>
      </w:r>
      <w:r w:rsidR="00853656">
        <w:tab/>
      </w:r>
      <w:r w:rsidR="00853656">
        <w:tab/>
      </w:r>
      <w:r w:rsidR="00853656">
        <w:tab/>
      </w:r>
      <w:r w:rsidR="00853656">
        <w:tab/>
      </w:r>
      <w:r w:rsidR="00853656">
        <w:tab/>
      </w:r>
      <w:r w:rsidR="00CC09A0">
        <w:rPr>
          <w:sz w:val="24"/>
          <w:szCs w:val="24"/>
        </w:rPr>
        <w:t>Aeliana and the other initiates start their religious pilgrimage wearing black to symbolise the mourning of Persephone that Demeter had to go through. Once the kuke</w:t>
      </w:r>
      <w:r w:rsidR="00CC09A0">
        <w:rPr>
          <w:rFonts w:cstheme="minorHAnsi"/>
          <w:sz w:val="24"/>
          <w:szCs w:val="24"/>
        </w:rPr>
        <w:t>ô</w:t>
      </w:r>
      <w:r w:rsidR="00CC09A0">
        <w:rPr>
          <w:sz w:val="24"/>
          <w:szCs w:val="24"/>
        </w:rPr>
        <w:t xml:space="preserve">n ceremony is over the black robes are ceremoniously burned on a funeral pyre; this is </w:t>
      </w:r>
      <w:r w:rsidR="008C23C6">
        <w:rPr>
          <w:sz w:val="24"/>
          <w:szCs w:val="24"/>
        </w:rPr>
        <w:t>s</w:t>
      </w:r>
      <w:r w:rsidR="00CC09A0">
        <w:rPr>
          <w:sz w:val="24"/>
          <w:szCs w:val="24"/>
        </w:rPr>
        <w:t xml:space="preserve">ymbolic of the death of Persephone, her kidnap, and the </w:t>
      </w:r>
      <w:r w:rsidR="008C23C6">
        <w:rPr>
          <w:sz w:val="24"/>
          <w:szCs w:val="24"/>
        </w:rPr>
        <w:t>equally important living death that Demeter goes through with her mourning.</w:t>
      </w:r>
      <w:r w:rsidR="008422B7">
        <w:rPr>
          <w:sz w:val="24"/>
          <w:szCs w:val="24"/>
        </w:rPr>
        <w:t xml:space="preserve"> West’s translation of the Homeric Hymn to Demeter, sees her locking herself away in seclusion at Eleusis and “allowed nothing sown to come up” (West HHD).</w:t>
      </w:r>
      <w:r w:rsidR="008422B7">
        <w:rPr>
          <w:rStyle w:val="FootnoteReference"/>
          <w:sz w:val="24"/>
          <w:szCs w:val="24"/>
        </w:rPr>
        <w:footnoteReference w:id="17"/>
      </w:r>
      <w:r w:rsidR="008422B7">
        <w:rPr>
          <w:sz w:val="24"/>
          <w:szCs w:val="24"/>
        </w:rPr>
        <w:t xml:space="preserve"> Demeter the Goddess of the harvest grain and fertility allows nothing to grow, in essence in her anger she kills off, the truest part of her nature.</w:t>
      </w:r>
    </w:p>
    <w:p w14:paraId="6F023FAD" w14:textId="7111C2D7" w:rsidR="00A716A1" w:rsidRDefault="00A716A1" w:rsidP="00CC09A0">
      <w:pPr>
        <w:ind w:left="720" w:right="828"/>
        <w:rPr>
          <w:sz w:val="24"/>
          <w:szCs w:val="24"/>
        </w:rPr>
      </w:pPr>
      <w:r>
        <w:rPr>
          <w:sz w:val="24"/>
          <w:szCs w:val="24"/>
        </w:rPr>
        <w:t>White is Ceres’ proper colour; put on white robes at Ceres’ festival; now no one wears dun-coloured wool</w:t>
      </w:r>
      <w:r w:rsidR="00CC09A0">
        <w:rPr>
          <w:sz w:val="24"/>
          <w:szCs w:val="24"/>
        </w:rPr>
        <w:t xml:space="preserve"> (Ovid Fasti).</w:t>
      </w:r>
      <w:r w:rsidR="00CC09A0">
        <w:rPr>
          <w:rStyle w:val="FootnoteReference"/>
          <w:sz w:val="24"/>
          <w:szCs w:val="24"/>
        </w:rPr>
        <w:footnoteReference w:id="18"/>
      </w:r>
    </w:p>
    <w:p w14:paraId="2B84DD03" w14:textId="5AC83855" w:rsidR="001F7EDE" w:rsidRDefault="00DF0C8B" w:rsidP="00BC48E8">
      <w:pPr>
        <w:ind w:right="-22"/>
        <w:rPr>
          <w:sz w:val="24"/>
          <w:szCs w:val="24"/>
        </w:rPr>
      </w:pPr>
      <w:r>
        <w:rPr>
          <w:sz w:val="24"/>
          <w:szCs w:val="24"/>
        </w:rPr>
        <w:t>Once burned they wash thus purifying themselves and adorn their bodies with “</w:t>
      </w:r>
      <w:r w:rsidRPr="00DF0C8B">
        <w:rPr>
          <w:sz w:val="24"/>
          <w:szCs w:val="24"/>
        </w:rPr>
        <w:t>glistening white robes</w:t>
      </w:r>
      <w:r>
        <w:rPr>
          <w:sz w:val="24"/>
          <w:szCs w:val="24"/>
        </w:rPr>
        <w:t>” (Bright 2022), symbolising their acceptance as disciples of Demeter.</w:t>
      </w:r>
      <w:r w:rsidR="00BC48E8">
        <w:rPr>
          <w:sz w:val="24"/>
          <w:szCs w:val="24"/>
        </w:rPr>
        <w:tab/>
      </w:r>
      <w:r w:rsidR="00BC48E8">
        <w:rPr>
          <w:sz w:val="24"/>
          <w:szCs w:val="24"/>
        </w:rPr>
        <w:tab/>
      </w:r>
      <w:r w:rsidR="00BC48E8">
        <w:rPr>
          <w:sz w:val="24"/>
          <w:szCs w:val="24"/>
        </w:rPr>
        <w:tab/>
      </w:r>
      <w:r w:rsidR="005A658D">
        <w:rPr>
          <w:sz w:val="24"/>
          <w:szCs w:val="24"/>
        </w:rPr>
        <w:t>For future improvement, I need to work on my time management and motivational skills. To achieve this, I have come up with several strategies. I struggle with spelling, punctuation, and grammar so to improve on this I will read my work aloud paying attention to my breath work. This helps as a full stop correlates to a full breath</w:t>
      </w:r>
      <w:r w:rsidR="000868DE">
        <w:rPr>
          <w:sz w:val="24"/>
          <w:szCs w:val="24"/>
        </w:rPr>
        <w:t>,</w:t>
      </w:r>
      <w:r w:rsidR="005A658D">
        <w:rPr>
          <w:sz w:val="24"/>
          <w:szCs w:val="24"/>
        </w:rPr>
        <w:t xml:space="preserve"> whereas half a breath is where I need to put a comma. </w:t>
      </w:r>
      <w:r w:rsidR="0022566F">
        <w:rPr>
          <w:sz w:val="24"/>
          <w:szCs w:val="24"/>
        </w:rPr>
        <w:t>Hearing myself recite the dialogue I have used will help me to hear the voices of my characters to establish how natural or forced they sound; helping me to improve on their individual voices.</w:t>
      </w:r>
      <w:r w:rsidR="0022566F">
        <w:rPr>
          <w:sz w:val="24"/>
          <w:szCs w:val="24"/>
        </w:rPr>
        <w:tab/>
      </w:r>
      <w:r w:rsidR="0022566F">
        <w:rPr>
          <w:sz w:val="24"/>
          <w:szCs w:val="24"/>
        </w:rPr>
        <w:tab/>
      </w:r>
      <w:r w:rsidR="0022566F">
        <w:rPr>
          <w:sz w:val="24"/>
          <w:szCs w:val="24"/>
        </w:rPr>
        <w:tab/>
      </w:r>
      <w:r w:rsidR="0022566F">
        <w:rPr>
          <w:sz w:val="24"/>
          <w:szCs w:val="24"/>
        </w:rPr>
        <w:tab/>
      </w:r>
      <w:r w:rsidR="0022566F">
        <w:rPr>
          <w:sz w:val="24"/>
          <w:szCs w:val="24"/>
        </w:rPr>
        <w:tab/>
      </w:r>
      <w:r w:rsidR="0022566F">
        <w:rPr>
          <w:sz w:val="24"/>
          <w:szCs w:val="24"/>
        </w:rPr>
        <w:tab/>
      </w:r>
      <w:r w:rsidR="0022566F">
        <w:rPr>
          <w:sz w:val="24"/>
          <w:szCs w:val="24"/>
        </w:rPr>
        <w:tab/>
      </w:r>
      <w:r w:rsidR="0022566F">
        <w:rPr>
          <w:sz w:val="24"/>
          <w:szCs w:val="24"/>
        </w:rPr>
        <w:tab/>
        <w:t xml:space="preserve">I feel disappointed with my ending to </w:t>
      </w:r>
      <w:r w:rsidR="0022566F" w:rsidRPr="004E2133">
        <w:rPr>
          <w:i/>
          <w:iCs/>
          <w:sz w:val="24"/>
          <w:szCs w:val="24"/>
        </w:rPr>
        <w:t>Dearest Persephone</w:t>
      </w:r>
      <w:r w:rsidR="0022566F">
        <w:rPr>
          <w:sz w:val="24"/>
          <w:szCs w:val="24"/>
        </w:rPr>
        <w:t xml:space="preserve"> as it is significantly weaker </w:t>
      </w:r>
      <w:r w:rsidR="0022566F">
        <w:rPr>
          <w:sz w:val="24"/>
          <w:szCs w:val="24"/>
        </w:rPr>
        <w:lastRenderedPageBreak/>
        <w:t>than how I started the creative piece</w:t>
      </w:r>
      <w:r w:rsidR="005F045B">
        <w:rPr>
          <w:sz w:val="24"/>
          <w:szCs w:val="24"/>
        </w:rPr>
        <w:t xml:space="preserve">. </w:t>
      </w:r>
      <w:r w:rsidR="004F74BA">
        <w:rPr>
          <w:sz w:val="24"/>
          <w:szCs w:val="24"/>
        </w:rPr>
        <w:t>This was largely due to m</w:t>
      </w:r>
      <w:r w:rsidR="007C2355">
        <w:rPr>
          <w:sz w:val="24"/>
          <w:szCs w:val="24"/>
        </w:rPr>
        <w:t>y</w:t>
      </w:r>
      <w:r w:rsidR="004F74BA">
        <w:rPr>
          <w:sz w:val="24"/>
          <w:szCs w:val="24"/>
        </w:rPr>
        <w:t xml:space="preserve"> time management and general tiredness. To combat this in future I will be reviewing my work at earlier intervals giving myself more time and rest stops; thus, helping myself reduce stress and minimise last minute submissions. By journaling my work</w:t>
      </w:r>
      <w:r w:rsidR="00B46926">
        <w:rPr>
          <w:sz w:val="24"/>
          <w:szCs w:val="24"/>
        </w:rPr>
        <w:t>,</w:t>
      </w:r>
      <w:r w:rsidR="004F74BA">
        <w:rPr>
          <w:sz w:val="24"/>
          <w:szCs w:val="24"/>
        </w:rPr>
        <w:t xml:space="preserve"> </w:t>
      </w:r>
      <w:r w:rsidR="00A42C25">
        <w:rPr>
          <w:sz w:val="24"/>
          <w:szCs w:val="24"/>
        </w:rPr>
        <w:t xml:space="preserve">I will establish how I feel about each section of writing I produce. </w:t>
      </w:r>
      <w:r w:rsidR="00B46926">
        <w:rPr>
          <w:sz w:val="24"/>
          <w:szCs w:val="24"/>
        </w:rPr>
        <w:t>By analysing this feeling, I will be able to see which bits of my work needs most work. So, in future when a piece of creative writing feels off</w:t>
      </w:r>
      <w:r w:rsidR="00686CE2">
        <w:rPr>
          <w:sz w:val="24"/>
          <w:szCs w:val="24"/>
        </w:rPr>
        <w:t>,</w:t>
      </w:r>
      <w:r w:rsidR="00B46926">
        <w:rPr>
          <w:sz w:val="24"/>
          <w:szCs w:val="24"/>
        </w:rPr>
        <w:t xml:space="preserve"> I will take a breath, </w:t>
      </w:r>
      <w:r w:rsidR="00686CE2">
        <w:rPr>
          <w:sz w:val="24"/>
          <w:szCs w:val="24"/>
        </w:rPr>
        <w:t>review,</w:t>
      </w:r>
      <w:r w:rsidR="00B46926">
        <w:rPr>
          <w:sz w:val="24"/>
          <w:szCs w:val="24"/>
        </w:rPr>
        <w:t xml:space="preserve"> and improve. </w:t>
      </w:r>
      <w:r w:rsidR="00686CE2">
        <w:rPr>
          <w:sz w:val="24"/>
          <w:szCs w:val="24"/>
        </w:rPr>
        <w:t xml:space="preserve">An added benefit of journaling about my creative work and processes is that it will be written from my own perspective in the first person </w:t>
      </w:r>
      <w:r w:rsidR="0023011D">
        <w:rPr>
          <w:sz w:val="24"/>
          <w:szCs w:val="24"/>
        </w:rPr>
        <w:t xml:space="preserve">present; this would have been helpful practice at staying in the correct tense for </w:t>
      </w:r>
      <w:r w:rsidR="0023011D" w:rsidRPr="0023011D">
        <w:rPr>
          <w:i/>
          <w:iCs/>
          <w:sz w:val="24"/>
          <w:szCs w:val="24"/>
        </w:rPr>
        <w:t>Dearest Persephone</w:t>
      </w:r>
      <w:r w:rsidR="0023011D">
        <w:rPr>
          <w:sz w:val="24"/>
          <w:szCs w:val="24"/>
        </w:rPr>
        <w:t>.</w:t>
      </w:r>
      <w:r w:rsidR="00EE5606">
        <w:rPr>
          <w:sz w:val="24"/>
          <w:szCs w:val="24"/>
        </w:rPr>
        <w:t xml:space="preserve"> </w:t>
      </w:r>
      <w:r w:rsidR="00B91AF2">
        <w:rPr>
          <w:sz w:val="24"/>
          <w:szCs w:val="24"/>
        </w:rPr>
        <w:tab/>
      </w:r>
      <w:r w:rsidR="00B91AF2">
        <w:rPr>
          <w:sz w:val="24"/>
          <w:szCs w:val="24"/>
        </w:rPr>
        <w:tab/>
      </w:r>
      <w:r w:rsidR="00BC48E8">
        <w:rPr>
          <w:sz w:val="24"/>
          <w:szCs w:val="24"/>
        </w:rPr>
        <w:tab/>
      </w:r>
      <w:r w:rsidR="00B91AF2">
        <w:rPr>
          <w:sz w:val="24"/>
          <w:szCs w:val="24"/>
        </w:rPr>
        <w:t xml:space="preserve">In the future I would like to develop </w:t>
      </w:r>
      <w:r w:rsidR="00B91AF2" w:rsidRPr="00977DA9">
        <w:rPr>
          <w:i/>
          <w:iCs/>
          <w:sz w:val="24"/>
          <w:szCs w:val="24"/>
        </w:rPr>
        <w:t>Dearest Persephone</w:t>
      </w:r>
      <w:r w:rsidR="00B91AF2">
        <w:rPr>
          <w:sz w:val="24"/>
          <w:szCs w:val="24"/>
        </w:rPr>
        <w:t xml:space="preserve"> into a stage production because I feel </w:t>
      </w:r>
      <w:r w:rsidR="00207705">
        <w:rPr>
          <w:sz w:val="24"/>
          <w:szCs w:val="24"/>
        </w:rPr>
        <w:t xml:space="preserve">it would lend itself well to the over dramatized nature of the stage. Upon further reflection the relationship between Aeliana and Flavia would feel visceral vocalised aloud. Although the biggest boost my retelling of the Persephone myth would get from the stage would be the use of dramatic monologue; imagine the power behind Aeliana speaking out her privet prayers to Persephone in front of a live audience, it would make them feel riskier </w:t>
      </w:r>
      <w:r w:rsidR="00EE678F">
        <w:rPr>
          <w:sz w:val="24"/>
          <w:szCs w:val="24"/>
        </w:rPr>
        <w:t xml:space="preserve">forcing the audience to </w:t>
      </w:r>
      <w:r w:rsidR="00501360">
        <w:rPr>
          <w:sz w:val="24"/>
          <w:szCs w:val="24"/>
        </w:rPr>
        <w:t>bear</w:t>
      </w:r>
      <w:r w:rsidR="00EE678F">
        <w:rPr>
          <w:sz w:val="24"/>
          <w:szCs w:val="24"/>
        </w:rPr>
        <w:t xml:space="preserve"> witness to Aeliana’s innermost privet </w:t>
      </w:r>
      <w:r w:rsidR="00501360">
        <w:rPr>
          <w:sz w:val="24"/>
          <w:szCs w:val="24"/>
        </w:rPr>
        <w:t>thoughts</w:t>
      </w:r>
      <w:r w:rsidR="00EE678F">
        <w:rPr>
          <w:sz w:val="24"/>
          <w:szCs w:val="24"/>
        </w:rPr>
        <w:t>.</w:t>
      </w:r>
      <w:r w:rsidR="00FB34ED">
        <w:rPr>
          <w:sz w:val="24"/>
          <w:szCs w:val="24"/>
        </w:rPr>
        <w:t xml:space="preserve"> </w:t>
      </w:r>
      <w:r w:rsidR="00EE5606">
        <w:rPr>
          <w:sz w:val="24"/>
          <w:szCs w:val="24"/>
        </w:rPr>
        <w:t>An example I enjoy is Jennifer O’Grady’s reimagining of the Persephone myth</w:t>
      </w:r>
      <w:r w:rsidR="00977DA9">
        <w:rPr>
          <w:sz w:val="24"/>
          <w:szCs w:val="24"/>
        </w:rPr>
        <w:t xml:space="preserve"> </w:t>
      </w:r>
      <w:r w:rsidR="005B36C9">
        <w:rPr>
          <w:sz w:val="24"/>
          <w:szCs w:val="24"/>
        </w:rPr>
        <w:t>(O’Grady 2019).</w:t>
      </w:r>
      <w:r w:rsidR="00EE5606">
        <w:rPr>
          <w:rStyle w:val="FootnoteReference"/>
          <w:sz w:val="24"/>
          <w:szCs w:val="24"/>
        </w:rPr>
        <w:footnoteReference w:id="19"/>
      </w:r>
      <w:r w:rsidR="00EE5606">
        <w:rPr>
          <w:sz w:val="24"/>
          <w:szCs w:val="24"/>
        </w:rPr>
        <w:t xml:space="preserve"> She presents her retelling on the stage relying on the acting rather than amazing set design or special effects. Jennifer’s performance meant more to me than a west end show because she represents the ease at which a stage production can be put on with next to no budget. O’Grady </w:t>
      </w:r>
      <w:r w:rsidR="005A4277">
        <w:rPr>
          <w:sz w:val="24"/>
          <w:szCs w:val="24"/>
        </w:rPr>
        <w:t xml:space="preserve">inspirers in me the desire to convert </w:t>
      </w:r>
      <w:r w:rsidR="005A4277" w:rsidRPr="00977DA9">
        <w:rPr>
          <w:i/>
          <w:iCs/>
          <w:sz w:val="24"/>
          <w:szCs w:val="24"/>
        </w:rPr>
        <w:t>Dearest Persephone</w:t>
      </w:r>
      <w:r w:rsidR="005A4277">
        <w:rPr>
          <w:sz w:val="24"/>
          <w:szCs w:val="24"/>
        </w:rPr>
        <w:t xml:space="preserve"> in a similar way, even if it doesn’t get well known it will be a start, all I need is that start.</w:t>
      </w:r>
    </w:p>
    <w:p w14:paraId="4E25F1B7" w14:textId="20B6D558" w:rsidR="00853656" w:rsidRDefault="00853656" w:rsidP="00BC48E8">
      <w:pPr>
        <w:ind w:right="-22"/>
        <w:rPr>
          <w:sz w:val="24"/>
          <w:szCs w:val="24"/>
        </w:rPr>
      </w:pPr>
    </w:p>
    <w:p w14:paraId="21235EF9" w14:textId="373AF29A" w:rsidR="00853656" w:rsidRDefault="00853656" w:rsidP="00BC48E8">
      <w:pPr>
        <w:ind w:right="-22"/>
        <w:rPr>
          <w:b/>
          <w:bCs/>
          <w:u w:val="single"/>
        </w:rPr>
      </w:pPr>
      <w:r w:rsidRPr="00853656">
        <w:rPr>
          <w:b/>
          <w:bCs/>
          <w:u w:val="single"/>
        </w:rPr>
        <w:t>Bibliography</w:t>
      </w:r>
    </w:p>
    <w:p w14:paraId="6B79CE27" w14:textId="1A3B7185" w:rsidR="005F122F" w:rsidRDefault="005F122F" w:rsidP="00BC48E8">
      <w:pPr>
        <w:ind w:right="-22"/>
      </w:pPr>
      <w:r>
        <w:t xml:space="preserve">Bright, Lyra </w:t>
      </w:r>
      <w:r w:rsidRPr="005F122F">
        <w:rPr>
          <w:i/>
          <w:iCs/>
        </w:rPr>
        <w:t>Dearest Persephone</w:t>
      </w:r>
      <w:r>
        <w:t xml:space="preserve"> 2022</w:t>
      </w:r>
    </w:p>
    <w:p w14:paraId="757EC62B" w14:textId="7043CA64" w:rsidR="002A61AB" w:rsidRPr="005F122F" w:rsidRDefault="002A61AB" w:rsidP="00BC48E8">
      <w:pPr>
        <w:ind w:right="-22"/>
      </w:pPr>
      <w:r w:rsidRPr="00183479">
        <w:t xml:space="preserve">Britannica, The Editors of Encyclopaedia. "Eleusis". </w:t>
      </w:r>
      <w:r w:rsidRPr="002A61AB">
        <w:rPr>
          <w:i/>
          <w:iCs/>
        </w:rPr>
        <w:t>Encyclopaedia</w:t>
      </w:r>
      <w:r w:rsidRPr="002A61AB">
        <w:rPr>
          <w:i/>
          <w:iCs/>
        </w:rPr>
        <w:t xml:space="preserve"> Britannica</w:t>
      </w:r>
      <w:r w:rsidRPr="00183479">
        <w:t xml:space="preserve">, </w:t>
      </w:r>
      <w:r>
        <w:t xml:space="preserve">2019 </w:t>
      </w:r>
      <w:r w:rsidRPr="00183479">
        <w:t>https://www.britannica.com/place/Eleusis-ancient-city-Greece. Accessed 20 October 2022.</w:t>
      </w:r>
    </w:p>
    <w:p w14:paraId="7DAE8BB1" w14:textId="77777777" w:rsidR="00023437" w:rsidRPr="00023437" w:rsidRDefault="00853656" w:rsidP="00023437">
      <w:pPr>
        <w:pStyle w:val="Bibliography"/>
        <w:rPr>
          <w:rFonts w:ascii="Calibri" w:hAnsi="Calibri" w:cs="Calibri"/>
        </w:rPr>
      </w:pPr>
      <w:r>
        <w:rPr>
          <w:b/>
          <w:bCs/>
          <w:u w:val="single"/>
        </w:rPr>
        <w:fldChar w:fldCharType="begin"/>
      </w:r>
      <w:r>
        <w:rPr>
          <w:b/>
          <w:bCs/>
          <w:u w:val="single"/>
        </w:rPr>
        <w:instrText xml:space="preserve"> ADDIN ZOTERO_BIBL {"uncited":[],"omitted":[],"custom":[]} CSL_BIBLIOGRAPHY </w:instrText>
      </w:r>
      <w:r>
        <w:rPr>
          <w:b/>
          <w:bCs/>
          <w:u w:val="single"/>
        </w:rPr>
        <w:fldChar w:fldCharType="separate"/>
      </w:r>
      <w:r w:rsidR="00023437" w:rsidRPr="00023437">
        <w:rPr>
          <w:rFonts w:ascii="Calibri" w:hAnsi="Calibri" w:cs="Calibri"/>
        </w:rPr>
        <w:t xml:space="preserve">Clinton, Kevin, ‘The Mysteries of Demeter and Kore’, in </w:t>
      </w:r>
      <w:r w:rsidR="00023437" w:rsidRPr="00023437">
        <w:rPr>
          <w:rFonts w:ascii="Calibri" w:hAnsi="Calibri" w:cs="Calibri"/>
          <w:i/>
          <w:iCs/>
        </w:rPr>
        <w:t>A Companion to Greek Religion</w:t>
      </w:r>
      <w:r w:rsidR="00023437" w:rsidRPr="00023437">
        <w:rPr>
          <w:rFonts w:ascii="Calibri" w:hAnsi="Calibri" w:cs="Calibri"/>
        </w:rPr>
        <w:t xml:space="preserve"> (Blackwell, 2007), pp. 342–56</w:t>
      </w:r>
    </w:p>
    <w:p w14:paraId="2C320BF3" w14:textId="59F575B5" w:rsidR="00023437" w:rsidRDefault="00023437" w:rsidP="00023437">
      <w:pPr>
        <w:pStyle w:val="Bibliography"/>
        <w:rPr>
          <w:rFonts w:ascii="Calibri" w:hAnsi="Calibri" w:cs="Calibri"/>
        </w:rPr>
      </w:pPr>
      <w:r w:rsidRPr="00023437">
        <w:rPr>
          <w:rFonts w:ascii="Calibri" w:hAnsi="Calibri" w:cs="Calibri"/>
        </w:rPr>
        <w:t>Graf, Fritz (Columbus, ‘</w:t>
      </w:r>
      <w:proofErr w:type="spellStart"/>
      <w:r w:rsidRPr="00023437">
        <w:rPr>
          <w:rFonts w:ascii="Calibri" w:hAnsi="Calibri" w:cs="Calibri"/>
        </w:rPr>
        <w:t>Mysteria</w:t>
      </w:r>
      <w:proofErr w:type="spellEnd"/>
      <w:r w:rsidRPr="00023437">
        <w:rPr>
          <w:rFonts w:ascii="Calibri" w:hAnsi="Calibri" w:cs="Calibri"/>
        </w:rPr>
        <w:t xml:space="preserve">’, </w:t>
      </w:r>
      <w:r w:rsidRPr="00023437">
        <w:rPr>
          <w:rFonts w:ascii="Calibri" w:hAnsi="Calibri" w:cs="Calibri"/>
          <w:i/>
          <w:iCs/>
        </w:rPr>
        <w:t>Brill’s New Pauly</w:t>
      </w:r>
      <w:r w:rsidRPr="00023437">
        <w:rPr>
          <w:rFonts w:ascii="Calibri" w:hAnsi="Calibri" w:cs="Calibri"/>
        </w:rPr>
        <w:t>, 2006 &lt;http://referenceworks.brillonline.com/entries/brill-s-new-pauly/mysteria-e814850?s.num=1&amp;s.f.s2_parent=s.f.book.brill-s-new-pauly&amp;s.q=kykeon&gt; [accessed 21 October 2022]</w:t>
      </w:r>
    </w:p>
    <w:p w14:paraId="38B184A2" w14:textId="18B92641" w:rsidR="00375C18" w:rsidRPr="00375C18" w:rsidRDefault="00375C18" w:rsidP="00375C18">
      <w:r>
        <w:t xml:space="preserve">Nagy </w:t>
      </w:r>
      <w:r w:rsidRPr="00375C18">
        <w:rPr>
          <w:i/>
          <w:iCs/>
        </w:rPr>
        <w:t>Homeric Hymn to Demeter</w:t>
      </w:r>
    </w:p>
    <w:p w14:paraId="17012C7E" w14:textId="61BD6528" w:rsidR="00023437" w:rsidRPr="00023437" w:rsidRDefault="00023437" w:rsidP="00023437">
      <w:pPr>
        <w:pStyle w:val="Bibliography"/>
        <w:rPr>
          <w:rFonts w:ascii="Calibri" w:hAnsi="Calibri" w:cs="Calibri"/>
        </w:rPr>
      </w:pPr>
      <w:r w:rsidRPr="00023437">
        <w:rPr>
          <w:rFonts w:ascii="Calibri" w:hAnsi="Calibri" w:cs="Calibri"/>
        </w:rPr>
        <w:t>Ovid,</w:t>
      </w:r>
      <w:r w:rsidR="00C64680">
        <w:rPr>
          <w:rFonts w:ascii="Calibri" w:hAnsi="Calibri" w:cs="Calibri"/>
        </w:rPr>
        <w:t xml:space="preserve"> </w:t>
      </w:r>
      <w:r w:rsidR="00C64680" w:rsidRPr="00C64680">
        <w:rPr>
          <w:rFonts w:ascii="Calibri" w:hAnsi="Calibri" w:cs="Calibri"/>
          <w:i/>
          <w:iCs/>
        </w:rPr>
        <w:t>Fasti</w:t>
      </w:r>
      <w:r w:rsidRPr="00023437">
        <w:rPr>
          <w:rFonts w:ascii="Calibri" w:hAnsi="Calibri" w:cs="Calibri"/>
        </w:rPr>
        <w:t xml:space="preserve"> ‘Book IV’, trans. by Jeffrey Henderson, </w:t>
      </w:r>
      <w:r w:rsidRPr="00023437">
        <w:rPr>
          <w:rFonts w:ascii="Calibri" w:hAnsi="Calibri" w:cs="Calibri"/>
          <w:i/>
          <w:iCs/>
        </w:rPr>
        <w:t>Loeb Classical Library</w:t>
      </w:r>
      <w:r w:rsidRPr="00023437">
        <w:rPr>
          <w:rFonts w:ascii="Calibri" w:hAnsi="Calibri" w:cs="Calibri"/>
        </w:rPr>
        <w:t xml:space="preserve"> &lt;https://www-loebclassics-com.ezproxy.uwtsd.ac.uk/view/ovid-fasti/1931/pb_LCL253.221.xml?mainRsKey=XM4bnI&gt; [accessed 21 October 2022]</w:t>
      </w:r>
    </w:p>
    <w:p w14:paraId="23148EA1" w14:textId="2CB6234D" w:rsidR="00023437" w:rsidRPr="00023437" w:rsidRDefault="00C64680" w:rsidP="00023437">
      <w:pPr>
        <w:pStyle w:val="Bibliography"/>
        <w:rPr>
          <w:rFonts w:ascii="Calibri" w:hAnsi="Calibri" w:cs="Calibri"/>
        </w:rPr>
      </w:pPr>
      <w:r>
        <w:rPr>
          <w:rFonts w:ascii="Calibri" w:hAnsi="Calibri" w:cs="Calibri"/>
        </w:rPr>
        <w:lastRenderedPageBreak/>
        <w:t>Ovid</w:t>
      </w:r>
      <w:r w:rsidR="00023437" w:rsidRPr="00023437">
        <w:rPr>
          <w:rFonts w:ascii="Calibri" w:hAnsi="Calibri" w:cs="Calibri"/>
        </w:rPr>
        <w:t xml:space="preserve">, </w:t>
      </w:r>
      <w:r w:rsidRPr="00C64680">
        <w:rPr>
          <w:rFonts w:ascii="Calibri" w:hAnsi="Calibri" w:cs="Calibri"/>
          <w:i/>
          <w:iCs/>
        </w:rPr>
        <w:t>Metamorphoses</w:t>
      </w:r>
      <w:r>
        <w:rPr>
          <w:rFonts w:ascii="Calibri" w:hAnsi="Calibri" w:cs="Calibri"/>
        </w:rPr>
        <w:t xml:space="preserve"> </w:t>
      </w:r>
      <w:r w:rsidR="00023437" w:rsidRPr="00023437">
        <w:rPr>
          <w:rFonts w:ascii="Calibri" w:hAnsi="Calibri" w:cs="Calibri"/>
        </w:rPr>
        <w:t xml:space="preserve">‘Book V’, trans. by Jeffrey Henderson, </w:t>
      </w:r>
      <w:r w:rsidR="00023437" w:rsidRPr="00023437">
        <w:rPr>
          <w:rFonts w:ascii="Calibri" w:hAnsi="Calibri" w:cs="Calibri"/>
          <w:i/>
          <w:iCs/>
        </w:rPr>
        <w:t>Loeb Classical Library</w:t>
      </w:r>
      <w:r w:rsidR="00023437" w:rsidRPr="00023437">
        <w:rPr>
          <w:rFonts w:ascii="Calibri" w:hAnsi="Calibri" w:cs="Calibri"/>
        </w:rPr>
        <w:t xml:space="preserve"> &lt;https://www-loebclassics-com.ezproxy.uwtsd.ac.uk/view/ovid-metamorphoses/1916/pb_LCL042.263.xml?mainRsKey=raHTSP&gt; [accessed 21 October 2022]</w:t>
      </w:r>
    </w:p>
    <w:p w14:paraId="66B07A72" w14:textId="77777777" w:rsidR="00023437" w:rsidRPr="00023437" w:rsidRDefault="00023437" w:rsidP="00023437">
      <w:pPr>
        <w:pStyle w:val="Bibliography"/>
        <w:rPr>
          <w:rFonts w:ascii="Calibri" w:hAnsi="Calibri" w:cs="Calibri"/>
        </w:rPr>
      </w:pPr>
      <w:r w:rsidRPr="00023437">
        <w:rPr>
          <w:rFonts w:ascii="Calibri" w:hAnsi="Calibri" w:cs="Calibri"/>
        </w:rPr>
        <w:t xml:space="preserve">‘Pennyroyal Uses, Benefits &amp; Side Effects - Drugs.Com Herbal Database’, </w:t>
      </w:r>
      <w:r w:rsidRPr="00023437">
        <w:rPr>
          <w:rFonts w:ascii="Calibri" w:hAnsi="Calibri" w:cs="Calibri"/>
          <w:i/>
          <w:iCs/>
        </w:rPr>
        <w:t>Drugs.Com</w:t>
      </w:r>
      <w:r w:rsidRPr="00023437">
        <w:rPr>
          <w:rFonts w:ascii="Calibri" w:hAnsi="Calibri" w:cs="Calibri"/>
        </w:rPr>
        <w:t>, 2022 &lt;https://www.drugs.com/npc/pennyroyal.html&gt; [accessed 21 October 2022]</w:t>
      </w:r>
    </w:p>
    <w:p w14:paraId="1B565DF4" w14:textId="77777777" w:rsidR="00023437" w:rsidRPr="00023437" w:rsidRDefault="00023437" w:rsidP="00023437">
      <w:pPr>
        <w:pStyle w:val="Bibliography"/>
        <w:rPr>
          <w:rFonts w:ascii="Calibri" w:hAnsi="Calibri" w:cs="Calibri"/>
        </w:rPr>
      </w:pPr>
      <w:r w:rsidRPr="00023437">
        <w:rPr>
          <w:rFonts w:ascii="Calibri" w:hAnsi="Calibri" w:cs="Calibri"/>
          <w:i/>
          <w:iCs/>
        </w:rPr>
        <w:t>Persephone, a 10-Minute Play by Jennifer O’Grady</w:t>
      </w:r>
      <w:r w:rsidRPr="00023437">
        <w:rPr>
          <w:rFonts w:ascii="Calibri" w:hAnsi="Calibri" w:cs="Calibri"/>
        </w:rPr>
        <w:t>, dir. by The Hive Collaborative, 2019 &lt;https://www.youtube.com/watch?v=P6AxRFkfy3g&gt; [accessed 20 October 2022]</w:t>
      </w:r>
    </w:p>
    <w:p w14:paraId="5B5F1AC1" w14:textId="77777777" w:rsidR="00023437" w:rsidRPr="00023437" w:rsidRDefault="00023437" w:rsidP="00023437">
      <w:pPr>
        <w:pStyle w:val="Bibliography"/>
        <w:rPr>
          <w:rFonts w:ascii="Calibri" w:hAnsi="Calibri" w:cs="Calibri"/>
        </w:rPr>
      </w:pPr>
      <w:r w:rsidRPr="00023437">
        <w:rPr>
          <w:rFonts w:ascii="Calibri" w:hAnsi="Calibri" w:cs="Calibri"/>
        </w:rPr>
        <w:t xml:space="preserve">Pomeroy, Sarah B, </w:t>
      </w:r>
      <w:r w:rsidRPr="00023437">
        <w:rPr>
          <w:rFonts w:ascii="Calibri" w:hAnsi="Calibri" w:cs="Calibri"/>
          <w:i/>
          <w:iCs/>
        </w:rPr>
        <w:t>Goddesses, Whores, Wives and Slaves</w:t>
      </w:r>
      <w:r w:rsidRPr="00023437">
        <w:rPr>
          <w:rFonts w:ascii="Calibri" w:hAnsi="Calibri" w:cs="Calibri"/>
        </w:rPr>
        <w:t xml:space="preserve"> (London: Robert Hale and Company, 1975)</w:t>
      </w:r>
    </w:p>
    <w:p w14:paraId="6A923208" w14:textId="77777777" w:rsidR="00023437" w:rsidRPr="00023437" w:rsidRDefault="00023437" w:rsidP="00023437">
      <w:pPr>
        <w:pStyle w:val="Bibliography"/>
        <w:rPr>
          <w:rFonts w:ascii="Calibri" w:hAnsi="Calibri" w:cs="Calibri"/>
        </w:rPr>
      </w:pPr>
      <w:r w:rsidRPr="00023437">
        <w:rPr>
          <w:rFonts w:ascii="Calibri" w:hAnsi="Calibri" w:cs="Calibri"/>
        </w:rPr>
        <w:t xml:space="preserve">West, M.L, </w:t>
      </w:r>
      <w:proofErr w:type="spellStart"/>
      <w:r w:rsidRPr="00023437">
        <w:rPr>
          <w:rFonts w:ascii="Calibri" w:hAnsi="Calibri" w:cs="Calibri"/>
        </w:rPr>
        <w:t>tran</w:t>
      </w:r>
      <w:proofErr w:type="spellEnd"/>
      <w:r w:rsidRPr="00023437">
        <w:rPr>
          <w:rFonts w:ascii="Calibri" w:hAnsi="Calibri" w:cs="Calibri"/>
        </w:rPr>
        <w:t xml:space="preserve">., </w:t>
      </w:r>
      <w:r w:rsidRPr="00023437">
        <w:rPr>
          <w:rFonts w:ascii="Calibri" w:hAnsi="Calibri" w:cs="Calibri"/>
          <w:i/>
          <w:iCs/>
        </w:rPr>
        <w:t>Homeric Hymn To Demeter</w:t>
      </w:r>
      <w:r w:rsidRPr="00023437">
        <w:rPr>
          <w:rFonts w:ascii="Calibri" w:hAnsi="Calibri" w:cs="Calibri"/>
        </w:rPr>
        <w:t xml:space="preserve"> &lt;https://www-loebclassics-com.ezproxy.uwtsd.ac.uk/view/homeric_hymns_2_demeter/2003/pb_LCL496.33.xml&gt; [accessed 26 September 2022]</w:t>
      </w:r>
    </w:p>
    <w:p w14:paraId="19AEEAFC" w14:textId="304E3359" w:rsidR="00853656" w:rsidRPr="00853656" w:rsidRDefault="00853656" w:rsidP="00BC48E8">
      <w:pPr>
        <w:ind w:right="-22"/>
        <w:rPr>
          <w:b/>
          <w:bCs/>
          <w:u w:val="single"/>
        </w:rPr>
      </w:pPr>
      <w:r>
        <w:rPr>
          <w:b/>
          <w:bCs/>
          <w:u w:val="single"/>
        </w:rPr>
        <w:fldChar w:fldCharType="end"/>
      </w:r>
    </w:p>
    <w:p w14:paraId="046DD1BF" w14:textId="275B3828" w:rsidR="001F7EDE" w:rsidRDefault="001F7EDE" w:rsidP="004E2133">
      <w:pPr>
        <w:rPr>
          <w:sz w:val="24"/>
          <w:szCs w:val="24"/>
        </w:rPr>
      </w:pPr>
    </w:p>
    <w:p w14:paraId="71862E92" w14:textId="77777777" w:rsidR="00EE5606" w:rsidRPr="00E92102" w:rsidRDefault="00EE5606" w:rsidP="004E2133">
      <w:pPr>
        <w:rPr>
          <w:sz w:val="24"/>
          <w:szCs w:val="24"/>
        </w:rPr>
      </w:pPr>
    </w:p>
    <w:sectPr w:rsidR="00EE5606" w:rsidRPr="00E92102" w:rsidSect="003E2FCD">
      <w:pgSz w:w="11906" w:h="16838"/>
      <w:pgMar w:top="1440" w:right="141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028E4" w14:textId="77777777" w:rsidR="005C71BF" w:rsidRDefault="005C71BF" w:rsidP="00987A5F">
      <w:pPr>
        <w:spacing w:after="0" w:line="240" w:lineRule="auto"/>
      </w:pPr>
      <w:r>
        <w:separator/>
      </w:r>
    </w:p>
  </w:endnote>
  <w:endnote w:type="continuationSeparator" w:id="0">
    <w:p w14:paraId="5E29F8AC" w14:textId="77777777" w:rsidR="005C71BF" w:rsidRDefault="005C71BF" w:rsidP="00987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FC5F6" w14:textId="77777777" w:rsidR="005C71BF" w:rsidRDefault="005C71BF" w:rsidP="00987A5F">
      <w:pPr>
        <w:spacing w:after="0" w:line="240" w:lineRule="auto"/>
      </w:pPr>
      <w:r>
        <w:separator/>
      </w:r>
    </w:p>
  </w:footnote>
  <w:footnote w:type="continuationSeparator" w:id="0">
    <w:p w14:paraId="14262210" w14:textId="77777777" w:rsidR="005C71BF" w:rsidRDefault="005C71BF" w:rsidP="00987A5F">
      <w:pPr>
        <w:spacing w:after="0" w:line="240" w:lineRule="auto"/>
      </w:pPr>
      <w:r>
        <w:continuationSeparator/>
      </w:r>
    </w:p>
  </w:footnote>
  <w:footnote w:id="1">
    <w:p w14:paraId="654A1CDF" w14:textId="164A0516" w:rsidR="00F47958" w:rsidRDefault="00F47958">
      <w:pPr>
        <w:pStyle w:val="FootnoteText"/>
      </w:pPr>
      <w:r>
        <w:rPr>
          <w:rStyle w:val="FootnoteReference"/>
        </w:rPr>
        <w:footnoteRef/>
      </w:r>
      <w:r>
        <w:t xml:space="preserve"> </w:t>
      </w:r>
      <w:r>
        <w:fldChar w:fldCharType="begin"/>
      </w:r>
      <w:r>
        <w:instrText xml:space="preserve"> ADDIN ZOTERO_ITEM CSL_CITATION {"citationID":"wWQYOupj","properties":{"formattedCitation":"Sarah B Pomeroy, {\\i{}Goddesses, Whores, Wives and Slaves} (London: Robert Hale and Company, 1975).","plainCitation":"Sarah B Pomeroy, Goddesses, Whores, Wives and Slaves (London: Robert Hale and Company, 1975).","noteIndex":1},"citationItems":[{"id":58,"uris":["http://zotero.org/users/local/dxIdo4Rm/items/L5M5MZMU"],"itemData":{"id":58,"type":"book","event-place":"London","publisher":"Robert Hale and Company","publisher-place":"London","title":"Goddesses, Whores, Wives and Slaves","author":[{"family":"Pomeroy","given":"Sarah B"}],"issued":{"date-parts":[["1975"]]}}}],"schema":"https://github.com/citation-style-language/schema/raw/master/csl-citation.json"} </w:instrText>
      </w:r>
      <w:r>
        <w:fldChar w:fldCharType="separate"/>
      </w:r>
      <w:r w:rsidR="00C64680" w:rsidRPr="00C64680">
        <w:rPr>
          <w:rFonts w:ascii="Calibri" w:hAnsi="Calibri" w:cs="Calibri"/>
          <w:szCs w:val="24"/>
        </w:rPr>
        <w:t xml:space="preserve">Sarah B Pomeroy, </w:t>
      </w:r>
      <w:r w:rsidR="00C64680" w:rsidRPr="00C64680">
        <w:rPr>
          <w:rFonts w:ascii="Calibri" w:hAnsi="Calibri" w:cs="Calibri"/>
          <w:i/>
          <w:iCs/>
          <w:szCs w:val="24"/>
        </w:rPr>
        <w:t>Goddesses, Whores, Wives and Slaves</w:t>
      </w:r>
      <w:r w:rsidR="00C64680" w:rsidRPr="00C64680">
        <w:rPr>
          <w:rFonts w:ascii="Calibri" w:hAnsi="Calibri" w:cs="Calibri"/>
          <w:szCs w:val="24"/>
        </w:rPr>
        <w:t xml:space="preserve"> (London: Robert Hale and Company, 1975).</w:t>
      </w:r>
      <w:r>
        <w:fldChar w:fldCharType="end"/>
      </w:r>
    </w:p>
  </w:footnote>
  <w:footnote w:id="2">
    <w:p w14:paraId="7D4E5442" w14:textId="2DFE5B07" w:rsidR="00183479" w:rsidRDefault="00183479">
      <w:pPr>
        <w:pStyle w:val="FootnoteText"/>
      </w:pPr>
      <w:r>
        <w:rPr>
          <w:rStyle w:val="FootnoteReference"/>
        </w:rPr>
        <w:footnoteRef/>
      </w:r>
      <w:r>
        <w:t xml:space="preserve"> </w:t>
      </w:r>
      <w:r w:rsidRPr="00183479">
        <w:t xml:space="preserve">Britannica, The Editors of Encyclopaedia. "Eleusis". </w:t>
      </w:r>
      <w:r w:rsidR="00066E7A" w:rsidRPr="00066E7A">
        <w:rPr>
          <w:i/>
          <w:iCs/>
        </w:rPr>
        <w:t>Encyclopaedia</w:t>
      </w:r>
      <w:r w:rsidRPr="00066E7A">
        <w:rPr>
          <w:i/>
          <w:iCs/>
        </w:rPr>
        <w:t xml:space="preserve"> Britannica,</w:t>
      </w:r>
      <w:r w:rsidRPr="00183479">
        <w:t xml:space="preserve"> </w:t>
      </w:r>
      <w:r w:rsidR="00066E7A">
        <w:t xml:space="preserve">2019  </w:t>
      </w:r>
      <w:r w:rsidRPr="00183479">
        <w:t>https://www.britannica.com/place/Eleusis-ancient-city-Greece. Accessed 20 October 2022.</w:t>
      </w:r>
    </w:p>
  </w:footnote>
  <w:footnote w:id="3">
    <w:p w14:paraId="1BA68B33" w14:textId="59D43AFD" w:rsidR="00375C18" w:rsidRDefault="00375C18">
      <w:pPr>
        <w:pStyle w:val="FootnoteText"/>
      </w:pPr>
      <w:r>
        <w:rPr>
          <w:rStyle w:val="FootnoteReference"/>
        </w:rPr>
        <w:footnoteRef/>
      </w:r>
      <w:r>
        <w:t xml:space="preserve"> Bright </w:t>
      </w:r>
      <w:r w:rsidRPr="00375C18">
        <w:rPr>
          <w:i/>
          <w:iCs/>
        </w:rPr>
        <w:t>Dearest Persephone</w:t>
      </w:r>
      <w:r>
        <w:t xml:space="preserve"> 2022</w:t>
      </w:r>
    </w:p>
  </w:footnote>
  <w:footnote w:id="4">
    <w:p w14:paraId="028514C8" w14:textId="4CE9E56E" w:rsidR="00195E52" w:rsidRDefault="00963B4C" w:rsidP="00195E52">
      <w:pPr>
        <w:pStyle w:val="FootnoteText"/>
      </w:pPr>
      <w:r>
        <w:rPr>
          <w:rStyle w:val="FootnoteReference"/>
        </w:rPr>
        <w:footnoteRef/>
      </w:r>
      <w:r>
        <w:t xml:space="preserve"> </w:t>
      </w:r>
      <w:r w:rsidR="00195E52">
        <w:fldChar w:fldCharType="begin"/>
      </w:r>
      <w:r w:rsidR="00C64680">
        <w:instrText xml:space="preserve"> ADDIN ZOTERO_ITEM CSL_CITATION {"citationID":"T7a0EdXh","properties":{"formattedCitation":"Sarah B Pomeroy, {\\i{}Goddesses, Whores, Wives and Slaves} (London: Robert Hale and Company, 1975).","plainCitation":"Sarah B Pomeroy, Goddesses, Whores, Wives and Slaves (London: Robert Hale and Company, 1975).","dontUpdate":true,"noteIndex":3},"citationItems":[{"id":58,"uris":["http://zotero.org/users/local/dxIdo4Rm/items/L5M5MZMU"],"itemData":{"id":58,"type":"book","event-place":"London","publisher":"Robert Hale and Company","publisher-place":"London","title":"Goddesses, Whores, Wives and Slaves","author":[{"family":"Pomeroy","given":"Sarah B"}],"issued":{"date-parts":[["1975"]]}}}],"schema":"https://github.com/citation-style-language/schema/raw/master/csl-citation.json"} </w:instrText>
      </w:r>
      <w:r w:rsidR="00195E52">
        <w:fldChar w:fldCharType="separate"/>
      </w:r>
      <w:r w:rsidR="00195E52" w:rsidRPr="00F47958">
        <w:rPr>
          <w:rFonts w:ascii="Calibri" w:hAnsi="Calibri" w:cs="Calibri"/>
          <w:szCs w:val="24"/>
        </w:rPr>
        <w:t xml:space="preserve">Sarah B Pomeroy, </w:t>
      </w:r>
      <w:r w:rsidR="00195E52" w:rsidRPr="00F47958">
        <w:rPr>
          <w:rFonts w:ascii="Calibri" w:hAnsi="Calibri" w:cs="Calibri"/>
          <w:i/>
          <w:iCs/>
          <w:szCs w:val="24"/>
        </w:rPr>
        <w:t>Goddesses, Whores, Wives and Slaves</w:t>
      </w:r>
      <w:r w:rsidR="00195E52" w:rsidRPr="00F47958">
        <w:rPr>
          <w:rFonts w:ascii="Calibri" w:hAnsi="Calibri" w:cs="Calibri"/>
          <w:szCs w:val="24"/>
        </w:rPr>
        <w:t xml:space="preserve"> (London: Robert Hale and Company</w:t>
      </w:r>
      <w:r w:rsidR="00195E52">
        <w:rPr>
          <w:rFonts w:ascii="Calibri" w:hAnsi="Calibri" w:cs="Calibri"/>
          <w:szCs w:val="24"/>
        </w:rPr>
        <w:t>)</w:t>
      </w:r>
      <w:r w:rsidR="00195E52" w:rsidRPr="00F47958">
        <w:rPr>
          <w:rFonts w:ascii="Calibri" w:hAnsi="Calibri" w:cs="Calibri"/>
          <w:szCs w:val="24"/>
        </w:rPr>
        <w:t xml:space="preserve"> 1975.</w:t>
      </w:r>
      <w:r w:rsidR="00195E52">
        <w:fldChar w:fldCharType="end"/>
      </w:r>
    </w:p>
    <w:p w14:paraId="4A0A3137" w14:textId="4568678C" w:rsidR="00963B4C" w:rsidRDefault="00963B4C">
      <w:pPr>
        <w:pStyle w:val="FootnoteText"/>
      </w:pPr>
      <w:r>
        <w:t xml:space="preserve"> </w:t>
      </w:r>
      <w:r w:rsidR="00195E52">
        <w:t xml:space="preserve"> </w:t>
      </w:r>
      <w:r>
        <w:t>p91.</w:t>
      </w:r>
    </w:p>
  </w:footnote>
  <w:footnote w:id="5">
    <w:p w14:paraId="56298BF0" w14:textId="4A791D8F" w:rsidR="00195E52" w:rsidRDefault="00BE730D" w:rsidP="00195E52">
      <w:pPr>
        <w:pStyle w:val="FootnoteText"/>
      </w:pPr>
      <w:r>
        <w:rPr>
          <w:rStyle w:val="FootnoteReference"/>
        </w:rPr>
        <w:footnoteRef/>
      </w:r>
      <w:r>
        <w:t xml:space="preserve"> </w:t>
      </w:r>
      <w:r w:rsidR="00195E52">
        <w:fldChar w:fldCharType="begin"/>
      </w:r>
      <w:r w:rsidR="00C64680">
        <w:instrText xml:space="preserve"> ADDIN ZOTERO_ITEM CSL_CITATION {"citationID":"u6fGZ114","properties":{"formattedCitation":"Sarah B Pomeroy, {\\i{}Goddesses, Whores, Wives and Slaves} (London: Robert Hale and Company, 1975).","plainCitation":"Sarah B Pomeroy, Goddesses, Whores, Wives and Slaves (London: Robert Hale and Company, 1975).","dontUpdate":true,"noteIndex":4},"citationItems":[{"id":58,"uris":["http://zotero.org/users/local/dxIdo4Rm/items/L5M5MZMU"],"itemData":{"id":58,"type":"book","event-place":"London","publisher":"Robert Hale and Company","publisher-place":"London","title":"Goddesses, Whores, Wives and Slaves","author":[{"family":"Pomeroy","given":"Sarah B"}],"issued":{"date-parts":[["1975"]]}}}],"schema":"https://github.com/citation-style-language/schema/raw/master/csl-citation.json"} </w:instrText>
      </w:r>
      <w:r w:rsidR="00195E52">
        <w:fldChar w:fldCharType="separate"/>
      </w:r>
      <w:r w:rsidR="00195E52" w:rsidRPr="00F47958">
        <w:rPr>
          <w:rFonts w:ascii="Calibri" w:hAnsi="Calibri" w:cs="Calibri"/>
          <w:szCs w:val="24"/>
        </w:rPr>
        <w:t xml:space="preserve">Sarah B Pomeroy, </w:t>
      </w:r>
      <w:r w:rsidR="00195E52" w:rsidRPr="00F47958">
        <w:rPr>
          <w:rFonts w:ascii="Calibri" w:hAnsi="Calibri" w:cs="Calibri"/>
          <w:i/>
          <w:iCs/>
          <w:szCs w:val="24"/>
        </w:rPr>
        <w:t>Goddesses, Whores, Wives and Slaves</w:t>
      </w:r>
      <w:r w:rsidR="00195E52" w:rsidRPr="00F47958">
        <w:rPr>
          <w:rFonts w:ascii="Calibri" w:hAnsi="Calibri" w:cs="Calibri"/>
          <w:szCs w:val="24"/>
        </w:rPr>
        <w:t xml:space="preserve"> (London: Robert Hale and Company</w:t>
      </w:r>
      <w:r w:rsidR="00195E52">
        <w:rPr>
          <w:rFonts w:ascii="Calibri" w:hAnsi="Calibri" w:cs="Calibri"/>
          <w:szCs w:val="24"/>
        </w:rPr>
        <w:t>)</w:t>
      </w:r>
      <w:r w:rsidR="00195E52" w:rsidRPr="00F47958">
        <w:rPr>
          <w:rFonts w:ascii="Calibri" w:hAnsi="Calibri" w:cs="Calibri"/>
          <w:szCs w:val="24"/>
        </w:rPr>
        <w:t xml:space="preserve"> 1975.</w:t>
      </w:r>
      <w:r w:rsidR="00195E52">
        <w:fldChar w:fldCharType="end"/>
      </w:r>
    </w:p>
    <w:p w14:paraId="000D81B0" w14:textId="672CF05D" w:rsidR="00BE730D" w:rsidRDefault="00195E52">
      <w:pPr>
        <w:pStyle w:val="FootnoteText"/>
      </w:pPr>
      <w:r>
        <w:t xml:space="preserve">  </w:t>
      </w:r>
      <w:r w:rsidR="00BE730D">
        <w:t>p88.</w:t>
      </w:r>
    </w:p>
  </w:footnote>
  <w:footnote w:id="6">
    <w:p w14:paraId="16F079C4" w14:textId="25E890F3" w:rsidR="00023437" w:rsidRDefault="00023437">
      <w:pPr>
        <w:pStyle w:val="FootnoteText"/>
      </w:pPr>
      <w:r>
        <w:rPr>
          <w:rStyle w:val="FootnoteReference"/>
        </w:rPr>
        <w:footnoteRef/>
      </w:r>
      <w:r>
        <w:t xml:space="preserve"> </w:t>
      </w:r>
      <w:r>
        <w:fldChar w:fldCharType="begin"/>
      </w:r>
      <w:r>
        <w:instrText xml:space="preserve"> ADDIN ZOTERO_ITEM CSL_CITATION {"citationID":"5YKGTH9N","properties":{"formattedCitation":"Kevin Clinton, \\uc0\\u8216{}The Mysteries of Demeter and Kore\\uc0\\u8217{}, in {\\i{}A Companion to Greek Religion} (Blackwell, 2007), pp. 342\\uc0\\u8211{}56.","plainCitation":"Kevin Clinton, ‘The Mysteries of Demeter and Kore’, in A Companion to Greek Religion (Blackwell, 2007), pp. 342–56.","noteIndex":5},"citationItems":[{"id":74,"uris":["http://zotero.org/users/local/dxIdo4Rm/items/4JT3YVLM"],"itemData":{"id":74,"type":"chapter","container-title":"A companion to Greek religion","page":"342-356","publisher":"Blackwell","title":"The Mysteries of Demeter and Kore","author":[{"family":"Clinton","given":"Kevin"}],"issued":{"date-parts":[["2007"]]}}}],"schema":"https://github.com/citation-style-language/schema/raw/master/csl-citation.json"} </w:instrText>
      </w:r>
      <w:r>
        <w:fldChar w:fldCharType="separate"/>
      </w:r>
      <w:r w:rsidRPr="00023437">
        <w:rPr>
          <w:rFonts w:ascii="Calibri" w:hAnsi="Calibri" w:cs="Calibri"/>
          <w:szCs w:val="24"/>
        </w:rPr>
        <w:t xml:space="preserve">Kevin Clinton, ‘The Mysteries of Demeter and Kore’, in </w:t>
      </w:r>
      <w:r w:rsidRPr="00023437">
        <w:rPr>
          <w:rFonts w:ascii="Calibri" w:hAnsi="Calibri" w:cs="Calibri"/>
          <w:i/>
          <w:iCs/>
          <w:szCs w:val="24"/>
        </w:rPr>
        <w:t>A Companion to Greek Religion</w:t>
      </w:r>
      <w:r w:rsidRPr="00023437">
        <w:rPr>
          <w:rFonts w:ascii="Calibri" w:hAnsi="Calibri" w:cs="Calibri"/>
          <w:szCs w:val="24"/>
        </w:rPr>
        <w:t xml:space="preserve"> (Blackwell, 2007), pp. 342–56.</w:t>
      </w:r>
      <w:r>
        <w:fldChar w:fldCharType="end"/>
      </w:r>
    </w:p>
  </w:footnote>
  <w:footnote w:id="7">
    <w:p w14:paraId="0BC8E0AE" w14:textId="3737283D" w:rsidR="00987A5F" w:rsidRDefault="00987A5F">
      <w:pPr>
        <w:pStyle w:val="FootnoteText"/>
      </w:pPr>
      <w:r>
        <w:rPr>
          <w:rStyle w:val="FootnoteReference"/>
        </w:rPr>
        <w:footnoteRef/>
      </w:r>
      <w:r>
        <w:t xml:space="preserve"> Bright </w:t>
      </w:r>
      <w:r w:rsidRPr="00F95E81">
        <w:rPr>
          <w:i/>
          <w:iCs/>
        </w:rPr>
        <w:t>Dearest Persephone</w:t>
      </w:r>
      <w:r w:rsidR="00195E52">
        <w:t xml:space="preserve"> 2022.</w:t>
      </w:r>
    </w:p>
  </w:footnote>
  <w:footnote w:id="8">
    <w:p w14:paraId="0F07256A" w14:textId="33693963" w:rsidR="008F0F87" w:rsidRDefault="008F0F87">
      <w:pPr>
        <w:pStyle w:val="FootnoteText"/>
      </w:pPr>
      <w:r>
        <w:rPr>
          <w:rStyle w:val="FootnoteReference"/>
        </w:rPr>
        <w:footnoteRef/>
      </w:r>
      <w:r>
        <w:t xml:space="preserve"> Nagy, </w:t>
      </w:r>
      <w:r w:rsidRPr="00F95E81">
        <w:rPr>
          <w:i/>
          <w:iCs/>
        </w:rPr>
        <w:t>Homeric Hymn to Demeter</w:t>
      </w:r>
      <w:r w:rsidR="00963B4C">
        <w:t>.</w:t>
      </w:r>
    </w:p>
  </w:footnote>
  <w:footnote w:id="9">
    <w:p w14:paraId="3A4CAF51" w14:textId="6495C73A" w:rsidR="00D26EF1" w:rsidRDefault="00D26EF1">
      <w:pPr>
        <w:pStyle w:val="FootnoteText"/>
      </w:pPr>
      <w:r>
        <w:rPr>
          <w:rStyle w:val="FootnoteReference"/>
        </w:rPr>
        <w:footnoteRef/>
      </w:r>
      <w:r>
        <w:t xml:space="preserve"> Nagy, </w:t>
      </w:r>
      <w:r w:rsidRPr="00F95E81">
        <w:rPr>
          <w:i/>
          <w:iCs/>
        </w:rPr>
        <w:t>H</w:t>
      </w:r>
      <w:r w:rsidR="00F95E81" w:rsidRPr="00F95E81">
        <w:rPr>
          <w:i/>
          <w:iCs/>
        </w:rPr>
        <w:t xml:space="preserve">omeric </w:t>
      </w:r>
      <w:r w:rsidRPr="00F95E81">
        <w:rPr>
          <w:i/>
          <w:iCs/>
        </w:rPr>
        <w:t>H</w:t>
      </w:r>
      <w:r w:rsidR="00F95E81" w:rsidRPr="00F95E81">
        <w:rPr>
          <w:i/>
          <w:iCs/>
        </w:rPr>
        <w:t xml:space="preserve">ymn to </w:t>
      </w:r>
      <w:r w:rsidRPr="00F95E81">
        <w:rPr>
          <w:i/>
          <w:iCs/>
        </w:rPr>
        <w:t>D</w:t>
      </w:r>
      <w:r w:rsidR="00F95E81" w:rsidRPr="00F95E81">
        <w:rPr>
          <w:i/>
          <w:iCs/>
        </w:rPr>
        <w:t>emeter</w:t>
      </w:r>
      <w:r w:rsidR="00963B4C">
        <w:t>.</w:t>
      </w:r>
    </w:p>
  </w:footnote>
  <w:footnote w:id="10">
    <w:p w14:paraId="3E591449" w14:textId="3576F7EA" w:rsidR="009A339E" w:rsidRDefault="009A339E">
      <w:pPr>
        <w:pStyle w:val="FootnoteText"/>
      </w:pPr>
      <w:r>
        <w:rPr>
          <w:rStyle w:val="FootnoteReference"/>
        </w:rPr>
        <w:footnoteRef/>
      </w:r>
      <w:r>
        <w:t xml:space="preserve"> </w:t>
      </w:r>
      <w:r>
        <w:fldChar w:fldCharType="begin"/>
      </w:r>
      <w:r>
        <w:instrText xml:space="preserve"> ADDIN ZOTERO_ITEM CSL_CITATION {"citationID":"9kpZXVkt","properties":{"formattedCitation":"Ovid, \\uc0\\u8216{}Book V\\uc0\\u8217{}, trans. by Jeffrey Henderson, {\\i{}Loeb Classical Library} &lt;https://www-loebclassics-com.ezproxy.uwtsd.ac.uk/view/ovid-metamorphoses/1916/pb_LCL042.263.xml?mainRsKey=raHTSP&gt; [accessed 21 October 2022].","plainCitation":"Ovid, ‘Book V’, trans. by Jeffrey Henderson, Loeb Classical Library &lt;https://www-loebclassics-com.ezproxy.uwtsd.ac.uk/view/ovid-metamorphoses/1916/pb_LCL042.263.xml?mainRsKey=raHTSP&gt; [accessed 21 October 2022].","noteIndex":8},"citationItems":[{"id":72,"uris":["http://zotero.org/users/local/dxIdo4Rm/items/BN473VE2"],"itemData":{"id":72,"type":"webpage","abstract":"&lt;?xml version=\"1.0\" encoding=\"utf-8\"?&gt;bound in an ivy wreath, tried the plaintive chords with her thumb, and then, with sweeping chords, she sang this song: ‘Ceres was the first to turn the glebe with the hooked plowshare; she first gave...","container-title":"Loeb Classical Library","language":"en","title":"Book V","URL":"https://www-loebclassics-com.ezproxy.uwtsd.ac.uk/view/ovid-metamorphoses/1916/pb_LCL042.263.xml?mainRsKey=raHTSP","translator":[{"family":"Henderson","given":"Jeffrey"}],"author":[{"family":"Ovid","given":""}],"accessed":{"date-parts":[["2022",10,21]]}}}],"schema":"https://github.com/citation-style-language/schema/raw/master/csl-citation.json"} </w:instrText>
      </w:r>
      <w:r>
        <w:fldChar w:fldCharType="separate"/>
      </w:r>
      <w:r w:rsidRPr="009A339E">
        <w:rPr>
          <w:rFonts w:ascii="Calibri" w:hAnsi="Calibri" w:cs="Calibri"/>
          <w:szCs w:val="24"/>
        </w:rPr>
        <w:t xml:space="preserve">Ovid, </w:t>
      </w:r>
      <w:r>
        <w:rPr>
          <w:rFonts w:ascii="Calibri" w:hAnsi="Calibri" w:cs="Calibri"/>
          <w:szCs w:val="24"/>
        </w:rPr>
        <w:t xml:space="preserve">Metamorphoses </w:t>
      </w:r>
      <w:r w:rsidRPr="009A339E">
        <w:rPr>
          <w:rFonts w:ascii="Calibri" w:hAnsi="Calibri" w:cs="Calibri"/>
          <w:szCs w:val="24"/>
        </w:rPr>
        <w:t xml:space="preserve">‘Book V’, trans. by Jeffrey Henderson, </w:t>
      </w:r>
      <w:r w:rsidRPr="009A339E">
        <w:rPr>
          <w:rFonts w:ascii="Calibri" w:hAnsi="Calibri" w:cs="Calibri"/>
          <w:i/>
          <w:iCs/>
          <w:szCs w:val="24"/>
        </w:rPr>
        <w:t>Loeb Classical Library</w:t>
      </w:r>
      <w:r w:rsidRPr="009A339E">
        <w:rPr>
          <w:rFonts w:ascii="Calibri" w:hAnsi="Calibri" w:cs="Calibri"/>
          <w:szCs w:val="24"/>
        </w:rPr>
        <w:t xml:space="preserve"> &lt;https://www-loebclassics-com.ezproxy.uwtsd.ac.uk/view/ovid-metamorphoses/1916/pb_LCL042.263.xml?mainRsKey=raHTSP&gt; [accessed 21 October 2022].</w:t>
      </w:r>
      <w:r>
        <w:fldChar w:fldCharType="end"/>
      </w:r>
    </w:p>
  </w:footnote>
  <w:footnote w:id="11">
    <w:p w14:paraId="28848B86" w14:textId="61C6D271" w:rsidR="00A04CBE" w:rsidRDefault="00A04CBE">
      <w:pPr>
        <w:pStyle w:val="FootnoteText"/>
      </w:pPr>
      <w:r>
        <w:rPr>
          <w:rStyle w:val="FootnoteReference"/>
        </w:rPr>
        <w:footnoteRef/>
      </w:r>
      <w:r>
        <w:t xml:space="preserve"> </w:t>
      </w:r>
      <w:r>
        <w:fldChar w:fldCharType="begin"/>
      </w:r>
      <w:r>
        <w:instrText xml:space="preserve"> ADDIN ZOTERO_ITEM CSL_CITATION {"citationID":"xhdQ8Qj9","properties":{"formattedCitation":"Fritz (Columbus Graf, \\uc0\\u8216{}Mysteria\\uc0\\u8217{}, {\\i{}Brill\\uc0\\u8217{}s New Pauly}, 2006 &lt;http://referenceworks.brillonline.com/entries/brill-s-new-pauly/mysteria-e814850?s.num=1&amp;s.f.s2_parent=s.f.book.brill-s-new-pauly&amp;s.q=kykeon&gt; [accessed 21 October 2022].","plainCitation":"Fritz (Columbus Graf, ‘Mysteria’, Brill’s New Pauly, 2006 &lt;http://referenceworks.brillonline.com/entries/brill-s-new-pauly/mysteria-e814850?s.num=1&amp;s.f.s2_parent=s.f.book.brill-s-new-pauly&amp;s.q=kykeon&gt; [accessed 21 October 2022].","noteIndex":9},"citationItems":[{"id":65,"uris":["http://zotero.org/users/local/dxIdo4Rm/items/RLKQHHZG"],"itemData":{"id":65,"type":"article-journal","container-title":"Brill’s New Pauly","language":"en","note":"publisher: Brill","source":"referenceworks-brillonline-com.ezproxy.uwtsd.ac.uk","title":"Mysteria","URL":"http://referenceworks.brillonline.com/entries/brill-s-new-pauly/mysteria-e814850?s.num=1&amp;s.f.s2_parent=s.f.book.brill-s-new-pauly&amp;s.q=kykeon","author":[{"family":"Graf","given":"Fritz (Columbus"}],"accessed":{"date-parts":[["2022",10,21]]},"issued":{"date-parts":[["2006",10,1]]}}}],"schema":"https://github.com/citation-style-language/schema/raw/master/csl-citation.json"} </w:instrText>
      </w:r>
      <w:r>
        <w:fldChar w:fldCharType="separate"/>
      </w:r>
      <w:r w:rsidRPr="00A04CBE">
        <w:rPr>
          <w:rFonts w:ascii="Calibri" w:hAnsi="Calibri" w:cs="Calibri"/>
          <w:szCs w:val="24"/>
        </w:rPr>
        <w:t>Fritz Columbus Graf, ‘</w:t>
      </w:r>
      <w:proofErr w:type="spellStart"/>
      <w:r w:rsidRPr="00A04CBE">
        <w:rPr>
          <w:rFonts w:ascii="Calibri" w:hAnsi="Calibri" w:cs="Calibri"/>
          <w:szCs w:val="24"/>
        </w:rPr>
        <w:t>Mysteria</w:t>
      </w:r>
      <w:proofErr w:type="spellEnd"/>
      <w:r w:rsidRPr="00A04CBE">
        <w:rPr>
          <w:rFonts w:ascii="Calibri" w:hAnsi="Calibri" w:cs="Calibri"/>
          <w:szCs w:val="24"/>
        </w:rPr>
        <w:t xml:space="preserve">’, </w:t>
      </w:r>
      <w:r w:rsidRPr="00A04CBE">
        <w:rPr>
          <w:rFonts w:ascii="Calibri" w:hAnsi="Calibri" w:cs="Calibri"/>
          <w:i/>
          <w:iCs/>
          <w:szCs w:val="24"/>
        </w:rPr>
        <w:t>Brill’s New Pauly</w:t>
      </w:r>
      <w:r w:rsidRPr="00A04CBE">
        <w:rPr>
          <w:rFonts w:ascii="Calibri" w:hAnsi="Calibri" w:cs="Calibri"/>
          <w:szCs w:val="24"/>
        </w:rPr>
        <w:t xml:space="preserve">, </w:t>
      </w:r>
      <w:r>
        <w:rPr>
          <w:rFonts w:ascii="Calibri" w:hAnsi="Calibri" w:cs="Calibri"/>
          <w:szCs w:val="24"/>
        </w:rPr>
        <w:t>(</w:t>
      </w:r>
      <w:r w:rsidRPr="00A04CBE">
        <w:rPr>
          <w:rFonts w:ascii="Calibri" w:hAnsi="Calibri" w:cs="Calibri"/>
          <w:szCs w:val="24"/>
        </w:rPr>
        <w:t>2006</w:t>
      </w:r>
      <w:r>
        <w:rPr>
          <w:rFonts w:ascii="Calibri" w:hAnsi="Calibri" w:cs="Calibri"/>
          <w:szCs w:val="24"/>
        </w:rPr>
        <w:t>)</w:t>
      </w:r>
      <w:r w:rsidRPr="00A04CBE">
        <w:rPr>
          <w:rFonts w:ascii="Calibri" w:hAnsi="Calibri" w:cs="Calibri"/>
          <w:szCs w:val="24"/>
        </w:rPr>
        <w:t xml:space="preserve"> &lt;http://referenceworks.brillonline.com/entries/brill-s-new-pauly/mysteria-e814850?s.num=1&amp;s.f.s2_parent=s.f.book.brill-s-new-pauly&amp;s.q=kykeon&gt; [accessed 21 October 2022].</w:t>
      </w:r>
      <w:r>
        <w:fldChar w:fldCharType="end"/>
      </w:r>
    </w:p>
  </w:footnote>
  <w:footnote w:id="12">
    <w:p w14:paraId="6D650679" w14:textId="4662E9A3" w:rsidR="00DE70DE" w:rsidRDefault="00DE70DE">
      <w:pPr>
        <w:pStyle w:val="FootnoteText"/>
      </w:pPr>
      <w:r>
        <w:rPr>
          <w:rStyle w:val="FootnoteReference"/>
        </w:rPr>
        <w:footnoteRef/>
      </w:r>
      <w:r>
        <w:t xml:space="preserve"> Nagy,</w:t>
      </w:r>
      <w:r w:rsidR="00F95E81">
        <w:t xml:space="preserve"> </w:t>
      </w:r>
      <w:r w:rsidRPr="00F95E81">
        <w:rPr>
          <w:i/>
          <w:iCs/>
        </w:rPr>
        <w:t>H</w:t>
      </w:r>
      <w:r w:rsidR="00F95E81" w:rsidRPr="00F95E81">
        <w:rPr>
          <w:i/>
          <w:iCs/>
        </w:rPr>
        <w:t xml:space="preserve">omeric </w:t>
      </w:r>
      <w:r w:rsidRPr="00F95E81">
        <w:rPr>
          <w:i/>
          <w:iCs/>
        </w:rPr>
        <w:t>H</w:t>
      </w:r>
      <w:r w:rsidR="00F95E81" w:rsidRPr="00F95E81">
        <w:rPr>
          <w:i/>
          <w:iCs/>
        </w:rPr>
        <w:t xml:space="preserve">ymn to </w:t>
      </w:r>
      <w:r w:rsidRPr="00F95E81">
        <w:rPr>
          <w:i/>
          <w:iCs/>
        </w:rPr>
        <w:t>D</w:t>
      </w:r>
      <w:r w:rsidR="00F95E81" w:rsidRPr="00F95E81">
        <w:rPr>
          <w:i/>
          <w:iCs/>
        </w:rPr>
        <w:t>emeter</w:t>
      </w:r>
      <w:r>
        <w:t>.</w:t>
      </w:r>
    </w:p>
  </w:footnote>
  <w:footnote w:id="13">
    <w:p w14:paraId="5128E643" w14:textId="1057D8BD" w:rsidR="00123795" w:rsidRDefault="00123795">
      <w:pPr>
        <w:pStyle w:val="FootnoteText"/>
      </w:pPr>
      <w:r>
        <w:rPr>
          <w:rStyle w:val="FootnoteReference"/>
        </w:rPr>
        <w:footnoteRef/>
      </w:r>
      <w:r>
        <w:t xml:space="preserve"> </w:t>
      </w:r>
      <w:r>
        <w:fldChar w:fldCharType="begin"/>
      </w:r>
      <w:r>
        <w:instrText xml:space="preserve"> ADDIN ZOTERO_ITEM CSL_CITATION {"citationID":"cwPC76ki","properties":{"formattedCitation":"\\uc0\\u8216{}Pennyroyal Uses, Benefits &amp; Side Effects - Drugs.Com Herbal Database\\uc0\\u8217{}, {\\i{}Drugs.Com}, 2022 &lt;https://www.drugs.com/npc/pennyroyal.html&gt; [accessed 21 October 2022].","plainCitation":"‘Pennyroyal Uses, Benefits &amp; Side Effects - Drugs.Com Herbal Database’, Drugs.Com, 2022 &lt;https://www.drugs.com/npc/pennyroyal.html&gt; [accessed 21 October 2022].","noteIndex":11},"citationItems":[{"id":68,"uris":["http://zotero.org/users/local/dxIdo4Rm/items/TCWK7XW6"],"itemData":{"id":68,"type":"webpage","abstract":"Learn about the uses and potential benefits of Pennyroyal including dosage guidelines, side effects, interactions and safety/efficacy ratings.","container-title":"Drugs.com","language":"en","title":"Pennyroyal Uses, Benefits &amp; Side Effects - Drugs.com Herbal Database","URL":"https://www.drugs.com/npc/pennyroyal.html","accessed":{"date-parts":[["2022",10,21]]},"issued":{"date-parts":[["2022"]]}}}],"schema":"https://github.com/citation-style-language/schema/raw/master/csl-citation.json"} </w:instrText>
      </w:r>
      <w:r>
        <w:fldChar w:fldCharType="separate"/>
      </w:r>
      <w:r w:rsidRPr="00123795">
        <w:rPr>
          <w:rFonts w:ascii="Calibri" w:hAnsi="Calibri" w:cs="Calibri"/>
          <w:szCs w:val="24"/>
        </w:rPr>
        <w:t xml:space="preserve">‘Pennyroyal Uses, Benefits &amp; Side Effects - Drugs.Com Herbal Database’, </w:t>
      </w:r>
      <w:r w:rsidRPr="00123795">
        <w:rPr>
          <w:rFonts w:ascii="Calibri" w:hAnsi="Calibri" w:cs="Calibri"/>
          <w:i/>
          <w:iCs/>
          <w:szCs w:val="24"/>
        </w:rPr>
        <w:t>Drugs.Com</w:t>
      </w:r>
      <w:r w:rsidRPr="00123795">
        <w:rPr>
          <w:rFonts w:ascii="Calibri" w:hAnsi="Calibri" w:cs="Calibri"/>
          <w:szCs w:val="24"/>
        </w:rPr>
        <w:t>, 2022 &lt;https://www.drugs.com/npc/pennyroyal.html&gt; [accessed 21 October 2022].</w:t>
      </w:r>
      <w:r>
        <w:fldChar w:fldCharType="end"/>
      </w:r>
    </w:p>
  </w:footnote>
  <w:footnote w:id="14">
    <w:p w14:paraId="0C64C5D5" w14:textId="607B3D04" w:rsidR="00F95E81" w:rsidRDefault="00F95E81">
      <w:pPr>
        <w:pStyle w:val="FootnoteText"/>
      </w:pPr>
      <w:r>
        <w:rPr>
          <w:rStyle w:val="FootnoteReference"/>
        </w:rPr>
        <w:footnoteRef/>
      </w:r>
      <w:r>
        <w:t xml:space="preserve"> Bright (2022) </w:t>
      </w:r>
      <w:r w:rsidRPr="00F95E81">
        <w:rPr>
          <w:i/>
          <w:iCs/>
        </w:rPr>
        <w:t>Dearest Persephone</w:t>
      </w:r>
      <w:r>
        <w:t>.</w:t>
      </w:r>
    </w:p>
  </w:footnote>
  <w:footnote w:id="15">
    <w:p w14:paraId="50025AA3" w14:textId="071010D4" w:rsidR="00BC48E8" w:rsidRDefault="00BC48E8">
      <w:pPr>
        <w:pStyle w:val="FootnoteText"/>
      </w:pPr>
      <w:r>
        <w:rPr>
          <w:rStyle w:val="FootnoteReference"/>
        </w:rPr>
        <w:footnoteRef/>
      </w:r>
      <w:r>
        <w:t xml:space="preserve"> Bright </w:t>
      </w:r>
      <w:r w:rsidRPr="00BC48E8">
        <w:rPr>
          <w:i/>
          <w:iCs/>
        </w:rPr>
        <w:t>Dearest Persephone</w:t>
      </w:r>
      <w:r>
        <w:t xml:space="preserve"> 2022</w:t>
      </w:r>
    </w:p>
  </w:footnote>
  <w:footnote w:id="16">
    <w:p w14:paraId="6318D709" w14:textId="6A249F60" w:rsidR="00E0574C" w:rsidRDefault="00E0574C">
      <w:pPr>
        <w:pStyle w:val="FootnoteText"/>
      </w:pPr>
      <w:r>
        <w:rPr>
          <w:rStyle w:val="FootnoteReference"/>
        </w:rPr>
        <w:footnoteRef/>
      </w:r>
      <w:r>
        <w:t xml:space="preserve"> Bright </w:t>
      </w:r>
      <w:r w:rsidRPr="00BC48E8">
        <w:rPr>
          <w:i/>
          <w:iCs/>
        </w:rPr>
        <w:t>Dearest Persephone</w:t>
      </w:r>
      <w:r>
        <w:t xml:space="preserve"> 2022</w:t>
      </w:r>
    </w:p>
  </w:footnote>
  <w:footnote w:id="17">
    <w:p w14:paraId="682F87BE" w14:textId="53084C28" w:rsidR="008422B7" w:rsidRDefault="008422B7">
      <w:pPr>
        <w:pStyle w:val="FootnoteText"/>
      </w:pPr>
      <w:r>
        <w:rPr>
          <w:rStyle w:val="FootnoteReference"/>
        </w:rPr>
        <w:footnoteRef/>
      </w:r>
      <w:r>
        <w:t xml:space="preserve"> </w:t>
      </w:r>
      <w:r>
        <w:fldChar w:fldCharType="begin"/>
      </w:r>
      <w:r>
        <w:instrText xml:space="preserve"> ADDIN ZOTERO_ITEM CSL_CITATION {"citationID":"EgwEroCt","properties":{"formattedCitation":"{\\i{}Homeric Hymn To Demeter}, trans. by M.L West &lt;https://www-loebclassics-com.ezproxy.uwtsd.ac.uk/view/homeric_hymns_2_demeter/2003/pb_LCL496.33.xml&gt; [accessed 26 September 2022].","plainCitation":"Homeric Hymn To Demeter, trans. by M.L West &lt;https://www-loebclassics-com.ezproxy.uwtsd.ac.uk/view/homeric_hymns_2_demeter/2003/pb_LCL496.33.xml&gt; [accessed 26 September 2022].","noteIndex":13},"citationItems":[{"id":44,"uris":["http://zotero.org/users/local/dxIdo4Rm/items/YDJ24BBR"],"itemData":{"id":44,"type":"book","abstract":"&lt;?xml version=\"1.0\" encoding=\"utf-8\"?&gt;Of Demeter the lovely-haired, the august goddess first I sing, of her and her slender-ankled daughter, whom Aïdoneus seized by favor of heavy-booming, wide-sounding Zeus as she frolicked, away from D...","language":"en","title":"Homeric Hymn To Demeter","URL":"https://www-loebclassics-com.ezproxy.uwtsd.ac.uk/view/homeric_hymns_2_demeter/2003/pb_LCL496.33.xml","translator":[{"family":"West","given":"M.L"}],"accessed":{"date-parts":[["2022",9,26]]}}}],"schema":"https://github.com/citation-style-language/schema/raw/master/csl-citation.json"} </w:instrText>
      </w:r>
      <w:r>
        <w:fldChar w:fldCharType="separate"/>
      </w:r>
      <w:r w:rsidRPr="008422B7">
        <w:rPr>
          <w:rFonts w:ascii="Calibri" w:hAnsi="Calibri" w:cs="Calibri"/>
          <w:i/>
          <w:iCs/>
          <w:szCs w:val="24"/>
        </w:rPr>
        <w:t>Homeric Hymn To Demeter</w:t>
      </w:r>
      <w:r w:rsidRPr="008422B7">
        <w:rPr>
          <w:rFonts w:ascii="Calibri" w:hAnsi="Calibri" w:cs="Calibri"/>
          <w:szCs w:val="24"/>
        </w:rPr>
        <w:t>, trans. by M.L West &lt;https://www-loebclassics-com.ezproxy.uwtsd.ac.uk/view/homeric_hymns_2_demeter/2003/pb_LCL496.33.xml&gt; [accessed 26 September 2022].</w:t>
      </w:r>
      <w:r>
        <w:fldChar w:fldCharType="end"/>
      </w:r>
    </w:p>
  </w:footnote>
  <w:footnote w:id="18">
    <w:p w14:paraId="3F4BB999" w14:textId="3AA960F7" w:rsidR="00CC09A0" w:rsidRDefault="00CC09A0">
      <w:pPr>
        <w:pStyle w:val="FootnoteText"/>
      </w:pPr>
      <w:r>
        <w:rPr>
          <w:rStyle w:val="FootnoteReference"/>
        </w:rPr>
        <w:footnoteRef/>
      </w:r>
      <w:r>
        <w:t xml:space="preserve"> </w:t>
      </w:r>
      <w:r>
        <w:fldChar w:fldCharType="begin"/>
      </w:r>
      <w:r w:rsidR="009A339E">
        <w:instrText xml:space="preserve"> ADDIN ZOTERO_ITEM CSL_CITATION {"citationID":"FqqgtGsU","properties":{"formattedCitation":"Ovid, \\uc0\\u8216{}Book IV\\uc0\\u8217{}, trans. by Jeffrey Henderson, {\\i{}Loeb Classical Library} &lt;https://www-loebclassics-com.ezproxy.uwtsd.ac.uk/view/ovid-fasti/1931/pb_LCL253.221.xml?mainRsKey=XM4bnI&gt; [accessed 21 October 2022].","plainCitation":"Ovid, ‘Book IV’, trans. by Jeffrey Henderson, Loeb Classical Library &lt;https://www-loebclassics-com.ezproxy.uwtsd.ac.uk/view/ovid-fasti/1931/pb_LCL253.221.xml?mainRsKey=XM4bnI&gt; [accessed 21 October 2022].","noteIndex":14},"citationItems":[{"id":70,"uris":["http://zotero.org/users/local/dxIdo4Rm/items/I6NHFSG8"],"itemData":{"id":70,"type":"webpage","abstract":"&lt;?xml version=\"1.0\" encoding=\"utf-8\"?&gt;417 The subject requires that I should narrate the rape of the Virgin: in my narrative you will read much that you knew before; a few particulars will be new to you.420 The Trinacrian land got its na...","container-title":"Loeb Classical Library","language":"en","title":"Book IV","URL":"https://www-loebclassics-com.ezproxy.uwtsd.ac.uk/view/ovid-fasti/1931/pb_LCL253.221.xml?mainRsKey=XM4bnI","translator":[{"family":"Henderson","given":"Jeffrey"}],"author":[{"family":"Ovid","given":""}],"accessed":{"date-parts":[["2022",10,21]]}}}],"schema":"https://github.com/citation-style-language/schema/raw/master/csl-citation.json"} </w:instrText>
      </w:r>
      <w:r>
        <w:fldChar w:fldCharType="separate"/>
      </w:r>
      <w:r w:rsidRPr="00CC09A0">
        <w:rPr>
          <w:rFonts w:ascii="Calibri" w:hAnsi="Calibri" w:cs="Calibri"/>
          <w:szCs w:val="24"/>
        </w:rPr>
        <w:t xml:space="preserve">Ovid, </w:t>
      </w:r>
      <w:r w:rsidR="005F122F" w:rsidRPr="005F122F">
        <w:rPr>
          <w:rFonts w:ascii="Calibri" w:hAnsi="Calibri" w:cs="Calibri"/>
          <w:i/>
          <w:iCs/>
          <w:szCs w:val="24"/>
        </w:rPr>
        <w:t>Fasti</w:t>
      </w:r>
      <w:r w:rsidR="005F122F">
        <w:rPr>
          <w:rFonts w:ascii="Calibri" w:hAnsi="Calibri" w:cs="Calibri"/>
          <w:szCs w:val="24"/>
        </w:rPr>
        <w:t xml:space="preserve"> </w:t>
      </w:r>
      <w:r w:rsidRPr="00CC09A0">
        <w:rPr>
          <w:rFonts w:ascii="Calibri" w:hAnsi="Calibri" w:cs="Calibri"/>
          <w:szCs w:val="24"/>
        </w:rPr>
        <w:t xml:space="preserve">‘Book IV’, trans. by Jeffrey Henderson, </w:t>
      </w:r>
      <w:r w:rsidRPr="00CC09A0">
        <w:rPr>
          <w:rFonts w:ascii="Calibri" w:hAnsi="Calibri" w:cs="Calibri"/>
          <w:i/>
          <w:iCs/>
          <w:szCs w:val="24"/>
        </w:rPr>
        <w:t>Loeb Classical Library</w:t>
      </w:r>
      <w:r w:rsidRPr="00CC09A0">
        <w:rPr>
          <w:rFonts w:ascii="Calibri" w:hAnsi="Calibri" w:cs="Calibri"/>
          <w:szCs w:val="24"/>
        </w:rPr>
        <w:t xml:space="preserve"> </w:t>
      </w:r>
      <w:r>
        <w:rPr>
          <w:rFonts w:ascii="Calibri" w:hAnsi="Calibri" w:cs="Calibri"/>
          <w:szCs w:val="24"/>
        </w:rPr>
        <w:t>&lt;</w:t>
      </w:r>
      <w:r w:rsidRPr="00CC09A0">
        <w:rPr>
          <w:rFonts w:ascii="Calibri" w:hAnsi="Calibri" w:cs="Calibri"/>
          <w:szCs w:val="24"/>
        </w:rPr>
        <w:t>https://www-loebclassics-com.ezproxy.uwtsd.ac.uk/view/ovid-fasti/1931/pb_LCL253.221.xml?mainRsKey=XM4bnI</w:t>
      </w:r>
      <w:r>
        <w:rPr>
          <w:rFonts w:ascii="Calibri" w:hAnsi="Calibri" w:cs="Calibri"/>
          <w:szCs w:val="24"/>
        </w:rPr>
        <w:t xml:space="preserve">&gt; </w:t>
      </w:r>
      <w:r w:rsidRPr="00CC09A0">
        <w:rPr>
          <w:rFonts w:ascii="Calibri" w:hAnsi="Calibri" w:cs="Calibri"/>
          <w:szCs w:val="24"/>
        </w:rPr>
        <w:t>[accessed 21 October 2022].</w:t>
      </w:r>
      <w:r>
        <w:fldChar w:fldCharType="end"/>
      </w:r>
    </w:p>
  </w:footnote>
  <w:footnote w:id="19">
    <w:p w14:paraId="3F999063" w14:textId="206C5295" w:rsidR="00EE5606" w:rsidRDefault="00EE5606">
      <w:pPr>
        <w:pStyle w:val="FootnoteText"/>
      </w:pPr>
      <w:r>
        <w:rPr>
          <w:rStyle w:val="FootnoteReference"/>
        </w:rPr>
        <w:footnoteRef/>
      </w:r>
      <w:r>
        <w:t xml:space="preserve"> </w:t>
      </w:r>
      <w:r>
        <w:fldChar w:fldCharType="begin"/>
      </w:r>
      <w:r>
        <w:instrText xml:space="preserve"> ADDIN ZOTERO_ITEM CSL_CITATION {"citationID":"mzSAGVzo","properties":{"formattedCitation":"{\\i{}Persephone, a 10-Minute Play by Jennifer O\\uc0\\u8217{}Grady}, dir. by The Hive Collaborative, 2019 &lt;https://www.youtube.com/watch?v=P6AxRFkfy3g&gt; [accessed 20 October 2022].","plainCitation":"Persephone, a 10-Minute Play by Jennifer O’Grady, dir. by The Hive Collaborative, 2019 &lt;https://www.youtube.com/watch?v=P6AxRFkfy3g&gt; [accessed 20 October 2022].","noteIndex":9},"citationItems":[{"id":63,"uris":["http://zotero.org/users/local/dxIdo4Rm/items/63X2MVTB"],"itemData":{"id":63,"type":"motion_picture","dimensions":"13:52","source":"YouTube","title":"Persephone, a 10-minute play by Jennifer O'Grady","URL":"https://www.youtube.com/watch?v=P6AxRFkfy3g","director":[{"literal":"The Hive Collaborative"}],"accessed":{"date-parts":[["2022",10,20]]},"issued":{"date-parts":[["2019",11,1]]}}}],"schema":"https://github.com/citation-style-language/schema/raw/master/csl-citation.json"} </w:instrText>
      </w:r>
      <w:r>
        <w:fldChar w:fldCharType="separate"/>
      </w:r>
      <w:r w:rsidRPr="00EE5606">
        <w:rPr>
          <w:rFonts w:ascii="Calibri" w:hAnsi="Calibri" w:cs="Calibri"/>
          <w:i/>
          <w:iCs/>
          <w:szCs w:val="24"/>
        </w:rPr>
        <w:t>Persephone, a 10-Minute Play by Jennifer O’Grady</w:t>
      </w:r>
      <w:r w:rsidRPr="00EE5606">
        <w:rPr>
          <w:rFonts w:ascii="Calibri" w:hAnsi="Calibri" w:cs="Calibri"/>
          <w:szCs w:val="24"/>
        </w:rPr>
        <w:t>, dir. by The Hive Collaborative, 2019 &lt;https://www.youtube.com/watch?v=P6AxRFkfy3g&gt; [accessed 20 October 2022].</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102"/>
    <w:rsid w:val="00023437"/>
    <w:rsid w:val="00066E7A"/>
    <w:rsid w:val="00081DCD"/>
    <w:rsid w:val="00083C7A"/>
    <w:rsid w:val="000868DE"/>
    <w:rsid w:val="00113B11"/>
    <w:rsid w:val="00114613"/>
    <w:rsid w:val="00123795"/>
    <w:rsid w:val="00133E51"/>
    <w:rsid w:val="001544D4"/>
    <w:rsid w:val="0017276B"/>
    <w:rsid w:val="00183479"/>
    <w:rsid w:val="00195E52"/>
    <w:rsid w:val="001C41D6"/>
    <w:rsid w:val="001F7EDE"/>
    <w:rsid w:val="00207705"/>
    <w:rsid w:val="00215BBE"/>
    <w:rsid w:val="0022566F"/>
    <w:rsid w:val="0023011D"/>
    <w:rsid w:val="00284EE3"/>
    <w:rsid w:val="002A61AB"/>
    <w:rsid w:val="002C6B82"/>
    <w:rsid w:val="00375C18"/>
    <w:rsid w:val="003924B4"/>
    <w:rsid w:val="003A74FB"/>
    <w:rsid w:val="003C6578"/>
    <w:rsid w:val="003D1C84"/>
    <w:rsid w:val="003E2FCD"/>
    <w:rsid w:val="004673A8"/>
    <w:rsid w:val="004B2D1D"/>
    <w:rsid w:val="004B3BE7"/>
    <w:rsid w:val="004D6450"/>
    <w:rsid w:val="004E2133"/>
    <w:rsid w:val="004F74BA"/>
    <w:rsid w:val="00501360"/>
    <w:rsid w:val="00501D73"/>
    <w:rsid w:val="00502251"/>
    <w:rsid w:val="005362A0"/>
    <w:rsid w:val="005530D7"/>
    <w:rsid w:val="005A4277"/>
    <w:rsid w:val="005A658D"/>
    <w:rsid w:val="005B36C9"/>
    <w:rsid w:val="005C71BF"/>
    <w:rsid w:val="005D1ACF"/>
    <w:rsid w:val="005F045B"/>
    <w:rsid w:val="005F122F"/>
    <w:rsid w:val="0061095D"/>
    <w:rsid w:val="00611BCB"/>
    <w:rsid w:val="00613989"/>
    <w:rsid w:val="006161C2"/>
    <w:rsid w:val="00686CE2"/>
    <w:rsid w:val="00696389"/>
    <w:rsid w:val="006A19B9"/>
    <w:rsid w:val="006A48C8"/>
    <w:rsid w:val="006C7097"/>
    <w:rsid w:val="006D4347"/>
    <w:rsid w:val="00735C71"/>
    <w:rsid w:val="00742435"/>
    <w:rsid w:val="007B5941"/>
    <w:rsid w:val="007C2355"/>
    <w:rsid w:val="007C6B3B"/>
    <w:rsid w:val="007E30E4"/>
    <w:rsid w:val="008230A1"/>
    <w:rsid w:val="008305BD"/>
    <w:rsid w:val="008422B7"/>
    <w:rsid w:val="00853656"/>
    <w:rsid w:val="008C23C6"/>
    <w:rsid w:val="008E1B6F"/>
    <w:rsid w:val="008F0F87"/>
    <w:rsid w:val="00916194"/>
    <w:rsid w:val="00927A1A"/>
    <w:rsid w:val="00963B4C"/>
    <w:rsid w:val="00977DA9"/>
    <w:rsid w:val="00987A5F"/>
    <w:rsid w:val="009A339E"/>
    <w:rsid w:val="009B2F82"/>
    <w:rsid w:val="009C44C4"/>
    <w:rsid w:val="009C59BD"/>
    <w:rsid w:val="009F1ED5"/>
    <w:rsid w:val="00A04CBE"/>
    <w:rsid w:val="00A42C25"/>
    <w:rsid w:val="00A716A1"/>
    <w:rsid w:val="00A843DE"/>
    <w:rsid w:val="00A85456"/>
    <w:rsid w:val="00A96692"/>
    <w:rsid w:val="00AD70A7"/>
    <w:rsid w:val="00B4464D"/>
    <w:rsid w:val="00B46926"/>
    <w:rsid w:val="00B8380D"/>
    <w:rsid w:val="00B91AF2"/>
    <w:rsid w:val="00BC48E8"/>
    <w:rsid w:val="00BE730D"/>
    <w:rsid w:val="00C025EF"/>
    <w:rsid w:val="00C04EF0"/>
    <w:rsid w:val="00C117F7"/>
    <w:rsid w:val="00C17336"/>
    <w:rsid w:val="00C2241F"/>
    <w:rsid w:val="00C603EA"/>
    <w:rsid w:val="00C64680"/>
    <w:rsid w:val="00C811BA"/>
    <w:rsid w:val="00CA08C3"/>
    <w:rsid w:val="00CC09A0"/>
    <w:rsid w:val="00CC2CC1"/>
    <w:rsid w:val="00D00208"/>
    <w:rsid w:val="00D2650B"/>
    <w:rsid w:val="00D26EF1"/>
    <w:rsid w:val="00D872CA"/>
    <w:rsid w:val="00DE70DE"/>
    <w:rsid w:val="00DF0C8B"/>
    <w:rsid w:val="00E0574C"/>
    <w:rsid w:val="00E92102"/>
    <w:rsid w:val="00EE5606"/>
    <w:rsid w:val="00EE678F"/>
    <w:rsid w:val="00F06785"/>
    <w:rsid w:val="00F15747"/>
    <w:rsid w:val="00F16AB6"/>
    <w:rsid w:val="00F1708F"/>
    <w:rsid w:val="00F47958"/>
    <w:rsid w:val="00F560FB"/>
    <w:rsid w:val="00F609BD"/>
    <w:rsid w:val="00F95E81"/>
    <w:rsid w:val="00FB34ED"/>
    <w:rsid w:val="00FE1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DD331"/>
  <w15:chartTrackingRefBased/>
  <w15:docId w15:val="{779BFB6E-732B-4997-BCD8-9403339E0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87A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7A5F"/>
    <w:rPr>
      <w:sz w:val="20"/>
      <w:szCs w:val="20"/>
    </w:rPr>
  </w:style>
  <w:style w:type="character" w:styleId="FootnoteReference">
    <w:name w:val="footnote reference"/>
    <w:basedOn w:val="DefaultParagraphFont"/>
    <w:uiPriority w:val="99"/>
    <w:semiHidden/>
    <w:unhideWhenUsed/>
    <w:rsid w:val="00987A5F"/>
    <w:rPr>
      <w:vertAlign w:val="superscript"/>
    </w:rPr>
  </w:style>
  <w:style w:type="paragraph" w:styleId="Bibliography">
    <w:name w:val="Bibliography"/>
    <w:basedOn w:val="Normal"/>
    <w:next w:val="Normal"/>
    <w:uiPriority w:val="37"/>
    <w:unhideWhenUsed/>
    <w:rsid w:val="001F7EDE"/>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942F4-B418-44D3-B9F0-BA4D45426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3104</TotalTime>
  <Pages>6</Pages>
  <Words>2253</Words>
  <Characters>12844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lyrabright13@gmail.com</dc:creator>
  <cp:keywords/>
  <dc:description/>
  <cp:lastModifiedBy>lyrabright13@gmail.com</cp:lastModifiedBy>
  <cp:revision>76</cp:revision>
  <dcterms:created xsi:type="dcterms:W3CDTF">2022-10-14T11:10:00Z</dcterms:created>
  <dcterms:modified xsi:type="dcterms:W3CDTF">2022-10-21T21:05:00Z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zotero-version="6.0.15"&gt;&lt;session id="GhKJbwe6"/&gt;&lt;style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