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7F138E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AF17F1">
              <w:rPr>
                <w:b/>
                <w:color w:val="auto"/>
                <w:sz w:val="32"/>
              </w:rPr>
              <w:t>David GRIFFITHS</w:t>
            </w:r>
            <w:r w:rsidR="005A1BA3">
              <w:rPr>
                <w:b/>
                <w:color w:val="auto"/>
                <w:sz w:val="32"/>
              </w:rPr>
              <w:t>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D9644DC" w:rsidR="005A1BA3" w:rsidRDefault="005A1BA3" w:rsidP="00340E9A">
            <w:pPr>
              <w:overflowPunct/>
              <w:autoSpaceDE/>
              <w:autoSpaceDN/>
              <w:adjustRightInd/>
              <w:ind w:right="237"/>
              <w:textAlignment w:val="auto"/>
              <w:rPr>
                <w:b/>
                <w:color w:val="auto"/>
                <w:sz w:val="32"/>
              </w:rPr>
            </w:pPr>
            <w:r>
              <w:rPr>
                <w:b/>
                <w:color w:val="auto"/>
                <w:sz w:val="32"/>
              </w:rPr>
              <w:t>_</w:t>
            </w:r>
            <w:r w:rsidR="00AF17F1">
              <w:rPr>
                <w:b/>
                <w:color w:val="auto"/>
                <w:sz w:val="32"/>
              </w:rPr>
              <w:t>1815837</w:t>
            </w:r>
            <w:r>
              <w:rPr>
                <w:b/>
                <w:color w:val="auto"/>
                <w:sz w:val="32"/>
              </w:rPr>
              <w:t>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3B9BEF73" w14:textId="4D5B854A" w:rsidR="008B28E7" w:rsidRDefault="008B28E7" w:rsidP="5848403C">
      <w:pPr>
        <w:ind w:right="237"/>
        <w:jc w:val="both"/>
        <w:rPr>
          <w:sz w:val="24"/>
          <w:szCs w:val="24"/>
          <w:highlight w:val="yellow"/>
        </w:rPr>
      </w:pPr>
    </w:p>
    <w:p w14:paraId="2572C327" w14:textId="77777777" w:rsidR="00BF75A9" w:rsidRPr="00270EEB" w:rsidRDefault="00BF75A9" w:rsidP="5848403C">
      <w:pPr>
        <w:ind w:right="237"/>
        <w:jc w:val="both"/>
        <w:rPr>
          <w:sz w:val="24"/>
          <w:szCs w:val="24"/>
          <w:highlight w:val="yellow"/>
        </w:rPr>
      </w:pPr>
    </w:p>
    <w:p w14:paraId="1073C960" w14:textId="0A0F73EB"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How should the workbook be presented?</w:t>
      </w:r>
    </w:p>
    <w:p w14:paraId="2348424D" w14:textId="5FD4142D" w:rsidR="5848403C" w:rsidRDefault="5848403C" w:rsidP="5848403C">
      <w:pPr>
        <w:jc w:val="both"/>
        <w:rPr>
          <w:rFonts w:eastAsia="Arial"/>
          <w:color w:val="000000" w:themeColor="text1"/>
          <w:sz w:val="24"/>
          <w:szCs w:val="24"/>
        </w:rPr>
      </w:pPr>
    </w:p>
    <w:p w14:paraId="1F1F2734" w14:textId="092FCA57" w:rsidR="00B66369"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49901740" w14:textId="7DFFEEC3" w:rsidR="5848403C" w:rsidRDefault="5848403C" w:rsidP="5848403C">
      <w:pPr>
        <w:jc w:val="both"/>
        <w:rPr>
          <w:rFonts w:eastAsia="Arial"/>
          <w:color w:val="000000" w:themeColor="text1"/>
          <w:sz w:val="24"/>
          <w:szCs w:val="24"/>
        </w:rPr>
      </w:pPr>
    </w:p>
    <w:p w14:paraId="73840992" w14:textId="359B1324"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How is the workbook assessed?</w:t>
      </w:r>
    </w:p>
    <w:p w14:paraId="4FFA5420" w14:textId="375CB4C4" w:rsidR="5848403C" w:rsidRDefault="5848403C" w:rsidP="5848403C">
      <w:pPr>
        <w:jc w:val="both"/>
        <w:rPr>
          <w:rFonts w:eastAsia="Arial"/>
          <w:color w:val="000000" w:themeColor="text1"/>
          <w:sz w:val="24"/>
          <w:szCs w:val="24"/>
        </w:rPr>
      </w:pPr>
    </w:p>
    <w:p w14:paraId="61D52A92" w14:textId="70DE46DF"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Advice and support about the completion of this workbook will be provided by university staff as part</w:t>
      </w:r>
      <w:r w:rsidR="00D951B9">
        <w:rPr>
          <w:rFonts w:eastAsia="Arial"/>
          <w:color w:val="000000" w:themeColor="text1"/>
          <w:sz w:val="24"/>
          <w:szCs w:val="24"/>
        </w:rPr>
        <w:t xml:space="preserve"> of your initial training day. </w:t>
      </w:r>
      <w:r w:rsidRPr="5848403C">
        <w:rPr>
          <w:rFonts w:eastAsia="Arial"/>
          <w:color w:val="000000" w:themeColor="text1"/>
          <w:sz w:val="24"/>
          <w:szCs w:val="24"/>
        </w:rPr>
        <w:t xml:space="preserve">Your tutor constable and in-force training staff will not be involved in assessing or marking your workbook after it has been submitted. </w:t>
      </w:r>
    </w:p>
    <w:p w14:paraId="21A96553" w14:textId="2952EB29" w:rsidR="5848403C" w:rsidRDefault="5848403C" w:rsidP="5848403C">
      <w:pPr>
        <w:jc w:val="both"/>
        <w:rPr>
          <w:rFonts w:eastAsia="Arial"/>
          <w:color w:val="000000" w:themeColor="text1"/>
          <w:sz w:val="24"/>
          <w:szCs w:val="24"/>
        </w:rPr>
      </w:pPr>
    </w:p>
    <w:p w14:paraId="781ACD54" w14:textId="35724F4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Dates of workbook submission will be made available during the initial training day and posted on Moodle.</w:t>
      </w:r>
    </w:p>
    <w:p w14:paraId="61051D5F" w14:textId="501332F6" w:rsidR="5848403C" w:rsidRDefault="5848403C" w:rsidP="5848403C">
      <w:pPr>
        <w:jc w:val="both"/>
        <w:rPr>
          <w:rFonts w:eastAsia="Arial"/>
          <w:color w:val="000000" w:themeColor="text1"/>
          <w:sz w:val="24"/>
          <w:szCs w:val="24"/>
        </w:rPr>
      </w:pPr>
    </w:p>
    <w:p w14:paraId="77A8A7A3" w14:textId="22149CCB"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Once submitted your workbook will be assessed and marked independently.</w:t>
      </w:r>
    </w:p>
    <w:p w14:paraId="62D7F2AE" w14:textId="66D8CE3D" w:rsidR="5848403C" w:rsidRDefault="5848403C" w:rsidP="5848403C">
      <w:pPr>
        <w:jc w:val="both"/>
        <w:rPr>
          <w:rFonts w:eastAsia="Arial"/>
          <w:color w:val="000000" w:themeColor="text1"/>
          <w:sz w:val="24"/>
          <w:szCs w:val="24"/>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00C50844">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11527C">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ADCD616" w14:textId="77777777" w:rsidR="00AF17F1" w:rsidRDefault="00AF17F1" w:rsidP="00AF17F1">
      <w:r>
        <w:t xml:space="preserve">Over the last 12 weeks </w:t>
      </w:r>
      <w:r w:rsidRPr="00A34560">
        <w:t>as a student constable</w:t>
      </w:r>
      <w:r>
        <w:t xml:space="preserve"> under tutorship, I have</w:t>
      </w:r>
      <w:r w:rsidRPr="00A34560">
        <w:t xml:space="preserve"> had to develop my resilience and ens</w:t>
      </w:r>
      <w:r>
        <w:t>ure my well-being is maintained, as well as learning to adapt and overcome challenges such as the shift patterns and finding a balance with my family life.</w:t>
      </w:r>
    </w:p>
    <w:p w14:paraId="550DBFA4" w14:textId="77777777" w:rsidR="00AF17F1" w:rsidRPr="00A34560" w:rsidRDefault="00AF17F1" w:rsidP="00AF17F1">
      <w:r w:rsidRPr="00A34560">
        <w:t xml:space="preserve">During my initial 6 months of initial police training, I </w:t>
      </w:r>
      <w:r>
        <w:t>identified a few areas that could prove to be</w:t>
      </w:r>
      <w:r w:rsidRPr="00A34560">
        <w:t xml:space="preserve"> stress</w:t>
      </w:r>
      <w:r>
        <w:t>ful</w:t>
      </w:r>
      <w:r w:rsidRPr="00A34560">
        <w:t>. These ranged from financial insecurity due to taking a significant pay cut, stress of completing University assignments</w:t>
      </w:r>
      <w:r>
        <w:t>,</w:t>
      </w:r>
      <w:r w:rsidRPr="00A34560">
        <w:t xml:space="preserve"> and dealing with general stress as part of the constable role. Now </w:t>
      </w:r>
      <w:r>
        <w:t>that I have commenced</w:t>
      </w:r>
      <w:r w:rsidRPr="00A34560">
        <w:t xml:space="preserve"> my role as a Constable on division</w:t>
      </w:r>
      <w:r>
        <w:t>,</w:t>
      </w:r>
      <w:r w:rsidRPr="00A34560">
        <w:t xml:space="preserve"> these areas are</w:t>
      </w:r>
      <w:r>
        <w:t xml:space="preserve"> all</w:t>
      </w:r>
      <w:r w:rsidRPr="00A34560">
        <w:t xml:space="preserve"> still relevant, however</w:t>
      </w:r>
      <w:r>
        <w:t>,</w:t>
      </w:r>
      <w:r w:rsidRPr="00A34560">
        <w:t xml:space="preserve"> I have identified further areas that may cause me stress, such as shift working, dealing with service users</w:t>
      </w:r>
      <w:r>
        <w:t>,</w:t>
      </w:r>
      <w:r w:rsidRPr="00A34560">
        <w:t xml:space="preserve"> and dealing with situations that are unpleasant in nature. </w:t>
      </w:r>
    </w:p>
    <w:p w14:paraId="0B7DD285" w14:textId="77777777" w:rsidR="00AF17F1" w:rsidRPr="00A34560" w:rsidRDefault="00AF17F1" w:rsidP="00AF17F1">
      <w:r>
        <w:t>One of t</w:t>
      </w:r>
      <w:r w:rsidRPr="00A34560">
        <w:t>he coping strategies that I used in my initial 6</w:t>
      </w:r>
      <w:r>
        <w:t xml:space="preserve"> months of Police training was attempting to separate</w:t>
      </w:r>
      <w:r w:rsidRPr="00A34560">
        <w:t xml:space="preserve"> my work life and personal life. I have maintained this</w:t>
      </w:r>
      <w:r>
        <w:t xml:space="preserve"> strategy during my tutorship and</w:t>
      </w:r>
      <w:r w:rsidRPr="00A34560">
        <w:t xml:space="preserve"> I believe it has allowed me time to ‘switch off’ from work. I believe</w:t>
      </w:r>
      <w:r>
        <w:t xml:space="preserve"> that by having that divide</w:t>
      </w:r>
      <w:r w:rsidRPr="00A34560">
        <w:t xml:space="preserve"> has allowed me to</w:t>
      </w:r>
      <w:r>
        <w:t xml:space="preserve"> go home,</w:t>
      </w:r>
      <w:r w:rsidRPr="00A34560">
        <w:t xml:space="preserve"> clear my mind</w:t>
      </w:r>
      <w:r>
        <w:t>, and not bring any stress home with me. It has allowed me to finish</w:t>
      </w:r>
      <w:r w:rsidRPr="00A34560">
        <w:t xml:space="preserve"> </w:t>
      </w:r>
      <w:r>
        <w:t xml:space="preserve">one shift, and then </w:t>
      </w:r>
      <w:r w:rsidRPr="00A34560">
        <w:t>go into my next shift with an open min</w:t>
      </w:r>
      <w:r>
        <w:t xml:space="preserve">d, </w:t>
      </w:r>
      <w:r w:rsidRPr="00A34560">
        <w:t>not dwelling on calls or decisions made from the previous shift, allowing me to provide an individual, victim focused service</w:t>
      </w:r>
      <w:r>
        <w:t xml:space="preserve"> each time</w:t>
      </w:r>
      <w:r w:rsidRPr="00A34560">
        <w:t xml:space="preserve">. </w:t>
      </w:r>
    </w:p>
    <w:p w14:paraId="7501E6EB" w14:textId="77777777" w:rsidR="00AF17F1" w:rsidRDefault="00AF17F1" w:rsidP="00AF17F1">
      <w:r w:rsidRPr="00A34560">
        <w:t>By separating my work life to my personal life it has allowed me to continue to spend quality time with my family, although this time has been significantly impacted by working shifts. During my first few sets</w:t>
      </w:r>
      <w:r>
        <w:t>,</w:t>
      </w:r>
      <w:r w:rsidRPr="00A34560">
        <w:t xml:space="preserve"> I found it difficult to get into a routine </w:t>
      </w:r>
      <w:r>
        <w:t>in which</w:t>
      </w:r>
      <w:r w:rsidRPr="00A34560">
        <w:t xml:space="preserve"> I could get enough rest and sleep but als</w:t>
      </w:r>
      <w:r>
        <w:t>o continue to spend</w:t>
      </w:r>
      <w:r w:rsidRPr="00A34560">
        <w:t xml:space="preserve"> time with my wife and children. I was initially concerned about how I would be able to enjoy time with my family, work shifts</w:t>
      </w:r>
      <w:r>
        <w:t>,</w:t>
      </w:r>
      <w:r w:rsidRPr="00A34560">
        <w:t xml:space="preserve"> and complete assignments</w:t>
      </w:r>
      <w:r>
        <w:t>. H</w:t>
      </w:r>
      <w:r w:rsidRPr="00A34560">
        <w:t>owever</w:t>
      </w:r>
      <w:r>
        <w:t>, over the last few months I have worked at managing</w:t>
      </w:r>
      <w:r w:rsidRPr="00A34560">
        <w:t xml:space="preserve"> my time </w:t>
      </w:r>
      <w:r>
        <w:t xml:space="preserve">more </w:t>
      </w:r>
      <w:r w:rsidRPr="00A34560">
        <w:t>effectively. I ensure that I get enough rest prior to starting shift</w:t>
      </w:r>
      <w:r>
        <w:t xml:space="preserve"> as</w:t>
      </w:r>
      <w:r w:rsidRPr="00A34560">
        <w:t xml:space="preserve"> this helps to ensure I am focused prior to attending calls. I utilise my free time in work effectively,</w:t>
      </w:r>
      <w:r>
        <w:t xml:space="preserve"> for example</w:t>
      </w:r>
      <w:r w:rsidRPr="00A34560">
        <w:t xml:space="preserve"> when on quieter periods of a nightshift I will make progress on my university assignments</w:t>
      </w:r>
      <w:r>
        <w:t xml:space="preserve">, which allows me to use my rest days to spend time with my family. I have tried to keep on top of my workload by effectively managing my tasks and occurrences. By prioritising my tasks it has ensured that the occurrences that potentially carry the most stress are competed in a timely manner which helps reduce the burden these tasks may come with.  </w:t>
      </w:r>
    </w:p>
    <w:p w14:paraId="6504C4D2" w14:textId="77777777" w:rsidR="00AF17F1" w:rsidRDefault="00AF17F1" w:rsidP="00AF17F1">
      <w:r w:rsidRPr="00A34560">
        <w:t>As I expected, I have attended calls that are unpleasant in nature. I have attended sudden deaths, calls involving children</w:t>
      </w:r>
      <w:r>
        <w:t>, calls involving domestic abuse,</w:t>
      </w:r>
      <w:r w:rsidRPr="00A34560">
        <w:t xml:space="preserve"> and </w:t>
      </w:r>
      <w:r>
        <w:t xml:space="preserve">even </w:t>
      </w:r>
      <w:r w:rsidRPr="00A34560">
        <w:t>calls where people have been unable to care for themselves</w:t>
      </w:r>
      <w:r>
        <w:t xml:space="preserve">, which can be upsetting to both the person and their families. </w:t>
      </w:r>
      <w:r w:rsidRPr="00A34560">
        <w:t xml:space="preserve">I have attended these </w:t>
      </w:r>
      <w:r>
        <w:t xml:space="preserve">calls </w:t>
      </w:r>
      <w:r w:rsidRPr="00A34560">
        <w:t>with my tutor and other members of my shift</w:t>
      </w:r>
      <w:r>
        <w:t>.</w:t>
      </w:r>
      <w:r w:rsidRPr="00A34560">
        <w:t xml:space="preserve"> </w:t>
      </w:r>
      <w:r>
        <w:t>I have found that talking to my colleagues</w:t>
      </w:r>
      <w:r w:rsidRPr="00A34560">
        <w:t xml:space="preserve"> </w:t>
      </w:r>
      <w:r>
        <w:t xml:space="preserve">afterwards </w:t>
      </w:r>
      <w:r w:rsidRPr="00A34560">
        <w:t xml:space="preserve">has been </w:t>
      </w:r>
      <w:r>
        <w:t>helpful in providing me with an outlet to discuss what we</w:t>
      </w:r>
      <w:r w:rsidRPr="00A34560">
        <w:t xml:space="preserve"> have seen, what I have felt during these calls</w:t>
      </w:r>
      <w:r>
        <w:t>,</w:t>
      </w:r>
      <w:r w:rsidRPr="00A34560">
        <w:t xml:space="preserve"> and how I have reacted. I have </w:t>
      </w:r>
      <w:r>
        <w:t>also used this time</w:t>
      </w:r>
      <w:r w:rsidRPr="00A34560">
        <w:t xml:space="preserve"> to ask what strategies they use to cope with the calls and </w:t>
      </w:r>
      <w:r>
        <w:t xml:space="preserve">try to </w:t>
      </w:r>
      <w:r w:rsidRPr="00A34560">
        <w:t>implement these into my co</w:t>
      </w:r>
      <w:r>
        <w:t xml:space="preserve">ping strategies. </w:t>
      </w:r>
    </w:p>
    <w:p w14:paraId="02FFAB72" w14:textId="77777777" w:rsidR="00AF17F1" w:rsidRDefault="00AF17F1" w:rsidP="00AF17F1">
      <w:r>
        <w:t xml:space="preserve">Being able to use reflection techniques on calls and discuss them with my tutor, or writing things down as part of the University assignments, has allowed me to view incidents from another angle and almost journal my thoughts and feelings. By viewing incidents in this way I have prevented myself </w:t>
      </w:r>
      <w:r>
        <w:lastRenderedPageBreak/>
        <w:t>from becoming too overwhelmed on decisions made or incidents that I have not handled in a particularly positive way.</w:t>
      </w:r>
    </w:p>
    <w:p w14:paraId="0590AAF8" w14:textId="4D10EAD4" w:rsidR="00FF7784" w:rsidRPr="00270EEB" w:rsidRDefault="00AF17F1" w:rsidP="00340E9A">
      <w:pPr>
        <w:ind w:right="237"/>
        <w:jc w:val="both"/>
        <w:rPr>
          <w:sz w:val="24"/>
          <w:szCs w:val="24"/>
        </w:rPr>
      </w:pPr>
      <w:r>
        <w:rPr>
          <w:sz w:val="24"/>
          <w:szCs w:val="24"/>
        </w:rPr>
        <w:t>(657)</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AF17F1">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24CDB6BA"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7D3C56C3" w14:textId="77777777" w:rsidR="00AF17F1" w:rsidRPr="002333FD" w:rsidRDefault="00AF17F1" w:rsidP="00AF17F1">
      <w:pPr>
        <w:ind w:firstLine="720"/>
        <w:rPr>
          <w:rFonts w:cstheme="minorHAnsi"/>
          <w:sz w:val="22"/>
          <w:szCs w:val="22"/>
        </w:rPr>
      </w:pPr>
      <w:r w:rsidRPr="002333FD">
        <w:rPr>
          <w:rFonts w:cstheme="minorHAnsi"/>
          <w:sz w:val="22"/>
          <w:szCs w:val="22"/>
        </w:rPr>
        <w:t>The call in which I have chosen to reflect on</w:t>
      </w:r>
      <w:r>
        <w:rPr>
          <w:rFonts w:cstheme="minorHAnsi"/>
        </w:rPr>
        <w:t xml:space="preserve"> using Borton’s (1970) model of reflection</w:t>
      </w:r>
      <w:r w:rsidRPr="002333FD">
        <w:rPr>
          <w:rFonts w:cstheme="minorHAnsi"/>
          <w:sz w:val="22"/>
          <w:szCs w:val="22"/>
        </w:rPr>
        <w:t xml:space="preserve"> is one regarding domestic abuse. This was the first occasion that the subject had been abusive during the couple’s relationship. It was also the first time that the victim had been involved in an incident involving abuse and so she was particularly upset and unsettled. There were 4 children at the address who ages ranged from 6 months to 6 years. Using the THRIVE approach, I considered any threat, harm, or risk, not only to the victim but also to myself and other officers attended. I was able to determine that the subject had left the address and was currently outstanding, so as attending officers it was important that we safeguarded the victim and the children to prevent any further harm. On our arrival we ascertained that the subject did not have a key to the address so we locked the door from the inside to prevent him gaining access whilst we were there. We also advised the victim to lock the door once we had left the address, and to keep it locked.</w:t>
      </w:r>
      <w:r w:rsidRPr="002333FD">
        <w:rPr>
          <w:sz w:val="22"/>
          <w:szCs w:val="22"/>
        </w:rPr>
        <w:t xml:space="preserve"> </w:t>
      </w:r>
      <w:r w:rsidRPr="002333FD">
        <w:rPr>
          <w:rFonts w:cstheme="minorHAnsi"/>
          <w:sz w:val="22"/>
          <w:szCs w:val="22"/>
        </w:rPr>
        <w:t xml:space="preserve">Officers reiterated the need that she needed to call 999 should the suspect turn up at the home address. We informed the victim that the subject would most likely need to be arrested and would make enquiries to do this. She was </w:t>
      </w:r>
      <w:r w:rsidRPr="002333FD">
        <w:rPr>
          <w:rFonts w:cstheme="minorHAnsi"/>
          <w:sz w:val="22"/>
          <w:szCs w:val="22"/>
        </w:rPr>
        <w:lastRenderedPageBreak/>
        <w:t>unaware of where he could be, as although he had family in the local area, he did not see them often as they had fallen out of touch.</w:t>
      </w:r>
    </w:p>
    <w:p w14:paraId="0ED96B49" w14:textId="77777777" w:rsidR="00AF17F1" w:rsidRPr="002333FD" w:rsidRDefault="00AF17F1" w:rsidP="00AF17F1">
      <w:pPr>
        <w:pStyle w:val="Default"/>
        <w:ind w:firstLine="720"/>
        <w:rPr>
          <w:rFonts w:asciiTheme="minorHAnsi" w:hAnsiTheme="minorHAnsi" w:cstheme="minorHAnsi"/>
          <w:color w:val="auto"/>
          <w:sz w:val="22"/>
          <w:szCs w:val="22"/>
        </w:rPr>
      </w:pPr>
      <w:r w:rsidRPr="002333FD">
        <w:rPr>
          <w:rFonts w:asciiTheme="minorHAnsi" w:hAnsiTheme="minorHAnsi" w:cstheme="minorHAnsi"/>
          <w:color w:val="auto"/>
          <w:sz w:val="22"/>
          <w:szCs w:val="22"/>
        </w:rPr>
        <w:t xml:space="preserve">South Wales Police Domestic Abuse Action Plan (2016) states we will ‘Disrupt, arrest, and prosecute Domestic Abuse offenders whilst ensuring a victim centred approach’. With this in mind, I sat down with the victim and explained the process of statement taking, public protection notices, and further support that could be offered from external agencies. The victim agreed to provide a statement. It was not an ideal environment as the 4 young children were present and were unaware of the seriousness of the incident. However, keeping the victim at the centre of our service, we agreed that it would be easier to take the statement at her home address rather than have to ask her to leave the children with someone else so that she could come to a police station. </w:t>
      </w:r>
      <w:r w:rsidRPr="002333FD">
        <w:rPr>
          <w:rFonts w:cstheme="minorHAnsi"/>
          <w:sz w:val="22"/>
          <w:szCs w:val="22"/>
        </w:rPr>
        <w:t xml:space="preserve">The victim spoke in a quiet, timid manner, and due to the children taking an interest in officers, it was difficult to hear what she was saying. I had to ensure I engaged in active listening skills. Mind tools defines active listening skills as ‘where you make a conscious effort to hear not only the words that another person is saying but, more importantly, the </w:t>
      </w:r>
      <w:r w:rsidRPr="002333FD">
        <w:rPr>
          <w:rFonts w:cstheme="minorHAnsi"/>
          <w:bCs/>
          <w:sz w:val="22"/>
          <w:szCs w:val="22"/>
        </w:rPr>
        <w:t>complete message</w:t>
      </w:r>
      <w:r w:rsidRPr="002333FD">
        <w:rPr>
          <w:rFonts w:cstheme="minorHAnsi"/>
          <w:sz w:val="22"/>
          <w:szCs w:val="22"/>
        </w:rPr>
        <w:t xml:space="preserve"> being communicated’. I started by asking open questions such as ‘tell me what happened’ and ‘can you describe how you felt’. I maintained eye contact with the victim focusing not only on what she was saying but also how she was saying it. On occasions, as she was describing the assault, her voice would break and she would become teary. I offered reassurance to the victim when this happened, but also encouraged her to keep telling me what had happened. I made sure not to interrupt the victim as I did not want to stop her speaking freely, but when there were natural pauses in the conversation I would summarise what she had just told me, whilst making a note of this in the statement. Further evidence was gathered by photographing the victim’s injuries. These ranged from minor to moderate bruising and swelling. These were exhibited in the statement also. As well as the statement, as per force policy, my body worn camera was activated and this ensured that the victim’s account and first disclosure was captured in her own words. By gathering all evidence at the earliest opportunity it allowed for a case to be built and ensured that when the suspect was arrested he could be dealt with promptly and effectively, ensuring that there would be no or at least, very few outstanding enquiries.  </w:t>
      </w:r>
    </w:p>
    <w:p w14:paraId="45F57E0D" w14:textId="77777777" w:rsidR="00AF17F1" w:rsidRPr="002333FD" w:rsidRDefault="00AF17F1" w:rsidP="00AF17F1">
      <w:pPr>
        <w:ind w:firstLine="720"/>
        <w:rPr>
          <w:rFonts w:cstheme="minorHAnsi"/>
          <w:sz w:val="22"/>
          <w:szCs w:val="22"/>
        </w:rPr>
      </w:pPr>
      <w:r w:rsidRPr="002333FD">
        <w:rPr>
          <w:rFonts w:cstheme="minorHAnsi"/>
          <w:sz w:val="22"/>
          <w:szCs w:val="22"/>
        </w:rPr>
        <w:t xml:space="preserve">It was important to remember the subject for this matter was outstanding and as such, considerations had to be made in relation to the vulnerabilities of the victim. The victim was now on her own with 4 children in the home address, there were no family in the area, and she claimed to not have any friends local that she could stay with as she was not from that area. Options were discussed in regards to staying at a women’s refuge until the subject had been arrested. The victim declined this option stating that she wanted to keep a degree of normality for the children, and for herself as a coping mechanism for what had happened. The victim agreed for a patrol strategy to be implemented as another safeguarding measure, which included officers patrolling past her property, and calling in periodically to ensure her welfare. It also gave the victim the opportunity to speak to an officer on a personal face to face basis if she had wished to. </w:t>
      </w:r>
    </w:p>
    <w:p w14:paraId="75F18AD7" w14:textId="77777777" w:rsidR="00AF17F1" w:rsidRPr="002333FD" w:rsidRDefault="00AF17F1" w:rsidP="00AF17F1">
      <w:pPr>
        <w:ind w:firstLine="720"/>
        <w:rPr>
          <w:rFonts w:cstheme="minorHAnsi"/>
          <w:sz w:val="22"/>
          <w:szCs w:val="22"/>
        </w:rPr>
      </w:pPr>
      <w:r w:rsidRPr="002333FD">
        <w:rPr>
          <w:rFonts w:cstheme="minorHAnsi"/>
          <w:sz w:val="22"/>
          <w:szCs w:val="22"/>
        </w:rPr>
        <w:t xml:space="preserve">Officers had to consider the vulnerability of the children and not just the victim. The victim stated to officers that the subject ‘would never harm the children’. However, due to the nature of the offence, we had to have safeguards in place for them. I went through the Public Protection Notice with the victim ensuring that I included all details of the children. This was then submitted as a high priority to the Domestic Abuse Unit and also flagged to the Children’s Unit for them to consider sharing with Social Services and other agencies. I reassured the victim that this was done on every incident of this nature and it was a way of making sure that all agencies are aware of the incident and ensure that support and assistance can be put in place for her and the children if they ever required it. In line with the Ministry of Justice Codes of Practice for Victims of Crime (2015), I informed the victim of her rights to be updated on a basis that suited her, and she asked to be updated on significant parts of the enquiry such as arrest, interview, and release. I also went through her right to give a victim personal statement however the victim declined this, but did state she would consider whether she wanted to provide one in the future. </w:t>
      </w:r>
    </w:p>
    <w:p w14:paraId="4E685D4E" w14:textId="77777777" w:rsidR="00AF17F1" w:rsidRPr="002333FD" w:rsidRDefault="00AF17F1" w:rsidP="00AF17F1">
      <w:pPr>
        <w:ind w:firstLine="720"/>
        <w:rPr>
          <w:rFonts w:cstheme="minorHAnsi"/>
          <w:sz w:val="22"/>
          <w:szCs w:val="22"/>
        </w:rPr>
      </w:pPr>
      <w:r w:rsidRPr="002333FD">
        <w:rPr>
          <w:rFonts w:cstheme="minorHAnsi"/>
          <w:sz w:val="22"/>
          <w:szCs w:val="22"/>
        </w:rPr>
        <w:lastRenderedPageBreak/>
        <w:t xml:space="preserve">I have chosen to reflect on this incident as there were a lot of factors that influenced how I communicated with the victim, how the victim communicated with me, and how the communication on whole could have impacted the quality of evidence that the victim gave me for the statement. Had I been dismissive or come across as uninterested in anyway, the victim may not have disclosed as much as she did. I believe I built up a rapport with the victim that led her to trusting me. By asking open questions it allowed the subject to give as much detail into the assault as possible. Had the questions been closed or too specific then there would have been a risk that the details would not have been in the statement and vital evidence may have been missed. </w:t>
      </w:r>
    </w:p>
    <w:p w14:paraId="14D05547" w14:textId="77777777" w:rsidR="00AF17F1" w:rsidRPr="002333FD" w:rsidRDefault="00AF17F1" w:rsidP="00AF17F1">
      <w:pPr>
        <w:rPr>
          <w:rFonts w:cstheme="minorHAnsi"/>
          <w:sz w:val="22"/>
          <w:szCs w:val="22"/>
        </w:rPr>
      </w:pPr>
    </w:p>
    <w:p w14:paraId="17643367" w14:textId="77777777" w:rsidR="00AF17F1" w:rsidRPr="002333FD" w:rsidRDefault="00AF17F1" w:rsidP="00AF17F1">
      <w:pPr>
        <w:ind w:firstLine="720"/>
        <w:rPr>
          <w:rFonts w:cstheme="minorHAnsi"/>
          <w:sz w:val="22"/>
          <w:szCs w:val="22"/>
        </w:rPr>
      </w:pPr>
      <w:r w:rsidRPr="002333FD">
        <w:rPr>
          <w:rFonts w:cstheme="minorHAnsi"/>
          <w:sz w:val="22"/>
          <w:szCs w:val="22"/>
        </w:rPr>
        <w:t>Looking forward and learning from this experience</w:t>
      </w:r>
      <w:r>
        <w:rPr>
          <w:rFonts w:cstheme="minorHAnsi"/>
        </w:rPr>
        <w:t>,</w:t>
      </w:r>
      <w:r w:rsidRPr="002333FD">
        <w:rPr>
          <w:rFonts w:cstheme="minorHAnsi"/>
          <w:sz w:val="22"/>
          <w:szCs w:val="22"/>
        </w:rPr>
        <w:t xml:space="preserve"> I think it’s good to reflect on the positive outcomes, </w:t>
      </w:r>
      <w:r>
        <w:rPr>
          <w:rFonts w:cstheme="minorHAnsi"/>
        </w:rPr>
        <w:t>but</w:t>
      </w:r>
      <w:r w:rsidRPr="002333FD">
        <w:rPr>
          <w:rFonts w:cstheme="minorHAnsi"/>
          <w:sz w:val="22"/>
          <w:szCs w:val="22"/>
        </w:rPr>
        <w:t xml:space="preserve"> also remember that not every victim will be as forthcoming with evidence</w:t>
      </w:r>
      <w:r>
        <w:rPr>
          <w:rFonts w:cstheme="minorHAnsi"/>
        </w:rPr>
        <w:t>,</w:t>
      </w:r>
      <w:r w:rsidRPr="002333FD">
        <w:rPr>
          <w:rFonts w:cstheme="minorHAnsi"/>
          <w:sz w:val="22"/>
          <w:szCs w:val="22"/>
        </w:rPr>
        <w:t xml:space="preserve"> or support Police actions in re</w:t>
      </w:r>
      <w:r>
        <w:rPr>
          <w:rFonts w:cstheme="minorHAnsi"/>
        </w:rPr>
        <w:t>gards to safeguarding. There may</w:t>
      </w:r>
      <w:r w:rsidRPr="002333FD">
        <w:rPr>
          <w:rFonts w:cstheme="minorHAnsi"/>
          <w:sz w:val="22"/>
          <w:szCs w:val="22"/>
        </w:rPr>
        <w:t xml:space="preserve"> be occasions when the victim blames themselves for what has happened due to the </w:t>
      </w:r>
      <w:r>
        <w:rPr>
          <w:rFonts w:cstheme="minorHAnsi"/>
        </w:rPr>
        <w:t xml:space="preserve">common </w:t>
      </w:r>
      <w:r w:rsidRPr="002333FD">
        <w:rPr>
          <w:rFonts w:cstheme="minorHAnsi"/>
          <w:sz w:val="22"/>
          <w:szCs w:val="22"/>
        </w:rPr>
        <w:t>mind-set that the</w:t>
      </w:r>
      <w:r>
        <w:rPr>
          <w:rFonts w:cstheme="minorHAnsi"/>
        </w:rPr>
        <w:t xml:space="preserve"> subject</w:t>
      </w:r>
      <w:r w:rsidRPr="002333FD">
        <w:rPr>
          <w:rFonts w:cstheme="minorHAnsi"/>
          <w:sz w:val="22"/>
          <w:szCs w:val="22"/>
        </w:rPr>
        <w:t xml:space="preserve"> put</w:t>
      </w:r>
      <w:r>
        <w:rPr>
          <w:rFonts w:cstheme="minorHAnsi"/>
        </w:rPr>
        <w:t>s</w:t>
      </w:r>
      <w:r w:rsidRPr="002333FD">
        <w:rPr>
          <w:rFonts w:cstheme="minorHAnsi"/>
          <w:sz w:val="22"/>
          <w:szCs w:val="22"/>
        </w:rPr>
        <w:t xml:space="preserve"> them into</w:t>
      </w:r>
      <w:r>
        <w:rPr>
          <w:rFonts w:cstheme="minorHAnsi"/>
        </w:rPr>
        <w:t xml:space="preserve"> in these types of situations</w:t>
      </w:r>
      <w:r w:rsidRPr="002333FD">
        <w:rPr>
          <w:rFonts w:cstheme="minorHAnsi"/>
          <w:sz w:val="22"/>
          <w:szCs w:val="22"/>
        </w:rPr>
        <w:t xml:space="preserve">. </w:t>
      </w:r>
      <w:r>
        <w:rPr>
          <w:rFonts w:cstheme="minorHAnsi"/>
        </w:rPr>
        <w:t xml:space="preserve"> </w:t>
      </w:r>
      <w:r w:rsidRPr="002333FD">
        <w:rPr>
          <w:rFonts w:cstheme="minorHAnsi"/>
          <w:sz w:val="22"/>
          <w:szCs w:val="22"/>
        </w:rPr>
        <w:t xml:space="preserve">It’s also important to consider for future occurrences that not everybody communicates in the same way. I may need to consider use of an interpreter or use of an appropriate adult to assist with obtaining victim statements. It’s </w:t>
      </w:r>
      <w:r w:rsidRPr="002333FD">
        <w:rPr>
          <w:rFonts w:cstheme="minorHAnsi"/>
        </w:rPr>
        <w:t>essential</w:t>
      </w:r>
      <w:r w:rsidRPr="002333FD">
        <w:rPr>
          <w:rFonts w:cstheme="minorHAnsi"/>
          <w:sz w:val="22"/>
          <w:szCs w:val="22"/>
        </w:rPr>
        <w:t xml:space="preserve"> to also consider people</w:t>
      </w:r>
      <w:r>
        <w:rPr>
          <w:rFonts w:cstheme="minorHAnsi"/>
        </w:rPr>
        <w:t>’</w:t>
      </w:r>
      <w:r w:rsidRPr="002333FD">
        <w:rPr>
          <w:rFonts w:cstheme="minorHAnsi"/>
          <w:sz w:val="22"/>
          <w:szCs w:val="22"/>
        </w:rPr>
        <w:t>s cultural and language preferen</w:t>
      </w:r>
      <w:r>
        <w:rPr>
          <w:rFonts w:cstheme="minorHAnsi"/>
        </w:rPr>
        <w:t>ces when considering interviews. S</w:t>
      </w:r>
      <w:r w:rsidRPr="002333FD">
        <w:rPr>
          <w:rFonts w:cstheme="minorHAnsi"/>
          <w:sz w:val="22"/>
          <w:szCs w:val="22"/>
        </w:rPr>
        <w:t>ome cultures will not allow females to be interviewed by males</w:t>
      </w:r>
      <w:r>
        <w:rPr>
          <w:rFonts w:cstheme="minorHAnsi"/>
        </w:rPr>
        <w:t xml:space="preserve"> for example</w:t>
      </w:r>
      <w:r w:rsidRPr="002333FD">
        <w:rPr>
          <w:rFonts w:cstheme="minorHAnsi"/>
          <w:sz w:val="22"/>
          <w:szCs w:val="22"/>
        </w:rPr>
        <w:t>. In all situations it</w:t>
      </w:r>
      <w:r>
        <w:rPr>
          <w:rFonts w:cstheme="minorHAnsi"/>
        </w:rPr>
        <w:t xml:space="preserve"> i</w:t>
      </w:r>
      <w:r w:rsidRPr="002333FD">
        <w:rPr>
          <w:rFonts w:cstheme="minorHAnsi"/>
          <w:sz w:val="22"/>
          <w:szCs w:val="22"/>
        </w:rPr>
        <w:t xml:space="preserve">s </w:t>
      </w:r>
      <w:r>
        <w:rPr>
          <w:rFonts w:cstheme="minorHAnsi"/>
        </w:rPr>
        <w:t>necessary</w:t>
      </w:r>
      <w:r w:rsidRPr="002333FD">
        <w:rPr>
          <w:rFonts w:cstheme="minorHAnsi"/>
          <w:sz w:val="22"/>
          <w:szCs w:val="22"/>
        </w:rPr>
        <w:t xml:space="preserve"> to use active listening skills and notice the victim’s body language and reactions when </w:t>
      </w:r>
      <w:r>
        <w:rPr>
          <w:rFonts w:cstheme="minorHAnsi"/>
        </w:rPr>
        <w:t xml:space="preserve">asked certain questions, and ask yourself, </w:t>
      </w:r>
      <w:r w:rsidRPr="002333FD">
        <w:rPr>
          <w:rFonts w:cstheme="minorHAnsi"/>
          <w:sz w:val="22"/>
          <w:szCs w:val="22"/>
        </w:rPr>
        <w:t>are they avoiding eye contact, or are</w:t>
      </w:r>
      <w:r>
        <w:rPr>
          <w:rFonts w:cstheme="minorHAnsi"/>
        </w:rPr>
        <w:t xml:space="preserve"> they trying to hide </w:t>
      </w:r>
      <w:r w:rsidRPr="002333FD">
        <w:rPr>
          <w:rFonts w:cstheme="minorHAnsi"/>
          <w:sz w:val="22"/>
          <w:szCs w:val="22"/>
        </w:rPr>
        <w:t xml:space="preserve">anything such as </w:t>
      </w:r>
      <w:r>
        <w:rPr>
          <w:rFonts w:cstheme="minorHAnsi"/>
        </w:rPr>
        <w:t>injuries caused by the subject as it is common for the victim to not want the subject to get into trouble and therefore withhold evidence.</w:t>
      </w:r>
    </w:p>
    <w:p w14:paraId="7A14A924" w14:textId="77777777" w:rsidR="00AF17F1" w:rsidRPr="002333FD" w:rsidRDefault="00AF17F1" w:rsidP="00AF17F1">
      <w:pPr>
        <w:rPr>
          <w:rFonts w:cstheme="minorHAnsi"/>
          <w:sz w:val="22"/>
          <w:szCs w:val="22"/>
        </w:rPr>
      </w:pPr>
      <w:r w:rsidRPr="002333FD">
        <w:rPr>
          <w:rFonts w:cstheme="minorHAnsi"/>
          <w:sz w:val="22"/>
          <w:szCs w:val="22"/>
        </w:rPr>
        <w:t xml:space="preserve">On this occasion there wasn’t much scope on the use of discretion by officers. South Wales Police take positive action during all domestic related assaults, an arrest is made on almost all occasions, </w:t>
      </w:r>
      <w:r>
        <w:rPr>
          <w:rFonts w:cstheme="minorHAnsi"/>
        </w:rPr>
        <w:t xml:space="preserve">and </w:t>
      </w:r>
      <w:r w:rsidRPr="002333FD">
        <w:rPr>
          <w:rFonts w:cstheme="minorHAnsi"/>
          <w:sz w:val="22"/>
          <w:szCs w:val="22"/>
        </w:rPr>
        <w:t xml:space="preserve">on this occasion due to the severity and seriousness of the assault an arrest was proportionate in the circumstances and the victim was supportive of arrest and prosecution. </w:t>
      </w:r>
    </w:p>
    <w:p w14:paraId="607A0D29" w14:textId="4EDB54DF" w:rsidR="00AA666E" w:rsidRDefault="00AA666E" w:rsidP="00340E9A">
      <w:pPr>
        <w:ind w:right="237"/>
        <w:jc w:val="both"/>
        <w:rPr>
          <w:sz w:val="24"/>
          <w:szCs w:val="24"/>
        </w:rPr>
      </w:pPr>
    </w:p>
    <w:p w14:paraId="4F53C674" w14:textId="32BA413D" w:rsidR="00AF17F1" w:rsidRPr="00270EEB" w:rsidRDefault="00AF17F1" w:rsidP="00340E9A">
      <w:pPr>
        <w:ind w:right="237"/>
        <w:jc w:val="both"/>
        <w:rPr>
          <w:sz w:val="24"/>
          <w:szCs w:val="24"/>
        </w:rPr>
      </w:pPr>
      <w:r>
        <w:rPr>
          <w:sz w:val="24"/>
          <w:szCs w:val="24"/>
        </w:rPr>
        <w:t>(1473)</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02F54127" w14:textId="77777777" w:rsidR="00AF17F1" w:rsidRPr="00BB3803" w:rsidRDefault="00AF17F1" w:rsidP="00AF17F1">
      <w:pPr>
        <w:rPr>
          <w:rFonts w:asciiTheme="minorHAnsi" w:hAnsiTheme="minorHAnsi" w:cstheme="minorHAnsi"/>
          <w:sz w:val="22"/>
          <w:szCs w:val="22"/>
        </w:rPr>
      </w:pPr>
      <w:r w:rsidRPr="00BB3803">
        <w:rPr>
          <w:rFonts w:asciiTheme="minorHAnsi" w:hAnsiTheme="minorHAnsi" w:cstheme="minorHAnsi"/>
          <w:sz w:val="22"/>
          <w:szCs w:val="22"/>
        </w:rPr>
        <w:t>I will use Borton’s reflective cycle (1970) to reflect upon an interview I conducted where the subject was being interviewed for alleged harassment. I chose Borton’s cycle as it uses trigger questions to further reflect and gives further opportunity to develop through learning and reflection.  I have chosen this suspect interview to reflect on as it was the first interview I had conducted and taken the lead on since completing my 6 months initial training. I believe it is important to reflect upon this interview as it will give me a good insight into what I did well, and what could be done to improve for the next interview. This reflection tool also gi</w:t>
      </w:r>
      <w:bookmarkStart w:id="6" w:name="_GoBack"/>
      <w:bookmarkEnd w:id="6"/>
      <w:r w:rsidRPr="00BB3803">
        <w:rPr>
          <w:rFonts w:asciiTheme="minorHAnsi" w:hAnsiTheme="minorHAnsi" w:cstheme="minorHAnsi"/>
          <w:sz w:val="22"/>
          <w:szCs w:val="22"/>
        </w:rPr>
        <w:t>ves me an opportunity to complete the PEACE model (2019) and evaluate my performance as an interviewer. This was my first suspect interview but it was also my first time giving legal disclosure. I was unsure of how both would go or what to expect from all parties. I felt nervous during the process as I had not done anything like this before and I also felt pressure to deliver a good interview to give the victim a quality service and to try to deliver an outcome that they had expected.</w:t>
      </w:r>
    </w:p>
    <w:p w14:paraId="15D139CE" w14:textId="77777777" w:rsidR="00AF17F1" w:rsidRPr="00BB3803" w:rsidRDefault="00AF17F1" w:rsidP="00AF17F1">
      <w:pPr>
        <w:pStyle w:val="legclearfix"/>
        <w:shd w:val="clear" w:color="auto" w:fill="FFFFFF"/>
        <w:spacing w:before="0" w:beforeAutospacing="0" w:after="90" w:afterAutospacing="0" w:line="270" w:lineRule="atLeast"/>
        <w:rPr>
          <w:rStyle w:val="legds"/>
          <w:rFonts w:asciiTheme="minorHAnsi" w:hAnsiTheme="minorHAnsi" w:cstheme="minorHAnsi"/>
          <w:color w:val="000000"/>
          <w:sz w:val="22"/>
          <w:szCs w:val="22"/>
        </w:rPr>
      </w:pPr>
      <w:r w:rsidRPr="00BB3803">
        <w:rPr>
          <w:rFonts w:asciiTheme="minorHAnsi" w:hAnsiTheme="minorHAnsi" w:cstheme="minorHAnsi"/>
          <w:sz w:val="22"/>
          <w:szCs w:val="22"/>
        </w:rPr>
        <w:t xml:space="preserve">As this was my first suspect interview I was unsure what to expect as a whole, but I knew that interviewing for harassment had the potential to be a difficult offence to prepare and interview for due to the nature of the alleged offence. In addition to this, I had met the suspect previously to attempt to arrange for the interview to be done on a voluntary basis, and the suspect proved to immediately be obstructive to myself. Because of this attitude, I was expecting him to have the same demeanour when he attended the station that day for the interview. My role as the officer in case was to gather the evidence from the victim. This included all media documents such as emails, </w:t>
      </w:r>
      <w:r w:rsidRPr="00BB3803">
        <w:rPr>
          <w:rFonts w:asciiTheme="minorHAnsi" w:hAnsiTheme="minorHAnsi" w:cstheme="minorHAnsi"/>
          <w:sz w:val="22"/>
          <w:szCs w:val="22"/>
        </w:rPr>
        <w:lastRenderedPageBreak/>
        <w:t>messages, and videos that they had received from the suspect. Once I had gathered the evidence, I had to analyse the content and pick out parts that would prove the alleged offence. On this occasion, the victim handed me 25 pieces of evidence, and although there was a large number of communications received, there were only actually 2 occasions where the language used had caused the victim any alarm, harassment, or distress. By evidencing these 2 occasions it has shown that the suspect has shown a course of conduct and the definition of harassment states ‘</w:t>
      </w:r>
      <w:r w:rsidRPr="00BB3803">
        <w:rPr>
          <w:rStyle w:val="legds"/>
          <w:rFonts w:asciiTheme="minorHAnsi" w:hAnsiTheme="minorHAnsi" w:cstheme="minorHAnsi"/>
          <w:color w:val="000000"/>
          <w:sz w:val="22"/>
          <w:szCs w:val="22"/>
        </w:rPr>
        <w:t>A person must not pursue a course of conduct which amounts to harassment of another, and</w:t>
      </w:r>
      <w:r w:rsidRPr="00BB3803">
        <w:rPr>
          <w:rFonts w:asciiTheme="minorHAnsi" w:hAnsiTheme="minorHAnsi" w:cstheme="minorHAnsi"/>
          <w:color w:val="000000"/>
          <w:sz w:val="22"/>
          <w:szCs w:val="22"/>
        </w:rPr>
        <w:t xml:space="preserve"> </w:t>
      </w:r>
      <w:r w:rsidRPr="00BB3803">
        <w:rPr>
          <w:rStyle w:val="legds"/>
          <w:rFonts w:asciiTheme="minorHAnsi" w:hAnsiTheme="minorHAnsi" w:cstheme="minorHAnsi"/>
          <w:color w:val="000000"/>
          <w:sz w:val="22"/>
          <w:szCs w:val="22"/>
        </w:rPr>
        <w:t xml:space="preserve">which he knows or ought to know amounts to harassment of the other.’ Once this evidence had been gathered I then began following the College of Policing PEACE model (2019). I began planning for the interview, making notes of questions I wanted to ask that would prove the offence, but also questions that could be used in the event of a ‘no comment’ interview. I also began planning for the prospect of the suspect making a full admission which included clarifying any points he made, again ensuring that all the points to prove the offence were covered. I had considered any vulnerabilities for the suspect and whether they would require an appropriate adult to sit in on the interview as well as a legal representative, but when I met the suspect to arrange the voluntary interview, I confirmed with him that this wouldn’t be the necessary and that it would be just him and his legal representative in attendance. As well as making myself familiar with the points to prove of the offence, I also familiarised myself with the College of Policing’s principles of investigative interviewing. This would ensure that the interview would not only be conducted fairly, but also comply with the Human Rights Act 1998, Eqaulity Act 2010 and also PACE 1980 as per principle 2. </w:t>
      </w:r>
    </w:p>
    <w:p w14:paraId="16A35601" w14:textId="77777777" w:rsidR="00AF17F1" w:rsidRPr="00BB3803" w:rsidRDefault="00AF17F1" w:rsidP="00AF17F1">
      <w:pPr>
        <w:pStyle w:val="legclearfix"/>
        <w:shd w:val="clear" w:color="auto" w:fill="FFFFFF"/>
        <w:spacing w:before="0" w:beforeAutospacing="0" w:after="90" w:afterAutospacing="0" w:line="270" w:lineRule="atLeast"/>
        <w:rPr>
          <w:rStyle w:val="legds"/>
          <w:rFonts w:asciiTheme="minorHAnsi" w:hAnsiTheme="minorHAnsi" w:cstheme="minorHAnsi"/>
          <w:color w:val="000000"/>
          <w:sz w:val="22"/>
          <w:szCs w:val="22"/>
        </w:rPr>
      </w:pPr>
    </w:p>
    <w:p w14:paraId="13271764" w14:textId="77777777" w:rsidR="00AF17F1" w:rsidRPr="00BB3803" w:rsidRDefault="00AF17F1" w:rsidP="00AF17F1">
      <w:pPr>
        <w:pStyle w:val="legclearfix"/>
        <w:shd w:val="clear" w:color="auto" w:fill="FFFFFF"/>
        <w:spacing w:before="0" w:beforeAutospacing="0" w:after="90" w:afterAutospacing="0" w:line="270" w:lineRule="atLeast"/>
        <w:rPr>
          <w:rStyle w:val="legds"/>
          <w:rFonts w:asciiTheme="minorHAnsi" w:hAnsiTheme="minorHAnsi" w:cstheme="minorHAnsi"/>
          <w:color w:val="000000"/>
          <w:sz w:val="22"/>
          <w:szCs w:val="22"/>
        </w:rPr>
      </w:pPr>
      <w:r w:rsidRPr="00BB3803">
        <w:rPr>
          <w:rStyle w:val="legds"/>
          <w:rFonts w:asciiTheme="minorHAnsi" w:hAnsiTheme="minorHAnsi" w:cstheme="minorHAnsi"/>
          <w:color w:val="000000"/>
          <w:sz w:val="22"/>
          <w:szCs w:val="22"/>
        </w:rPr>
        <w:t xml:space="preserve">On the day of the interview the suspect arrived at the police station with his legal representative. I began by introducing myself to the representative and then taking them into a separate room for the initial briefing and disclosure. I had to consider whether I would disclose all information to the representative as on occasions it has shown that it may be beneficial to withhold evidence until a suspect has accounted for certain actions. On this occasion however, I decided that that wasn’t relevant to withhold information so gave a full disclosure. Following this disclosure with the legal representative I then allowed them and their client sufficient time to discuss the evidences that I had presented the representative with, before I proceeded with the interview of the suspect. Following the PEACE interview model I engaged with the suspect and explained the route the interview would take. As with every interview, the suspect was cautioned. I explained to the suspect that it does not mean they are under arrest at that time, however I explained the caution in full and ensured they had an understanding of what it meant. I then asked the suspect to provide his account for events. I had to engage in active listening whilst the suspect was giving his account. By actively listening it prompted the suspect to continue talking and reassured them that I was listening, it also helped me to identify topics of his account that I wanted to probe further and topics that may have contradicted the statement or the evidence that the victim had provided me with. During the interview the suspect provided me with an account that amounted to an admission of sending the emails and texts. However, he denied that the communications were sent as a form of harassment as an attempt to cause the victim alarm, harassment, or distress. </w:t>
      </w:r>
    </w:p>
    <w:p w14:paraId="5DB9258D" w14:textId="77777777" w:rsidR="00AF17F1" w:rsidRPr="00BB3803" w:rsidRDefault="00AF17F1" w:rsidP="00AF17F1">
      <w:pPr>
        <w:pStyle w:val="legclearfix"/>
        <w:shd w:val="clear" w:color="auto" w:fill="FFFFFF"/>
        <w:spacing w:before="0" w:beforeAutospacing="0" w:after="90" w:afterAutospacing="0" w:line="270" w:lineRule="atLeast"/>
        <w:rPr>
          <w:rStyle w:val="legds"/>
          <w:rFonts w:asciiTheme="minorHAnsi" w:hAnsiTheme="minorHAnsi" w:cstheme="minorHAnsi"/>
          <w:color w:val="000000"/>
          <w:sz w:val="22"/>
          <w:szCs w:val="22"/>
        </w:rPr>
      </w:pPr>
    </w:p>
    <w:p w14:paraId="22E28457" w14:textId="77777777" w:rsidR="00AF17F1" w:rsidRPr="00BB3803" w:rsidRDefault="00AF17F1" w:rsidP="00AF17F1">
      <w:pPr>
        <w:pStyle w:val="legclearfix"/>
        <w:shd w:val="clear" w:color="auto" w:fill="FFFFFF"/>
        <w:spacing w:before="0" w:beforeAutospacing="0" w:after="90" w:afterAutospacing="0" w:line="270" w:lineRule="atLeast"/>
        <w:rPr>
          <w:rStyle w:val="legds"/>
          <w:rFonts w:asciiTheme="minorHAnsi" w:hAnsiTheme="minorHAnsi" w:cstheme="minorHAnsi"/>
          <w:color w:val="000000"/>
          <w:sz w:val="22"/>
          <w:szCs w:val="22"/>
        </w:rPr>
      </w:pPr>
    </w:p>
    <w:p w14:paraId="66FBC995" w14:textId="77777777" w:rsidR="00AF17F1" w:rsidRPr="00BB3803" w:rsidRDefault="00AF17F1" w:rsidP="00AF17F1">
      <w:pPr>
        <w:pStyle w:val="legclearfix"/>
        <w:shd w:val="clear" w:color="auto" w:fill="FFFFFF"/>
        <w:spacing w:before="0" w:beforeAutospacing="0" w:after="90" w:afterAutospacing="0" w:line="270" w:lineRule="atLeast"/>
        <w:rPr>
          <w:rStyle w:val="legds"/>
          <w:rFonts w:asciiTheme="minorHAnsi" w:hAnsiTheme="minorHAnsi" w:cstheme="minorHAnsi"/>
          <w:color w:val="000000"/>
          <w:sz w:val="22"/>
          <w:szCs w:val="22"/>
        </w:rPr>
      </w:pPr>
      <w:r w:rsidRPr="00BB3803">
        <w:rPr>
          <w:rStyle w:val="legds"/>
          <w:rFonts w:asciiTheme="minorHAnsi" w:hAnsiTheme="minorHAnsi" w:cstheme="minorHAnsi"/>
          <w:color w:val="000000"/>
          <w:sz w:val="22"/>
          <w:szCs w:val="22"/>
        </w:rPr>
        <w:t xml:space="preserve">What I have learnt from this particular interview is that I can only work with the information and evidence I have been provided with. Many of the pieces of evidence I was given were not distressing in their content and I felt this did not give me a lot to question the suspect on. I realise on reflection that I could have potentially questioned more on the actual volume of messages, their frequency, and the course of conduct of the person, as the Protection from Harassment Act (1997) states ‘a person who pursues a course of conduct is guilty of the offence’. Looking back on the interview, I did </w:t>
      </w:r>
      <w:r w:rsidRPr="00BB3803">
        <w:rPr>
          <w:rStyle w:val="legds"/>
          <w:rFonts w:asciiTheme="minorHAnsi" w:hAnsiTheme="minorHAnsi" w:cstheme="minorHAnsi"/>
          <w:color w:val="000000"/>
          <w:sz w:val="22"/>
          <w:szCs w:val="22"/>
        </w:rPr>
        <w:lastRenderedPageBreak/>
        <w:t xml:space="preserve">not go into as much depth as I could have on these topics and didn’t ask enough questions as to why the suspect attempted to the victim on so many occasions. I believe that during the interview I appropriately engaged South Wales Police’s values. I was ‘proud, professional, and positive’ throughout. I ensured that the suspect was made aware that this was </w:t>
      </w:r>
      <w:r w:rsidRPr="00BB3803">
        <w:rPr>
          <w:rStyle w:val="legds"/>
          <w:rFonts w:asciiTheme="minorHAnsi" w:hAnsiTheme="minorHAnsi" w:cstheme="minorHAnsi"/>
          <w:i/>
          <w:color w:val="000000"/>
          <w:sz w:val="22"/>
          <w:szCs w:val="22"/>
        </w:rPr>
        <w:t>their</w:t>
      </w:r>
      <w:r w:rsidRPr="00BB3803">
        <w:rPr>
          <w:rStyle w:val="legds"/>
          <w:rFonts w:asciiTheme="minorHAnsi" w:hAnsiTheme="minorHAnsi" w:cstheme="minorHAnsi"/>
          <w:color w:val="000000"/>
          <w:sz w:val="22"/>
          <w:szCs w:val="22"/>
        </w:rPr>
        <w:t xml:space="preserve"> opportunity to provide their account of events and assured them that they would be listened to and any evidence that they provided corroborating their account would be looked into and taken into account. </w:t>
      </w:r>
    </w:p>
    <w:p w14:paraId="64713A02" w14:textId="77777777" w:rsidR="00AF17F1" w:rsidRPr="00BB3803" w:rsidRDefault="00AF17F1" w:rsidP="00AF17F1">
      <w:pPr>
        <w:pStyle w:val="legclearfix"/>
        <w:shd w:val="clear" w:color="auto" w:fill="FFFFFF"/>
        <w:spacing w:before="0" w:beforeAutospacing="0" w:after="90" w:afterAutospacing="0" w:line="270" w:lineRule="atLeast"/>
        <w:rPr>
          <w:rStyle w:val="legds"/>
          <w:rFonts w:asciiTheme="minorHAnsi" w:hAnsiTheme="minorHAnsi" w:cstheme="minorHAnsi"/>
          <w:color w:val="000000"/>
          <w:sz w:val="22"/>
          <w:szCs w:val="22"/>
        </w:rPr>
      </w:pPr>
    </w:p>
    <w:p w14:paraId="66CB599B" w14:textId="77777777" w:rsidR="00AF17F1" w:rsidRPr="00BB3803" w:rsidRDefault="00AF17F1" w:rsidP="00AF17F1">
      <w:pPr>
        <w:pStyle w:val="legclearfix"/>
        <w:shd w:val="clear" w:color="auto" w:fill="FFFFFF"/>
        <w:spacing w:before="0" w:beforeAutospacing="0" w:after="90" w:afterAutospacing="0" w:line="270" w:lineRule="atLeast"/>
        <w:rPr>
          <w:rStyle w:val="legds"/>
          <w:rFonts w:asciiTheme="minorHAnsi" w:hAnsiTheme="minorHAnsi" w:cstheme="minorHAnsi"/>
          <w:color w:val="000000"/>
          <w:sz w:val="22"/>
          <w:szCs w:val="22"/>
        </w:rPr>
      </w:pPr>
      <w:r w:rsidRPr="00BB3803">
        <w:rPr>
          <w:rStyle w:val="legds"/>
          <w:rFonts w:asciiTheme="minorHAnsi" w:hAnsiTheme="minorHAnsi" w:cstheme="minorHAnsi"/>
          <w:color w:val="000000"/>
          <w:sz w:val="22"/>
          <w:szCs w:val="22"/>
        </w:rPr>
        <w:t xml:space="preserve">I understand that not every interview will be perfect, and that is the point of evaluating each interview and following the College of Policing’s PEACE model. I think to improve on my next interview and better myself, it is important to have a more in depth knowledge of the offence that I am interviewing about. On this particular occasion, it would have given me further topic areas to question the suspect about. I do however believe my interview was still effective in the investigative process. The main complaint from the victim was that the messages were distressing in nature. By reading through the messages and getting the suspects perspective on what he had hoped to achieve by sending them it helped build a broader picture for the investigation, and it assisted the sergeant to make a decision in relation to how the case would be finalised. Evaluating the interview process as a whole has also helped me prepare for further interviews I will conduct, that includes interviews with vulnerable members of society. Each interview I conduct will be different, whether it be different offences, different legal representative, or different circumstances. It is important to acknowledge each suspect will have different needs and I will need to accommodate for this, for example arranging for an appropriate adult to assist in the process and help the suspect understand questions I put to them, or perhaps suspects will require the use of an interpreter. I now know that for interviews to be at their most effective, I need a more comprehensive knowledge of offences committed. I believe I also need to view evidence in a broader mind set not just as what is presented in front of me. Consequentially, this would allow for me to develop as an investigator as well as giving me an in depth knowledge into legislation.  For my next interview I know that I need to spend more time on my planning and preparation phase, this will make the next steps of the PEACE model (2019) easier, especially in the ‘account clarification and challenge’ phase. </w:t>
      </w:r>
    </w:p>
    <w:p w14:paraId="1967E2A8" w14:textId="6AC29DC7" w:rsidR="00025650" w:rsidRDefault="00025650" w:rsidP="00340E9A">
      <w:pPr>
        <w:ind w:right="237"/>
        <w:jc w:val="both"/>
        <w:rPr>
          <w:sz w:val="24"/>
          <w:szCs w:val="24"/>
        </w:rPr>
      </w:pPr>
    </w:p>
    <w:p w14:paraId="472BC8FD" w14:textId="0DA69B5C" w:rsidR="00AF17F1" w:rsidRPr="00270EEB" w:rsidRDefault="00AF17F1" w:rsidP="00340E9A">
      <w:pPr>
        <w:ind w:right="237"/>
        <w:jc w:val="both"/>
        <w:rPr>
          <w:sz w:val="24"/>
          <w:szCs w:val="24"/>
        </w:rPr>
      </w:pPr>
      <w:r>
        <w:rPr>
          <w:sz w:val="24"/>
          <w:szCs w:val="24"/>
        </w:rPr>
        <w:t>(1517)</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848403C">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20C03DE6"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r w:rsidR="00BD1F45" w:rsidRPr="00270EEB" w14:paraId="446DD42C" w14:textId="77777777" w:rsidTr="5848403C">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21B387ED" w14:textId="77777777" w:rsidR="00AF17F1" w:rsidRDefault="00AF17F1" w:rsidP="00AF17F1">
      <w:r>
        <w:t>I have decided to use Borton’s (1970) reflective tool to reflect on an incident that I was involved in whilst policing the night time economy shift in a low income working class town centre.</w:t>
      </w:r>
    </w:p>
    <w:p w14:paraId="7F7252FB" w14:textId="77777777" w:rsidR="00AF17F1" w:rsidRDefault="00AF17F1" w:rsidP="00AF17F1">
      <w:r>
        <w:t xml:space="preserve">Whilst conducting patrols I received a call to attend a licensed premises where a person had been ejected but was now in the street causing a nuisance. They had also been witnessed kicking cars outside of the premises and punching the building’s windows, although the suspect had not caused any damage. Local CCTV were monitoring the situation and had identified the male suspect. They </w:t>
      </w:r>
      <w:r>
        <w:lastRenderedPageBreak/>
        <w:t xml:space="preserve">were able to pass a description to us so officers were aware of who to look out for and potentially look to detain upon arrival if the suspect was still present.  </w:t>
      </w:r>
    </w:p>
    <w:p w14:paraId="5FE656C0" w14:textId="77777777" w:rsidR="00AF17F1" w:rsidRDefault="00AF17F1" w:rsidP="00AF17F1">
      <w:r>
        <w:t xml:space="preserve">When responding to such incidents it is important to make use of the National Decision Making model (College of Policing, 2014). This allows us to gather all information and intelligence, in this particular case, using local authority CCTV operators. The following part of the NDM is to assess the threat and risk. This goes in partnership with the threat, harm, risk sections of the THRIVE model. By considering these elements, South Wales Police as an organisation and as individual officers are able to provide a proportionate response to all calls. The next stage of the NDM to consider was what powers and policies and what options we could use on arrival. Whether we had the powers to arrest the subject was dependant on whether any damage had been caused, or whether the male was acting in a disorderly way. We could also have considered potentially offering words of advice to the male, dependant on his behaviour, or should a victim be identified then we could have possibly looked to use restorative action as a way of dealing with the male.   </w:t>
      </w:r>
    </w:p>
    <w:p w14:paraId="229AEF6D" w14:textId="77777777" w:rsidR="00AF17F1" w:rsidRDefault="00AF17F1" w:rsidP="00AF17F1">
      <w:r>
        <w:t xml:space="preserve">On arrival there were a number of persons in the street as a several of the nearby bars were closing and ejecting customers. The description of the male, which had been passed to officers by CCTV operators, did not match anybody who was in the area at when officers arrived. Officers remained in the area for a period of time, not only seeking to find the male responsible, but also to provide a visible police presence during a key point of the economy shift. During our time in the area, no persons came forward and identified themselves as a victim of the male’s actions, nor had any physical damage been caused to property as far as we could establish. As attending officers we decided to deal with this as an incident of antisocial behaviour. Following my return to the Police station I updated the occurrence in line with force policy and followed the process for identifying whether the victim or location was a repeat offender, or possibly a vulnerable victim. As there was no personal victim, I looked at the area in which the behaviour occurred and concluded that during the night time hours on the weekend the location was often the location of antisocial behaviour, especially around the times that bars closed where there would be an influx of people on to the street. The ‘Antisocial Behaviour, Crime and Policing Act (2014) defines antisocial behaviour as ‘a course of conduct that has caused, or is likely to cause, harassment alarm or distress to any person’. It is important to tackle antisocial behaviour due to the impacts it has on the immediate local community but also on wider community as a whole. On this occasion, the behaviour was happening in the town centre, where businesses are situated and also where there are residential properties. Had the male managed to cause damage to vehicles or property, regardless of the impact it would have had on the owner of the property, it would also have impacted the community. Crimes such as antisocial behaviour and criminal damage can be viewed by some as a signal crime. Innes (2014) defines a signal crime as </w:t>
      </w:r>
      <w:r w:rsidRPr="00235AD8">
        <w:rPr>
          <w:rFonts w:cstheme="minorHAnsi"/>
        </w:rPr>
        <w:t>‘</w:t>
      </w:r>
      <w:r w:rsidRPr="00235AD8">
        <w:rPr>
          <w:rFonts w:cstheme="minorHAnsi"/>
          <w:color w:val="222222"/>
          <w:sz w:val="21"/>
          <w:szCs w:val="21"/>
        </w:rPr>
        <w:t xml:space="preserve">the crime or incident is 'read' as a warning signal by its audience(s) that something is wrong or lacking’. It is important that we us a service </w:t>
      </w:r>
      <w:r>
        <w:rPr>
          <w:rFonts w:cstheme="minorHAnsi"/>
          <w:color w:val="222222"/>
          <w:sz w:val="21"/>
          <w:szCs w:val="21"/>
        </w:rPr>
        <w:t>react and respond to these incidents to ensure that members of the public feel safe and can have faith in the police service, but it is also important to react and respond to these incidents to prevent escalation and ensure that South Wales Police’s values of being ‘proud, professional and positive’ (South Wales Police 2019) is reflected into the community in which we work. On top of this as a service it is important we work collaboratively with partner agencies. In this particular instance I ensured that an antisocial behaviour referral form was submitted to the community safety department. This referral was then shared with the County Council as well as the local Town Council. Although this particular incident was an isolated incident, the night time economy as whole is a mixture of isolated incidents.</w:t>
      </w:r>
    </w:p>
    <w:p w14:paraId="2CDFDCC0" w14:textId="77777777" w:rsidR="00AF17F1" w:rsidRDefault="00AF17F1" w:rsidP="00AF17F1">
      <w:r>
        <w:t xml:space="preserve">I have chosen this incident to reflect on as although a fairly simple conclusion was reached, there are a number of variables that could have impacted the decision making process. It has also allowed me to consider what avenues I could have taken in the investigative process and identify options available to me should I be involved in incidents like this in the future. It has allowed me to reflect and think upon how the night time economy, the police as an organisation, the community, and antisocial behaviour are linked and how my actions impact not only the community in general, but also other patron’s and the public’s perception of the Police. Had the male caused damage, then investigative measures would have needed to be undertaken. As an attending officer I would have had to conduct CCTV enquiries in the area, not only through local authority but also through private CCTV such as that inside the bar where he had been drinking. Images of the male could then have been circulated amongst officers, with a view to identifying and apprehending the male and dealing with him appropriately and proportionately. That may have included an arrest, possibly restorative action, voluntary interview, or potentially not taking any further action. Furthermore, it is good to reflect upon what could have happened had the male still been at the location upon arrival of officers. He would </w:t>
      </w:r>
      <w:r>
        <w:lastRenderedPageBreak/>
        <w:t xml:space="preserve">have needed to be spoken to and given words of advice at the very least, but it’s good to ask trigger questions such as how would the male have reacted to a police presence? What would his level of resistance been towards officers? How, as officers would we have reacted to this level of resistance? </w:t>
      </w:r>
    </w:p>
    <w:p w14:paraId="2324756A" w14:textId="77777777" w:rsidR="00AF17F1" w:rsidRDefault="00AF17F1" w:rsidP="00AF17F1">
      <w:r>
        <w:t xml:space="preserve">On reflection, recognising impact factors as well as danger cues is important for officers to manage conflict in these situations. Alcohol is a big impact factor in incidents such as this. There is also the potential that the suspect may have taken illegal drugs. When dealing with people who are under the influence of alcohol and/or drugs, their attitude can be unpredictable. It’s important to consider your reactionary gap, however, if officers are in a position where they holding onto a suspect in an effort to detain them, they need to be able to recognise cues such as tensing of the suspect’s arms potentially in preparation for resistance. By recognising these cues, officers would be able to take the appropriate action and use reasonable force to control the situation. Although part of daily routine, how we, as individuals and as an organisation, document the use of force is important. It allows us to reflect on what force was used, whether it was effective, and perhaps more importantly, what if anything we would do differently. On occasions where I have had to use force, I have found Borton’s (1970) reflective tool helpful as it encourages me to think deeply about the use of force and identify other options I could have taken that perhaps I hadn’t thought about. </w:t>
      </w:r>
    </w:p>
    <w:p w14:paraId="48B917CF" w14:textId="77777777" w:rsidR="00AF17F1" w:rsidRDefault="00AF17F1" w:rsidP="00AF17F1">
      <w:pPr>
        <w:rPr>
          <w:rFonts w:cstheme="minorHAnsi"/>
          <w:color w:val="222222"/>
          <w:sz w:val="21"/>
          <w:szCs w:val="21"/>
        </w:rPr>
      </w:pPr>
      <w:r>
        <w:rPr>
          <w:rFonts w:cstheme="minorHAnsi"/>
          <w:color w:val="222222"/>
          <w:sz w:val="21"/>
          <w:szCs w:val="21"/>
        </w:rPr>
        <w:t xml:space="preserve">As well as sharing with the relevant external partner agencies I also felt it important to share with internal partners such as the licensing officer and the neighbourhood policing team. By making all these agencies aware it allows for a joint approach to solving the problem for the long term, or at least manage the problem short term. There was also an opportunity for neighbourhood Community Support Officers to attend and potentially conduct target hardening exercises, looking at the location of CCTV cameras to capture potential offenders but also to act as a deterrent. </w:t>
      </w:r>
    </w:p>
    <w:p w14:paraId="7FD331CB" w14:textId="77777777" w:rsidR="00AF17F1" w:rsidRDefault="00AF17F1" w:rsidP="00AF17F1">
      <w:pPr>
        <w:rPr>
          <w:rFonts w:cstheme="minorHAnsi"/>
          <w:color w:val="222222"/>
          <w:sz w:val="21"/>
          <w:szCs w:val="21"/>
        </w:rPr>
      </w:pPr>
      <w:r>
        <w:rPr>
          <w:rFonts w:cstheme="minorHAnsi"/>
          <w:color w:val="222222"/>
          <w:sz w:val="21"/>
          <w:szCs w:val="21"/>
        </w:rPr>
        <w:t>As per Sir Robert Peel’s policing principle (1829), as found on the Crime Prevention Website, it states ‘The basic mission for which the police exists is to prevent crime and disorder’. With this in mind we as a police service have a duty to prevent antisocial behaviour. During the night time economy operations, providing a visible presence is often enough of a deterrent as a preventative measure. However, for occasions where officers are patrolling other areas of the community, further deterrents need to be in place. This can be done by use of CCTV networks and taking positive action when offenders are identified. Positive action can range from arrest and being processed through the judicial system, or making use of local measures such as the Pub Watch scheme. Through the Pub Watch scheme, banning orders can be issued to people who display antisocial behaviour following consumption of alcohol. During a survey conducted by Dr Alexandra Kenyon of Leeds Metropolitan University in 2013, they saw a 52% decrease in antisocial behaviour in places where a Pub Watch scheme was in place. It is unclear is if this is actually due to just the deterrent of banning orders, or if there was another contributing factor. However, what it does show is that having schemes such as this in place and partnership working does seem to have a positive effect on antisocial behaviour.</w:t>
      </w:r>
    </w:p>
    <w:p w14:paraId="642A3187" w14:textId="77777777" w:rsidR="00AF17F1" w:rsidRDefault="00AF17F1" w:rsidP="00AF17F1">
      <w:pPr>
        <w:rPr>
          <w:rFonts w:cstheme="minorHAnsi"/>
        </w:rPr>
      </w:pPr>
      <w:r>
        <w:rPr>
          <w:rFonts w:cstheme="minorHAnsi"/>
          <w:color w:val="222222"/>
          <w:sz w:val="21"/>
          <w:szCs w:val="21"/>
        </w:rPr>
        <w:t xml:space="preserve">Antisocial behaviour, such as the behaviour displayed by the male during this incident, can encourage further outbreaks of antisocial behaviour amongst other members of the community. </w:t>
      </w:r>
      <w:r>
        <w:rPr>
          <w:rFonts w:cstheme="minorHAnsi"/>
        </w:rPr>
        <w:t>‘B</w:t>
      </w:r>
      <w:r w:rsidRPr="00F71CE4">
        <w:rPr>
          <w:rFonts w:cstheme="minorHAnsi"/>
        </w:rPr>
        <w:t xml:space="preserve">roken window’ was </w:t>
      </w:r>
      <w:r>
        <w:rPr>
          <w:rFonts w:cstheme="minorHAnsi"/>
        </w:rPr>
        <w:t xml:space="preserve">a term </w:t>
      </w:r>
      <w:r w:rsidRPr="00F71CE4">
        <w:rPr>
          <w:rFonts w:cstheme="minorHAnsi"/>
        </w:rPr>
        <w:t>used by Wilson and Kelling (1982)</w:t>
      </w:r>
      <w:r>
        <w:rPr>
          <w:rFonts w:cstheme="minorHAnsi"/>
        </w:rPr>
        <w:t xml:space="preserve"> to describe how minor offences could lead to further minor offences and ultimately become a serious problem. In regards to the incident I attended, if other members of the public witnessed what this male was doing, it may have led to them becoming involved to maybe try and stop the male, or they could have joined in and assisted him in his attempts. This could have resulted in potential outbreaks of public order offences, or, had the male managed to damage windows on buildings such as shops or houses, there is a potential for the community to become disillusioned in regards to caring for their properties and could lead to further incidents of criminal damage by the public. </w:t>
      </w:r>
    </w:p>
    <w:p w14:paraId="41BB00C1" w14:textId="77777777" w:rsidR="00AF17F1" w:rsidRDefault="00AF17F1" w:rsidP="00AF17F1">
      <w:pPr>
        <w:rPr>
          <w:rFonts w:cstheme="minorHAnsi"/>
        </w:rPr>
      </w:pPr>
      <w:r>
        <w:rPr>
          <w:rFonts w:cstheme="minorHAnsi"/>
        </w:rPr>
        <w:t xml:space="preserve">Whilst policing the night time economy I have had make use of my power of discretion. Although when laws are broken action needs to be taken, officers can use discretion to make proportionate decisions. For example, on this incident, the male had been reported to be making a nuisance and being verbally resistant, shouting and swearing in the street. With this information, the male would have been guilty of an offence under the public order act or antisocial behaviour act. However, during the night time economy, we as officers often receive reports of a number of people who are alleged to be committing offences such as this against the public order and antisocial behaviour acts. As officers, we need to consider the practicality behind dealing with offences in this nature at that time of the night. Severe incidents would need to be dealt with appropriately, which could result in less </w:t>
      </w:r>
      <w:r>
        <w:rPr>
          <w:rFonts w:cstheme="minorHAnsi"/>
        </w:rPr>
        <w:lastRenderedPageBreak/>
        <w:t>officers available, and so the minor offences of swearing and shouting for example, can be dealt with by other means such as words of advice, which would not take officers away from the scene and ensure that officers remain available should they be required for a more serious incident. The way officer’s deal with antisocial behaviour impact relations between the police and the community. If the area or the victim has been identified as a repeat victim, they may ask themselves why police aren’t doing more to protect them and deal with the problem they are reporting. This may lead to them either taking the problem into their own hands, or losing faith in the police and the judicial system.</w:t>
      </w:r>
    </w:p>
    <w:p w14:paraId="3E18B77E" w14:textId="77777777" w:rsidR="00AF17F1" w:rsidRDefault="00AF17F1" w:rsidP="00AF17F1">
      <w:pPr>
        <w:rPr>
          <w:rFonts w:cstheme="minorHAnsi"/>
        </w:rPr>
      </w:pPr>
      <w:r>
        <w:rPr>
          <w:rFonts w:cstheme="minorHAnsi"/>
        </w:rPr>
        <w:t xml:space="preserve">On reflection, policing the night time economy has had an influence on the way I deal with incidents of antisocial behaviour and on my perception of the wider community. Firstly, I have found that antisocial behaviour in the town centres during the economy shifts can differ greatly to antisocial behaviour within a residential area. Antisocial behaviour within the night time economy is a long term, on-going issue that will require continuous inputs from partnering agencies and departments. In a residential setting, the number of partner agencies are reduced and the approach can be more victim focused and victim led. In both cases it is important that repeat and vulnerable victims are identified early and action taken to prevent any further harm. I have been able to identify that antisocial behaviour covers a broad spectrum of behaviour. I have been able to think not just of personal victims, but also about the impacts it would have on businesses and communities as a whole. It’s important to remember and reflect on the fact that the different approach when policing the night time economy compared to the other shifts does not imply that antisocial behaviour  is acceptable, regardless of whether it is expected or not. It requires officers to assess the situation and make a decision on what is the most appropriate course of action in that moment when there are reduced staffing numbers. It is still important to recognise potential impact factors in relation to managing conflict and resistant behaviour from offenders, such as using physical conflict management techniques. This may encourage other members of the public to become involved which places officers at risk. We need to ensure that as officers we portray an image that encourages confidence and trustworthiness in the service by supporting victims and delivering positive outcomes. This reflection has also shown me how important partnership working is when dealing with antisocial behaviour. It allows all agencies and departments involved to share information and collaborate to give the best response to on-going issues, whether they’re long term or short term. </w:t>
      </w:r>
    </w:p>
    <w:p w14:paraId="55E8513B" w14:textId="526BFE53" w:rsidR="00025650" w:rsidRDefault="00025650" w:rsidP="00340E9A">
      <w:pPr>
        <w:ind w:right="237"/>
        <w:jc w:val="both"/>
        <w:rPr>
          <w:sz w:val="24"/>
          <w:szCs w:val="24"/>
        </w:rPr>
      </w:pPr>
    </w:p>
    <w:p w14:paraId="1408A978" w14:textId="2C403B25" w:rsidR="00AF17F1" w:rsidRPr="00270EEB" w:rsidRDefault="00AF17F1" w:rsidP="00340E9A">
      <w:pPr>
        <w:ind w:right="237"/>
        <w:jc w:val="both"/>
        <w:rPr>
          <w:sz w:val="24"/>
          <w:szCs w:val="24"/>
        </w:rPr>
      </w:pPr>
      <w:r>
        <w:rPr>
          <w:sz w:val="24"/>
          <w:szCs w:val="24"/>
        </w:rPr>
        <w:t>(2426)</w:t>
      </w: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AF17F1">
          <w:headerReference w:type="even" r:id="rId18"/>
          <w:headerReference w:type="default" r:id="rId19"/>
          <w:footerReference w:type="even" r:id="rId20"/>
          <w:footerReference w:type="default" r:id="rId21"/>
          <w:headerReference w:type="first" r:id="rId22"/>
          <w:footerReference w:type="first" r:id="rId23"/>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4914A4A9" w:rsidR="00390074" w:rsidRDefault="00390074" w:rsidP="5848403C">
      <w:pPr>
        <w:ind w:right="237"/>
        <w:jc w:val="both"/>
        <w:rPr>
          <w:b/>
          <w:bCs/>
          <w:sz w:val="24"/>
          <w:szCs w:val="24"/>
        </w:rPr>
      </w:pPr>
    </w:p>
    <w:p w14:paraId="754356D7" w14:textId="77777777" w:rsidR="00AF17F1" w:rsidRPr="00290638" w:rsidRDefault="00AF17F1" w:rsidP="00AF17F1">
      <w:pPr>
        <w:rPr>
          <w:rFonts w:cstheme="minorHAnsi"/>
        </w:rPr>
      </w:pPr>
      <w:r w:rsidRPr="00290638">
        <w:rPr>
          <w:rFonts w:cstheme="minorHAnsi"/>
        </w:rPr>
        <w:t>Borton, T. (1970) Reach, Touch and Teach. London:Hutchinson.</w:t>
      </w:r>
    </w:p>
    <w:p w14:paraId="336767C6" w14:textId="77777777" w:rsidR="00AF17F1" w:rsidRPr="00290638" w:rsidRDefault="00AF17F1" w:rsidP="00AF17F1">
      <w:pPr>
        <w:rPr>
          <w:rFonts w:cstheme="minorHAnsi"/>
        </w:rPr>
      </w:pPr>
    </w:p>
    <w:p w14:paraId="2104DF8A" w14:textId="77777777" w:rsidR="00AF17F1" w:rsidRPr="00290638" w:rsidRDefault="00AF17F1" w:rsidP="00AF17F1">
      <w:pPr>
        <w:rPr>
          <w:rFonts w:cstheme="minorHAnsi"/>
          <w:color w:val="8A8A8A"/>
        </w:rPr>
      </w:pPr>
      <w:r w:rsidRPr="00290638">
        <w:rPr>
          <w:rFonts w:cstheme="minorHAnsi"/>
        </w:rPr>
        <w:t xml:space="preserve">College of Policing. 2014. National Decision Model. [ONLINE] Available at: </w:t>
      </w:r>
      <w:hyperlink r:id="rId24" w:history="1">
        <w:r w:rsidRPr="00290638">
          <w:rPr>
            <w:rStyle w:val="Hyperlink"/>
            <w:rFonts w:cstheme="minorHAnsi"/>
            <w:color w:val="1779BA"/>
          </w:rPr>
          <w:t>https://www.app.college.police.uk/app-content/national-decision-model/the-national-decision-model/</w:t>
        </w:r>
      </w:hyperlink>
      <w:r w:rsidRPr="00290638">
        <w:rPr>
          <w:rFonts w:cstheme="minorHAnsi"/>
          <w:color w:val="8A8A8A"/>
        </w:rPr>
        <w:t xml:space="preserve">. </w:t>
      </w:r>
      <w:r w:rsidRPr="00290638">
        <w:rPr>
          <w:rFonts w:cstheme="minorHAnsi"/>
        </w:rPr>
        <w:t>[Accessed 13 January 2020].</w:t>
      </w:r>
    </w:p>
    <w:p w14:paraId="530064FB" w14:textId="77777777" w:rsidR="00AF17F1" w:rsidRPr="00290638" w:rsidRDefault="00AF17F1" w:rsidP="00AF17F1">
      <w:pPr>
        <w:rPr>
          <w:rFonts w:cstheme="minorHAnsi"/>
        </w:rPr>
      </w:pPr>
    </w:p>
    <w:p w14:paraId="512EE5B2" w14:textId="77777777" w:rsidR="00AF17F1" w:rsidRPr="00290638" w:rsidRDefault="00AF17F1" w:rsidP="00AF17F1">
      <w:pPr>
        <w:rPr>
          <w:rFonts w:cstheme="minorHAnsi"/>
          <w:color w:val="8A8A8A"/>
        </w:rPr>
      </w:pPr>
      <w:r w:rsidRPr="00290638">
        <w:rPr>
          <w:rFonts w:cstheme="minorHAnsi"/>
        </w:rPr>
        <w:t xml:space="preserve">College of Policing. 2019. Investigative Interviewing. [ONLINE] Available at: </w:t>
      </w:r>
      <w:hyperlink r:id="rId25" w:anchor="engage-and-explain" w:history="1">
        <w:r w:rsidRPr="00290638">
          <w:rPr>
            <w:rStyle w:val="Hyperlink"/>
            <w:rFonts w:cstheme="minorHAnsi"/>
            <w:color w:val="1779BA"/>
          </w:rPr>
          <w:t>https://www.app.college.police.uk/app-content/investigations/investigative-interviewing/?highlight=peace#engage-and-explain</w:t>
        </w:r>
      </w:hyperlink>
      <w:r w:rsidRPr="00290638">
        <w:rPr>
          <w:rFonts w:cstheme="minorHAnsi"/>
          <w:color w:val="8A8A8A"/>
        </w:rPr>
        <w:t xml:space="preserve">. </w:t>
      </w:r>
      <w:r w:rsidRPr="00290638">
        <w:rPr>
          <w:rFonts w:cstheme="minorHAnsi"/>
        </w:rPr>
        <w:t>[Accessed 02 January 2020].</w:t>
      </w:r>
    </w:p>
    <w:p w14:paraId="0F2EC8D1" w14:textId="77777777" w:rsidR="00AF17F1" w:rsidRPr="00290638" w:rsidRDefault="00AF17F1" w:rsidP="00AF17F1">
      <w:pPr>
        <w:rPr>
          <w:rFonts w:cstheme="minorHAnsi"/>
          <w:color w:val="8A8A8A"/>
        </w:rPr>
      </w:pPr>
    </w:p>
    <w:p w14:paraId="10DAA3AA" w14:textId="77777777" w:rsidR="00AF17F1" w:rsidRPr="00290638" w:rsidRDefault="00AF17F1" w:rsidP="00AF17F1">
      <w:pPr>
        <w:rPr>
          <w:rFonts w:cstheme="minorHAnsi"/>
          <w:color w:val="8A8A8A"/>
        </w:rPr>
      </w:pPr>
      <w:r w:rsidRPr="00290638">
        <w:rPr>
          <w:rFonts w:cstheme="minorHAnsi"/>
        </w:rPr>
        <w:t xml:space="preserve">Crime Prevention Website. 2020. Peelian Principles. [ONLINE] Available at: </w:t>
      </w:r>
      <w:hyperlink r:id="rId26" w:history="1">
        <w:r w:rsidRPr="00290638">
          <w:rPr>
            <w:rStyle w:val="Hyperlink"/>
            <w:rFonts w:cstheme="minorHAnsi"/>
            <w:color w:val="1468A0"/>
          </w:rPr>
          <w:t>https://thecrimepreventionwebsite.com/police-crime-prevention-service---a-short-history/744/the-peelian-principles/</w:t>
        </w:r>
      </w:hyperlink>
      <w:r w:rsidRPr="00290638">
        <w:rPr>
          <w:rFonts w:cstheme="minorHAnsi"/>
          <w:color w:val="8A8A8A"/>
        </w:rPr>
        <w:t xml:space="preserve">. </w:t>
      </w:r>
      <w:r w:rsidRPr="00290638">
        <w:rPr>
          <w:rFonts w:cstheme="minorHAnsi"/>
        </w:rPr>
        <w:t>[Accessed 15 January 2020].</w:t>
      </w:r>
    </w:p>
    <w:p w14:paraId="2EC56AE7" w14:textId="77777777" w:rsidR="00AF17F1" w:rsidRPr="00290638" w:rsidRDefault="00AF17F1" w:rsidP="00AF17F1">
      <w:pPr>
        <w:rPr>
          <w:rFonts w:cstheme="minorHAnsi"/>
        </w:rPr>
      </w:pPr>
    </w:p>
    <w:p w14:paraId="66A2F7F5" w14:textId="77777777" w:rsidR="00AF17F1" w:rsidRPr="00290638" w:rsidRDefault="00AF17F1" w:rsidP="00AF17F1">
      <w:pPr>
        <w:rPr>
          <w:rFonts w:cstheme="minorHAnsi"/>
          <w:color w:val="383735"/>
        </w:rPr>
      </w:pPr>
      <w:r w:rsidRPr="00290638">
        <w:rPr>
          <w:rFonts w:cstheme="minorHAnsi"/>
          <w:color w:val="383735"/>
        </w:rPr>
        <w:t xml:space="preserve">Innes, M. 2014. </w:t>
      </w:r>
      <w:r w:rsidRPr="00290638">
        <w:rPr>
          <w:rFonts w:cstheme="minorHAnsi"/>
          <w:i/>
          <w:iCs/>
        </w:rPr>
        <w:t>Signal crimes: Social reactions to crime, Disorder and control</w:t>
      </w:r>
      <w:r w:rsidRPr="00290638">
        <w:rPr>
          <w:rFonts w:cstheme="minorHAnsi"/>
          <w:color w:val="383735"/>
        </w:rPr>
        <w:t>. Oxford University Press</w:t>
      </w:r>
    </w:p>
    <w:p w14:paraId="150F5C41" w14:textId="77777777" w:rsidR="00AF17F1" w:rsidRPr="00290638" w:rsidRDefault="00AF17F1" w:rsidP="00AF17F1">
      <w:pPr>
        <w:rPr>
          <w:rFonts w:cstheme="minorHAnsi"/>
          <w:color w:val="383735"/>
        </w:rPr>
      </w:pPr>
    </w:p>
    <w:p w14:paraId="0952F2D2" w14:textId="77777777" w:rsidR="00AF17F1" w:rsidRPr="00290638" w:rsidRDefault="00AF17F1" w:rsidP="00AF17F1">
      <w:pPr>
        <w:rPr>
          <w:rFonts w:cstheme="minorHAnsi"/>
        </w:rPr>
      </w:pPr>
      <w:r w:rsidRPr="00290638">
        <w:rPr>
          <w:rFonts w:cstheme="minorHAnsi"/>
        </w:rPr>
        <w:t xml:space="preserve">Kenyon, A., 2013. National Pubwatch (NPW) Partnerships Establishing Safer Drinking Environments. </w:t>
      </w:r>
      <w:r w:rsidRPr="00290638">
        <w:rPr>
          <w:rStyle w:val="Emphasis"/>
          <w:rFonts w:cstheme="minorHAnsi"/>
        </w:rPr>
        <w:t>Top-line Findings 2012/13</w:t>
      </w:r>
      <w:r w:rsidRPr="00290638">
        <w:rPr>
          <w:rFonts w:cstheme="minorHAnsi"/>
        </w:rPr>
        <w:t>, P11.</w:t>
      </w:r>
    </w:p>
    <w:p w14:paraId="4E3A2786" w14:textId="77777777" w:rsidR="00AF17F1" w:rsidRPr="00290638" w:rsidRDefault="00AF17F1" w:rsidP="00AF17F1">
      <w:pPr>
        <w:rPr>
          <w:rFonts w:cstheme="minorHAnsi"/>
          <w:color w:val="8A8A8A"/>
        </w:rPr>
      </w:pPr>
    </w:p>
    <w:p w14:paraId="280B133A" w14:textId="77777777" w:rsidR="00AF17F1" w:rsidRPr="00290638" w:rsidRDefault="00AF17F1" w:rsidP="00AF17F1">
      <w:pPr>
        <w:rPr>
          <w:rFonts w:cstheme="minorHAnsi"/>
        </w:rPr>
      </w:pPr>
      <w:r w:rsidRPr="00290638">
        <w:rPr>
          <w:rFonts w:cstheme="minorHAnsi"/>
        </w:rPr>
        <w:t xml:space="preserve">legislation.gov. 1997. Section 1. Protection From Harassment Act 1997. Section 1 [ONLINE] Available at </w:t>
      </w:r>
      <w:hyperlink r:id="rId27" w:history="1">
        <w:r w:rsidRPr="00290638">
          <w:rPr>
            <w:rStyle w:val="Hyperlink"/>
            <w:rFonts w:cstheme="minorHAnsi"/>
          </w:rPr>
          <w:t>www.legislation.gov.uk/ukpga/1997/40/contents</w:t>
        </w:r>
      </w:hyperlink>
      <w:r w:rsidRPr="00290638">
        <w:rPr>
          <w:rFonts w:cstheme="minorHAnsi"/>
        </w:rPr>
        <w:t xml:space="preserve">  [Accessed 02/01/2020] </w:t>
      </w:r>
    </w:p>
    <w:p w14:paraId="4BED5FDA" w14:textId="77777777" w:rsidR="00AF17F1" w:rsidRPr="00290638" w:rsidRDefault="00AF17F1" w:rsidP="00AF17F1">
      <w:pPr>
        <w:rPr>
          <w:rFonts w:cstheme="minorHAnsi"/>
          <w:color w:val="8A8A8A"/>
        </w:rPr>
      </w:pPr>
    </w:p>
    <w:p w14:paraId="6C83087B" w14:textId="77777777" w:rsidR="00AF17F1" w:rsidRPr="00290638" w:rsidRDefault="00AF17F1" w:rsidP="00AF17F1">
      <w:pPr>
        <w:rPr>
          <w:rFonts w:cstheme="minorHAnsi"/>
          <w:color w:val="8A8A8A"/>
        </w:rPr>
      </w:pPr>
      <w:r w:rsidRPr="00290638">
        <w:rPr>
          <w:rFonts w:cstheme="minorHAnsi"/>
        </w:rPr>
        <w:t xml:space="preserve">legislation.gov. 2014. Section 2 Antisocial Behaviour Act 2014. [ONLINE] Available at: </w:t>
      </w:r>
      <w:hyperlink r:id="rId28" w:history="1">
        <w:r w:rsidRPr="00290638">
          <w:rPr>
            <w:rStyle w:val="Hyperlink"/>
            <w:rFonts w:cstheme="minorHAnsi"/>
            <w:color w:val="1779BA"/>
          </w:rPr>
          <w:t>https://www.legislation.gov.uk/ukpga/2014/12/section/2/enacted</w:t>
        </w:r>
      </w:hyperlink>
      <w:r w:rsidRPr="00290638">
        <w:rPr>
          <w:rFonts w:cstheme="minorHAnsi"/>
          <w:color w:val="8A8A8A"/>
        </w:rPr>
        <w:t xml:space="preserve">. </w:t>
      </w:r>
      <w:r w:rsidRPr="00290638">
        <w:rPr>
          <w:rFonts w:cstheme="minorHAnsi"/>
        </w:rPr>
        <w:t>[Accessed 15 January 2020]</w:t>
      </w:r>
    </w:p>
    <w:p w14:paraId="79E9522A" w14:textId="77777777" w:rsidR="00AF17F1" w:rsidRPr="00290638" w:rsidRDefault="00AF17F1" w:rsidP="00AF17F1">
      <w:pPr>
        <w:rPr>
          <w:rFonts w:cstheme="minorHAnsi"/>
          <w:color w:val="8A8A8A"/>
        </w:rPr>
      </w:pPr>
    </w:p>
    <w:p w14:paraId="0701FC4A" w14:textId="77777777" w:rsidR="00AF17F1" w:rsidRPr="00290638" w:rsidRDefault="00AF17F1" w:rsidP="00AF17F1">
      <w:pPr>
        <w:spacing w:before="100" w:after="100"/>
        <w:rPr>
          <w:rFonts w:cstheme="minorHAnsi"/>
        </w:rPr>
      </w:pPr>
      <w:r w:rsidRPr="00290638">
        <w:rPr>
          <w:rFonts w:cstheme="minorHAnsi"/>
        </w:rPr>
        <w:t xml:space="preserve">Mind Tools. 1996. Active Listening. [ONLINE] Available at: </w:t>
      </w:r>
      <w:hyperlink r:id="rId29" w:history="1">
        <w:r w:rsidRPr="00290638">
          <w:rPr>
            <w:rFonts w:cstheme="minorHAnsi"/>
            <w:color w:val="0000FF"/>
            <w:u w:val="single"/>
          </w:rPr>
          <w:t>https://www.mindtools.com/CommSkll/ActiveListening.htm</w:t>
        </w:r>
      </w:hyperlink>
      <w:r w:rsidRPr="00290638">
        <w:rPr>
          <w:rFonts w:cstheme="minorHAnsi"/>
        </w:rPr>
        <w:t xml:space="preserve">. [Accessed 19 January 2020]. </w:t>
      </w:r>
    </w:p>
    <w:p w14:paraId="72384D11" w14:textId="77777777" w:rsidR="00AF17F1" w:rsidRPr="00290638" w:rsidRDefault="00AF17F1" w:rsidP="00AF17F1">
      <w:pPr>
        <w:spacing w:before="100" w:after="100"/>
        <w:rPr>
          <w:rFonts w:cstheme="minorHAnsi"/>
        </w:rPr>
      </w:pPr>
    </w:p>
    <w:p w14:paraId="74F16921" w14:textId="77777777" w:rsidR="00AF17F1" w:rsidRPr="00290638" w:rsidRDefault="00AF17F1" w:rsidP="00AF17F1">
      <w:pPr>
        <w:spacing w:before="100" w:after="100"/>
        <w:rPr>
          <w:rFonts w:cstheme="minorHAnsi"/>
        </w:rPr>
      </w:pPr>
      <w:r w:rsidRPr="00290638">
        <w:rPr>
          <w:rFonts w:cstheme="minorHAnsi"/>
        </w:rPr>
        <w:t xml:space="preserve">Ministry of Justice (2015). </w:t>
      </w:r>
      <w:r w:rsidRPr="00290638">
        <w:rPr>
          <w:rFonts w:cstheme="minorHAnsi"/>
          <w:i/>
          <w:iCs/>
        </w:rPr>
        <w:t>Code of Practice for Victims of Crime</w:t>
      </w:r>
      <w:r w:rsidRPr="00290638">
        <w:rPr>
          <w:rFonts w:cstheme="minorHAnsi"/>
        </w:rPr>
        <w:t>. pp.19-21</w:t>
      </w:r>
    </w:p>
    <w:p w14:paraId="6C5AFCD0" w14:textId="77777777" w:rsidR="00AF17F1" w:rsidRPr="00290638" w:rsidRDefault="00AF17F1" w:rsidP="00AF17F1">
      <w:pPr>
        <w:spacing w:before="100" w:after="100"/>
        <w:rPr>
          <w:rFonts w:cstheme="minorHAnsi"/>
        </w:rPr>
      </w:pPr>
    </w:p>
    <w:p w14:paraId="79A1B211" w14:textId="77777777" w:rsidR="00AF17F1" w:rsidRPr="00290638" w:rsidRDefault="00AF17F1" w:rsidP="00AF17F1">
      <w:pPr>
        <w:rPr>
          <w:rFonts w:cstheme="minorHAnsi"/>
        </w:rPr>
      </w:pPr>
      <w:r w:rsidRPr="00290638">
        <w:rPr>
          <w:rFonts w:cstheme="minorHAnsi"/>
        </w:rPr>
        <w:t xml:space="preserve">‘Our Vision, Values and Ethics’. South Wales Police. [ONLINE] Available at </w:t>
      </w:r>
      <w:hyperlink r:id="rId30" w:history="1">
        <w:r w:rsidRPr="00290638">
          <w:rPr>
            <w:rStyle w:val="Hyperlink"/>
            <w:rFonts w:cstheme="minorHAnsi"/>
          </w:rPr>
          <w:t>https://www.south-wales.police.uk/en/about-us/visonvaluesandethics/</w:t>
        </w:r>
      </w:hyperlink>
      <w:r w:rsidRPr="00290638">
        <w:rPr>
          <w:rFonts w:cstheme="minorHAnsi"/>
        </w:rPr>
        <w:t xml:space="preserve"> [Accessed 15/01/2020]</w:t>
      </w:r>
    </w:p>
    <w:p w14:paraId="4B3935C7" w14:textId="77777777" w:rsidR="00AF17F1" w:rsidRPr="00290638" w:rsidRDefault="00AF17F1" w:rsidP="00AF17F1">
      <w:pPr>
        <w:spacing w:before="100" w:after="100"/>
        <w:ind w:right="360"/>
        <w:rPr>
          <w:rFonts w:cstheme="minorHAnsi"/>
        </w:rPr>
      </w:pPr>
      <w:r w:rsidRPr="00290638">
        <w:rPr>
          <w:rFonts w:cstheme="minorHAnsi"/>
        </w:rPr>
        <w:t xml:space="preserve">South Wales Police. Domestic Abuse Action Plan. 2016. [ONLINE] Available at: </w:t>
      </w:r>
      <w:hyperlink r:id="rId31" w:history="1">
        <w:r w:rsidRPr="00290638">
          <w:rPr>
            <w:rFonts w:cstheme="minorHAnsi"/>
            <w:color w:val="0000FF"/>
            <w:u w:val="single"/>
          </w:rPr>
          <w:t>http://swplive.blob.core.windows.net/wordpress-uploads/South-Wales-Police-Domestic-Abuse-Action-Plan-April-2016.pdf</w:t>
        </w:r>
      </w:hyperlink>
      <w:r w:rsidRPr="00290638">
        <w:rPr>
          <w:rFonts w:cstheme="minorHAnsi"/>
        </w:rPr>
        <w:t xml:space="preserve">. [Accessed 19 January 2020]. </w:t>
      </w:r>
    </w:p>
    <w:p w14:paraId="6CD0FA04" w14:textId="77777777" w:rsidR="00AF17F1" w:rsidRPr="00290638" w:rsidRDefault="00AF17F1" w:rsidP="00AF17F1">
      <w:pPr>
        <w:rPr>
          <w:rFonts w:cstheme="minorHAnsi"/>
        </w:rPr>
      </w:pPr>
    </w:p>
    <w:p w14:paraId="28146CC8" w14:textId="77777777" w:rsidR="00AF17F1" w:rsidRPr="00290638" w:rsidRDefault="00AF17F1" w:rsidP="00AF17F1">
      <w:pPr>
        <w:rPr>
          <w:rFonts w:cstheme="minorHAnsi"/>
          <w:color w:val="383735"/>
        </w:rPr>
      </w:pPr>
    </w:p>
    <w:p w14:paraId="329DFBEA" w14:textId="77777777" w:rsidR="00AF17F1" w:rsidRPr="00290638" w:rsidRDefault="00AF17F1" w:rsidP="00AF17F1">
      <w:pPr>
        <w:rPr>
          <w:rFonts w:cstheme="minorHAnsi"/>
        </w:rPr>
      </w:pPr>
      <w:r w:rsidRPr="00290638">
        <w:rPr>
          <w:rFonts w:cstheme="minorHAnsi"/>
        </w:rPr>
        <w:t>Wilson, J. and Kelling, G. (1982) The police and neighbourhood safety: Broken windows. The Atlantic Monthly, 127.</w:t>
      </w:r>
    </w:p>
    <w:p w14:paraId="37FDCA00" w14:textId="77777777" w:rsidR="00AF17F1" w:rsidRPr="00270EEB" w:rsidRDefault="00AF17F1" w:rsidP="5848403C">
      <w:pPr>
        <w:ind w:right="237"/>
        <w:jc w:val="both"/>
        <w:rPr>
          <w:b/>
          <w:bCs/>
          <w:sz w:val="24"/>
          <w:szCs w:val="24"/>
        </w:rPr>
      </w:pPr>
    </w:p>
    <w:p w14:paraId="6ED77802" w14:textId="77777777" w:rsidR="0093018C" w:rsidRPr="00294868" w:rsidRDefault="00BC5725" w:rsidP="5848403C">
      <w:pPr>
        <w:keepNext/>
        <w:ind w:right="237"/>
        <w:jc w:val="center"/>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79DE7119"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w:t>
      </w:r>
      <w:r w:rsidR="00AF17F1">
        <w:rPr>
          <w:rFonts w:eastAsia="Arial"/>
          <w:color w:val="000000" w:themeColor="text1"/>
          <w:sz w:val="24"/>
          <w:szCs w:val="24"/>
        </w:rPr>
        <w:t>David Griffiths</w:t>
      </w:r>
      <w:r w:rsidRPr="5848403C">
        <w:rPr>
          <w:rFonts w:eastAsia="Arial"/>
          <w:color w:val="000000" w:themeColor="text1"/>
          <w:sz w:val="24"/>
          <w:szCs w:val="24"/>
        </w:rPr>
        <w:t>_ _ _ _ _ _ _ _ _ _ _ _ _  (Learner</w:t>
      </w:r>
    </w:p>
    <w:p w14:paraId="5473B39D" w14:textId="25489F28" w:rsidR="5848403C" w:rsidRDefault="5848403C" w:rsidP="5848403C">
      <w:pPr>
        <w:jc w:val="both"/>
        <w:rPr>
          <w:rFonts w:eastAsia="Arial"/>
          <w:color w:val="000000" w:themeColor="text1"/>
          <w:sz w:val="24"/>
          <w:szCs w:val="24"/>
        </w:rPr>
      </w:pPr>
    </w:p>
    <w:p w14:paraId="4EC5D203" w14:textId="2846316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_ _ </w:t>
      </w:r>
      <w:r w:rsidR="00AF17F1">
        <w:rPr>
          <w:rFonts w:eastAsia="Arial"/>
          <w:color w:val="000000" w:themeColor="text1"/>
          <w:sz w:val="24"/>
          <w:szCs w:val="24"/>
        </w:rPr>
        <w:t>19/01/2020</w:t>
      </w:r>
      <w:r w:rsidRPr="5848403C">
        <w:rPr>
          <w:rFonts w:eastAsia="Arial"/>
          <w:color w:val="000000" w:themeColor="text1"/>
          <w:sz w:val="24"/>
          <w:szCs w:val="24"/>
        </w:rPr>
        <w:t>_ _ _ _ _ _ _ _</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AF17F1">
          <w:headerReference w:type="even" r:id="rId32"/>
          <w:headerReference w:type="default" r:id="rId33"/>
          <w:footerReference w:type="even" r:id="rId34"/>
          <w:footerReference w:type="default" r:id="rId35"/>
          <w:headerReference w:type="first" r:id="rId36"/>
          <w:footerReference w:type="first" r:id="rId37"/>
          <w:pgSz w:w="11906" w:h="16838" w:code="9"/>
          <w:pgMar w:top="1440" w:right="1440" w:bottom="1440" w:left="1440" w:header="720" w:footer="720" w:gutter="0"/>
          <w:cols w:space="720"/>
          <w:titlePg/>
          <w:docGrid w:linePitch="272"/>
        </w:sect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lastRenderedPageBreak/>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4B57D71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 _ _ _ _ _ _ _ _ _ _ _ _ _ (Learner)</w:t>
      </w:r>
    </w:p>
    <w:p w14:paraId="3EC01EFA" w14:textId="0F1AEED0" w:rsidR="5848403C" w:rsidRDefault="5848403C" w:rsidP="5848403C">
      <w:pPr>
        <w:jc w:val="both"/>
        <w:rPr>
          <w:rFonts w:eastAsia="Arial"/>
          <w:color w:val="000000" w:themeColor="text1"/>
          <w:sz w:val="24"/>
          <w:szCs w:val="24"/>
        </w:rPr>
      </w:pPr>
    </w:p>
    <w:p w14:paraId="6058463E" w14:textId="3F17D55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77EFE07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4BF7D65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AF17F1">
      <w:headerReference w:type="even" r:id="rId38"/>
      <w:headerReference w:type="default" r:id="rId39"/>
      <w:footerReference w:type="even" r:id="rId40"/>
      <w:footerReference w:type="default" r:id="rId41"/>
      <w:headerReference w:type="first" r:id="rId42"/>
      <w:footerReference w:type="first" r:id="rId43"/>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1F6939" w:rsidRDefault="001F6939">
      <w:r>
        <w:separator/>
      </w:r>
    </w:p>
  </w:endnote>
  <w:endnote w:type="continuationSeparator" w:id="0">
    <w:p w14:paraId="2FD44551" w14:textId="77777777" w:rsidR="001F6939" w:rsidRDefault="001F69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altName w:val="Calibri"/>
    <w:panose1 w:val="020F0502020204030204"/>
    <w:charset w:val="00"/>
    <w:family w:val="swiss"/>
    <w:pitch w:val="variable"/>
    <w:sig w:usb0="E0002A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85B224" w14:textId="472FDDCA" w:rsidR="00AF17F1" w:rsidRDefault="00BB3803" w:rsidP="00BB3803">
    <w:pPr>
      <w:pStyle w:val="Footer"/>
      <w:rPr>
        <w:sz w:val="17"/>
      </w:rPr>
    </w:pPr>
    <w:bookmarkStart w:id="2" w:name="TITUS1FooterEvenPages"/>
    <w:r>
      <w:rPr>
        <w:sz w:val="17"/>
      </w:rPr>
      <w:t> </w:t>
    </w:r>
  </w:p>
  <w:bookmarkEnd w:id="2"/>
  <w:p w14:paraId="6096F8ED" w14:textId="19549D49" w:rsidR="00AF17F1" w:rsidRDefault="00AF17F1" w:rsidP="00AF17F1">
    <w:pPr>
      <w:pStyle w:val="Footer"/>
      <w:jc w:val="right"/>
    </w:pPr>
    <w:r>
      <w:fldChar w:fldCharType="begin"/>
    </w:r>
    <w:r>
      <w:instrText xml:space="preserve"> PAGE   \* MERGEFORMAT </w:instrText>
    </w:r>
    <w:r>
      <w:fldChar w:fldCharType="separate"/>
    </w:r>
    <w:r w:rsidR="00BB3803">
      <w:rPr>
        <w:noProof/>
      </w:rPr>
      <w:t>6</w:t>
    </w:r>
    <w:r>
      <w:rPr>
        <w:noProof/>
      </w:rPr>
      <w:fldChar w:fldCharType="end"/>
    </w:r>
  </w:p>
  <w:p w14:paraId="1AD874D1" w14:textId="77777777" w:rsidR="00AF17F1" w:rsidRPr="00BB5EAA" w:rsidRDefault="00AF17F1" w:rsidP="00AF17F1">
    <w:pPr>
      <w:pStyle w:val="Footer"/>
      <w:ind w:right="360"/>
      <w:jc w:val="center"/>
    </w:pPr>
  </w:p>
  <w:p w14:paraId="264B1979" w14:textId="77777777" w:rsidR="00AF17F1" w:rsidRDefault="00AF17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67B9B3" w14:textId="4D91858A" w:rsidR="00AF17F1" w:rsidRDefault="00BB3803" w:rsidP="00BB3803">
    <w:pPr>
      <w:pStyle w:val="Footer"/>
      <w:rPr>
        <w:sz w:val="17"/>
      </w:rPr>
    </w:pPr>
    <w:bookmarkStart w:id="3" w:name="TITUS1FooterPrimary"/>
    <w:r>
      <w:rPr>
        <w:sz w:val="17"/>
      </w:rPr>
      <w:t> </w:t>
    </w:r>
  </w:p>
  <w:bookmarkEnd w:id="3"/>
  <w:p w14:paraId="50521BFA" w14:textId="3AB206AC" w:rsidR="00F6513F" w:rsidRDefault="00F6513F">
    <w:pPr>
      <w:pStyle w:val="Footer"/>
      <w:jc w:val="right"/>
    </w:pPr>
    <w:r>
      <w:fldChar w:fldCharType="begin"/>
    </w:r>
    <w:r>
      <w:instrText xml:space="preserve"> PAGE   \* MERGEFORMAT </w:instrText>
    </w:r>
    <w:r>
      <w:fldChar w:fldCharType="separate"/>
    </w:r>
    <w:r w:rsidR="00BB3803">
      <w:rPr>
        <w:noProof/>
      </w:rPr>
      <w:t>7</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00CF9F" w14:textId="03D8F5BD" w:rsidR="00AF17F1" w:rsidRDefault="00BB3803" w:rsidP="00BB3803">
    <w:pPr>
      <w:pStyle w:val="Footer"/>
      <w:rPr>
        <w:sz w:val="17"/>
      </w:rPr>
    </w:pPr>
    <w:bookmarkStart w:id="5" w:name="TITUS1FooterFirstPage"/>
    <w:r>
      <w:rPr>
        <w:sz w:val="17"/>
      </w:rPr>
      <w:t> </w:t>
    </w:r>
  </w:p>
  <w:bookmarkEnd w:id="5"/>
  <w:p w14:paraId="5CFC59F2" w14:textId="7BEA6593" w:rsidR="00AF17F1" w:rsidRDefault="00AF17F1" w:rsidP="00AF17F1">
    <w:pPr>
      <w:pStyle w:val="Footer"/>
      <w:jc w:val="right"/>
    </w:pPr>
    <w:r>
      <w:fldChar w:fldCharType="begin"/>
    </w:r>
    <w:r>
      <w:instrText xml:space="preserve"> PAGE   \* MERGEFORMAT </w:instrText>
    </w:r>
    <w:r>
      <w:fldChar w:fldCharType="separate"/>
    </w:r>
    <w:r w:rsidR="00BB3803">
      <w:rPr>
        <w:noProof/>
      </w:rPr>
      <w:t>1</w:t>
    </w:r>
    <w:r>
      <w:rPr>
        <w:noProof/>
      </w:rPr>
      <w:fldChar w:fldCharType="end"/>
    </w:r>
  </w:p>
  <w:p w14:paraId="581386C2" w14:textId="77777777" w:rsidR="00AF17F1" w:rsidRPr="00BB5EAA" w:rsidRDefault="00AF17F1" w:rsidP="00AF17F1">
    <w:pPr>
      <w:pStyle w:val="Footer"/>
      <w:ind w:right="360"/>
      <w:jc w:val="center"/>
    </w:pPr>
  </w:p>
  <w:p w14:paraId="2672760A" w14:textId="77777777" w:rsidR="00AF17F1" w:rsidRDefault="00AF17F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325EBF" w14:textId="1033C118" w:rsidR="00AF17F1" w:rsidRDefault="00BB3803" w:rsidP="00BB3803">
    <w:pPr>
      <w:pStyle w:val="Footer"/>
      <w:rPr>
        <w:sz w:val="17"/>
      </w:rPr>
    </w:pPr>
    <w:bookmarkStart w:id="9" w:name="TITUS2FooterEvenPages"/>
    <w:r>
      <w:rPr>
        <w:sz w:val="17"/>
      </w:rPr>
      <w:t> </w:t>
    </w:r>
  </w:p>
  <w:bookmarkEnd w:id="9"/>
  <w:p w14:paraId="160088C1" w14:textId="77777777" w:rsidR="00AF17F1" w:rsidRDefault="00AF17F1" w:rsidP="00AF17F1">
    <w:pPr>
      <w:pStyle w:val="Footer"/>
      <w:jc w:val="right"/>
    </w:pPr>
  </w:p>
  <w:p w14:paraId="0E69933E" w14:textId="497CE530" w:rsidR="00AF17F1" w:rsidRDefault="00AF17F1" w:rsidP="00AF17F1">
    <w:pPr>
      <w:pStyle w:val="Footer"/>
      <w:jc w:val="right"/>
    </w:pPr>
    <w:r>
      <w:fldChar w:fldCharType="begin"/>
    </w:r>
    <w:r>
      <w:instrText xml:space="preserve"> PAGE   \* MERGEFORMAT </w:instrText>
    </w:r>
    <w:r>
      <w:fldChar w:fldCharType="separate"/>
    </w:r>
    <w:r w:rsidR="00BB3803">
      <w:rPr>
        <w:noProof/>
      </w:rPr>
      <w:t>16</w:t>
    </w:r>
    <w:r>
      <w:rPr>
        <w:noProof/>
      </w:rPr>
      <w:fldChar w:fldCharType="end"/>
    </w:r>
  </w:p>
  <w:p w14:paraId="03425A70" w14:textId="77777777" w:rsidR="00AF17F1" w:rsidRPr="00BB5EAA" w:rsidRDefault="00AF17F1" w:rsidP="00AF17F1">
    <w:pPr>
      <w:pStyle w:val="Footer"/>
      <w:ind w:right="360"/>
      <w:jc w:val="center"/>
    </w:pPr>
  </w:p>
  <w:p w14:paraId="239434E9" w14:textId="77777777" w:rsidR="00AF17F1" w:rsidRDefault="00AF17F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EB1941" w14:textId="575B46D6" w:rsidR="00AF17F1" w:rsidRDefault="00BB3803" w:rsidP="00BB3803">
    <w:pPr>
      <w:pStyle w:val="Footer"/>
      <w:rPr>
        <w:sz w:val="17"/>
      </w:rPr>
    </w:pPr>
    <w:bookmarkStart w:id="10" w:name="TITUS2FooterPrimary"/>
    <w:r>
      <w:rPr>
        <w:sz w:val="17"/>
      </w:rPr>
      <w:t> </w:t>
    </w:r>
  </w:p>
  <w:bookmarkEnd w:id="10"/>
  <w:p w14:paraId="10AE8ABA" w14:textId="77777777" w:rsidR="00AF17F1" w:rsidRDefault="00AF17F1">
    <w:pPr>
      <w:pStyle w:val="Footer"/>
      <w:jc w:val="right"/>
    </w:pPr>
  </w:p>
  <w:p w14:paraId="1534A1BE" w14:textId="5D03F539" w:rsidR="00AF17F1" w:rsidRDefault="00AF17F1">
    <w:pPr>
      <w:pStyle w:val="Footer"/>
      <w:jc w:val="right"/>
    </w:pPr>
    <w:r>
      <w:fldChar w:fldCharType="begin"/>
    </w:r>
    <w:r>
      <w:instrText xml:space="preserve"> PAGE   \* MERGEFORMAT </w:instrText>
    </w:r>
    <w:r>
      <w:fldChar w:fldCharType="separate"/>
    </w:r>
    <w:r w:rsidR="00BB3803">
      <w:rPr>
        <w:noProof/>
      </w:rPr>
      <w:t>17</w:t>
    </w:r>
    <w:r>
      <w:rPr>
        <w:noProof/>
      </w:rPr>
      <w:fldChar w:fldCharType="end"/>
    </w:r>
  </w:p>
  <w:p w14:paraId="1F2DA24F" w14:textId="77777777" w:rsidR="00AF17F1" w:rsidRPr="00BB5EAA" w:rsidRDefault="00AF17F1"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0905E3" w14:textId="4013D56E" w:rsidR="00AF17F1" w:rsidRDefault="00BB3803" w:rsidP="00BB3803">
    <w:pPr>
      <w:pStyle w:val="Footer"/>
      <w:rPr>
        <w:sz w:val="17"/>
      </w:rPr>
    </w:pPr>
    <w:bookmarkStart w:id="12" w:name="TITUS2FooterFirstPage"/>
    <w:r>
      <w:rPr>
        <w:sz w:val="17"/>
      </w:rPr>
      <w:t> </w:t>
    </w:r>
  </w:p>
  <w:bookmarkEnd w:id="12"/>
  <w:p w14:paraId="4D23217A" w14:textId="77777777" w:rsidR="00AF17F1" w:rsidRDefault="00AF17F1" w:rsidP="00AF17F1">
    <w:pPr>
      <w:pStyle w:val="Footer"/>
      <w:jc w:val="right"/>
    </w:pPr>
  </w:p>
  <w:p w14:paraId="1233BE5E" w14:textId="0E25B5F9" w:rsidR="00AF17F1" w:rsidRDefault="00AF17F1" w:rsidP="00AF17F1">
    <w:pPr>
      <w:pStyle w:val="Footer"/>
      <w:jc w:val="right"/>
    </w:pPr>
    <w:r>
      <w:fldChar w:fldCharType="begin"/>
    </w:r>
    <w:r>
      <w:instrText xml:space="preserve"> PAGE   \* MERGEFORMAT </w:instrText>
    </w:r>
    <w:r>
      <w:fldChar w:fldCharType="separate"/>
    </w:r>
    <w:r w:rsidR="00BB3803">
      <w:rPr>
        <w:noProof/>
      </w:rPr>
      <w:t>8</w:t>
    </w:r>
    <w:r>
      <w:rPr>
        <w:noProof/>
      </w:rPr>
      <w:fldChar w:fldCharType="end"/>
    </w:r>
  </w:p>
  <w:p w14:paraId="661ADB03" w14:textId="77777777" w:rsidR="00AF17F1" w:rsidRPr="00BB5EAA" w:rsidRDefault="00AF17F1" w:rsidP="00AF17F1">
    <w:pPr>
      <w:pStyle w:val="Footer"/>
      <w:ind w:right="360"/>
      <w:jc w:val="center"/>
    </w:pPr>
  </w:p>
  <w:p w14:paraId="1751763E" w14:textId="77777777" w:rsidR="00AF17F1" w:rsidRDefault="00AF17F1">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E185A5" w14:textId="3F1A68DC" w:rsidR="00AF17F1" w:rsidRDefault="00BB3803" w:rsidP="00BB3803">
    <w:pPr>
      <w:pStyle w:val="Footer"/>
      <w:rPr>
        <w:sz w:val="17"/>
      </w:rPr>
    </w:pPr>
    <w:bookmarkStart w:id="15" w:name="TITUS3FooterEvenPages"/>
    <w:r>
      <w:rPr>
        <w:sz w:val="17"/>
      </w:rPr>
      <w:t> </w:t>
    </w:r>
  </w:p>
  <w:bookmarkEnd w:id="15"/>
  <w:p w14:paraId="343E4D6D" w14:textId="77777777" w:rsidR="00AF17F1" w:rsidRDefault="00AF17F1" w:rsidP="00AF17F1">
    <w:pPr>
      <w:pStyle w:val="Footer"/>
      <w:jc w:val="right"/>
    </w:pPr>
  </w:p>
  <w:p w14:paraId="1ED0BE0B" w14:textId="0610800C" w:rsidR="00AF17F1" w:rsidRDefault="00AF17F1" w:rsidP="00AF17F1">
    <w:pPr>
      <w:pStyle w:val="Footer"/>
      <w:jc w:val="right"/>
    </w:pPr>
    <w:r>
      <w:fldChar w:fldCharType="begin"/>
    </w:r>
    <w:r>
      <w:instrText xml:space="preserve"> PAGE   \* MERGEFORMAT </w:instrText>
    </w:r>
    <w:r>
      <w:fldChar w:fldCharType="separate"/>
    </w:r>
    <w:r>
      <w:rPr>
        <w:noProof/>
      </w:rPr>
      <w:t>20</w:t>
    </w:r>
    <w:r>
      <w:rPr>
        <w:noProof/>
      </w:rPr>
      <w:fldChar w:fldCharType="end"/>
    </w:r>
  </w:p>
  <w:p w14:paraId="49178130" w14:textId="77777777" w:rsidR="00AF17F1" w:rsidRPr="00BB5EAA" w:rsidRDefault="00AF17F1" w:rsidP="00AF17F1">
    <w:pPr>
      <w:pStyle w:val="Footer"/>
      <w:ind w:right="360"/>
      <w:jc w:val="center"/>
    </w:pPr>
  </w:p>
  <w:p w14:paraId="25C3FC6F" w14:textId="77777777" w:rsidR="00AF17F1" w:rsidRDefault="00AF17F1">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1AADE2" w14:textId="0BA5683C" w:rsidR="00AF17F1" w:rsidRDefault="00BB3803" w:rsidP="00BB3803">
    <w:pPr>
      <w:pStyle w:val="Footer"/>
      <w:rPr>
        <w:sz w:val="17"/>
      </w:rPr>
    </w:pPr>
    <w:bookmarkStart w:id="16" w:name="TITUS3FooterPrimary"/>
    <w:r>
      <w:rPr>
        <w:sz w:val="17"/>
      </w:rPr>
      <w:t> </w:t>
    </w:r>
  </w:p>
  <w:bookmarkEnd w:id="16"/>
  <w:p w14:paraId="4C04C1FA" w14:textId="77777777" w:rsidR="00AF17F1" w:rsidRDefault="00AF17F1">
    <w:pPr>
      <w:pStyle w:val="Footer"/>
      <w:jc w:val="right"/>
    </w:pPr>
  </w:p>
  <w:p w14:paraId="108D9BBC" w14:textId="20EAFAD2" w:rsidR="00AF17F1" w:rsidRDefault="00AF17F1">
    <w:pPr>
      <w:pStyle w:val="Footer"/>
      <w:jc w:val="right"/>
    </w:pPr>
    <w:r>
      <w:fldChar w:fldCharType="begin"/>
    </w:r>
    <w:r>
      <w:instrText xml:space="preserve"> PAGE   \* MERGEFORMAT </w:instrText>
    </w:r>
    <w:r>
      <w:fldChar w:fldCharType="separate"/>
    </w:r>
    <w:r w:rsidR="00BB3803">
      <w:rPr>
        <w:noProof/>
      </w:rPr>
      <w:t>19</w:t>
    </w:r>
    <w:r>
      <w:rPr>
        <w:noProof/>
      </w:rPr>
      <w:fldChar w:fldCharType="end"/>
    </w:r>
  </w:p>
  <w:p w14:paraId="239C2CAD" w14:textId="77777777" w:rsidR="00AF17F1" w:rsidRPr="00BB5EAA" w:rsidRDefault="00AF17F1"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C7B4F0" w14:textId="649C1E46" w:rsidR="00AF17F1" w:rsidRDefault="00BB3803" w:rsidP="00BB3803">
    <w:pPr>
      <w:pStyle w:val="Footer"/>
      <w:rPr>
        <w:sz w:val="17"/>
      </w:rPr>
    </w:pPr>
    <w:bookmarkStart w:id="18" w:name="TITUS3FooterFirstPage"/>
    <w:r>
      <w:rPr>
        <w:sz w:val="17"/>
      </w:rPr>
      <w:t> </w:t>
    </w:r>
  </w:p>
  <w:bookmarkEnd w:id="18"/>
  <w:p w14:paraId="55F7E1E5" w14:textId="77777777" w:rsidR="00AF17F1" w:rsidRDefault="00AF17F1" w:rsidP="00AF17F1">
    <w:pPr>
      <w:pStyle w:val="Footer"/>
      <w:jc w:val="right"/>
    </w:pPr>
  </w:p>
  <w:p w14:paraId="47753A92" w14:textId="2770CEF8" w:rsidR="00AF17F1" w:rsidRDefault="00AF17F1" w:rsidP="00AF17F1">
    <w:pPr>
      <w:pStyle w:val="Footer"/>
      <w:jc w:val="right"/>
    </w:pPr>
    <w:r>
      <w:fldChar w:fldCharType="begin"/>
    </w:r>
    <w:r>
      <w:instrText xml:space="preserve"> PAGE   \* MERGEFORMAT </w:instrText>
    </w:r>
    <w:r>
      <w:fldChar w:fldCharType="separate"/>
    </w:r>
    <w:r w:rsidR="00BB3803">
      <w:rPr>
        <w:noProof/>
      </w:rPr>
      <w:t>18</w:t>
    </w:r>
    <w:r>
      <w:rPr>
        <w:noProof/>
      </w:rPr>
      <w:fldChar w:fldCharType="end"/>
    </w:r>
  </w:p>
  <w:p w14:paraId="7754D5A4" w14:textId="77777777" w:rsidR="00AF17F1" w:rsidRPr="00BB5EAA" w:rsidRDefault="00AF17F1" w:rsidP="00AF17F1">
    <w:pPr>
      <w:pStyle w:val="Footer"/>
      <w:ind w:right="360"/>
      <w:jc w:val="center"/>
    </w:pPr>
  </w:p>
  <w:p w14:paraId="371E5A1A" w14:textId="77777777" w:rsidR="00AF17F1" w:rsidRDefault="00AF17F1">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1155AE" w14:textId="5E3D70DD" w:rsidR="00AF17F1" w:rsidRDefault="00BB3803" w:rsidP="00BB3803">
    <w:pPr>
      <w:pStyle w:val="Footer"/>
      <w:rPr>
        <w:sz w:val="17"/>
      </w:rPr>
    </w:pPr>
    <w:bookmarkStart w:id="21" w:name="TITUS4FooterEvenPages"/>
    <w:r>
      <w:rPr>
        <w:sz w:val="17"/>
      </w:rPr>
      <w:t> </w:t>
    </w:r>
  </w:p>
  <w:bookmarkEnd w:id="21"/>
  <w:p w14:paraId="329FAB98" w14:textId="77777777" w:rsidR="00AF17F1" w:rsidRDefault="00AF17F1" w:rsidP="00AF17F1">
    <w:pPr>
      <w:pStyle w:val="Footer"/>
      <w:jc w:val="right"/>
    </w:pPr>
  </w:p>
  <w:p w14:paraId="1A10C85C" w14:textId="77777777" w:rsidR="00AF17F1" w:rsidRDefault="00AF17F1" w:rsidP="00AF17F1">
    <w:pPr>
      <w:pStyle w:val="Footer"/>
      <w:jc w:val="right"/>
    </w:pPr>
    <w:r>
      <w:fldChar w:fldCharType="begin"/>
    </w:r>
    <w:r>
      <w:instrText xml:space="preserve"> PAGE   \* MERGEFORMAT </w:instrText>
    </w:r>
    <w:r>
      <w:fldChar w:fldCharType="separate"/>
    </w:r>
    <w:r>
      <w:rPr>
        <w:noProof/>
      </w:rPr>
      <w:t>20</w:t>
    </w:r>
    <w:r>
      <w:rPr>
        <w:noProof/>
      </w:rPr>
      <w:fldChar w:fldCharType="end"/>
    </w:r>
  </w:p>
  <w:p w14:paraId="10E3243A" w14:textId="77777777" w:rsidR="00AF17F1" w:rsidRPr="00BB5EAA" w:rsidRDefault="00AF17F1" w:rsidP="00AF17F1">
    <w:pPr>
      <w:pStyle w:val="Footer"/>
      <w:ind w:right="360"/>
      <w:jc w:val="center"/>
    </w:pPr>
  </w:p>
  <w:p w14:paraId="74F17E63" w14:textId="77777777" w:rsidR="00AF17F1" w:rsidRDefault="00AF17F1">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9B692C" w14:textId="6FEEF16F" w:rsidR="00AF17F1" w:rsidRDefault="00BB3803" w:rsidP="00BB3803">
    <w:pPr>
      <w:pStyle w:val="Footer"/>
      <w:rPr>
        <w:sz w:val="17"/>
      </w:rPr>
    </w:pPr>
    <w:bookmarkStart w:id="22" w:name="TITUS4FooterPrimary"/>
    <w:r>
      <w:rPr>
        <w:sz w:val="17"/>
      </w:rPr>
      <w:t> </w:t>
    </w:r>
  </w:p>
  <w:bookmarkEnd w:id="22"/>
  <w:p w14:paraId="2EE75E90" w14:textId="77777777" w:rsidR="00AF17F1" w:rsidRDefault="00AF17F1">
    <w:pPr>
      <w:pStyle w:val="Footer"/>
      <w:jc w:val="right"/>
    </w:pPr>
  </w:p>
  <w:p w14:paraId="721EA5CE" w14:textId="77777777" w:rsidR="00AF17F1" w:rsidRDefault="00AF17F1">
    <w:pPr>
      <w:pStyle w:val="Footer"/>
      <w:jc w:val="right"/>
    </w:pPr>
    <w:r>
      <w:fldChar w:fldCharType="begin"/>
    </w:r>
    <w:r>
      <w:instrText xml:space="preserve"> PAGE   \* MERGEFORMAT </w:instrText>
    </w:r>
    <w:r>
      <w:fldChar w:fldCharType="separate"/>
    </w:r>
    <w:r>
      <w:rPr>
        <w:noProof/>
      </w:rPr>
      <w:t>19</w:t>
    </w:r>
    <w:r>
      <w:rPr>
        <w:noProof/>
      </w:rPr>
      <w:fldChar w:fldCharType="end"/>
    </w:r>
  </w:p>
  <w:p w14:paraId="1CCBD489" w14:textId="77777777" w:rsidR="00AF17F1" w:rsidRPr="00BB5EAA" w:rsidRDefault="00AF17F1"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A92D0A" w14:textId="71642B2E" w:rsidR="00AF17F1" w:rsidRDefault="00BB3803" w:rsidP="00BB3803">
    <w:pPr>
      <w:pStyle w:val="Footer"/>
      <w:rPr>
        <w:sz w:val="17"/>
      </w:rPr>
    </w:pPr>
    <w:bookmarkStart w:id="24" w:name="TITUS4FooterFirstPage"/>
    <w:r>
      <w:rPr>
        <w:sz w:val="17"/>
      </w:rPr>
      <w:t> </w:t>
    </w:r>
  </w:p>
  <w:bookmarkEnd w:id="24"/>
  <w:p w14:paraId="381CE6F1" w14:textId="77777777" w:rsidR="00AF17F1" w:rsidRDefault="00AF17F1" w:rsidP="00AF17F1">
    <w:pPr>
      <w:pStyle w:val="Footer"/>
      <w:jc w:val="right"/>
    </w:pPr>
  </w:p>
  <w:p w14:paraId="4E3191BA" w14:textId="21812D1C" w:rsidR="00AF17F1" w:rsidRDefault="00AF17F1" w:rsidP="00AF17F1">
    <w:pPr>
      <w:pStyle w:val="Footer"/>
      <w:jc w:val="right"/>
    </w:pPr>
    <w:r>
      <w:fldChar w:fldCharType="begin"/>
    </w:r>
    <w:r>
      <w:instrText xml:space="preserve"> PAGE   \* MERGEFORMAT </w:instrText>
    </w:r>
    <w:r>
      <w:fldChar w:fldCharType="separate"/>
    </w:r>
    <w:r w:rsidR="00BB3803">
      <w:rPr>
        <w:noProof/>
      </w:rPr>
      <w:t>20</w:t>
    </w:r>
    <w:r>
      <w:rPr>
        <w:noProof/>
      </w:rPr>
      <w:fldChar w:fldCharType="end"/>
    </w:r>
  </w:p>
  <w:p w14:paraId="5EB07625" w14:textId="77777777" w:rsidR="00AF17F1" w:rsidRPr="00BB5EAA" w:rsidRDefault="00AF17F1" w:rsidP="00AF17F1">
    <w:pPr>
      <w:pStyle w:val="Footer"/>
      <w:ind w:right="360"/>
      <w:jc w:val="center"/>
    </w:pPr>
  </w:p>
  <w:p w14:paraId="7DE04CAC" w14:textId="77777777" w:rsidR="00AF17F1" w:rsidRDefault="00AF17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1F6939" w:rsidRDefault="001F6939">
      <w:r>
        <w:separator/>
      </w:r>
    </w:p>
  </w:footnote>
  <w:footnote w:type="continuationSeparator" w:id="0">
    <w:p w14:paraId="458DDD75" w14:textId="77777777" w:rsidR="001F6939" w:rsidRDefault="001F693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4FABD3" w14:textId="60F4698B" w:rsidR="00BB3803" w:rsidRDefault="00BB3803" w:rsidP="00BB3803">
    <w:pPr>
      <w:pStyle w:val="Header"/>
      <w:rPr>
        <w:sz w:val="17"/>
      </w:rPr>
    </w:pPr>
    <w:bookmarkStart w:id="0" w:name="TITUS1HeaderEvenPages"/>
    <w:r w:rsidRPr="00BB3803">
      <w:rPr>
        <w:sz w:val="17"/>
      </w:rPr>
      <w:t> </w:t>
    </w:r>
  </w:p>
  <w:bookmarkEnd w:id="0"/>
  <w:p w14:paraId="7D3848AB" w14:textId="77777777" w:rsidR="00BB3803" w:rsidRDefault="00BB3803" w:rsidP="00BB3803">
    <w:pPr>
      <w:pStyle w:val="Header"/>
    </w:pPr>
  </w:p>
  <w:p w14:paraId="5F66F19D" w14:textId="77777777" w:rsidR="00AF17F1" w:rsidRDefault="00AF17F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7686B6" w14:textId="03A52228" w:rsidR="00AF17F1" w:rsidRDefault="00BB3803" w:rsidP="00BB3803">
    <w:pPr>
      <w:pStyle w:val="Header"/>
      <w:rPr>
        <w:sz w:val="17"/>
      </w:rPr>
    </w:pPr>
    <w:bookmarkStart w:id="1" w:name="TITUS1HeaderPrimary"/>
    <w:r>
      <w:rPr>
        <w:sz w:val="17"/>
      </w:rPr>
      <w:t> </w:t>
    </w:r>
  </w:p>
  <w:bookmarkEnd w:id="1"/>
  <w:p w14:paraId="6D8C4C0E" w14:textId="77777777" w:rsidR="00AF17F1" w:rsidRDefault="00AF17F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B00414" w14:textId="06B01A7A" w:rsidR="00AF17F1" w:rsidRDefault="00BB3803" w:rsidP="00BB3803">
    <w:pPr>
      <w:pStyle w:val="Header"/>
      <w:rPr>
        <w:sz w:val="17"/>
      </w:rPr>
    </w:pPr>
    <w:bookmarkStart w:id="4" w:name="TITUS1HeaderFirstPage"/>
    <w:r>
      <w:rPr>
        <w:sz w:val="17"/>
      </w:rPr>
      <w:t> </w:t>
    </w:r>
  </w:p>
  <w:bookmarkEnd w:id="4"/>
  <w:p w14:paraId="08DD32F3" w14:textId="77777777" w:rsidR="00AF17F1" w:rsidRDefault="00AF17F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9ABE3A" w14:textId="0C557178" w:rsidR="00AF17F1" w:rsidRDefault="00BB3803" w:rsidP="00BB3803">
    <w:pPr>
      <w:pStyle w:val="Header"/>
      <w:rPr>
        <w:sz w:val="17"/>
      </w:rPr>
    </w:pPr>
    <w:bookmarkStart w:id="7" w:name="TITUS2HeaderEvenPages"/>
    <w:r>
      <w:rPr>
        <w:sz w:val="17"/>
      </w:rPr>
      <w:t> </w:t>
    </w:r>
  </w:p>
  <w:bookmarkEnd w:id="7"/>
  <w:p w14:paraId="46B08122" w14:textId="77777777" w:rsidR="00AF17F1" w:rsidRDefault="00AF17F1" w:rsidP="00AF17F1">
    <w:pPr>
      <w:pStyle w:val="Header"/>
    </w:pPr>
  </w:p>
  <w:p w14:paraId="0D578004" w14:textId="77777777" w:rsidR="00AF17F1" w:rsidRDefault="00AF17F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DAD20E" w14:textId="7A4937AB" w:rsidR="00AF17F1" w:rsidRDefault="00BB3803" w:rsidP="00BB3803">
    <w:pPr>
      <w:pStyle w:val="Header"/>
      <w:rPr>
        <w:sz w:val="17"/>
      </w:rPr>
    </w:pPr>
    <w:bookmarkStart w:id="8" w:name="TITUS2HeaderPrimary"/>
    <w:r>
      <w:rPr>
        <w:sz w:val="17"/>
      </w:rPr>
      <w:t> </w:t>
    </w:r>
  </w:p>
  <w:bookmarkEnd w:id="8"/>
  <w:p w14:paraId="302C0C07" w14:textId="77777777" w:rsidR="00AF17F1" w:rsidRDefault="00AF17F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A6B0ED" w14:textId="55FCB1C7" w:rsidR="00AF17F1" w:rsidRDefault="00BB3803" w:rsidP="00BB3803">
    <w:pPr>
      <w:pStyle w:val="Header"/>
      <w:rPr>
        <w:sz w:val="17"/>
      </w:rPr>
    </w:pPr>
    <w:bookmarkStart w:id="11" w:name="TITUS2HeaderFirstPage"/>
    <w:r>
      <w:rPr>
        <w:sz w:val="17"/>
      </w:rPr>
      <w:t> </w:t>
    </w:r>
  </w:p>
  <w:bookmarkEnd w:id="11"/>
  <w:p w14:paraId="01C94FD3" w14:textId="77777777" w:rsidR="00AF17F1" w:rsidRDefault="00AF17F1" w:rsidP="00AF17F1">
    <w:pPr>
      <w:pStyle w:val="Header"/>
    </w:pPr>
  </w:p>
  <w:p w14:paraId="38714644" w14:textId="77777777" w:rsidR="00AF17F1" w:rsidRDefault="00AF17F1">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A8CAA8" w14:textId="0C223C3D" w:rsidR="00AF17F1" w:rsidRDefault="00BB3803" w:rsidP="00BB3803">
    <w:pPr>
      <w:pStyle w:val="Header"/>
      <w:rPr>
        <w:sz w:val="17"/>
      </w:rPr>
    </w:pPr>
    <w:bookmarkStart w:id="13" w:name="TITUS3HeaderEvenPages"/>
    <w:r>
      <w:rPr>
        <w:sz w:val="17"/>
      </w:rPr>
      <w:t> </w:t>
    </w:r>
  </w:p>
  <w:bookmarkEnd w:id="13"/>
  <w:p w14:paraId="330F6063" w14:textId="77777777" w:rsidR="00AF17F1" w:rsidRDefault="00AF17F1" w:rsidP="00AF17F1">
    <w:pPr>
      <w:pStyle w:val="Header"/>
    </w:pPr>
  </w:p>
  <w:p w14:paraId="2D7390F5" w14:textId="77777777" w:rsidR="00AF17F1" w:rsidRDefault="00AF17F1">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76EA4A" w14:textId="2AB93FC4" w:rsidR="00AF17F1" w:rsidRDefault="00BB3803" w:rsidP="00BB3803">
    <w:pPr>
      <w:pStyle w:val="Header"/>
      <w:rPr>
        <w:sz w:val="17"/>
      </w:rPr>
    </w:pPr>
    <w:bookmarkStart w:id="14" w:name="TITUS3HeaderPrimary"/>
    <w:r>
      <w:rPr>
        <w:sz w:val="17"/>
      </w:rPr>
      <w:t> </w:t>
    </w:r>
  </w:p>
  <w:bookmarkEnd w:id="14"/>
  <w:p w14:paraId="60E5FD58" w14:textId="77777777" w:rsidR="00AF17F1" w:rsidRDefault="00AF17F1">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A31CAB" w14:textId="564C4D1A" w:rsidR="00AF17F1" w:rsidRDefault="00BB3803" w:rsidP="00BB3803">
    <w:pPr>
      <w:pStyle w:val="Header"/>
      <w:rPr>
        <w:sz w:val="17"/>
      </w:rPr>
    </w:pPr>
    <w:bookmarkStart w:id="17" w:name="TITUS3HeaderFirstPage"/>
    <w:r>
      <w:rPr>
        <w:sz w:val="17"/>
      </w:rPr>
      <w:t> </w:t>
    </w:r>
  </w:p>
  <w:bookmarkEnd w:id="17"/>
  <w:p w14:paraId="55F4953C" w14:textId="77777777" w:rsidR="00AF17F1" w:rsidRDefault="00AF17F1" w:rsidP="00AF17F1">
    <w:pPr>
      <w:pStyle w:val="Header"/>
    </w:pPr>
  </w:p>
  <w:p w14:paraId="6F3A97A1" w14:textId="77777777" w:rsidR="00AF17F1" w:rsidRDefault="00AF17F1">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FB95B" w14:textId="5B0E556C" w:rsidR="00AF17F1" w:rsidRDefault="00BB3803" w:rsidP="00BB3803">
    <w:pPr>
      <w:pStyle w:val="Header"/>
      <w:rPr>
        <w:sz w:val="17"/>
      </w:rPr>
    </w:pPr>
    <w:bookmarkStart w:id="19" w:name="TITUS4HeaderEvenPages"/>
    <w:r>
      <w:rPr>
        <w:sz w:val="17"/>
      </w:rPr>
      <w:t> </w:t>
    </w:r>
  </w:p>
  <w:bookmarkEnd w:id="19"/>
  <w:p w14:paraId="673EEA4D" w14:textId="77777777" w:rsidR="00AF17F1" w:rsidRDefault="00AF17F1" w:rsidP="00AF17F1">
    <w:pPr>
      <w:pStyle w:val="Header"/>
    </w:pPr>
  </w:p>
  <w:p w14:paraId="2366C348" w14:textId="77777777" w:rsidR="00AF17F1" w:rsidRDefault="00AF17F1">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11BB34" w14:textId="30489B98" w:rsidR="00AF17F1" w:rsidRDefault="00BB3803" w:rsidP="00BB3803">
    <w:pPr>
      <w:pStyle w:val="Header"/>
      <w:rPr>
        <w:sz w:val="17"/>
      </w:rPr>
    </w:pPr>
    <w:bookmarkStart w:id="20" w:name="TITUS4HeaderPrimary"/>
    <w:r>
      <w:rPr>
        <w:sz w:val="17"/>
      </w:rPr>
      <w:t> </w:t>
    </w:r>
  </w:p>
  <w:bookmarkEnd w:id="20"/>
  <w:p w14:paraId="7C5E64B6" w14:textId="77777777" w:rsidR="00AF17F1" w:rsidRDefault="00AF17F1">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7BDDD1" w14:textId="7CEB302C" w:rsidR="00AF17F1" w:rsidRDefault="00BB3803" w:rsidP="00BB3803">
    <w:pPr>
      <w:pStyle w:val="Header"/>
      <w:rPr>
        <w:sz w:val="17"/>
      </w:rPr>
    </w:pPr>
    <w:bookmarkStart w:id="23" w:name="TITUS4HeaderFirstPage"/>
    <w:r>
      <w:rPr>
        <w:sz w:val="17"/>
      </w:rPr>
      <w:t> </w:t>
    </w:r>
  </w:p>
  <w:bookmarkEnd w:id="23"/>
  <w:p w14:paraId="640542B1" w14:textId="77777777" w:rsidR="00AF17F1" w:rsidRDefault="00AF17F1" w:rsidP="00AF17F1">
    <w:pPr>
      <w:pStyle w:val="Header"/>
    </w:pPr>
  </w:p>
  <w:p w14:paraId="2E379710" w14:textId="77777777" w:rsidR="00AF17F1" w:rsidRDefault="00AF17F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2"/>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347F8"/>
    <w:rsid w:val="00134E7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C1567"/>
    <w:rsid w:val="005C6CE5"/>
    <w:rsid w:val="005D3F07"/>
    <w:rsid w:val="005D583E"/>
    <w:rsid w:val="005E13EA"/>
    <w:rsid w:val="005E53BD"/>
    <w:rsid w:val="00601C05"/>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6F65"/>
    <w:rsid w:val="006A7A6D"/>
    <w:rsid w:val="006B5E67"/>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F22BD"/>
    <w:rsid w:val="009079BD"/>
    <w:rsid w:val="00912BD9"/>
    <w:rsid w:val="00920E5B"/>
    <w:rsid w:val="00926436"/>
    <w:rsid w:val="0093018C"/>
    <w:rsid w:val="00932CCA"/>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17F1"/>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689A"/>
    <w:rsid w:val="00BA1FFA"/>
    <w:rsid w:val="00BA7FF1"/>
    <w:rsid w:val="00BB06CB"/>
    <w:rsid w:val="00BB261F"/>
    <w:rsid w:val="00BB2887"/>
    <w:rsid w:val="00BB3803"/>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11C62"/>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E556F"/>
    <w:rsid w:val="00E03B6D"/>
    <w:rsid w:val="00E17160"/>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D1B30"/>
    <w:rsid w:val="00ED250E"/>
    <w:rsid w:val="00ED528D"/>
    <w:rsid w:val="00EE1AC1"/>
    <w:rsid w:val="00EE39D6"/>
    <w:rsid w:val="00EE413C"/>
    <w:rsid w:val="00EE52AD"/>
    <w:rsid w:val="00F00945"/>
    <w:rsid w:val="00F01F92"/>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1717EFC7"/>
    <w:rsid w:val="4096612A"/>
    <w:rsid w:val="4E216C8D"/>
    <w:rsid w:val="5848403C"/>
    <w:rsid w:val="5A3BBC7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Default">
    <w:name w:val="Default"/>
    <w:rsid w:val="00AF17F1"/>
    <w:pPr>
      <w:autoSpaceDE w:val="0"/>
      <w:autoSpaceDN w:val="0"/>
      <w:adjustRightInd w:val="0"/>
    </w:pPr>
    <w:rPr>
      <w:rFonts w:ascii="Calibri" w:eastAsiaTheme="minorHAnsi" w:hAnsi="Calibri" w:cs="Calibri"/>
      <w:color w:val="000000"/>
      <w:sz w:val="24"/>
      <w:szCs w:val="24"/>
      <w:lang w:eastAsia="en-US"/>
    </w:rPr>
  </w:style>
  <w:style w:type="paragraph" w:customStyle="1" w:styleId="legclearfix">
    <w:name w:val="legclearfix"/>
    <w:basedOn w:val="Normal"/>
    <w:rsid w:val="00AF17F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AF17F1"/>
  </w:style>
  <w:style w:type="character" w:styleId="Emphasis">
    <w:name w:val="Emphasis"/>
    <w:basedOn w:val="DefaultParagraphFont"/>
    <w:uiPriority w:val="20"/>
    <w:qFormat/>
    <w:rsid w:val="00AF17F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hyperlink" Target="https://thecrimepreventionwebsite.com/police-crime-prevention-service---a-short-history/744/the-peelian-principles/" TargetMode="External"/><Relationship Id="rId39" Type="http://schemas.openxmlformats.org/officeDocument/2006/relationships/header" Target="header11.xml"/><Relationship Id="rId3" Type="http://schemas.openxmlformats.org/officeDocument/2006/relationships/customXml" Target="../customXml/item3.xml"/><Relationship Id="rId21" Type="http://schemas.openxmlformats.org/officeDocument/2006/relationships/footer" Target="footer5.xml"/><Relationship Id="rId34" Type="http://schemas.openxmlformats.org/officeDocument/2006/relationships/footer" Target="footer7.xml"/><Relationship Id="rId42" Type="http://schemas.openxmlformats.org/officeDocument/2006/relationships/header" Target="header12.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s://www.app.college.police.uk/app-content/investigations/investigative-interviewing/?highlight=peace" TargetMode="External"/><Relationship Id="rId33" Type="http://schemas.openxmlformats.org/officeDocument/2006/relationships/header" Target="header8.xml"/><Relationship Id="rId38" Type="http://schemas.openxmlformats.org/officeDocument/2006/relationships/header" Target="header10.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footer" Target="footer4.xml"/><Relationship Id="rId29" Type="http://schemas.openxmlformats.org/officeDocument/2006/relationships/hyperlink" Target="https://www.mindtools.com/CommSkll/ActiveListening.htm" TargetMode="External"/><Relationship Id="rId41" Type="http://schemas.openxmlformats.org/officeDocument/2006/relationships/footer" Target="footer1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app.college.police.uk/app-content/national-decision-model/the-national-decision-model/" TargetMode="External"/><Relationship Id="rId32" Type="http://schemas.openxmlformats.org/officeDocument/2006/relationships/header" Target="header7.xml"/><Relationship Id="rId37" Type="http://schemas.openxmlformats.org/officeDocument/2006/relationships/footer" Target="footer9.xml"/><Relationship Id="rId40" Type="http://schemas.openxmlformats.org/officeDocument/2006/relationships/footer" Target="footer10.xm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footer" Target="footer6.xml"/><Relationship Id="rId28" Type="http://schemas.openxmlformats.org/officeDocument/2006/relationships/hyperlink" Target="https://www.legislation.gov.uk/ukpga/2014/12/section/2/enacted" TargetMode="External"/><Relationship Id="rId36" Type="http://schemas.openxmlformats.org/officeDocument/2006/relationships/header" Target="header9.xml"/><Relationship Id="rId10" Type="http://schemas.openxmlformats.org/officeDocument/2006/relationships/endnotes" Target="endnotes.xml"/><Relationship Id="rId19" Type="http://schemas.openxmlformats.org/officeDocument/2006/relationships/header" Target="header5.xml"/><Relationship Id="rId31" Type="http://schemas.openxmlformats.org/officeDocument/2006/relationships/hyperlink" Target="http://swplive.blob.core.windows.net/wordpress-uploads/South-Wales-Police-Domestic-Abuse-Action-Plan-April-2016.pdf"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6.xml"/><Relationship Id="rId27" Type="http://schemas.openxmlformats.org/officeDocument/2006/relationships/hyperlink" Target="http://www.legislation.gov.uk/ukpga/1997/40/contents" TargetMode="External"/><Relationship Id="rId30" Type="http://schemas.openxmlformats.org/officeDocument/2006/relationships/hyperlink" Target="https://www.south-wales.police.uk/en/about-us/visonvaluesandethics/" TargetMode="External"/><Relationship Id="rId35" Type="http://schemas.openxmlformats.org/officeDocument/2006/relationships/footer" Target="footer8.xml"/><Relationship Id="rId43" Type="http://schemas.openxmlformats.org/officeDocument/2006/relationships/footer" Target="footer1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E4CF55-A4C9-48B9-9928-4B592A115C4E}">
  <ds:schemaRefs>
    <ds:schemaRef ds:uri="http://purl.org/dc/elements/1.1/"/>
    <ds:schemaRef ds:uri="http://schemas.openxmlformats.org/package/2006/metadata/core-properties"/>
    <ds:schemaRef ds:uri="http://schemas.microsoft.com/office/infopath/2007/PartnerControls"/>
    <ds:schemaRef ds:uri="http://purl.org/dc/terms/"/>
    <ds:schemaRef ds:uri="http://schemas.microsoft.com/office/2006/documentManagement/types"/>
    <ds:schemaRef ds:uri="1ecf5648-3750-43f5-867d-bfaa16e6e17e"/>
    <ds:schemaRef ds:uri="2e89cfda-a374-4413-9f0d-8b601eddeb70"/>
    <ds:schemaRef ds:uri="http://schemas.microsoft.com/office/2006/metadata/properties"/>
    <ds:schemaRef ds:uri="http://www.w3.org/XML/1998/namespace"/>
    <ds:schemaRef ds:uri="http://purl.org/dc/dcmitype/"/>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F72EC7F-D7D6-4E8D-8070-8226A67911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20</Pages>
  <Words>7387</Words>
  <Characters>42108</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Griffiths,David swp6465</cp:lastModifiedBy>
  <cp:revision>4</cp:revision>
  <cp:lastPrinted>2019-09-26T14:40:00Z</cp:lastPrinted>
  <dcterms:created xsi:type="dcterms:W3CDTF">2019-12-17T11:07:00Z</dcterms:created>
  <dcterms:modified xsi:type="dcterms:W3CDTF">2020-01-20T09:41:00Z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04e9a006-c127-47da-ad6e-926f0c9fc17b</vt:lpwstr>
  </property>
  <property fmtid="{D5CDD505-2E9C-101B-9397-08002B2CF9AE}" pid="4" name="Classification">
    <vt:lpwstr>OFFICIAL</vt:lpwstr>
  </property>
  <property fmtid="{D5CDD505-2E9C-101B-9397-08002B2CF9AE}" pid="5" name="Visibility">
    <vt:lpwstr>NOT VISIBLE</vt:lpwstr>
  </property>
</Properties>
</file>