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06B8" w:rsidRDefault="00C206B8">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7181850</wp:posOffset>
                </wp:positionV>
                <wp:extent cx="5791200" cy="11811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791200" cy="1181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206B8" w:rsidRPr="00C206B8" w:rsidRDefault="00C206B8" w:rsidP="00C206B8">
                            <w:pPr>
                              <w:jc w:val="center"/>
                              <w:rPr>
                                <w:sz w:val="28"/>
                                <w:szCs w:val="28"/>
                              </w:rPr>
                            </w:pPr>
                            <w:r w:rsidRPr="00C206B8">
                              <w:rPr>
                                <w:sz w:val="28"/>
                                <w:szCs w:val="28"/>
                              </w:rPr>
                              <w:t>Claire Mann</w:t>
                            </w:r>
                          </w:p>
                          <w:p w:rsidR="00C206B8" w:rsidRPr="00C206B8" w:rsidRDefault="00C206B8" w:rsidP="00C206B8">
                            <w:pPr>
                              <w:jc w:val="center"/>
                              <w:rPr>
                                <w:sz w:val="28"/>
                                <w:szCs w:val="28"/>
                              </w:rPr>
                            </w:pPr>
                            <w:r w:rsidRPr="00C206B8">
                              <w:rPr>
                                <w:sz w:val="28"/>
                                <w:szCs w:val="28"/>
                              </w:rPr>
                              <w:t>1602593</w:t>
                            </w:r>
                          </w:p>
                          <w:p w:rsidR="00C206B8" w:rsidRPr="00C206B8" w:rsidRDefault="00C206B8" w:rsidP="00C206B8">
                            <w:pPr>
                              <w:jc w:val="center"/>
                              <w:rPr>
                                <w:sz w:val="28"/>
                                <w:szCs w:val="28"/>
                              </w:rPr>
                            </w:pPr>
                            <w:r w:rsidRPr="00C206B8">
                              <w:rPr>
                                <w:sz w:val="28"/>
                                <w:szCs w:val="28"/>
                              </w:rPr>
                              <w:t>HPHI 5004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65.5pt;width:456pt;height: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8NbigIAAIsFAAAOAAAAZHJzL2Uyb0RvYy54bWysVEtv2zAMvg/YfxB0XxxnTR9BnSJrkWFA&#10;0BZrh54VWWqESaImKbGzX19Kdh7reumwi02JH0nx4+PyqjWabIQPCmxFy8GQEmE51Mo+V/TH4/zT&#10;OSUhMlszDVZUdCsCvZp+/HDZuIkYwQp0LTxBJzZMGlfRVYxuUhSBr4RhYQBOWFRK8IZFPPrnovas&#10;Qe9GF6Ph8LRowNfOAxch4O1Np6TT7F9KweOdlEFEoiuKb4v56/N3mb7F9JJNnj1zK8X7Z7B/eIVh&#10;ymLQvasbFhlZe/WXK6O4hwAyDjiYAqRUXOQcMJty+CqbhxVzIueC5AS3pyn8P7f8dnPviaorOqLE&#10;MoMlehRtJF+gJaPETuPCBEEPDmGxxWus8u4+4GVKupXepD+mQ1CPPG/33CZnHC/HZxclFowSjrqy&#10;PC9LPKD/4mDufIhfBRiShIp6LF7mlG0WIXbQHSRFC6BVPVda50NqGHGtPdkwLLWO+ZHo/A+UtqSp&#10;6Onn8TA7tpDMO8/aJjcit0wfLqXepZiluNUiYbT9LiRSljN9IzbjXNh9/IxOKImh3mPY4w+veo9x&#10;lwda5Mhg497YKAs+Z59n7EBZ/XNHmezwWJujvJMY22Xbt8QS6i12hIduooLjc4VVW7AQ75nHEcJK&#10;41qId/iRGpB16CVKVuB/v3Wf8NjZqKWkwZGsaPi1Zl5Qor9Z7PmL8uQkzXA+nIzPRnjwx5rlscau&#10;zTVgK5S4gBzPYsJHvROlB/OE22OWoqKKWY6xKxp34nXsFgVuHy5mswzCqXUsLuyD48l1ojf15GP7&#10;xLzrGzdiz9/CbnjZ5FX/dthkaWG2jiBVbu5EcMdqTzxOfB6PfjullXJ8zqjDDp2+AAAA//8DAFBL&#10;AwQUAAYACAAAACEA0+OHCd8AAAAKAQAADwAAAGRycy9kb3ducmV2LnhtbExPy07DMBC8I/EP1iJx&#10;QdRxIyiEOBVCPKTeaFoQNzdekoh4HcVuEv6e5QS32ZnR7Ey+nl0nRhxC60mDWiQgkCpvW6o17Mqn&#10;yxsQIRqypvOEGr4xwLo4PclNZv1ErzhuYy04hEJmNDQx9pmUoWrQmbDwPRJrn35wJvI51NIOZuJw&#10;18llklxLZ1riD43p8aHB6mt7dBo+Lur3TZif91N6lfaPL2O5erOl1udn8/0diIhz/DPDb32uDgV3&#10;Ovgj2SA6DTwkMqtSxYj1W7VkcGAqVasEZJHL/xOKHwAAAP//AwBQSwECLQAUAAYACAAAACEAtoM4&#10;kv4AAADhAQAAEwAAAAAAAAAAAAAAAAAAAAAAW0NvbnRlbnRfVHlwZXNdLnhtbFBLAQItABQABgAI&#10;AAAAIQA4/SH/1gAAAJQBAAALAAAAAAAAAAAAAAAAAC8BAABfcmVscy8ucmVsc1BLAQItABQABgAI&#10;AAAAIQCZK8NbigIAAIsFAAAOAAAAAAAAAAAAAAAAAC4CAABkcnMvZTJvRG9jLnhtbFBLAQItABQA&#10;BgAIAAAAIQDT44cJ3wAAAAoBAAAPAAAAAAAAAAAAAAAAAOQEAABkcnMvZG93bnJldi54bWxQSwUG&#10;AAAAAAQABADzAAAA8AUAAAAA&#10;" fillcolor="white [3201]" stroked="f" strokeweight=".5pt">
                <v:textbox>
                  <w:txbxContent>
                    <w:p w:rsidR="00C206B8" w:rsidRPr="00C206B8" w:rsidRDefault="00C206B8" w:rsidP="00C206B8">
                      <w:pPr>
                        <w:jc w:val="center"/>
                        <w:rPr>
                          <w:sz w:val="28"/>
                          <w:szCs w:val="28"/>
                        </w:rPr>
                      </w:pPr>
                      <w:r w:rsidRPr="00C206B8">
                        <w:rPr>
                          <w:sz w:val="28"/>
                          <w:szCs w:val="28"/>
                        </w:rPr>
                        <w:t>Claire Mann</w:t>
                      </w:r>
                    </w:p>
                    <w:p w:rsidR="00C206B8" w:rsidRPr="00C206B8" w:rsidRDefault="00C206B8" w:rsidP="00C206B8">
                      <w:pPr>
                        <w:jc w:val="center"/>
                        <w:rPr>
                          <w:sz w:val="28"/>
                          <w:szCs w:val="28"/>
                        </w:rPr>
                      </w:pPr>
                      <w:r w:rsidRPr="00C206B8">
                        <w:rPr>
                          <w:sz w:val="28"/>
                          <w:szCs w:val="28"/>
                        </w:rPr>
                        <w:t>1602593</w:t>
                      </w:r>
                    </w:p>
                    <w:p w:rsidR="00C206B8" w:rsidRPr="00C206B8" w:rsidRDefault="00C206B8" w:rsidP="00C206B8">
                      <w:pPr>
                        <w:jc w:val="center"/>
                        <w:rPr>
                          <w:sz w:val="28"/>
                          <w:szCs w:val="28"/>
                        </w:rPr>
                      </w:pPr>
                      <w:r w:rsidRPr="00C206B8">
                        <w:rPr>
                          <w:sz w:val="28"/>
                          <w:szCs w:val="28"/>
                        </w:rPr>
                        <w:t>HPHI 5004</w:t>
                      </w:r>
                    </w:p>
                  </w:txbxContent>
                </v:textbox>
              </v:shape>
            </w:pict>
          </mc:Fallback>
        </mc:AlternateContent>
      </w:r>
      <w:r w:rsidRPr="00C206B8">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5795010" cy="6915150"/>
            <wp:effectExtent l="0" t="0" r="0" b="0"/>
            <wp:wrapTopAndBottom/>
            <wp:docPr id="1" name="Picture 1" descr="http://newshamprimary.co.uk/wp-content/uploads/2015/11/lord-kitchener-your-country-needs-yo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newshamprimary.co.uk/wp-content/uploads/2015/11/lord-kitchener-your-country-needs-you.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5010" cy="6915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06B8" w:rsidRPr="00C206B8" w:rsidRDefault="00C206B8" w:rsidP="00C206B8"/>
    <w:p w:rsidR="00C206B8" w:rsidRPr="00C206B8" w:rsidRDefault="00C206B8" w:rsidP="00C206B8"/>
    <w:p w:rsidR="00C206B8" w:rsidRDefault="00C206B8" w:rsidP="00C206B8"/>
    <w:p w:rsidR="00EC396B" w:rsidRDefault="00C206B8" w:rsidP="00C206B8">
      <w:pPr>
        <w:tabs>
          <w:tab w:val="left" w:pos="2625"/>
        </w:tabs>
      </w:pPr>
      <w:r>
        <w:tab/>
      </w:r>
    </w:p>
    <w:p w:rsidR="00C206B8" w:rsidRDefault="00C206B8" w:rsidP="00C206B8">
      <w:pPr>
        <w:tabs>
          <w:tab w:val="left" w:pos="2625"/>
        </w:tabs>
      </w:pPr>
    </w:p>
    <w:p w:rsidR="00C206B8" w:rsidRDefault="00C206B8" w:rsidP="00C206B8">
      <w:pPr>
        <w:tabs>
          <w:tab w:val="left" w:pos="2625"/>
        </w:tabs>
        <w:rPr>
          <w:b/>
          <w:u w:val="single"/>
        </w:rPr>
      </w:pPr>
      <w:r w:rsidRPr="00C206B8">
        <w:rPr>
          <w:b/>
          <w:u w:val="single"/>
        </w:rPr>
        <w:lastRenderedPageBreak/>
        <w:t>A closer analysis of the mood of Britons in the summer of 1914 suggests a less than enthusiastic response to the impending conflict. Discuss?</w:t>
      </w:r>
    </w:p>
    <w:p w:rsidR="004E7ACF" w:rsidRPr="004E7ACF" w:rsidRDefault="004E7ACF" w:rsidP="004E7ACF">
      <w:pPr>
        <w:tabs>
          <w:tab w:val="left" w:pos="2625"/>
        </w:tabs>
        <w:spacing w:line="480" w:lineRule="auto"/>
      </w:pPr>
      <w:r>
        <w:t>To be able to answer this question I will consider newspaper articles and correspondence from the time, the opinions of people that lived through and served in the Great War, and the causes of war being declared, as well as propaganda, recruiting techniques</w:t>
      </w:r>
      <w:r w:rsidR="00AB6B96">
        <w:t xml:space="preserve">, art </w:t>
      </w:r>
      <w:r>
        <w:t xml:space="preserve"> and popular poetry. </w:t>
      </w:r>
      <w:r w:rsidRPr="004E7ACF">
        <w:t>I intend on using academic journals</w:t>
      </w:r>
      <w:r>
        <w:t xml:space="preserve"> and books by modern historians to assist me in doing so.</w:t>
      </w:r>
    </w:p>
    <w:p w:rsidR="00FF5538" w:rsidRDefault="00C206B8" w:rsidP="001220B5">
      <w:pPr>
        <w:tabs>
          <w:tab w:val="left" w:pos="2625"/>
        </w:tabs>
        <w:spacing w:line="480" w:lineRule="auto"/>
      </w:pPr>
      <w:r>
        <w:t>Sir Norman A</w:t>
      </w:r>
      <w:r w:rsidR="00F75B6E">
        <w:t xml:space="preserve">ngell (1872-1967) was an English economist, lecturer and </w:t>
      </w:r>
      <w:r>
        <w:t>writer</w:t>
      </w:r>
      <w:r w:rsidR="00F75B6E">
        <w:t xml:space="preserve">. He worked in Paris as the editor of the Daily Messenger before being promoted by Lord Northcliffe to manage the French edition of the Daily Mail. In 1931 he was knighted for his public and political services and as a </w:t>
      </w:r>
      <w:r>
        <w:t>wor</w:t>
      </w:r>
      <w:r w:rsidR="00F75B6E">
        <w:t>ker for International peace,</w:t>
      </w:r>
      <w:r>
        <w:t xml:space="preserve"> he received the Nobel Peace Prize in 1933</w:t>
      </w:r>
      <w:r w:rsidR="00BA2B31">
        <w:t>. Towards the end of 1908 h</w:t>
      </w:r>
      <w:r w:rsidR="00F75B6E">
        <w:t xml:space="preserve">e attempted to publish ideas on war </w:t>
      </w:r>
      <w:r w:rsidR="00FD5376">
        <w:t xml:space="preserve">in the book </w:t>
      </w:r>
      <w:r w:rsidR="00F75B6E">
        <w:t>“Europe’s Optical Illusion”</w:t>
      </w:r>
      <w:r w:rsidR="000516FF">
        <w:t xml:space="preserve"> although initially it was rejected by publishers because they </w:t>
      </w:r>
      <w:proofErr w:type="gramStart"/>
      <w:r w:rsidR="000516FF">
        <w:t>lumped</w:t>
      </w:r>
      <w:proofErr w:type="gramEnd"/>
      <w:r w:rsidR="000516FF">
        <w:t xml:space="preserve"> it together with current but un-appealing peace propaganda.</w:t>
      </w:r>
      <w:r w:rsidR="000516FF">
        <w:rPr>
          <w:rStyle w:val="FootnoteReference"/>
        </w:rPr>
        <w:footnoteReference w:id="1"/>
      </w:r>
      <w:r w:rsidR="00F75B6E">
        <w:t xml:space="preserve">   </w:t>
      </w:r>
      <w:r w:rsidR="00D4711F">
        <w:t>However by 1910 it was published with the new title “The Great Illusion” and today remains one of his most notable pieces of work.  It immediately became a best seller, with over two million copies being sold in 25 languages</w:t>
      </w:r>
      <w:r w:rsidR="005F4488">
        <w:t>.  It has a strong underlying purpose of persuading the public that war is unprofitable for victor as well as vanquished.</w:t>
      </w:r>
      <w:r w:rsidR="005F4488">
        <w:rPr>
          <w:rStyle w:val="FootnoteReference"/>
        </w:rPr>
        <w:footnoteReference w:id="2"/>
      </w:r>
    </w:p>
    <w:p w:rsidR="00FF5538" w:rsidRDefault="00FF5538" w:rsidP="001220B5">
      <w:pPr>
        <w:tabs>
          <w:tab w:val="left" w:pos="2625"/>
        </w:tabs>
        <w:spacing w:line="480" w:lineRule="auto"/>
      </w:pPr>
      <w:r>
        <w:t>On 1</w:t>
      </w:r>
      <w:r w:rsidR="00A83D8E">
        <w:t xml:space="preserve"> August 1914 a letter written by</w:t>
      </w:r>
      <w:r>
        <w:t xml:space="preserve"> Angell’s appeared in The Times newspaper</w:t>
      </w:r>
      <w:r w:rsidR="00A83D8E">
        <w:t>, He states that a countries main duty is to its own people, and confronts the scare-mongering tactics, of if Britain doesn’t intervene, the countr</w:t>
      </w:r>
      <w:r w:rsidR="00BA2B31">
        <w:t>y will become isolated. Angell argues</w:t>
      </w:r>
      <w:r w:rsidR="00A83D8E">
        <w:t xml:space="preserve"> that other nations will be torn and weakened by the war, and if Britain stays out of conflict they might</w:t>
      </w:r>
      <w:r w:rsidR="00CF0CC9">
        <w:t xml:space="preserve"> conceivably for a long time be the strongest power in Europe.</w:t>
      </w:r>
      <w:r w:rsidR="00CF0CC9">
        <w:rPr>
          <w:rStyle w:val="FootnoteReference"/>
        </w:rPr>
        <w:footnoteReference w:id="3"/>
      </w:r>
      <w:r w:rsidR="00CF0CC9">
        <w:t xml:space="preserve">  He goes on to suggest that the object and effect of Britain entering into the war would be to ensure the victory of Russia and her Slavonic allies, and questions if the intervention would be wise based on the monstrous error </w:t>
      </w:r>
      <w:r w:rsidR="00EE136D">
        <w:t xml:space="preserve">of the Crimean War.  Can a better </w:t>
      </w:r>
      <w:r w:rsidR="00EE136D">
        <w:lastRenderedPageBreak/>
        <w:t xml:space="preserve">result be assured? </w:t>
      </w:r>
      <w:r w:rsidR="002144D8" w:rsidRPr="002144D8">
        <w:t>There was no agreement or moral obligation</w:t>
      </w:r>
      <w:r w:rsidR="002144D8">
        <w:t xml:space="preserve"> for the English people </w:t>
      </w:r>
      <w:r w:rsidR="002144D8" w:rsidRPr="002144D8">
        <w:t xml:space="preserve">to </w:t>
      </w:r>
      <w:r w:rsidR="00BA2B31">
        <w:t>support France and</w:t>
      </w:r>
      <w:r w:rsidR="00EE136D">
        <w:t xml:space="preserve"> Angell</w:t>
      </w:r>
      <w:r w:rsidR="002144D8">
        <w:t xml:space="preserve"> believed we should avoid ‘war madness’ and felt</w:t>
      </w:r>
      <w:r w:rsidR="00EE136D">
        <w:t xml:space="preserve"> certain </w:t>
      </w:r>
      <w:r w:rsidR="002144D8">
        <w:t>that this amplified</w:t>
      </w:r>
      <w:r w:rsidR="00EE136D">
        <w:t xml:space="preserve"> the feelings of the majority of</w:t>
      </w:r>
      <w:r w:rsidR="00BA2B31">
        <w:t xml:space="preserve"> the </w:t>
      </w:r>
      <w:r w:rsidR="00EE136D">
        <w:t>English people</w:t>
      </w:r>
      <w:r w:rsidR="002144D8">
        <w:t xml:space="preserve">.  </w:t>
      </w:r>
    </w:p>
    <w:p w:rsidR="00512A3A" w:rsidRDefault="00512A3A" w:rsidP="001220B5">
      <w:pPr>
        <w:tabs>
          <w:tab w:val="left" w:pos="2625"/>
        </w:tabs>
        <w:spacing w:line="480" w:lineRule="auto"/>
      </w:pPr>
      <w:r>
        <w:t>On the same day other letters appeared alongside Angell’s. University professors wrote in protest that the people of England stood to gain so much from Germany, as they led the way in the arts and sciences</w:t>
      </w:r>
      <w:r w:rsidR="00E51D86">
        <w:t>.  With m</w:t>
      </w:r>
      <w:r>
        <w:t>any Germans being colleagues and them enjoying good friendships together, they question why this should all be jeopardised in the interest of Serbia and Russia.</w:t>
      </w:r>
      <w:r w:rsidR="00E51D86">
        <w:t xml:space="preserve">  They protested that being drawn into a struggle with a nation so near akin to our own; and with whom we have so much in common with</w:t>
      </w:r>
      <w:r w:rsidR="00BA2B31">
        <w:t>,</w:t>
      </w:r>
      <w:r w:rsidR="00E51D86">
        <w:t xml:space="preserve"> would in fact be a sin to civilisation.</w:t>
      </w:r>
      <w:r w:rsidR="00E51D86">
        <w:rPr>
          <w:rStyle w:val="FootnoteReference"/>
        </w:rPr>
        <w:footnoteReference w:id="4"/>
      </w:r>
      <w:r w:rsidR="00BA2B31">
        <w:t xml:space="preserve">  This again echoes Angell’s</w:t>
      </w:r>
      <w:r w:rsidR="00E51D86">
        <w:t xml:space="preserve"> beliefs that England’s duty should be to its own people.</w:t>
      </w:r>
    </w:p>
    <w:p w:rsidR="00E51D86" w:rsidRDefault="00E51D86" w:rsidP="001220B5">
      <w:pPr>
        <w:tabs>
          <w:tab w:val="left" w:pos="2625"/>
        </w:tabs>
        <w:spacing w:line="480" w:lineRule="auto"/>
      </w:pPr>
      <w:r>
        <w:t xml:space="preserve">In another letter </w:t>
      </w:r>
      <w:r w:rsidR="00BA2B31">
        <w:t xml:space="preserve">that appeared that day, </w:t>
      </w:r>
      <w:r w:rsidR="00FD5376">
        <w:t>it says that on</w:t>
      </w:r>
      <w:r>
        <w:t xml:space="preserve"> July </w:t>
      </w:r>
      <w:r w:rsidR="00FD5376">
        <w:t xml:space="preserve">31 </w:t>
      </w:r>
      <w:r>
        <w:t>1914 in a meeting held in the Houses of Commons the socialists decided to hold a demons</w:t>
      </w:r>
      <w:r w:rsidR="00FD5376">
        <w:t xml:space="preserve">tration in Trafalgar Square on </w:t>
      </w:r>
      <w:r>
        <w:t>August</w:t>
      </w:r>
      <w:r w:rsidR="00FD5376">
        <w:t xml:space="preserve"> </w:t>
      </w:r>
      <w:proofErr w:type="gramStart"/>
      <w:r w:rsidR="00FD5376">
        <w:t xml:space="preserve">2 </w:t>
      </w:r>
      <w:r>
        <w:t xml:space="preserve"> 1914</w:t>
      </w:r>
      <w:proofErr w:type="gramEnd"/>
      <w:r w:rsidR="0093718E">
        <w:t>. The prospect of European war was viewed with serious alarm, and the idea of the protest was to stop the government taking any steps towards supporting Russia as this would be deemed offensive to the political traditions of the country and disastrous to Europe.</w:t>
      </w:r>
      <w:r w:rsidR="0093718E">
        <w:rPr>
          <w:rStyle w:val="FootnoteReference"/>
        </w:rPr>
        <w:footnoteReference w:id="5"/>
      </w:r>
      <w:r w:rsidR="0093718E">
        <w:t xml:space="preserve"> The engagement of war should be avoided at all costs, and the government should concentrate its efforts to bring about peace as speedily as possible.</w:t>
      </w:r>
    </w:p>
    <w:p w:rsidR="006078B8" w:rsidRDefault="0093718E" w:rsidP="001220B5">
      <w:pPr>
        <w:tabs>
          <w:tab w:val="left" w:pos="2625"/>
        </w:tabs>
        <w:spacing w:line="480" w:lineRule="auto"/>
      </w:pPr>
      <w:r>
        <w:t>The peace rally went ahead, addressed by Keir Hardie MP</w:t>
      </w:r>
      <w:r w:rsidR="000F051E">
        <w:t xml:space="preserve"> who was vehemently opposed to war</w:t>
      </w:r>
      <w:r w:rsidR="00797A78">
        <w:t>.</w:t>
      </w:r>
      <w:r w:rsidR="00797A78">
        <w:rPr>
          <w:rStyle w:val="FootnoteReference"/>
        </w:rPr>
        <w:footnoteReference w:id="6"/>
      </w:r>
      <w:r w:rsidR="00797A78">
        <w:t xml:space="preserve">  It was one of several protests taking place across the UK and it’s reported some 10,000 people were in attendance.  The opinion on the imminent war seemed very much</w:t>
      </w:r>
      <w:r w:rsidR="00C542A3">
        <w:t xml:space="preserve"> divided. Out-right pacifists opposed any involvement at all in the conflict, while many questioned</w:t>
      </w:r>
      <w:r w:rsidR="00797A78">
        <w:t xml:space="preserve"> why Britain </w:t>
      </w:r>
      <w:r w:rsidR="00852161">
        <w:t>should get involved</w:t>
      </w:r>
      <w:r w:rsidR="00797A78">
        <w:t>.</w:t>
      </w:r>
      <w:r w:rsidR="00852161">
        <w:t xml:space="preserve"> </w:t>
      </w:r>
    </w:p>
    <w:p w:rsidR="0093718E" w:rsidRDefault="00852161" w:rsidP="001220B5">
      <w:pPr>
        <w:tabs>
          <w:tab w:val="left" w:pos="2625"/>
        </w:tabs>
        <w:spacing w:line="480" w:lineRule="auto"/>
      </w:pPr>
      <w:r>
        <w:lastRenderedPageBreak/>
        <w:t xml:space="preserve"> I think it is interesting to note here</w:t>
      </w:r>
      <w:r w:rsidR="00942EC3">
        <w:t>,</w:t>
      </w:r>
      <w:r>
        <w:t xml:space="preserve"> that on the same day in Munich a demonstration took place at the </w:t>
      </w:r>
      <w:proofErr w:type="spellStart"/>
      <w:r>
        <w:t>Odeonsplatz</w:t>
      </w:r>
      <w:proofErr w:type="spellEnd"/>
      <w:r>
        <w:t>.  The declaration of war with Imperial Russia was announced and it is reported that the European population welcomed the outbreak of the Great War with great enthusiasm.</w:t>
      </w:r>
      <w:r w:rsidR="006078B8">
        <w:t xml:space="preserve"> A somewhat different response, to that of the people of Britain.</w:t>
      </w:r>
      <w:r w:rsidR="00942EC3">
        <w:t xml:space="preserve"> It was at this demonstration that the iconic photograph of the youthful Adolf Hitler was taken amongst the fierce crowd.</w:t>
      </w:r>
    </w:p>
    <w:p w:rsidR="004A3F42" w:rsidRDefault="0028096A" w:rsidP="001220B5">
      <w:pPr>
        <w:tabs>
          <w:tab w:val="left" w:pos="2625"/>
        </w:tabs>
        <w:spacing w:line="480" w:lineRule="auto"/>
      </w:pPr>
      <w:r>
        <w:t xml:space="preserve">The peace rally </w:t>
      </w:r>
      <w:r w:rsidR="000B097B">
        <w:t>was one of the last of its kind, the following day on August</w:t>
      </w:r>
      <w:r w:rsidR="00E00007">
        <w:t xml:space="preserve"> 3</w:t>
      </w:r>
      <w:r w:rsidR="000B097B">
        <w:t xml:space="preserve"> Germany invaded Belgium and this significantly changed public opinion.  Britain became more inclined to support a war against an aggressive Germany.  Sir Edward Grey</w:t>
      </w:r>
      <w:r w:rsidR="00E00007">
        <w:t>, the foreign secretary sent an ultimatum for Germany to leave Belgian soil.  On August 4 crowds gathered in West Minster and Trafalgar Square with people talking about the war and the possibility of British Intervention.  By 11pm on that fateful Tuesday, the deadline had been reached and war was declared on Germany.  I think it is important to note here that the crowds that gathered may not be a true representation of the nation’s enthusiasm for war, but more that this was happening at a time when there was no television, radio or social media for important news updates</w:t>
      </w:r>
      <w:r w:rsidR="005812B4">
        <w:t>,</w:t>
      </w:r>
      <w:r w:rsidR="00E00007">
        <w:t xml:space="preserve"> public places were where people gathered to find out news as well as express opinion.</w:t>
      </w:r>
    </w:p>
    <w:p w:rsidR="00E00007" w:rsidRDefault="00E00007" w:rsidP="001220B5">
      <w:pPr>
        <w:tabs>
          <w:tab w:val="left" w:pos="2625"/>
        </w:tabs>
        <w:spacing w:line="480" w:lineRule="auto"/>
      </w:pPr>
      <w:r>
        <w:t xml:space="preserve">It was however noted </w:t>
      </w:r>
      <w:r w:rsidR="00B73FEB">
        <w:t xml:space="preserve">unhappily </w:t>
      </w:r>
      <w:r>
        <w:t xml:space="preserve">by philosopher and pacifist Bertrand Russell </w:t>
      </w:r>
      <w:r w:rsidR="00B73FEB">
        <w:t>that the cheering crowd that had gathered at Trafalgar Square that day, consisted of ‘average men and women who were delighted at the prospect of war’.</w:t>
      </w:r>
      <w:r w:rsidR="00B73FEB">
        <w:rPr>
          <w:rStyle w:val="FootnoteReference"/>
        </w:rPr>
        <w:footnoteReference w:id="7"/>
      </w:r>
    </w:p>
    <w:p w:rsidR="00B73FEB" w:rsidRDefault="00B73FEB" w:rsidP="001220B5">
      <w:pPr>
        <w:tabs>
          <w:tab w:val="left" w:pos="2625"/>
        </w:tabs>
        <w:spacing w:line="480" w:lineRule="auto"/>
      </w:pPr>
      <w:r>
        <w:t>So why did pacifism c</w:t>
      </w:r>
      <w:r w:rsidR="004F726B">
        <w:t>ollapse over night? Gerard J. DeG</w:t>
      </w:r>
      <w:r>
        <w:t>root argues that the original plan of war for economy and European hegemony was transformed into one ‘about values, civilisation, about sportsmanship and especially about the relationship of the future to the past</w:t>
      </w:r>
      <w:r w:rsidR="004F726B">
        <w:t>’.</w:t>
      </w:r>
      <w:r w:rsidR="004F726B">
        <w:rPr>
          <w:rStyle w:val="FootnoteReference"/>
        </w:rPr>
        <w:footnoteReference w:id="8"/>
      </w:r>
      <w:r w:rsidR="004F726B">
        <w:t xml:space="preserve">  </w:t>
      </w:r>
      <w:r w:rsidR="001220B5">
        <w:t xml:space="preserve"> </w:t>
      </w:r>
    </w:p>
    <w:p w:rsidR="001220B5" w:rsidRDefault="00372B39" w:rsidP="001220B5">
      <w:pPr>
        <w:tabs>
          <w:tab w:val="left" w:pos="2625"/>
        </w:tabs>
        <w:spacing w:line="480" w:lineRule="auto"/>
      </w:pPr>
      <w:r>
        <w:t>The assumption was that should</w:t>
      </w:r>
      <w:r w:rsidR="001220B5">
        <w:t xml:space="preserve"> a European war happen, it would be short.  One of the most popular saying</w:t>
      </w:r>
      <w:r>
        <w:t>s</w:t>
      </w:r>
      <w:r w:rsidR="001220B5">
        <w:t xml:space="preserve"> at the time </w:t>
      </w:r>
      <w:r>
        <w:t xml:space="preserve">was the war will ‘be over by Christmas’.  Bill </w:t>
      </w:r>
      <w:proofErr w:type="spellStart"/>
      <w:r>
        <w:t>Haine</w:t>
      </w:r>
      <w:proofErr w:type="spellEnd"/>
      <w:r>
        <w:t xml:space="preserve"> enlisted early on and </w:t>
      </w:r>
      <w:r>
        <w:lastRenderedPageBreak/>
        <w:t>he reflects on the mood in Britain when he did so, “Everybody said it’ll be over by Christmas and you’ve got to get out soon, otherwise you won’t see anything”.</w:t>
      </w:r>
      <w:r>
        <w:rPr>
          <w:rStyle w:val="FootnoteReference"/>
        </w:rPr>
        <w:footnoteReference w:id="9"/>
      </w:r>
      <w:r>
        <w:t xml:space="preserve">  </w:t>
      </w:r>
      <w:r w:rsidR="00FC3141">
        <w:t>He was unsure that that was his personal opinion but remembers at the time everybody was saying it.</w:t>
      </w:r>
      <w:r w:rsidR="00FB4156">
        <w:t xml:space="preserve">  Could this have been the influence behind the initial wave of recruits?  In August 1914 almost 300,000 men volunteered, this figure increased considerably by the following month, in September another 460,000 joined them.</w:t>
      </w:r>
      <w:r w:rsidR="00FB4156">
        <w:rPr>
          <w:rStyle w:val="FootnoteReference"/>
        </w:rPr>
        <w:footnoteReference w:id="10"/>
      </w:r>
      <w:r w:rsidR="00B53AE1">
        <w:t xml:space="preserve">  </w:t>
      </w:r>
    </w:p>
    <w:p w:rsidR="00B53AE1" w:rsidRDefault="00B53AE1" w:rsidP="001220B5">
      <w:pPr>
        <w:tabs>
          <w:tab w:val="left" w:pos="2625"/>
        </w:tabs>
        <w:spacing w:line="480" w:lineRule="auto"/>
      </w:pPr>
      <w:r>
        <w:t xml:space="preserve">Prior to the war the regular army was short on recruits, which is proof that as a nation, the population was not at all enthusiastic to military service.  </w:t>
      </w:r>
      <w:r w:rsidR="00FE3C91">
        <w:t xml:space="preserve">The military historian </w:t>
      </w:r>
      <w:proofErr w:type="spellStart"/>
      <w:r>
        <w:t>Correlli</w:t>
      </w:r>
      <w:proofErr w:type="spellEnd"/>
      <w:r>
        <w:t xml:space="preserve"> Barnett suggests that the population was ‘moved by patriotism, by desire for a bit of adventure, by a desire to escape from poverty and unemployment, the crowds queued</w:t>
      </w:r>
      <w:r w:rsidR="00671F4C">
        <w:t xml:space="preserve"> outside the recruiting offices,</w:t>
      </w:r>
      <w:r>
        <w:rPr>
          <w:rStyle w:val="FootnoteReference"/>
        </w:rPr>
        <w:footnoteReference w:id="11"/>
      </w:r>
      <w:r w:rsidR="00FE3C91">
        <w:t xml:space="preserve"> So much so that the flood of recruit</w:t>
      </w:r>
      <w:r w:rsidR="00FA0117">
        <w:t>s was too large to be processed.</w:t>
      </w:r>
    </w:p>
    <w:p w:rsidR="00671F4C" w:rsidRDefault="00671F4C" w:rsidP="001220B5">
      <w:pPr>
        <w:tabs>
          <w:tab w:val="left" w:pos="2625"/>
        </w:tabs>
        <w:spacing w:line="480" w:lineRule="auto"/>
      </w:pPr>
      <w:r>
        <w:t xml:space="preserve">Enthusiasm however quickly dwindled, </w:t>
      </w:r>
      <w:r w:rsidR="003F378C">
        <w:t xml:space="preserve">The Parliamentary Recruitment Committee chaired by the Prime Minister Herbert Asquith had been set up at the start of the war, </w:t>
      </w:r>
      <w:r w:rsidR="006078B8">
        <w:t>and they</w:t>
      </w:r>
      <w:r w:rsidR="003F378C">
        <w:t xml:space="preserve"> produced an estimated 54 million posters, leaflets and other publications, in addition to organising 12,0</w:t>
      </w:r>
      <w:r w:rsidR="00905737">
        <w:t>00 meetings and 20,000 speeches.</w:t>
      </w:r>
      <w:r w:rsidR="003F378C">
        <w:rPr>
          <w:rStyle w:val="FootnoteReference"/>
        </w:rPr>
        <w:footnoteReference w:id="12"/>
      </w:r>
      <w:r w:rsidR="00905737">
        <w:t xml:space="preserve"> W</w:t>
      </w:r>
      <w:r w:rsidR="003F378C">
        <w:t>ith the intention of recruiting large numbers of</w:t>
      </w:r>
      <w:r w:rsidR="00905737">
        <w:t xml:space="preserve"> volunteers,</w:t>
      </w:r>
      <w:r w:rsidR="003F378C">
        <w:t xml:space="preserve"> </w:t>
      </w:r>
      <w:r w:rsidR="00905737">
        <w:t>i</w:t>
      </w:r>
      <w:r w:rsidR="003F378C">
        <w:t xml:space="preserve">t is noted that the Football Association offered the use of large league clubs, to help with the recruitment drive, providing a place for recruitment and training.  The use of the football grounds could have appealed to many men, proof that the British believed war to be just another game, or simply that football was the common thread that bound together a </w:t>
      </w:r>
      <w:r w:rsidR="00883DDA">
        <w:t>group of men facing the most severe challenge of</w:t>
      </w:r>
      <w:r w:rsidR="00534AFC">
        <w:t xml:space="preserve"> </w:t>
      </w:r>
      <w:r w:rsidR="00883DDA">
        <w:t>their lives.</w:t>
      </w:r>
      <w:r w:rsidR="00883DDA">
        <w:rPr>
          <w:rStyle w:val="FootnoteReference"/>
        </w:rPr>
        <w:footnoteReference w:id="13"/>
      </w:r>
      <w:r w:rsidR="00FD5376">
        <w:t xml:space="preserve">  The Football Association’s involvement</w:t>
      </w:r>
      <w:r w:rsidR="00905737">
        <w:t xml:space="preserve"> in the start of the war was </w:t>
      </w:r>
      <w:r w:rsidR="00905737">
        <w:lastRenderedPageBreak/>
        <w:t xml:space="preserve">without question, invaluable.  They claim they recruited 500,000 men by the end of the year though this remains unsubstantiated. </w:t>
      </w:r>
      <w:r w:rsidR="00905737">
        <w:rPr>
          <w:rStyle w:val="FootnoteReference"/>
        </w:rPr>
        <w:footnoteReference w:id="14"/>
      </w:r>
      <w:r w:rsidR="00905737">
        <w:t xml:space="preserve"> </w:t>
      </w:r>
    </w:p>
    <w:p w:rsidR="00E96E57" w:rsidRDefault="00E96E57" w:rsidP="001220B5">
      <w:pPr>
        <w:tabs>
          <w:tab w:val="left" w:pos="2625"/>
        </w:tabs>
        <w:spacing w:line="480" w:lineRule="auto"/>
      </w:pPr>
      <w:r>
        <w:t>Considerable social pressure was placed upon men to enlist, London taxis were emblazoned with recruiting messages, and men became shamed into volunteering.  There are many now famous posters that were designed to be appealing but one that shows particular humiliation is the one</w:t>
      </w:r>
      <w:r w:rsidR="00993347">
        <w:t xml:space="preserve"> by Savile Lumley depicting </w:t>
      </w:r>
      <w:r>
        <w:t xml:space="preserve"> a father being asked by his young children ‘Daddy, What did you do in the Great War?’ </w:t>
      </w:r>
      <w:r w:rsidR="00993347">
        <w:t>Because of the tone of emotional blackmail, t</w:t>
      </w:r>
      <w:r>
        <w:t>his forced millions of men to consider how they would answer their children.</w:t>
      </w:r>
      <w:r>
        <w:rPr>
          <w:rStyle w:val="FootnoteReference"/>
        </w:rPr>
        <w:footnoteReference w:id="15"/>
      </w:r>
      <w:r w:rsidR="00093185">
        <w:t xml:space="preserve"> Another poster of the time was that designed by Alfred </w:t>
      </w:r>
      <w:proofErr w:type="spellStart"/>
      <w:r w:rsidR="00093185">
        <w:t>Leete</w:t>
      </w:r>
      <w:proofErr w:type="spellEnd"/>
      <w:r w:rsidR="00093185">
        <w:t>, depicting Lord Kitchener pointing, with the slogan ‘YOUR COUNTRY NEEDS YOU’ it was said to have a huge psychological im</w:t>
      </w:r>
      <w:r w:rsidR="00FB080A">
        <w:t>pact on volunteers as it beckoned</w:t>
      </w:r>
      <w:r w:rsidR="00093185">
        <w:t>, commanded, threatened, cajoled and shamed all at the same time</w:t>
      </w:r>
      <w:r w:rsidR="00093185">
        <w:rPr>
          <w:rStyle w:val="FootnoteReference"/>
        </w:rPr>
        <w:footnoteReference w:id="16"/>
      </w:r>
      <w:r w:rsidR="00093185">
        <w:t>, making it quite iconic in the enlistment frenzy.</w:t>
      </w:r>
      <w:r w:rsidR="00425223">
        <w:t xml:space="preserve"> </w:t>
      </w:r>
    </w:p>
    <w:p w:rsidR="001852BB" w:rsidRDefault="00584B48" w:rsidP="001220B5">
      <w:pPr>
        <w:tabs>
          <w:tab w:val="left" w:pos="2625"/>
        </w:tabs>
        <w:spacing w:line="480" w:lineRule="auto"/>
      </w:pPr>
      <w:r>
        <w:t xml:space="preserve">Patriotic duty appears to have been a prime motivation in the volunteering process, however coercion was also influential.  Men who did not volunteer risked vilification as cowards, the most famous example of this began in September 1914, on the encouragement </w:t>
      </w:r>
      <w:r w:rsidR="009D0F7C">
        <w:t>of the retired A</w:t>
      </w:r>
      <w:r>
        <w:t xml:space="preserve">dmiral </w:t>
      </w:r>
      <w:r w:rsidR="00FD5376">
        <w:t xml:space="preserve">Charles </w:t>
      </w:r>
      <w:r>
        <w:t>Penrose Fitzgerald.</w:t>
      </w:r>
      <w:r>
        <w:rPr>
          <w:rStyle w:val="FootnoteReference"/>
        </w:rPr>
        <w:footnoteReference w:id="17"/>
      </w:r>
      <w:r w:rsidR="00E40020">
        <w:t xml:space="preserve"> The white feather campaign was</w:t>
      </w:r>
      <w:r w:rsidR="00F64023">
        <w:t xml:space="preserve"> organised and </w:t>
      </w:r>
      <w:r w:rsidR="00E40020">
        <w:t>launched</w:t>
      </w:r>
      <w:r w:rsidR="00F64023">
        <w:t xml:space="preserve"> by prominent suffragettes</w:t>
      </w:r>
      <w:r w:rsidR="00E40020">
        <w:t xml:space="preserve">, with the feather becoming the symbol of unfulfilled </w:t>
      </w:r>
      <w:r w:rsidR="00FD5376">
        <w:t>civic duty,</w:t>
      </w:r>
      <w:r w:rsidR="009D0F7C">
        <w:t xml:space="preserve"> the</w:t>
      </w:r>
      <w:r w:rsidR="00F64023">
        <w:t xml:space="preserve"> concept deriving from cock fighting, if a cock was to have a white feather in its tail it was seen to be a coward</w:t>
      </w:r>
      <w:r w:rsidR="00641726">
        <w:t xml:space="preserve">. </w:t>
      </w:r>
      <w:r w:rsidR="00E40020">
        <w:t xml:space="preserve"> At the time the recruitment campaign was in full swing</w:t>
      </w:r>
      <w:r w:rsidR="00641726">
        <w:t>,</w:t>
      </w:r>
      <w:r w:rsidR="00534AFC">
        <w:t xml:space="preserve"> women would hand out white feathers to young men found skulking in civilian clothing</w:t>
      </w:r>
      <w:r w:rsidR="009D0F7C">
        <w:t>.</w:t>
      </w:r>
      <w:r w:rsidR="00534AFC">
        <w:rPr>
          <w:rStyle w:val="FootnoteReference"/>
        </w:rPr>
        <w:footnoteReference w:id="18"/>
      </w:r>
      <w:r w:rsidR="009D0F7C">
        <w:t xml:space="preserve"> </w:t>
      </w:r>
      <w:r w:rsidR="00534AFC">
        <w:t>Feathers were placed in the lapels and hat bands with the intention of making</w:t>
      </w:r>
      <w:r w:rsidR="009D0F7C">
        <w:t xml:space="preserve"> men question their gender identity and hopefully shame them into enlisting.  This was incredibly frustrating to some</w:t>
      </w:r>
      <w:r w:rsidR="00534AFC">
        <w:t xml:space="preserve"> men</w:t>
      </w:r>
      <w:r w:rsidR="009D0F7C">
        <w:t xml:space="preserve"> as they were eager to prove their masculinity but were unable to </w:t>
      </w:r>
      <w:r w:rsidR="00F00822">
        <w:t xml:space="preserve">do so </w:t>
      </w:r>
      <w:r w:rsidR="009D0F7C">
        <w:t>due to their age.</w:t>
      </w:r>
      <w:r w:rsidR="00F00822">
        <w:t xml:space="preserve"> </w:t>
      </w:r>
      <w:r w:rsidR="00534AFC">
        <w:t xml:space="preserve"> The ladies judgment of the apparent coward was not always </w:t>
      </w:r>
      <w:r w:rsidR="00534AFC">
        <w:lastRenderedPageBreak/>
        <w:t>successful either, the diarist</w:t>
      </w:r>
      <w:r w:rsidR="00E93D1F">
        <w:t xml:space="preserve"> Dr</w:t>
      </w:r>
      <w:r w:rsidR="00534AFC">
        <w:t xml:space="preserve"> M. Yearsley </w:t>
      </w:r>
      <w:r w:rsidR="00E93D1F">
        <w:t xml:space="preserve">recalls the </w:t>
      </w:r>
      <w:r w:rsidR="00FD5376">
        <w:t>emblem</w:t>
      </w:r>
      <w:r w:rsidR="00E93D1F">
        <w:t xml:space="preserve"> of cowardice once being handed to a young man who was on leave and had just been awarded the Victoria Cross.</w:t>
      </w:r>
      <w:r w:rsidR="00E93D1F">
        <w:rPr>
          <w:rStyle w:val="FootnoteReference"/>
        </w:rPr>
        <w:footnoteReference w:id="19"/>
      </w:r>
      <w:r w:rsidR="005A4A86">
        <w:t xml:space="preserve"> Evidence suggests that the ladies of ‘The White Feather’ campaign were not always admired as one angry correspondent to the Times wrote “Would not the feather-brained Ladies…… be better advised to learn to nurse the wounded, and thus become useful, instead of offending nuisances to the community</w:t>
      </w:r>
      <w:r w:rsidR="001852BB">
        <w:t>.”</w:t>
      </w:r>
      <w:r w:rsidR="001852BB">
        <w:rPr>
          <w:rStyle w:val="FootnoteReference"/>
        </w:rPr>
        <w:footnoteReference w:id="20"/>
      </w:r>
      <w:r w:rsidR="003A0B6D">
        <w:t xml:space="preserve"> </w:t>
      </w:r>
    </w:p>
    <w:p w:rsidR="00DE52F8" w:rsidRDefault="00725E44" w:rsidP="001220B5">
      <w:pPr>
        <w:tabs>
          <w:tab w:val="left" w:pos="2625"/>
        </w:tabs>
        <w:spacing w:line="480" w:lineRule="auto"/>
      </w:pPr>
      <w:r>
        <w:t>Many tactics were used to encourage men to enlist, if they wouldn’t willingly jump into the army there were ways in which they were pushed.  Daily newspapers would publish heavy handed verses with the intention of exhorting young men to enlist and save England.  A famous practitione</w:t>
      </w:r>
      <w:r w:rsidR="005139B1">
        <w:t>r of this technique was the British poet, writer and journalist Jessie Pope</w:t>
      </w:r>
      <w:r>
        <w:t xml:space="preserve"> </w:t>
      </w:r>
      <w:r w:rsidR="005139B1">
        <w:t xml:space="preserve">with her condescending </w:t>
      </w:r>
      <w:r w:rsidR="00AC7AD7">
        <w:t>and humiliating verses</w:t>
      </w:r>
      <w:r w:rsidR="005139B1">
        <w:t>.  A famous</w:t>
      </w:r>
      <w:r w:rsidR="00AC7AD7">
        <w:t xml:space="preserve"> poem</w:t>
      </w:r>
      <w:r w:rsidR="005139B1">
        <w:t xml:space="preserve"> of the time was titled “The Call” and </w:t>
      </w:r>
      <w:r w:rsidR="00AB6B96">
        <w:t>in it Pope</w:t>
      </w:r>
      <w:r w:rsidR="005139B1" w:rsidRPr="005139B1">
        <w:t xml:space="preserve"> gives enlistment and fighting an air of jollity, which seems heartless and unrealistic but which was not uncommo</w:t>
      </w:r>
      <w:r w:rsidR="005139B1">
        <w:t>n at the time that it was written</w:t>
      </w:r>
      <w:r w:rsidR="005139B1" w:rsidRPr="005139B1">
        <w:t>.</w:t>
      </w:r>
    </w:p>
    <w:p w:rsidR="00AC7AD7" w:rsidRDefault="00AC7AD7" w:rsidP="001220B5">
      <w:pPr>
        <w:tabs>
          <w:tab w:val="left" w:pos="2625"/>
        </w:tabs>
        <w:spacing w:line="480" w:lineRule="auto"/>
      </w:pPr>
      <w:r>
        <w:t xml:space="preserve">In conclusion I feel the people of Britain were initially apprehensive about joining the war, however once war was declared, with the pretence that it would all be over by Christmas attitudes became more positive.  Britons faced the war with determination, excitement and with patriotic zeal to fight for Queen and country.  This positive attitude to war did not last through out, as time went on enthusiasm quickly declined.  Once it became obvious the war would be long, using up man power at a prodigious rate, the British population simply wished for the conflict to end.  </w:t>
      </w:r>
      <w:r w:rsidR="00770B95">
        <w:t>Soldiers,</w:t>
      </w:r>
      <w:r>
        <w:t xml:space="preserve"> who enlisted believing it would be </w:t>
      </w:r>
      <w:r w:rsidR="00770B95">
        <w:t xml:space="preserve">a short, exciting experience, were </w:t>
      </w:r>
      <w:r>
        <w:t>quickly faced with the horrific reality of war</w:t>
      </w:r>
      <w:r w:rsidR="009E6CA7">
        <w:t>.  Much of the physical and mental torture that was experienced was documented within letters and poems written at the time.  Many of these documents were returned to family that were back home in Britain</w:t>
      </w:r>
      <w:r w:rsidR="00770B95">
        <w:t xml:space="preserve"> with some of the most famously documented correspondence coming from the English poet and soldier Wi</w:t>
      </w:r>
      <w:r w:rsidR="006078B8">
        <w:t>l</w:t>
      </w:r>
      <w:r w:rsidR="00770B95">
        <w:t>fred Owen to his mother.  On receiving these docume</w:t>
      </w:r>
      <w:bookmarkStart w:id="0" w:name="_GoBack"/>
      <w:bookmarkEnd w:id="0"/>
      <w:r w:rsidR="00770B95">
        <w:t xml:space="preserve">nts along with </w:t>
      </w:r>
      <w:r w:rsidR="00770B95">
        <w:lastRenderedPageBreak/>
        <w:t>notices of the ever growing death toll, the attitudes of the people of Britain changed dramatically.  Making them question if it was all really worth the struggle.</w:t>
      </w:r>
    </w:p>
    <w:p w:rsidR="00770B95" w:rsidRDefault="00770B95" w:rsidP="001220B5">
      <w:pPr>
        <w:tabs>
          <w:tab w:val="left" w:pos="2625"/>
        </w:tabs>
        <w:spacing w:line="480" w:lineRule="auto"/>
      </w:pPr>
      <w:r>
        <w:t>A question I feel is contemplated often today, when reflecting on Great Britain and The Great War.</w:t>
      </w: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Default="00495289" w:rsidP="001220B5">
      <w:pPr>
        <w:tabs>
          <w:tab w:val="left" w:pos="2625"/>
        </w:tabs>
        <w:spacing w:line="480" w:lineRule="auto"/>
      </w:pPr>
    </w:p>
    <w:p w:rsidR="00495289" w:rsidRPr="00495289" w:rsidRDefault="00495289" w:rsidP="00495289">
      <w:pPr>
        <w:tabs>
          <w:tab w:val="left" w:pos="2625"/>
        </w:tabs>
        <w:spacing w:line="480" w:lineRule="auto"/>
        <w:jc w:val="center"/>
        <w:rPr>
          <w:b/>
          <w:u w:val="single"/>
        </w:rPr>
      </w:pPr>
      <w:r w:rsidRPr="00495289">
        <w:rPr>
          <w:b/>
          <w:u w:val="single"/>
        </w:rPr>
        <w:lastRenderedPageBreak/>
        <w:t>BIBLIOGRAPHY</w:t>
      </w:r>
    </w:p>
    <w:p w:rsidR="00495289" w:rsidRPr="00495289" w:rsidRDefault="00495289" w:rsidP="00495289">
      <w:pPr>
        <w:tabs>
          <w:tab w:val="left" w:pos="2625"/>
        </w:tabs>
        <w:spacing w:line="480" w:lineRule="auto"/>
        <w:rPr>
          <w:b/>
          <w:u w:val="single"/>
        </w:rPr>
      </w:pPr>
      <w:r w:rsidRPr="00495289">
        <w:rPr>
          <w:b/>
          <w:u w:val="single"/>
        </w:rPr>
        <w:t>BOOKS</w:t>
      </w:r>
    </w:p>
    <w:p w:rsidR="00495289" w:rsidRDefault="00495289" w:rsidP="00495289">
      <w:pPr>
        <w:tabs>
          <w:tab w:val="left" w:pos="2625"/>
        </w:tabs>
        <w:spacing w:line="480" w:lineRule="auto"/>
      </w:pPr>
      <w:r>
        <w:t xml:space="preserve">Arthur Marwick, War, Peace and Social Change, ed. by Wendy Simpson, Documents1 1900-1929 </w:t>
      </w:r>
      <w:proofErr w:type="spellStart"/>
      <w:r>
        <w:t>edn</w:t>
      </w:r>
      <w:proofErr w:type="spellEnd"/>
      <w:r>
        <w:t xml:space="preserve"> ([</w:t>
      </w:r>
      <w:proofErr w:type="spellStart"/>
      <w:proofErr w:type="gramStart"/>
      <w:r>
        <w:t>n.p</w:t>
      </w:r>
      <w:proofErr w:type="spellEnd"/>
      <w:proofErr w:type="gramEnd"/>
      <w:r>
        <w:t>.]: Open University Press, 1990)</w:t>
      </w:r>
    </w:p>
    <w:p w:rsidR="00495289" w:rsidRDefault="00495289" w:rsidP="00495289">
      <w:pPr>
        <w:tabs>
          <w:tab w:val="left" w:pos="2625"/>
        </w:tabs>
        <w:spacing w:line="480" w:lineRule="auto"/>
      </w:pPr>
      <w:r>
        <w:t>Alan G V Simmonds, Britain and World War One (Oxon: Routledge, 2012)</w:t>
      </w:r>
    </w:p>
    <w:p w:rsidR="00495289" w:rsidRDefault="00495289" w:rsidP="00495289">
      <w:pPr>
        <w:tabs>
          <w:tab w:val="left" w:pos="2625"/>
        </w:tabs>
        <w:spacing w:line="480" w:lineRule="auto"/>
      </w:pPr>
      <w:r>
        <w:t xml:space="preserve">Gerard J. </w:t>
      </w:r>
      <w:proofErr w:type="spellStart"/>
      <w:r>
        <w:t>DeGroot</w:t>
      </w:r>
      <w:proofErr w:type="spellEnd"/>
      <w:r>
        <w:t xml:space="preserve">, </w:t>
      </w:r>
      <w:proofErr w:type="spellStart"/>
      <w:r>
        <w:t>Blighty</w:t>
      </w:r>
      <w:proofErr w:type="spellEnd"/>
      <w:r>
        <w:t xml:space="preserve"> British Society in the Era of the Great War (Essex: Addison Wesley Longman Limited, 1996)</w:t>
      </w:r>
    </w:p>
    <w:p w:rsidR="00495289" w:rsidRDefault="00495289" w:rsidP="00495289">
      <w:pPr>
        <w:tabs>
          <w:tab w:val="left" w:pos="2625"/>
        </w:tabs>
        <w:spacing w:line="480" w:lineRule="auto"/>
      </w:pPr>
      <w:r>
        <w:t xml:space="preserve">Arthur Marwick, The Deluge, Second </w:t>
      </w:r>
      <w:proofErr w:type="spellStart"/>
      <w:r>
        <w:t>edn</w:t>
      </w:r>
      <w:proofErr w:type="spellEnd"/>
      <w:r>
        <w:t xml:space="preserve"> (London: Macmillan Press Ltd, 1991)</w:t>
      </w:r>
    </w:p>
    <w:p w:rsidR="00495289" w:rsidRPr="00495289" w:rsidRDefault="00495289" w:rsidP="00495289">
      <w:pPr>
        <w:tabs>
          <w:tab w:val="left" w:pos="2625"/>
        </w:tabs>
        <w:spacing w:line="480" w:lineRule="auto"/>
        <w:rPr>
          <w:b/>
          <w:u w:val="single"/>
        </w:rPr>
      </w:pPr>
      <w:r w:rsidRPr="00495289">
        <w:rPr>
          <w:b/>
          <w:u w:val="single"/>
        </w:rPr>
        <w:t>JOURNALS</w:t>
      </w:r>
    </w:p>
    <w:p w:rsidR="00495289" w:rsidRDefault="00495289" w:rsidP="00495289">
      <w:pPr>
        <w:tabs>
          <w:tab w:val="left" w:pos="2625"/>
        </w:tabs>
        <w:spacing w:line="480" w:lineRule="auto"/>
      </w:pPr>
      <w:r>
        <w:t xml:space="preserve">Howard Weinroth, 'Norman Angell and the Great Illusion: An Episode in Pre-1914 Pacifism', </w:t>
      </w:r>
      <w:proofErr w:type="gramStart"/>
      <w:r>
        <w:t>The</w:t>
      </w:r>
      <w:proofErr w:type="gramEnd"/>
      <w:r>
        <w:t xml:space="preserve"> Historical Journal, 17.3, (1974)</w:t>
      </w:r>
    </w:p>
    <w:p w:rsidR="00495289" w:rsidRDefault="00495289" w:rsidP="00495289">
      <w:pPr>
        <w:tabs>
          <w:tab w:val="left" w:pos="2625"/>
        </w:tabs>
        <w:spacing w:line="480" w:lineRule="auto"/>
      </w:pPr>
      <w:r>
        <w:t>R.J.Q Adams, 'Asquith's Choice: The May Coalition and the Coming of Conscription 1915-1916', Chicago Journals, 25.3, (1986)</w:t>
      </w:r>
    </w:p>
    <w:p w:rsidR="00495289" w:rsidRDefault="00495289" w:rsidP="00495289">
      <w:pPr>
        <w:tabs>
          <w:tab w:val="left" w:pos="2625"/>
        </w:tabs>
        <w:spacing w:line="480" w:lineRule="auto"/>
      </w:pPr>
      <w:r>
        <w:t>P.E. Dewey, 'Military Recruiting and the British Labour Force during the First World War', Cambridge University Press, 27.1, (1984)</w:t>
      </w:r>
    </w:p>
    <w:p w:rsidR="00495289" w:rsidRDefault="00495289" w:rsidP="00495289">
      <w:pPr>
        <w:tabs>
          <w:tab w:val="left" w:pos="2625"/>
        </w:tabs>
        <w:spacing w:line="480" w:lineRule="auto"/>
      </w:pPr>
      <w:r>
        <w:t>Colin Veitch, 'Play up! Play up! And Win the War! Football, the Nation and the First World War 1914-1915', Journal of Contemporary History, 20.3, (1985)</w:t>
      </w:r>
    </w:p>
    <w:p w:rsidR="00495289" w:rsidRDefault="00495289" w:rsidP="00495289">
      <w:pPr>
        <w:tabs>
          <w:tab w:val="left" w:pos="2625"/>
        </w:tabs>
        <w:spacing w:line="480" w:lineRule="auto"/>
      </w:pPr>
      <w:r>
        <w:t xml:space="preserve">Nicoletta F. </w:t>
      </w:r>
      <w:proofErr w:type="spellStart"/>
      <w:r>
        <w:t>Gullace</w:t>
      </w:r>
      <w:proofErr w:type="spellEnd"/>
      <w:r>
        <w:t>, 'White Feathers and Wounded Men: Female Patriotism and the Memory of the Great War', Journal o</w:t>
      </w:r>
      <w:r>
        <w:t>f British Studies, 36.2, (1997)</w:t>
      </w:r>
    </w:p>
    <w:p w:rsidR="00495289" w:rsidRDefault="00495289" w:rsidP="00495289">
      <w:pPr>
        <w:tabs>
          <w:tab w:val="left" w:pos="2625"/>
        </w:tabs>
        <w:spacing w:line="480" w:lineRule="auto"/>
      </w:pPr>
    </w:p>
    <w:p w:rsidR="00495289" w:rsidRDefault="00495289" w:rsidP="00495289">
      <w:pPr>
        <w:tabs>
          <w:tab w:val="left" w:pos="2625"/>
        </w:tabs>
        <w:spacing w:line="480" w:lineRule="auto"/>
      </w:pPr>
    </w:p>
    <w:p w:rsidR="00495289" w:rsidRPr="00495289" w:rsidRDefault="00495289" w:rsidP="00495289">
      <w:pPr>
        <w:tabs>
          <w:tab w:val="left" w:pos="2625"/>
        </w:tabs>
        <w:spacing w:line="480" w:lineRule="auto"/>
      </w:pPr>
      <w:r w:rsidRPr="00495289">
        <w:rPr>
          <w:b/>
          <w:u w:val="single"/>
        </w:rPr>
        <w:lastRenderedPageBreak/>
        <w:t>WEBSITES</w:t>
      </w:r>
    </w:p>
    <w:p w:rsidR="00495289" w:rsidRDefault="00495289" w:rsidP="00495289">
      <w:pPr>
        <w:tabs>
          <w:tab w:val="left" w:pos="2625"/>
        </w:tabs>
        <w:spacing w:line="480" w:lineRule="auto"/>
      </w:pPr>
      <w:r>
        <w:t xml:space="preserve">Great War London, LONDON AND LONDONERS IN THE FIRST WORLD WAR () &lt;https://greatwarlondon.wordpress.com/2012/01/14/trafalgar-square-august-1914/&gt; </w:t>
      </w:r>
    </w:p>
    <w:p w:rsidR="00495289" w:rsidRDefault="00495289" w:rsidP="00495289">
      <w:pPr>
        <w:tabs>
          <w:tab w:val="left" w:pos="2625"/>
        </w:tabs>
        <w:spacing w:line="480" w:lineRule="auto"/>
      </w:pPr>
      <w:r>
        <w:t xml:space="preserve">Imperial War Museum, VOICES OF THE FIRST WORLD WAR: OVER BY CHRISTMAS (2018) &lt;https://www.iwm.org.uk/history/voices-of-the-first-world-war-over-by-christmas&gt; </w:t>
      </w:r>
    </w:p>
    <w:p w:rsidR="00495289" w:rsidRDefault="00495289"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AC7AD7" w:rsidRDefault="00AC7AD7" w:rsidP="001220B5">
      <w:pPr>
        <w:tabs>
          <w:tab w:val="left" w:pos="2625"/>
        </w:tabs>
        <w:spacing w:line="480" w:lineRule="auto"/>
      </w:pPr>
    </w:p>
    <w:p w:rsidR="001852BB" w:rsidRDefault="001852BB" w:rsidP="001220B5">
      <w:pPr>
        <w:tabs>
          <w:tab w:val="left" w:pos="2625"/>
        </w:tabs>
        <w:spacing w:line="480" w:lineRule="auto"/>
      </w:pPr>
    </w:p>
    <w:p w:rsidR="001852BB" w:rsidRDefault="001852BB" w:rsidP="001220B5">
      <w:pPr>
        <w:tabs>
          <w:tab w:val="left" w:pos="2625"/>
        </w:tabs>
        <w:spacing w:line="480" w:lineRule="auto"/>
      </w:pPr>
    </w:p>
    <w:p w:rsidR="00D420DA" w:rsidRPr="00C206B8" w:rsidRDefault="00D420DA" w:rsidP="00C206B8">
      <w:pPr>
        <w:tabs>
          <w:tab w:val="left" w:pos="2625"/>
        </w:tabs>
      </w:pPr>
    </w:p>
    <w:sectPr w:rsidR="00D420DA" w:rsidRPr="00C206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6CC9" w:rsidRDefault="00616CC9" w:rsidP="00C206B8">
      <w:pPr>
        <w:spacing w:after="0" w:line="240" w:lineRule="auto"/>
      </w:pPr>
      <w:r>
        <w:separator/>
      </w:r>
    </w:p>
  </w:endnote>
  <w:endnote w:type="continuationSeparator" w:id="0">
    <w:p w:rsidR="00616CC9" w:rsidRDefault="00616CC9" w:rsidP="00C20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6CC9" w:rsidRDefault="00616CC9" w:rsidP="00C206B8">
      <w:pPr>
        <w:spacing w:after="0" w:line="240" w:lineRule="auto"/>
      </w:pPr>
      <w:r>
        <w:separator/>
      </w:r>
    </w:p>
  </w:footnote>
  <w:footnote w:type="continuationSeparator" w:id="0">
    <w:p w:rsidR="00616CC9" w:rsidRDefault="00616CC9" w:rsidP="00C206B8">
      <w:pPr>
        <w:spacing w:after="0" w:line="240" w:lineRule="auto"/>
      </w:pPr>
      <w:r>
        <w:continuationSeparator/>
      </w:r>
    </w:p>
  </w:footnote>
  <w:footnote w:id="1">
    <w:p w:rsidR="000516FF" w:rsidRDefault="000516FF">
      <w:pPr>
        <w:pStyle w:val="FootnoteText"/>
      </w:pPr>
      <w:r>
        <w:rPr>
          <w:rStyle w:val="FootnoteReference"/>
        </w:rPr>
        <w:footnoteRef/>
      </w:r>
      <w:r>
        <w:t xml:space="preserve"> </w:t>
      </w:r>
      <w:r w:rsidRPr="000516FF">
        <w:t xml:space="preserve">Howard Weinroth, 'Norman Angell and the Great Illusion: An Episode in Pre-1914 Pacifism', </w:t>
      </w:r>
      <w:proofErr w:type="gramStart"/>
      <w:r w:rsidRPr="000516FF">
        <w:t>The</w:t>
      </w:r>
      <w:proofErr w:type="gramEnd"/>
      <w:r w:rsidRPr="000516FF">
        <w:t xml:space="preserve"> Historical Journal, 17.3, (1974), 551-574 (p. 553).</w:t>
      </w:r>
    </w:p>
  </w:footnote>
  <w:footnote w:id="2">
    <w:p w:rsidR="005F4488" w:rsidRDefault="005F4488">
      <w:pPr>
        <w:pStyle w:val="FootnoteText"/>
      </w:pPr>
      <w:r>
        <w:rPr>
          <w:rStyle w:val="FootnoteReference"/>
        </w:rPr>
        <w:footnoteRef/>
      </w:r>
      <w:r>
        <w:t xml:space="preserve"> Ibid. p. 551</w:t>
      </w:r>
    </w:p>
  </w:footnote>
  <w:footnote w:id="3">
    <w:p w:rsidR="00CF0CC9" w:rsidRDefault="00CF0CC9">
      <w:pPr>
        <w:pStyle w:val="FootnoteText"/>
      </w:pPr>
      <w:r>
        <w:rPr>
          <w:rStyle w:val="FootnoteReference"/>
        </w:rPr>
        <w:footnoteRef/>
      </w:r>
      <w:r>
        <w:t xml:space="preserve"> </w:t>
      </w:r>
      <w:r w:rsidR="002144D8" w:rsidRPr="002144D8">
        <w:t>Arthur Marwick, War, Peac</w:t>
      </w:r>
      <w:r w:rsidR="000B097B">
        <w:t>e and Social Change, ed. by Wend</w:t>
      </w:r>
      <w:r w:rsidR="002144D8" w:rsidRPr="002144D8">
        <w:t xml:space="preserve">y Simpson, Documents1 1900-1929 </w:t>
      </w:r>
      <w:proofErr w:type="spellStart"/>
      <w:r w:rsidR="002144D8" w:rsidRPr="002144D8">
        <w:t>edn</w:t>
      </w:r>
      <w:proofErr w:type="spellEnd"/>
      <w:r w:rsidR="002144D8" w:rsidRPr="002144D8">
        <w:t xml:space="preserve"> ([</w:t>
      </w:r>
      <w:proofErr w:type="spellStart"/>
      <w:proofErr w:type="gramStart"/>
      <w:r w:rsidR="002144D8" w:rsidRPr="002144D8">
        <w:t>n.p</w:t>
      </w:r>
      <w:proofErr w:type="spellEnd"/>
      <w:proofErr w:type="gramEnd"/>
      <w:r w:rsidR="002144D8" w:rsidRPr="002144D8">
        <w:t>.]: Open University Press, 1990), p. 3-4.</w:t>
      </w:r>
    </w:p>
  </w:footnote>
  <w:footnote w:id="4">
    <w:p w:rsidR="00E51D86" w:rsidRDefault="00E51D86">
      <w:pPr>
        <w:pStyle w:val="FootnoteText"/>
      </w:pPr>
      <w:r>
        <w:rPr>
          <w:rStyle w:val="FootnoteReference"/>
        </w:rPr>
        <w:footnoteRef/>
      </w:r>
      <w:r>
        <w:t xml:space="preserve"> Ibid. p. 3-4</w:t>
      </w:r>
    </w:p>
  </w:footnote>
  <w:footnote w:id="5">
    <w:p w:rsidR="0093718E" w:rsidRDefault="0093718E">
      <w:pPr>
        <w:pStyle w:val="FootnoteText"/>
      </w:pPr>
      <w:r>
        <w:rPr>
          <w:rStyle w:val="FootnoteReference"/>
        </w:rPr>
        <w:footnoteRef/>
      </w:r>
      <w:r>
        <w:t xml:space="preserve"> </w:t>
      </w:r>
      <w:r w:rsidRPr="0093718E">
        <w:t>Ibid. p. 3-4</w:t>
      </w:r>
    </w:p>
  </w:footnote>
  <w:footnote w:id="6">
    <w:p w:rsidR="00797A78" w:rsidRDefault="00797A78">
      <w:pPr>
        <w:pStyle w:val="FootnoteText"/>
      </w:pPr>
      <w:r>
        <w:rPr>
          <w:rStyle w:val="FootnoteReference"/>
        </w:rPr>
        <w:footnoteRef/>
      </w:r>
      <w:r>
        <w:t xml:space="preserve"> </w:t>
      </w:r>
      <w:proofErr w:type="gramStart"/>
      <w:r w:rsidRPr="00797A78">
        <w:t>Great War London, LONDON AND LONDONERS IN THE FIRST WORLD WAR () &lt;https://greatwarlondon.wordpress.com/2012/01/14/trafalgar-square-august-1914/&gt; [accessed 6 November 2019].</w:t>
      </w:r>
      <w:proofErr w:type="gramEnd"/>
    </w:p>
  </w:footnote>
  <w:footnote w:id="7">
    <w:p w:rsidR="00B73FEB" w:rsidRDefault="00B73FEB">
      <w:pPr>
        <w:pStyle w:val="FootnoteText"/>
      </w:pPr>
      <w:r>
        <w:rPr>
          <w:rStyle w:val="FootnoteReference"/>
        </w:rPr>
        <w:footnoteRef/>
      </w:r>
      <w:r>
        <w:t xml:space="preserve"> </w:t>
      </w:r>
      <w:r w:rsidRPr="00B73FEB">
        <w:t>Alan G V Simmonds, Britain and World War One (Oxon: Routledge, 2012), p. 262.</w:t>
      </w:r>
    </w:p>
  </w:footnote>
  <w:footnote w:id="8">
    <w:p w:rsidR="004F726B" w:rsidRDefault="004F726B">
      <w:pPr>
        <w:pStyle w:val="FootnoteText"/>
      </w:pPr>
      <w:r>
        <w:rPr>
          <w:rStyle w:val="FootnoteReference"/>
        </w:rPr>
        <w:footnoteRef/>
      </w:r>
      <w:r>
        <w:t xml:space="preserve"> </w:t>
      </w:r>
      <w:proofErr w:type="gramStart"/>
      <w:r w:rsidRPr="004F726B">
        <w:t xml:space="preserve">Gerard J. </w:t>
      </w:r>
      <w:proofErr w:type="spellStart"/>
      <w:r w:rsidRPr="004F726B">
        <w:t>DeGroot</w:t>
      </w:r>
      <w:proofErr w:type="spellEnd"/>
      <w:r w:rsidRPr="004F726B">
        <w:t xml:space="preserve">, </w:t>
      </w:r>
      <w:proofErr w:type="spellStart"/>
      <w:r w:rsidRPr="004F726B">
        <w:t>Blighty</w:t>
      </w:r>
      <w:proofErr w:type="spellEnd"/>
      <w:r w:rsidRPr="004F726B">
        <w:t>.</w:t>
      </w:r>
      <w:proofErr w:type="gramEnd"/>
      <w:r w:rsidRPr="004F726B">
        <w:t xml:space="preserve"> British Society in the Era of the Great War (Essex: Addison Wesley Longman Limited, 1996), p. 13.</w:t>
      </w:r>
    </w:p>
  </w:footnote>
  <w:footnote w:id="9">
    <w:p w:rsidR="00372B39" w:rsidRDefault="00372B39">
      <w:pPr>
        <w:pStyle w:val="FootnoteText"/>
      </w:pPr>
      <w:r>
        <w:rPr>
          <w:rStyle w:val="FootnoteReference"/>
        </w:rPr>
        <w:footnoteRef/>
      </w:r>
      <w:r>
        <w:t xml:space="preserve"> </w:t>
      </w:r>
      <w:r w:rsidRPr="00372B39">
        <w:t>Imperial War Museum, VOICES OF THE FIRST WORLD WAR: OVER BY CHRISTMAS (2018) &lt;https://www.iwm.org.uk/history/voices-of-the-first-world-war-over-by-christmas&gt; [accessed 5 November 2019].</w:t>
      </w:r>
    </w:p>
  </w:footnote>
  <w:footnote w:id="10">
    <w:p w:rsidR="00FB4156" w:rsidRDefault="00FB4156">
      <w:pPr>
        <w:pStyle w:val="FootnoteText"/>
      </w:pPr>
      <w:r>
        <w:rPr>
          <w:rStyle w:val="FootnoteReference"/>
        </w:rPr>
        <w:footnoteRef/>
      </w:r>
      <w:r>
        <w:t xml:space="preserve"> </w:t>
      </w:r>
      <w:r w:rsidRPr="00FB4156">
        <w:t>R.J.Q Adams, 'Asquith's Choice: The May Coalition and the Coming of Conscription 1915-1916', Chicago Journals, 25.3, (1986), 20 (p. 247).</w:t>
      </w:r>
    </w:p>
  </w:footnote>
  <w:footnote w:id="11">
    <w:p w:rsidR="00B53AE1" w:rsidRDefault="00B53AE1">
      <w:pPr>
        <w:pStyle w:val="FootnoteText"/>
      </w:pPr>
      <w:r>
        <w:rPr>
          <w:rStyle w:val="FootnoteReference"/>
        </w:rPr>
        <w:footnoteRef/>
      </w:r>
      <w:r>
        <w:t xml:space="preserve"> </w:t>
      </w:r>
      <w:r w:rsidRPr="00B53AE1">
        <w:t>P.E. Dewey, 'Military Recruiting and the British Labour Force during the First World War', Cambridge University Press, 27.1, (1984), 24 (p. 200).</w:t>
      </w:r>
    </w:p>
  </w:footnote>
  <w:footnote w:id="12">
    <w:p w:rsidR="003F378C" w:rsidRDefault="003F378C">
      <w:pPr>
        <w:pStyle w:val="FootnoteText"/>
      </w:pPr>
      <w:r>
        <w:rPr>
          <w:rStyle w:val="FootnoteReference"/>
        </w:rPr>
        <w:footnoteRef/>
      </w:r>
      <w:r>
        <w:t xml:space="preserve"> </w:t>
      </w:r>
      <w:proofErr w:type="gramStart"/>
      <w:r w:rsidRPr="003F378C">
        <w:t xml:space="preserve">Gerard J. </w:t>
      </w:r>
      <w:proofErr w:type="spellStart"/>
      <w:r w:rsidRPr="003F378C">
        <w:t>DeGroot</w:t>
      </w:r>
      <w:proofErr w:type="spellEnd"/>
      <w:r w:rsidRPr="003F378C">
        <w:t xml:space="preserve">, </w:t>
      </w:r>
      <w:proofErr w:type="spellStart"/>
      <w:r w:rsidRPr="003F378C">
        <w:t>Blighty</w:t>
      </w:r>
      <w:proofErr w:type="spellEnd"/>
      <w:r w:rsidRPr="003F378C">
        <w:t>.</w:t>
      </w:r>
      <w:proofErr w:type="gramEnd"/>
      <w:r w:rsidRPr="003F378C">
        <w:t xml:space="preserve"> British Society in the Era of the Great War (Essex: Addison Wesl</w:t>
      </w:r>
      <w:r>
        <w:t>ey Longman Limited, 1996), p.50</w:t>
      </w:r>
      <w:r w:rsidRPr="003F378C">
        <w:t>.</w:t>
      </w:r>
    </w:p>
  </w:footnote>
  <w:footnote w:id="13">
    <w:p w:rsidR="00883DDA" w:rsidRDefault="00883DDA">
      <w:pPr>
        <w:pStyle w:val="FootnoteText"/>
      </w:pPr>
      <w:r>
        <w:rPr>
          <w:rStyle w:val="FootnoteReference"/>
        </w:rPr>
        <w:footnoteRef/>
      </w:r>
      <w:r>
        <w:t xml:space="preserve"> </w:t>
      </w:r>
      <w:r w:rsidRPr="00883DDA">
        <w:t>Colin Veitch, 'Play up! Play up! And Win the War! Football, the Nation and the First World War 1914-1915', Journal of Contemporary History, 20.3, (1985), 15 (p. 364).</w:t>
      </w:r>
    </w:p>
  </w:footnote>
  <w:footnote w:id="14">
    <w:p w:rsidR="00905737" w:rsidRDefault="00905737">
      <w:pPr>
        <w:pStyle w:val="FootnoteText"/>
      </w:pPr>
      <w:r>
        <w:rPr>
          <w:rStyle w:val="FootnoteReference"/>
        </w:rPr>
        <w:footnoteRef/>
      </w:r>
      <w:r>
        <w:t xml:space="preserve"> Ibid. p. 375</w:t>
      </w:r>
    </w:p>
  </w:footnote>
  <w:footnote w:id="15">
    <w:p w:rsidR="00E96E57" w:rsidRDefault="00E96E57">
      <w:pPr>
        <w:pStyle w:val="FootnoteText"/>
      </w:pPr>
      <w:r>
        <w:rPr>
          <w:rStyle w:val="FootnoteReference"/>
        </w:rPr>
        <w:footnoteRef/>
      </w:r>
      <w:r>
        <w:t xml:space="preserve"> </w:t>
      </w:r>
      <w:proofErr w:type="gramStart"/>
      <w:r w:rsidRPr="00E96E57">
        <w:t xml:space="preserve">Gerard J. </w:t>
      </w:r>
      <w:proofErr w:type="spellStart"/>
      <w:r w:rsidRPr="00E96E57">
        <w:t>DeGroot</w:t>
      </w:r>
      <w:proofErr w:type="spellEnd"/>
      <w:r w:rsidRPr="00E96E57">
        <w:t xml:space="preserve">, </w:t>
      </w:r>
      <w:proofErr w:type="spellStart"/>
      <w:r w:rsidRPr="00E96E57">
        <w:t>Blighty</w:t>
      </w:r>
      <w:proofErr w:type="spellEnd"/>
      <w:r w:rsidRPr="00E96E57">
        <w:t>.</w:t>
      </w:r>
      <w:proofErr w:type="gramEnd"/>
      <w:r w:rsidRPr="00E96E57">
        <w:t xml:space="preserve"> British Society in the Era of the Great War (Essex: Addison Wesley Longman Limited, 1996), p.50.</w:t>
      </w:r>
    </w:p>
  </w:footnote>
  <w:footnote w:id="16">
    <w:p w:rsidR="00093185" w:rsidRDefault="00093185">
      <w:pPr>
        <w:pStyle w:val="FootnoteText"/>
      </w:pPr>
      <w:r>
        <w:rPr>
          <w:rStyle w:val="FootnoteReference"/>
        </w:rPr>
        <w:footnoteRef/>
      </w:r>
      <w:r>
        <w:t xml:space="preserve"> Ibid. p. 49</w:t>
      </w:r>
    </w:p>
  </w:footnote>
  <w:footnote w:id="17">
    <w:p w:rsidR="00584B48" w:rsidRDefault="00584B48">
      <w:pPr>
        <w:pStyle w:val="FootnoteText"/>
      </w:pPr>
      <w:r>
        <w:rPr>
          <w:rStyle w:val="FootnoteReference"/>
        </w:rPr>
        <w:footnoteRef/>
      </w:r>
      <w:r>
        <w:t xml:space="preserve"> Ibid. p. 51</w:t>
      </w:r>
    </w:p>
  </w:footnote>
  <w:footnote w:id="18">
    <w:p w:rsidR="00534AFC" w:rsidRDefault="00534AFC">
      <w:pPr>
        <w:pStyle w:val="FootnoteText"/>
      </w:pPr>
      <w:r>
        <w:rPr>
          <w:rStyle w:val="FootnoteReference"/>
        </w:rPr>
        <w:footnoteRef/>
      </w:r>
      <w:r>
        <w:t xml:space="preserve"> </w:t>
      </w:r>
      <w:r w:rsidRPr="00534AFC">
        <w:t xml:space="preserve">Arthur Marwick, The Deluge, Second </w:t>
      </w:r>
      <w:proofErr w:type="spellStart"/>
      <w:r w:rsidRPr="00534AFC">
        <w:t>edn</w:t>
      </w:r>
      <w:proofErr w:type="spellEnd"/>
      <w:r w:rsidRPr="00534AFC">
        <w:t xml:space="preserve"> (London: Macmillan Press Ltd, 1991), p. 90.</w:t>
      </w:r>
    </w:p>
  </w:footnote>
  <w:footnote w:id="19">
    <w:p w:rsidR="00E93D1F" w:rsidRDefault="00E93D1F">
      <w:pPr>
        <w:pStyle w:val="FootnoteText"/>
      </w:pPr>
      <w:r>
        <w:rPr>
          <w:rStyle w:val="FootnoteReference"/>
        </w:rPr>
        <w:footnoteRef/>
      </w:r>
      <w:r>
        <w:t xml:space="preserve"> </w:t>
      </w:r>
      <w:r w:rsidRPr="00E93D1F">
        <w:t xml:space="preserve">Nicoletta F. </w:t>
      </w:r>
      <w:proofErr w:type="spellStart"/>
      <w:r w:rsidRPr="00E93D1F">
        <w:t>Gullace</w:t>
      </w:r>
      <w:proofErr w:type="spellEnd"/>
      <w:r w:rsidRPr="00E93D1F">
        <w:t>, 'White Feathers and Wounded Men: Female Patriotism and the Memory of the Great War', Journal of British Studies, 36.2, (1997), 28 (p. 179).</w:t>
      </w:r>
    </w:p>
  </w:footnote>
  <w:footnote w:id="20">
    <w:p w:rsidR="001852BB" w:rsidRDefault="001852BB">
      <w:pPr>
        <w:pStyle w:val="FootnoteText"/>
      </w:pPr>
      <w:r>
        <w:rPr>
          <w:rStyle w:val="FootnoteReference"/>
        </w:rPr>
        <w:footnoteRef/>
      </w:r>
      <w:r>
        <w:t xml:space="preserve"> </w:t>
      </w:r>
      <w:proofErr w:type="gramStart"/>
      <w:r w:rsidRPr="001852BB">
        <w:t xml:space="preserve">Gerard J. </w:t>
      </w:r>
      <w:proofErr w:type="spellStart"/>
      <w:r w:rsidRPr="001852BB">
        <w:t>DeGroot</w:t>
      </w:r>
      <w:proofErr w:type="spellEnd"/>
      <w:r w:rsidRPr="001852BB">
        <w:t xml:space="preserve">, </w:t>
      </w:r>
      <w:proofErr w:type="spellStart"/>
      <w:r w:rsidRPr="001852BB">
        <w:t>Blighty</w:t>
      </w:r>
      <w:proofErr w:type="spellEnd"/>
      <w:r w:rsidRPr="001852BB">
        <w:t>.</w:t>
      </w:r>
      <w:proofErr w:type="gramEnd"/>
      <w:r w:rsidRPr="001852BB">
        <w:t xml:space="preserve"> British Society in the Era of the Great War (Essex: Addison Wes</w:t>
      </w:r>
      <w:r>
        <w:t>ley Longman Limited, 1996), p.51</w:t>
      </w:r>
      <w:r w:rsidRPr="001852BB">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06B8"/>
    <w:rsid w:val="000516FF"/>
    <w:rsid w:val="00060F70"/>
    <w:rsid w:val="000819FF"/>
    <w:rsid w:val="00093185"/>
    <w:rsid w:val="000B097B"/>
    <w:rsid w:val="000E29E9"/>
    <w:rsid w:val="000F051E"/>
    <w:rsid w:val="001220B5"/>
    <w:rsid w:val="001852BB"/>
    <w:rsid w:val="00205CCF"/>
    <w:rsid w:val="002144D8"/>
    <w:rsid w:val="0028096A"/>
    <w:rsid w:val="00372B39"/>
    <w:rsid w:val="003A0B6D"/>
    <w:rsid w:val="003F378C"/>
    <w:rsid w:val="00425223"/>
    <w:rsid w:val="00495289"/>
    <w:rsid w:val="004A3F42"/>
    <w:rsid w:val="004E7ACF"/>
    <w:rsid w:val="004F726B"/>
    <w:rsid w:val="00512A3A"/>
    <w:rsid w:val="005139B1"/>
    <w:rsid w:val="00534AFC"/>
    <w:rsid w:val="005812B4"/>
    <w:rsid w:val="00584B48"/>
    <w:rsid w:val="005A4A86"/>
    <w:rsid w:val="005F4488"/>
    <w:rsid w:val="006078B8"/>
    <w:rsid w:val="00616CC9"/>
    <w:rsid w:val="00641726"/>
    <w:rsid w:val="00671F4C"/>
    <w:rsid w:val="00725E44"/>
    <w:rsid w:val="00770B95"/>
    <w:rsid w:val="00797A78"/>
    <w:rsid w:val="007C3D3E"/>
    <w:rsid w:val="00852161"/>
    <w:rsid w:val="00883DDA"/>
    <w:rsid w:val="00905737"/>
    <w:rsid w:val="0093718E"/>
    <w:rsid w:val="00942EC3"/>
    <w:rsid w:val="00993347"/>
    <w:rsid w:val="009A5175"/>
    <w:rsid w:val="009C40CA"/>
    <w:rsid w:val="009D0F7C"/>
    <w:rsid w:val="009E6CA7"/>
    <w:rsid w:val="00A83D8E"/>
    <w:rsid w:val="00AB6B96"/>
    <w:rsid w:val="00AC7AD7"/>
    <w:rsid w:val="00B53AE1"/>
    <w:rsid w:val="00B73FEB"/>
    <w:rsid w:val="00B74098"/>
    <w:rsid w:val="00BA2B31"/>
    <w:rsid w:val="00BC13D1"/>
    <w:rsid w:val="00C206B8"/>
    <w:rsid w:val="00C542A3"/>
    <w:rsid w:val="00CE7415"/>
    <w:rsid w:val="00CF0CC9"/>
    <w:rsid w:val="00D420DA"/>
    <w:rsid w:val="00D4711F"/>
    <w:rsid w:val="00DE52F8"/>
    <w:rsid w:val="00E00007"/>
    <w:rsid w:val="00E40020"/>
    <w:rsid w:val="00E51D86"/>
    <w:rsid w:val="00E93D1F"/>
    <w:rsid w:val="00E96E57"/>
    <w:rsid w:val="00EC396B"/>
    <w:rsid w:val="00EE136D"/>
    <w:rsid w:val="00F00822"/>
    <w:rsid w:val="00F64023"/>
    <w:rsid w:val="00F75B6E"/>
    <w:rsid w:val="00F83FDF"/>
    <w:rsid w:val="00FA0117"/>
    <w:rsid w:val="00FB080A"/>
    <w:rsid w:val="00FB4156"/>
    <w:rsid w:val="00FC3141"/>
    <w:rsid w:val="00FD5376"/>
    <w:rsid w:val="00FE3C91"/>
    <w:rsid w:val="00FF5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6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6B8"/>
    <w:rPr>
      <w:rFonts w:ascii="Tahoma" w:hAnsi="Tahoma" w:cs="Tahoma"/>
      <w:sz w:val="16"/>
      <w:szCs w:val="16"/>
    </w:rPr>
  </w:style>
  <w:style w:type="paragraph" w:styleId="Header">
    <w:name w:val="header"/>
    <w:basedOn w:val="Normal"/>
    <w:link w:val="HeaderChar"/>
    <w:uiPriority w:val="99"/>
    <w:unhideWhenUsed/>
    <w:rsid w:val="00C20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6B8"/>
  </w:style>
  <w:style w:type="paragraph" w:styleId="Footer">
    <w:name w:val="footer"/>
    <w:basedOn w:val="Normal"/>
    <w:link w:val="FooterChar"/>
    <w:uiPriority w:val="99"/>
    <w:unhideWhenUsed/>
    <w:rsid w:val="00C20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6B8"/>
  </w:style>
  <w:style w:type="paragraph" w:styleId="FootnoteText">
    <w:name w:val="footnote text"/>
    <w:basedOn w:val="Normal"/>
    <w:link w:val="FootnoteTextChar"/>
    <w:uiPriority w:val="99"/>
    <w:semiHidden/>
    <w:unhideWhenUsed/>
    <w:rsid w:val="000516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16FF"/>
    <w:rPr>
      <w:sz w:val="20"/>
      <w:szCs w:val="20"/>
    </w:rPr>
  </w:style>
  <w:style w:type="character" w:styleId="FootnoteReference">
    <w:name w:val="footnote reference"/>
    <w:basedOn w:val="DefaultParagraphFont"/>
    <w:uiPriority w:val="99"/>
    <w:semiHidden/>
    <w:unhideWhenUsed/>
    <w:rsid w:val="000516FF"/>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6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6B8"/>
    <w:rPr>
      <w:rFonts w:ascii="Tahoma" w:hAnsi="Tahoma" w:cs="Tahoma"/>
      <w:sz w:val="16"/>
      <w:szCs w:val="16"/>
    </w:rPr>
  </w:style>
  <w:style w:type="paragraph" w:styleId="Header">
    <w:name w:val="header"/>
    <w:basedOn w:val="Normal"/>
    <w:link w:val="HeaderChar"/>
    <w:uiPriority w:val="99"/>
    <w:unhideWhenUsed/>
    <w:rsid w:val="00C20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6B8"/>
  </w:style>
  <w:style w:type="paragraph" w:styleId="Footer">
    <w:name w:val="footer"/>
    <w:basedOn w:val="Normal"/>
    <w:link w:val="FooterChar"/>
    <w:uiPriority w:val="99"/>
    <w:unhideWhenUsed/>
    <w:rsid w:val="00C20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6B8"/>
  </w:style>
  <w:style w:type="paragraph" w:styleId="FootnoteText">
    <w:name w:val="footnote text"/>
    <w:basedOn w:val="Normal"/>
    <w:link w:val="FootnoteTextChar"/>
    <w:uiPriority w:val="99"/>
    <w:semiHidden/>
    <w:unhideWhenUsed/>
    <w:rsid w:val="000516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16FF"/>
    <w:rPr>
      <w:sz w:val="20"/>
      <w:szCs w:val="20"/>
    </w:rPr>
  </w:style>
  <w:style w:type="character" w:styleId="FootnoteReference">
    <w:name w:val="footnote reference"/>
    <w:basedOn w:val="DefaultParagraphFont"/>
    <w:uiPriority w:val="99"/>
    <w:semiHidden/>
    <w:unhideWhenUsed/>
    <w:rsid w:val="000516F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6B3A7-CFF3-4944-BD3A-F5336D831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2068</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cp:lastPrinted>2019-11-14T19:05:00Z</cp:lastPrinted>
  <dcterms:created xsi:type="dcterms:W3CDTF">2019-11-15T14:00:00Z</dcterms:created>
  <dcterms:modified xsi:type="dcterms:W3CDTF">2019-11-15T14:00:00Z</dcterms:modified>
</cp:coreProperties>
</file>