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E8814">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drawing>
          <wp:inline distT="0" distB="0" distL="114300" distR="114300">
            <wp:extent cx="2543175" cy="1409700"/>
            <wp:effectExtent l="0" t="0" r="22225" b="1270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7"/>
                    <a:stretch>
                      <a:fillRect/>
                    </a:stretch>
                  </pic:blipFill>
                  <pic:spPr>
                    <a:xfrm>
                      <a:off x="0" y="0"/>
                      <a:ext cx="2543175" cy="1409700"/>
                    </a:xfrm>
                    <a:prstGeom prst="rect">
                      <a:avLst/>
                    </a:prstGeom>
                    <a:noFill/>
                    <a:ln w="9525">
                      <a:noFill/>
                    </a:ln>
                  </pic:spPr>
                </pic:pic>
              </a:graphicData>
            </a:graphic>
          </wp:inline>
        </w:drawing>
      </w:r>
    </w:p>
    <w:p w14:paraId="291B905F">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lang w:val="de-DE"/>
        </w:rPr>
        <w:t>Program: Master of Business Administration</w:t>
      </w:r>
    </w:p>
    <w:p w14:paraId="4B363D36">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Assessment 1</w:t>
      </w:r>
    </w:p>
    <w:p w14:paraId="66CC65FC">
      <w:pPr>
        <w:keepNext w:val="0"/>
        <w:keepLines w:val="0"/>
        <w:widowControl/>
        <w:numPr>
          <w:numId w:val="0"/>
        </w:numPr>
        <w:suppressLineNumbers w:val="0"/>
        <w:spacing w:before="0" w:beforeAutospacing="1" w:after="0" w:afterAutospacing="1"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sz w:val="24"/>
          <w:szCs w:val="24"/>
          <w:lang w:val="de-DE"/>
        </w:rPr>
        <w:t xml:space="preserve">Title: </w:t>
      </w:r>
      <w:r>
        <w:rPr>
          <w:rStyle w:val="12"/>
          <w:rFonts w:hint="default" w:ascii="Arial Regular" w:hAnsi="Arial Regular" w:cs="Arial Regular"/>
          <w:b w:val="0"/>
          <w:bCs w:val="0"/>
          <w:sz w:val="24"/>
          <w:szCs w:val="24"/>
        </w:rPr>
        <w:t>Comprehensive Strategic Management Analysis of Tesco PLC</w:t>
      </w:r>
    </w:p>
    <w:p w14:paraId="23341151">
      <w:pPr>
        <w:keepNext w:val="0"/>
        <w:keepLines w:val="0"/>
        <w:widowControl/>
        <w:numPr>
          <w:numId w:val="0"/>
        </w:numPr>
        <w:suppressLineNumbers w:val="0"/>
        <w:spacing w:before="0" w:beforeAutospacing="1" w:after="0" w:afterAutospacing="1" w:line="360" w:lineRule="auto"/>
        <w:jc w:val="center"/>
        <w:rPr>
          <w:rFonts w:hint="default" w:ascii="Arial Regular" w:hAnsi="Arial Regular" w:cs="Arial Regular"/>
          <w:b w:val="0"/>
          <w:bCs w:val="0"/>
          <w:sz w:val="24"/>
          <w:szCs w:val="24"/>
          <w:lang w:val="de-DE"/>
        </w:rPr>
      </w:pPr>
    </w:p>
    <w:p w14:paraId="1CFC4EA8">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Name: Anika Ayub</w:t>
      </w:r>
    </w:p>
    <w:p w14:paraId="6E102626">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rPr>
      </w:pPr>
      <w:r>
        <w:rPr>
          <w:rFonts w:hint="default" w:ascii="Arial Regular" w:hAnsi="Arial Regular" w:cs="Arial Regular"/>
          <w:b w:val="0"/>
          <w:bCs w:val="0"/>
          <w:i w:val="0"/>
          <w:iCs w:val="0"/>
          <w:color w:val="000000"/>
          <w:sz w:val="24"/>
          <w:szCs w:val="24"/>
          <w:u w:val="none"/>
          <w:vertAlign w:val="baseline"/>
        </w:rPr>
        <w:t>Student ID: 2504343</w:t>
      </w:r>
    </w:p>
    <w:p w14:paraId="57079439">
      <w:pPr>
        <w:keepNext w:val="0"/>
        <w:keepLines w:val="0"/>
        <w:widowControl/>
        <w:suppressLineNumbers w:val="0"/>
        <w:spacing w:line="360" w:lineRule="auto"/>
        <w:jc w:val="center"/>
        <w:rPr>
          <w:rFonts w:hint="default" w:ascii="Arial Regular" w:hAnsi="Arial Regular" w:cs="Arial Regular"/>
          <w:b w:val="0"/>
          <w:bCs w:val="0"/>
          <w:sz w:val="24"/>
          <w:szCs w:val="24"/>
        </w:rPr>
      </w:pPr>
    </w:p>
    <w:p w14:paraId="4A46CB4D">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i w:val="0"/>
          <w:iCs w:val="0"/>
          <w:color w:val="000000"/>
          <w:sz w:val="24"/>
          <w:szCs w:val="24"/>
          <w:u w:val="none"/>
          <w:vertAlign w:val="baseline"/>
          <w:lang w:val="de-DE"/>
        </w:rPr>
      </w:pPr>
      <w:r>
        <w:rPr>
          <w:rFonts w:hint="default" w:ascii="Arial Regular" w:hAnsi="Arial Regular" w:cs="Arial Regular"/>
          <w:b w:val="0"/>
          <w:bCs w:val="0"/>
          <w:i w:val="0"/>
          <w:iCs w:val="0"/>
          <w:color w:val="000000"/>
          <w:sz w:val="24"/>
          <w:szCs w:val="24"/>
          <w:u w:val="none"/>
          <w:vertAlign w:val="baseline"/>
        </w:rPr>
        <w:t xml:space="preserve">Module Name: </w:t>
      </w:r>
      <w:r>
        <w:rPr>
          <w:rFonts w:hint="default" w:ascii="Arial Regular" w:hAnsi="Arial Regular" w:cs="Arial Regular"/>
          <w:b w:val="0"/>
          <w:bCs w:val="0"/>
          <w:i w:val="0"/>
          <w:iCs w:val="0"/>
          <w:color w:val="000000"/>
          <w:sz w:val="24"/>
          <w:szCs w:val="24"/>
          <w:u w:val="none"/>
          <w:vertAlign w:val="baseline"/>
          <w:lang w:val="de-DE"/>
        </w:rPr>
        <w:t>Strategic Management</w:t>
      </w:r>
    </w:p>
    <w:p w14:paraId="42D54EC4">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Module Code: </w:t>
      </w:r>
      <w:r>
        <w:rPr>
          <w:rFonts w:hint="default" w:ascii="Arial Regular" w:hAnsi="Arial Regular" w:cs="Arial Regular"/>
          <w:b w:val="0"/>
          <w:bCs w:val="0"/>
          <w:i w:val="0"/>
          <w:iCs w:val="0"/>
          <w:color w:val="000000"/>
          <w:sz w:val="24"/>
          <w:szCs w:val="24"/>
          <w:u w:val="none"/>
          <w:vertAlign w:val="baseline"/>
          <w:lang w:val="de-DE"/>
        </w:rPr>
        <w:t>LCMB7003</w:t>
      </w:r>
    </w:p>
    <w:p w14:paraId="0723BD3D">
      <w:pPr>
        <w:keepNext w:val="0"/>
        <w:keepLines w:val="0"/>
        <w:widowControl/>
        <w:suppressLineNumbers w:val="0"/>
        <w:spacing w:line="360" w:lineRule="auto"/>
        <w:jc w:val="center"/>
        <w:rPr>
          <w:rFonts w:hint="default" w:ascii="Arial Regular" w:hAnsi="Arial Regular" w:cs="Arial Regular"/>
          <w:b w:val="0"/>
          <w:bCs w:val="0"/>
          <w:sz w:val="24"/>
          <w:szCs w:val="24"/>
        </w:rPr>
      </w:pPr>
    </w:p>
    <w:p w14:paraId="487C8474">
      <w:pPr>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Lecturer’s Name: </w:t>
      </w:r>
      <w:r>
        <w:rPr>
          <w:rFonts w:hint="default" w:ascii="Arial Regular" w:hAnsi="Arial Regular" w:cs="Arial Regular"/>
          <w:sz w:val="24"/>
          <w:szCs w:val="24"/>
        </w:rPr>
        <w:t>Andry Rakotovololona</w:t>
      </w:r>
    </w:p>
    <w:p w14:paraId="16D26849">
      <w:pPr>
        <w:keepNext w:val="0"/>
        <w:keepLines w:val="0"/>
        <w:widowControl/>
        <w:suppressLineNumbers w:val="0"/>
        <w:spacing w:line="360" w:lineRule="auto"/>
        <w:jc w:val="center"/>
        <w:rPr>
          <w:rFonts w:hint="default" w:ascii="Arial Regular" w:hAnsi="Arial Regular" w:cs="Arial Regular"/>
          <w:b w:val="0"/>
          <w:bCs w:val="0"/>
          <w:sz w:val="24"/>
          <w:szCs w:val="24"/>
        </w:rPr>
      </w:pPr>
    </w:p>
    <w:p w14:paraId="0D5E77E2">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Word Count</w:t>
      </w:r>
      <w:r>
        <w:rPr>
          <w:rFonts w:hint="default" w:ascii="Arial Regular" w:hAnsi="Arial Regular" w:cs="Arial Regular"/>
          <w:b w:val="0"/>
          <w:bCs w:val="0"/>
          <w:i w:val="0"/>
          <w:iCs w:val="0"/>
          <w:color w:val="000000"/>
          <w:sz w:val="24"/>
          <w:szCs w:val="24"/>
          <w:u w:val="none"/>
          <w:vertAlign w:val="baseline"/>
          <w:lang w:val="de-DE"/>
        </w:rPr>
        <w:t>: 5331</w:t>
      </w:r>
    </w:p>
    <w:p w14:paraId="02A70A32">
      <w:pPr>
        <w:keepNext w:val="0"/>
        <w:keepLines w:val="0"/>
        <w:widowControl/>
        <w:suppressLineNumbers w:val="0"/>
        <w:spacing w:after="240" w:afterAutospacing="0" w:line="360" w:lineRule="auto"/>
        <w:jc w:val="center"/>
        <w:rPr>
          <w:rFonts w:hint="default" w:ascii="Arial Regular" w:hAnsi="Arial Regular" w:cs="Arial Regular"/>
          <w:b w:val="0"/>
          <w:bCs w:val="0"/>
          <w:sz w:val="24"/>
          <w:szCs w:val="24"/>
        </w:rPr>
      </w:pPr>
    </w:p>
    <w:p w14:paraId="615AC273">
      <w:pPr>
        <w:pStyle w:val="11"/>
        <w:keepNext w:val="0"/>
        <w:keepLines w:val="0"/>
        <w:widowControl/>
        <w:suppressLineNumbers w:val="0"/>
        <w:bidi w:val="0"/>
        <w:spacing w:before="240" w:beforeAutospacing="0" w:after="240" w:afterAutospacing="0"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i w:val="0"/>
          <w:iCs w:val="0"/>
          <w:color w:val="000000"/>
          <w:sz w:val="24"/>
          <w:szCs w:val="24"/>
          <w:u w:val="none"/>
          <w:vertAlign w:val="baseline"/>
        </w:rPr>
        <w:t xml:space="preserve">Term </w:t>
      </w:r>
      <w:r>
        <w:rPr>
          <w:rFonts w:hint="default" w:ascii="Arial Regular" w:hAnsi="Arial Regular" w:cs="Arial Regular"/>
          <w:b w:val="0"/>
          <w:bCs w:val="0"/>
          <w:i w:val="0"/>
          <w:iCs w:val="0"/>
          <w:color w:val="000000"/>
          <w:sz w:val="24"/>
          <w:szCs w:val="24"/>
          <w:u w:val="none"/>
          <w:vertAlign w:val="baseline"/>
          <w:lang w:val="de-DE"/>
        </w:rPr>
        <w:t>2</w:t>
      </w:r>
    </w:p>
    <w:p w14:paraId="2E32BDD2">
      <w:pPr>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br w:type="page"/>
      </w:r>
    </w:p>
    <w:sdt>
      <w:sdtPr>
        <w:rPr>
          <w:rFonts w:hint="default" w:ascii="Arial Regular" w:hAnsi="Arial Regular" w:eastAsia="SimSun" w:cs="Arial Regular"/>
          <w:b/>
          <w:bCs/>
          <w:sz w:val="24"/>
          <w:szCs w:val="24"/>
          <w:lang w:val="zh-CN"/>
        </w:rPr>
        <w:id w:val="286652221"/>
        <w15:color w:val="DBDBDB"/>
        <w:docPartObj>
          <w:docPartGallery w:val="Table of Contents"/>
          <w:docPartUnique/>
        </w:docPartObj>
      </w:sdtPr>
      <w:sdtEndPr>
        <w:rPr>
          <w:rFonts w:hint="default" w:ascii="Arial Regular" w:hAnsi="Arial Regular" w:eastAsia="SimSun" w:cs="Arial Regular"/>
          <w:b w:val="0"/>
          <w:bCs w:val="0"/>
          <w:sz w:val="24"/>
          <w:szCs w:val="24"/>
          <w:lang w:val="zh-CN"/>
        </w:rPr>
      </w:sdtEndPr>
      <w:sdtContent>
        <w:sdt>
          <w:sdtPr>
            <w:rPr>
              <w:rFonts w:hint="default" w:ascii="Arial Regular" w:hAnsi="Arial Regular" w:eastAsia="Arial" w:cs="Arial Regular"/>
              <w:b/>
              <w:bCs/>
              <w:sz w:val="24"/>
              <w:szCs w:val="24"/>
              <w:lang w:val="zh-CN"/>
            </w:rPr>
            <w:id w:val="8705631"/>
            <w:placeholder>
              <w:docPart w:val="{55f96aa2-983f-4572-996d-0069b4793c6e}"/>
            </w:placeholder>
            <w15:color w:val="509DF3"/>
          </w:sdtPr>
          <w:sdtEndPr>
            <w:rPr>
              <w:rFonts w:hint="default" w:ascii="Arial Regular" w:hAnsi="Arial Regular" w:eastAsia="Arial" w:cs="Arial Regular"/>
              <w:b w:val="0"/>
              <w:bCs w:val="0"/>
              <w:sz w:val="24"/>
              <w:szCs w:val="24"/>
              <w:lang w:val="zh-CN"/>
            </w:rPr>
          </w:sdtEndPr>
          <w:sdtContent>
            <w:p w14:paraId="0F3D2DF3">
              <w:pPr>
                <w:spacing w:line="360" w:lineRule="auto"/>
                <w:jc w:val="center"/>
                <w:rPr>
                  <w:rFonts w:hint="default" w:ascii="Arial Regular" w:hAnsi="Arial Regular" w:cs="Arial Regular"/>
                  <w:b w:val="0"/>
                  <w:bCs w:val="0"/>
                  <w:sz w:val="24"/>
                  <w:szCs w:val="24"/>
                  <w:lang w:val="de-DE"/>
                </w:rPr>
              </w:pPr>
              <w:bookmarkStart w:id="0" w:name="_Toc1189425521_WPSOffice_Type2"/>
              <w:bookmarkEnd w:id="0"/>
              <w:r>
                <w:rPr>
                  <w:rFonts w:hint="default" w:ascii="Arial Regular" w:hAnsi="Arial Regular" w:cs="Arial Regular"/>
                  <w:b w:val="0"/>
                  <w:bCs w:val="0"/>
                  <w:sz w:val="24"/>
                  <w:szCs w:val="24"/>
                  <w:lang w:val="de-DE"/>
                </w:rPr>
                <w:t>Table of Contents</w:t>
              </w:r>
            </w:p>
            <w:p w14:paraId="76F16307">
              <w:pPr>
                <w:spacing w:line="360" w:lineRule="auto"/>
                <w:jc w:val="both"/>
                <w:rPr>
                  <w:rFonts w:hint="default" w:ascii="Arial Regular" w:hAnsi="Arial Regular" w:cs="Arial Regular"/>
                  <w:b w:val="0"/>
                  <w:bCs w:val="0"/>
                  <w:sz w:val="24"/>
                  <w:szCs w:val="24"/>
                </w:rPr>
              </w:pPr>
            </w:p>
          </w:sdtContent>
        </w:sdt>
      </w:sdtContent>
    </w:sdt>
    <w:p w14:paraId="2222961D">
      <w:pPr>
        <w:spacing w:line="360" w:lineRule="auto"/>
        <w:jc w:val="both"/>
        <w:rPr>
          <w:rFonts w:hint="default" w:ascii="Arial Regular" w:hAnsi="Arial Regular" w:cs="Arial Regular" w:eastAsiaTheme="minorEastAsia"/>
          <w:b w:val="0"/>
          <w:bCs w:val="0"/>
          <w:kern w:val="2"/>
          <w:sz w:val="24"/>
          <w:szCs w:val="24"/>
          <w:lang w:val="en-IN"/>
          <w14:ligatures w14:val="standardContextual"/>
        </w:rPr>
      </w:pPr>
      <w:r>
        <w:rPr>
          <w:rFonts w:hint="default" w:ascii="Arial Regular" w:hAnsi="Arial Regular" w:cs="Arial Regular"/>
          <w:b w:val="0"/>
          <w:bCs w:val="0"/>
          <w:sz w:val="24"/>
          <w:szCs w:val="24"/>
          <w:lang w:val="de-DE"/>
        </w:rPr>
        <w:t>Section 1</w:t>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TOC \o "1-3" \h \z \u </w:instrText>
      </w:r>
      <w:r>
        <w:rPr>
          <w:rFonts w:hint="default" w:ascii="Arial Regular" w:hAnsi="Arial Regular" w:cs="Arial Regular"/>
          <w:b w:val="0"/>
          <w:bCs w:val="0"/>
          <w:sz w:val="24"/>
          <w:szCs w:val="24"/>
        </w:rPr>
        <w:fldChar w:fldCharType="separate"/>
      </w:r>
    </w:p>
    <w:p w14:paraId="23E5AAE8">
      <w:pPr>
        <w:pStyle w:val="15"/>
        <w:tabs>
          <w:tab w:val="right" w:leader="dot" w:pos="9350"/>
        </w:tabs>
        <w:spacing w:line="360" w:lineRule="auto"/>
        <w:ind w:left="416" w:leftChars="0"/>
        <w:jc w:val="both"/>
        <w:rPr>
          <w:rFonts w:hint="default" w:ascii="Arial Regular" w:hAnsi="Arial Regular" w:cs="Arial Regular" w:eastAsiaTheme="minorEastAsia"/>
          <w:b w:val="0"/>
          <w:bCs w:val="0"/>
          <w:kern w:val="2"/>
          <w:sz w:val="24"/>
          <w:szCs w:val="24"/>
          <w:lang w:val="en-IN"/>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"_Toc223546858" </w:instrText>
      </w:r>
      <w:r>
        <w:rPr>
          <w:rFonts w:hint="default" w:ascii="Arial Regular" w:hAnsi="Arial Regular" w:cs="Arial Regular"/>
          <w:b w:val="0"/>
          <w:bCs w:val="0"/>
          <w:sz w:val="24"/>
          <w:szCs w:val="24"/>
        </w:rPr>
        <w:fldChar w:fldCharType="separate"/>
      </w:r>
      <w:r>
        <w:rPr>
          <w:rStyle w:val="10"/>
          <w:rFonts w:hint="default" w:ascii="Arial Regular" w:hAnsi="Arial Regular" w:cs="Arial Regular"/>
          <w:b w:val="0"/>
          <w:bCs w:val="0"/>
          <w:sz w:val="24"/>
          <w:szCs w:val="24"/>
        </w:rPr>
        <w:t>Introduction</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3</w:t>
      </w:r>
      <w:r>
        <w:rPr>
          <w:rFonts w:hint="default" w:ascii="Arial Regular" w:hAnsi="Arial Regular" w:cs="Arial Regular"/>
          <w:b w:val="0"/>
          <w:bCs w:val="0"/>
          <w:sz w:val="24"/>
          <w:szCs w:val="24"/>
        </w:rPr>
        <w:fldChar w:fldCharType="end"/>
      </w:r>
    </w:p>
    <w:p w14:paraId="01B34B25">
      <w:pPr>
        <w:pStyle w:val="15"/>
        <w:tabs>
          <w:tab w:val="right" w:leader="dot" w:pos="9350"/>
        </w:tabs>
        <w:spacing w:line="360" w:lineRule="auto"/>
        <w:ind w:left="416" w:leftChars="0"/>
        <w:jc w:val="both"/>
        <w:rPr>
          <w:rFonts w:hint="default" w:ascii="Arial Regular" w:hAnsi="Arial Regular" w:cs="Arial Regular"/>
          <w:b w:val="0"/>
          <w:bCs w:val="0"/>
          <w:sz w:val="24"/>
          <w:szCs w:val="24"/>
          <w:lang w:val="en-IN"/>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"_Toc223546859"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1</w:t>
      </w:r>
      <w:r>
        <w:rPr>
          <w:rStyle w:val="10"/>
          <w:rFonts w:hint="default" w:ascii="Arial Regular" w:hAnsi="Arial Regular" w:cs="Arial Regular"/>
          <w:b w:val="0"/>
          <w:bCs w:val="0"/>
          <w:sz w:val="24"/>
          <w:szCs w:val="24"/>
        </w:rPr>
        <w:t>.</w:t>
      </w:r>
      <w:r>
        <w:rPr>
          <w:rStyle w:val="10"/>
          <w:rFonts w:hint="default" w:ascii="Arial Regular" w:hAnsi="Arial Regular" w:cs="Arial Regular"/>
          <w:b w:val="0"/>
          <w:bCs w:val="0"/>
          <w:sz w:val="24"/>
          <w:szCs w:val="24"/>
          <w:lang w:val="de-DE"/>
        </w:rPr>
        <w:t xml:space="preserve"> Company Introduction and History</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3</w:t>
      </w:r>
      <w:r>
        <w:rPr>
          <w:rFonts w:hint="default" w:ascii="Arial Regular" w:hAnsi="Arial Regular" w:cs="Arial Regular"/>
          <w:b w:val="0"/>
          <w:bCs w:val="0"/>
          <w:sz w:val="24"/>
          <w:szCs w:val="24"/>
        </w:rPr>
        <w:fldChar w:fldCharType="end"/>
      </w:r>
    </w:p>
    <w:p w14:paraId="5C0574B6">
      <w:pPr>
        <w:pStyle w:val="15"/>
        <w:tabs>
          <w:tab w:val="right" w:leader="dot" w:pos="9350"/>
        </w:tabs>
        <w:spacing w:line="360" w:lineRule="auto"/>
        <w:ind w:left="404"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2. External and Internal Environment Analysis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5</w:t>
      </w:r>
    </w:p>
    <w:p w14:paraId="55847658">
      <w:pPr>
        <w:pStyle w:val="15"/>
        <w:tabs>
          <w:tab w:val="right" w:leader="dot" w:pos="9350"/>
        </w:tabs>
        <w:spacing w:line="360" w:lineRule="auto"/>
        <w:ind w:left="720" w:leftChars="0"/>
        <w:jc w:val="both"/>
        <w:rPr>
          <w:rFonts w:hint="default" w:ascii="Arial Regular" w:hAnsi="Arial Regular" w:cs="Arial Regular" w:eastAsiaTheme="minorEastAsia"/>
          <w:b w:val="0"/>
          <w:bCs w:val="0"/>
          <w:kern w:val="2"/>
          <w:sz w:val="24"/>
          <w:szCs w:val="24"/>
          <w:lang w:val="en-IN"/>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"_Toc223546864"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2</w:t>
      </w:r>
      <w:r>
        <w:rPr>
          <w:rStyle w:val="10"/>
          <w:rFonts w:hint="default" w:ascii="Arial Regular" w:hAnsi="Arial Regular" w:cs="Arial Regular"/>
          <w:b w:val="0"/>
          <w:bCs w:val="0"/>
          <w:sz w:val="24"/>
          <w:szCs w:val="24"/>
        </w:rPr>
        <w:t>.</w:t>
      </w:r>
      <w:r>
        <w:rPr>
          <w:rStyle w:val="10"/>
          <w:rFonts w:hint="default" w:ascii="Arial Regular" w:hAnsi="Arial Regular" w:cs="Arial Regular"/>
          <w:b w:val="0"/>
          <w:bCs w:val="0"/>
          <w:sz w:val="24"/>
          <w:szCs w:val="24"/>
          <w:lang w:val="de-DE"/>
        </w:rPr>
        <w:t>1</w:t>
      </w:r>
      <w:r>
        <w:rPr>
          <w:rStyle w:val="10"/>
          <w:rFonts w:hint="default" w:ascii="Arial Regular" w:hAnsi="Arial Regular" w:cs="Arial Regular"/>
          <w:b w:val="0"/>
          <w:bCs w:val="0"/>
          <w:sz w:val="24"/>
          <w:szCs w:val="24"/>
        </w:rPr>
        <w:t xml:space="preserve"> </w:t>
      </w:r>
      <w:r>
        <w:rPr>
          <w:rStyle w:val="10"/>
          <w:rFonts w:hint="default" w:ascii="Arial Regular" w:hAnsi="Arial Regular" w:cs="Arial Regular"/>
          <w:b w:val="0"/>
          <w:bCs w:val="0"/>
          <w:sz w:val="24"/>
          <w:szCs w:val="24"/>
          <w:lang w:val="de-DE"/>
        </w:rPr>
        <w:t>PESTEL Analysis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5</w:t>
      </w:r>
      <w:r>
        <w:rPr>
          <w:rFonts w:hint="default" w:ascii="Arial Regular" w:hAnsi="Arial Regular" w:cs="Arial Regular"/>
          <w:b w:val="0"/>
          <w:bCs w:val="0"/>
          <w:sz w:val="24"/>
          <w:szCs w:val="24"/>
        </w:rPr>
        <w:fldChar w:fldCharType="end"/>
      </w:r>
    </w:p>
    <w:p w14:paraId="0584F2E0">
      <w:pPr>
        <w:pStyle w:val="15"/>
        <w:tabs>
          <w:tab w:val="right" w:leader="dot" w:pos="9350"/>
        </w:tabs>
        <w:spacing w:line="360" w:lineRule="auto"/>
        <w:ind w:left="720" w:lef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"_Toc223546865"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2</w:t>
      </w:r>
      <w:r>
        <w:rPr>
          <w:rStyle w:val="10"/>
          <w:rFonts w:hint="default" w:ascii="Arial Regular" w:hAnsi="Arial Regular" w:cs="Arial Regular"/>
          <w:b w:val="0"/>
          <w:bCs w:val="0"/>
          <w:sz w:val="24"/>
          <w:szCs w:val="24"/>
          <w:lang w:val="de-DE"/>
        </w:rPr>
        <w:t>.2 Porter's Five Forces Analysis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7</w:t>
      </w:r>
      <w:r>
        <w:rPr>
          <w:rFonts w:hint="default" w:ascii="Arial Regular" w:hAnsi="Arial Regular" w:cs="Arial Regular"/>
          <w:b w:val="0"/>
          <w:bCs w:val="0"/>
          <w:sz w:val="24"/>
          <w:szCs w:val="24"/>
        </w:rPr>
        <w:fldChar w:fldCharType="end"/>
      </w:r>
    </w:p>
    <w:p w14:paraId="66FB0159">
      <w:pPr>
        <w:pStyle w:val="15"/>
        <w:tabs>
          <w:tab w:val="right" w:leader="dot" w:pos="9350"/>
        </w:tabs>
        <w:spacing w:line="360" w:lineRule="auto"/>
        <w:ind w:left="720" w:lef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"_Toc223546867"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2</w:t>
      </w:r>
      <w:r>
        <w:rPr>
          <w:rStyle w:val="10"/>
          <w:rFonts w:hint="default" w:ascii="Arial Regular" w:hAnsi="Arial Regular" w:cs="Arial Regular"/>
          <w:b w:val="0"/>
          <w:bCs w:val="0"/>
          <w:sz w:val="24"/>
          <w:szCs w:val="24"/>
        </w:rPr>
        <w:t>.</w:t>
      </w:r>
      <w:r>
        <w:rPr>
          <w:rStyle w:val="10"/>
          <w:rFonts w:hint="default" w:ascii="Arial Regular" w:hAnsi="Arial Regular" w:cs="Arial Regular"/>
          <w:b w:val="0"/>
          <w:bCs w:val="0"/>
          <w:sz w:val="24"/>
          <w:szCs w:val="24"/>
          <w:lang w:val="de-DE"/>
        </w:rPr>
        <w:t>3</w:t>
      </w:r>
      <w:r>
        <w:rPr>
          <w:rStyle w:val="10"/>
          <w:rFonts w:hint="default" w:ascii="Arial Regular" w:hAnsi="Arial Regular" w:cs="Arial Regular"/>
          <w:b w:val="0"/>
          <w:bCs w:val="0"/>
          <w:sz w:val="24"/>
          <w:szCs w:val="24"/>
        </w:rPr>
        <w:t xml:space="preserve"> Porter’s </w:t>
      </w:r>
      <w:r>
        <w:rPr>
          <w:rStyle w:val="10"/>
          <w:rFonts w:hint="default" w:ascii="Arial Regular" w:hAnsi="Arial Regular" w:cs="Arial Regular"/>
          <w:b w:val="0"/>
          <w:bCs w:val="0"/>
          <w:sz w:val="24"/>
          <w:szCs w:val="24"/>
          <w:lang w:val="de-DE"/>
        </w:rPr>
        <w:t xml:space="preserve">Diamond Model </w:t>
      </w:r>
      <w:r>
        <w:rPr>
          <w:rStyle w:val="10"/>
          <w:rFonts w:hint="default" w:ascii="Arial Regular" w:hAnsi="Arial Regular" w:cs="Arial Regular"/>
          <w:b w:val="0"/>
          <w:bCs w:val="0"/>
          <w:sz w:val="24"/>
          <w:szCs w:val="24"/>
        </w:rPr>
        <w:t>Analysis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8</w:t>
      </w:r>
      <w:r>
        <w:rPr>
          <w:rFonts w:hint="default" w:ascii="Arial Regular" w:hAnsi="Arial Regular" w:cs="Arial Regular"/>
          <w:b w:val="0"/>
          <w:bCs w:val="0"/>
          <w:sz w:val="24"/>
          <w:szCs w:val="24"/>
        </w:rPr>
        <w:fldChar w:fldCharType="end"/>
      </w:r>
    </w:p>
    <w:p w14:paraId="0AC3274E">
      <w:pPr>
        <w:pStyle w:val="15"/>
        <w:tabs>
          <w:tab w:val="right" w:leader="dot" w:pos="9350"/>
        </w:tabs>
        <w:spacing w:line="360" w:lineRule="auto"/>
        <w:ind w:left="720"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"_Toc223546868"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2</w:t>
      </w:r>
      <w:r>
        <w:rPr>
          <w:rStyle w:val="10"/>
          <w:rFonts w:hint="default" w:ascii="Arial Regular" w:hAnsi="Arial Regular" w:cs="Arial Regular"/>
          <w:b w:val="0"/>
          <w:bCs w:val="0"/>
          <w:sz w:val="24"/>
          <w:szCs w:val="24"/>
          <w:lang w:val="de-DE"/>
        </w:rPr>
        <w:t>.4</w:t>
      </w:r>
      <w:r>
        <w:rPr>
          <w:rStyle w:val="10"/>
          <w:rFonts w:hint="default" w:ascii="Arial Regular" w:hAnsi="Arial Regular" w:cs="Arial Regular"/>
          <w:b w:val="0"/>
          <w:bCs w:val="0"/>
          <w:sz w:val="24"/>
          <w:szCs w:val="24"/>
        </w:rPr>
        <w:t xml:space="preserve"> </w:t>
      </w:r>
      <w:r>
        <w:rPr>
          <w:rStyle w:val="10"/>
          <w:rFonts w:hint="default" w:ascii="Arial Regular" w:hAnsi="Arial Regular" w:cs="Arial Regular"/>
          <w:b w:val="0"/>
          <w:bCs w:val="0"/>
          <w:sz w:val="24"/>
          <w:szCs w:val="24"/>
          <w:lang w:val="de-DE"/>
        </w:rPr>
        <w:t>VRIO Framework</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1</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0</w:t>
      </w:r>
    </w:p>
    <w:p w14:paraId="56A6ABEF">
      <w:pPr>
        <w:pStyle w:val="15"/>
        <w:tabs>
          <w:tab w:val="right" w:leader="dot" w:pos="9350"/>
        </w:tabs>
        <w:spacing w:line="360" w:lineRule="auto"/>
        <w:ind w:left="720"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2.5 Competetive Advantage</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_Toc223546869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w:t>
      </w:r>
      <w:r>
        <w:rPr>
          <w:rFonts w:hint="default" w:ascii="Arial Regular" w:hAnsi="Arial Regular" w:cs="Arial Regular"/>
          <w:b w:val="0"/>
          <w:bCs w:val="0"/>
          <w:sz w:val="24"/>
          <w:szCs w:val="24"/>
          <w:lang w:val="de-DE"/>
        </w:rPr>
        <w:t>1</w:t>
      </w:r>
      <w:r>
        <w:rPr>
          <w:rFonts w:hint="default" w:ascii="Arial Regular" w:hAnsi="Arial Regular" w:cs="Arial Regular"/>
          <w:b w:val="0"/>
          <w:bCs w:val="0"/>
          <w:sz w:val="24"/>
          <w:szCs w:val="24"/>
        </w:rPr>
        <w:fldChar w:fldCharType="end"/>
      </w:r>
    </w:p>
    <w:p w14:paraId="48500111">
      <w:pPr>
        <w:pStyle w:val="15"/>
        <w:tabs>
          <w:tab w:val="right" w:leader="dot" w:pos="9350"/>
        </w:tabs>
        <w:spacing w:line="360" w:lineRule="auto"/>
        <w:ind w:left="416"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"_Toc223546869"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3. CSR and Sustainability Objectives of Tesco</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1</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2</w:t>
      </w:r>
    </w:p>
    <w:p w14:paraId="3BD9A44E">
      <w:pPr>
        <w:pStyle w:val="15"/>
        <w:tabs>
          <w:tab w:val="right" w:leader="dot" w:pos="9350"/>
        </w:tabs>
        <w:spacing w:line="360" w:lineRule="auto"/>
        <w:ind w:left="720"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3.1 The CSR Strategy of Tesco</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_Toc223546869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w:t>
      </w:r>
      <w:r>
        <w:rPr>
          <w:rFonts w:hint="default" w:ascii="Arial Regular" w:hAnsi="Arial Regular" w:cs="Arial Regular"/>
          <w:b w:val="0"/>
          <w:bCs w:val="0"/>
          <w:sz w:val="24"/>
          <w:szCs w:val="24"/>
          <w:lang w:val="de-DE"/>
        </w:rPr>
        <w:t>2</w:t>
      </w:r>
      <w:r>
        <w:rPr>
          <w:rFonts w:hint="default" w:ascii="Arial Regular" w:hAnsi="Arial Regular" w:cs="Arial Regular"/>
          <w:b w:val="0"/>
          <w:bCs w:val="0"/>
          <w:sz w:val="24"/>
          <w:szCs w:val="24"/>
        </w:rPr>
        <w:fldChar w:fldCharType="end"/>
      </w:r>
    </w:p>
    <w:p w14:paraId="28914E9E">
      <w:pPr>
        <w:pStyle w:val="15"/>
        <w:tabs>
          <w:tab w:val="right" w:leader="dot" w:pos="9350"/>
        </w:tabs>
        <w:spacing w:line="360" w:lineRule="auto"/>
        <w:ind w:left="720" w:leftChars="0"/>
        <w:jc w:val="both"/>
        <w:rPr>
          <w:rFonts w:hint="default" w:ascii="Arial Regular" w:hAnsi="Arial Regular" w:cs="Arial Regular" w:eastAsiaTheme="minorEastAsia"/>
          <w:b w:val="0"/>
          <w:bCs w:val="0"/>
          <w:kern w:val="2"/>
          <w:sz w:val="24"/>
          <w:szCs w:val="24"/>
          <w:lang w:val="de-DE"/>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"_Toc223546869" </w:instrText>
      </w:r>
      <w:r>
        <w:rPr>
          <w:rFonts w:hint="default" w:ascii="Arial Regular" w:hAnsi="Arial Regular" w:cs="Arial Regular"/>
          <w:b w:val="0"/>
          <w:bCs w:val="0"/>
          <w:sz w:val="24"/>
          <w:szCs w:val="24"/>
        </w:rPr>
        <w:fldChar w:fldCharType="separate"/>
      </w:r>
      <w:r>
        <w:rPr>
          <w:rStyle w:val="10"/>
          <w:rFonts w:hint="default" w:ascii="Arial Regular" w:hAnsi="Arial Regular" w:cs="Arial Regular"/>
          <w:b w:val="0"/>
          <w:bCs w:val="0"/>
          <w:sz w:val="24"/>
          <w:szCs w:val="24"/>
          <w:lang w:val="de-DE"/>
        </w:rPr>
        <w:t>3.2 Alignment of the CSR strategy with the business objectives of Tesco</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1</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2</w:t>
      </w:r>
    </w:p>
    <w:p w14:paraId="5AD772CE">
      <w:pPr>
        <w:pStyle w:val="15"/>
        <w:tabs>
          <w:tab w:val="right" w:leader="dot" w:pos="9350"/>
        </w:tabs>
        <w:spacing w:line="360" w:lineRule="auto"/>
        <w:ind w:left="416"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4. Comprehensive and Holistic View of Tesco</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_Toc223546869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w:t>
      </w:r>
      <w:r>
        <w:rPr>
          <w:rFonts w:hint="default" w:ascii="Arial Regular" w:hAnsi="Arial Regular" w:cs="Arial Regular"/>
          <w:b w:val="0"/>
          <w:bCs w:val="0"/>
          <w:sz w:val="24"/>
          <w:szCs w:val="24"/>
          <w:lang w:val="de-DE"/>
        </w:rPr>
        <w:t>3</w:t>
      </w:r>
      <w:r>
        <w:rPr>
          <w:rFonts w:hint="default" w:ascii="Arial Regular" w:hAnsi="Arial Regular" w:cs="Arial Regular"/>
          <w:b w:val="0"/>
          <w:bCs w:val="0"/>
          <w:sz w:val="24"/>
          <w:szCs w:val="24"/>
        </w:rPr>
        <w:fldChar w:fldCharType="end"/>
      </w:r>
    </w:p>
    <w:p w14:paraId="7EDD1E2D">
      <w:pPr>
        <w:pStyle w:val="15"/>
        <w:tabs>
          <w:tab w:val="right" w:leader="dot" w:pos="9350"/>
        </w:tabs>
        <w:spacing w:line="360" w:lineRule="auto"/>
        <w:ind w:left="416" w:leftChars="0"/>
        <w:jc w:val="both"/>
        <w:rPr>
          <w:rFonts w:hint="default" w:ascii="Arial Regular" w:hAnsi="Arial Regular" w:cs="Arial Regular" w:eastAsiaTheme="minorEastAsia"/>
          <w:b w:val="0"/>
          <w:bCs w:val="0"/>
          <w:kern w:val="2"/>
          <w:sz w:val="24"/>
          <w:szCs w:val="24"/>
          <w:lang w:val="de-DE"/>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"_Toc223546869" </w:instrText>
      </w:r>
      <w:r>
        <w:rPr>
          <w:rFonts w:hint="default" w:ascii="Arial Regular" w:hAnsi="Arial Regular" w:cs="Arial Regular"/>
          <w:b w:val="0"/>
          <w:bCs w:val="0"/>
          <w:sz w:val="24"/>
          <w:szCs w:val="24"/>
        </w:rPr>
        <w:fldChar w:fldCharType="separate"/>
      </w:r>
      <w:r>
        <w:rPr>
          <w:rStyle w:val="10"/>
          <w:rFonts w:hint="default" w:ascii="Arial Regular" w:hAnsi="Arial Regular" w:cs="Arial Regular"/>
          <w:b w:val="0"/>
          <w:bCs w:val="0"/>
          <w:sz w:val="24"/>
          <w:szCs w:val="24"/>
          <w:lang w:val="de-DE"/>
        </w:rPr>
        <w:t>5. Strategic Choices and Implementation</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1</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6</w:t>
      </w:r>
    </w:p>
    <w:p w14:paraId="260930FD">
      <w:pPr>
        <w:pStyle w:val="15"/>
        <w:tabs>
          <w:tab w:val="right" w:leader="dot" w:pos="9350"/>
        </w:tabs>
        <w:spacing w:line="360" w:lineRule="auto"/>
        <w:ind w:left="720"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 xml:space="preserve">5.1 Recommendations </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_Toc223546869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w:t>
      </w:r>
      <w:r>
        <w:rPr>
          <w:rFonts w:hint="default" w:ascii="Arial Regular" w:hAnsi="Arial Regular" w:cs="Arial Regular"/>
          <w:b w:val="0"/>
          <w:bCs w:val="0"/>
          <w:sz w:val="24"/>
          <w:szCs w:val="24"/>
          <w:lang w:val="de-DE"/>
        </w:rPr>
        <w:t>7</w:t>
      </w:r>
      <w:r>
        <w:rPr>
          <w:rFonts w:hint="default" w:ascii="Arial Regular" w:hAnsi="Arial Regular" w:cs="Arial Regular"/>
          <w:b w:val="0"/>
          <w:bCs w:val="0"/>
          <w:sz w:val="24"/>
          <w:szCs w:val="24"/>
        </w:rPr>
        <w:fldChar w:fldCharType="end"/>
      </w:r>
    </w:p>
    <w:p w14:paraId="63662E96">
      <w:pPr>
        <w:pStyle w:val="15"/>
        <w:tabs>
          <w:tab w:val="right" w:leader="dot" w:pos="9350"/>
        </w:tabs>
        <w:spacing w:line="360" w:lineRule="auto"/>
        <w:ind w:left="720" w:leftChars="0"/>
        <w:jc w:val="both"/>
        <w:rPr>
          <w:rFonts w:hint="default" w:ascii="Arial Regular" w:hAnsi="Arial Regular" w:cs="Arial Regular" w:eastAsiaTheme="minorEastAsia"/>
          <w:b w:val="0"/>
          <w:bCs w:val="0"/>
          <w:kern w:val="2"/>
          <w:sz w:val="24"/>
          <w:szCs w:val="24"/>
          <w:lang w:val="de-DE"/>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"_Toc223546869" </w:instrText>
      </w:r>
      <w:r>
        <w:rPr>
          <w:rFonts w:hint="default" w:ascii="Arial Regular" w:hAnsi="Arial Regular" w:cs="Arial Regular"/>
          <w:b w:val="0"/>
          <w:bCs w:val="0"/>
          <w:sz w:val="24"/>
          <w:szCs w:val="24"/>
        </w:rPr>
        <w:fldChar w:fldCharType="separate"/>
      </w:r>
      <w:r>
        <w:rPr>
          <w:rStyle w:val="10"/>
          <w:rFonts w:hint="default" w:ascii="Arial Regular" w:hAnsi="Arial Regular" w:cs="Arial Regular"/>
          <w:b w:val="0"/>
          <w:bCs w:val="0"/>
          <w:sz w:val="24"/>
          <w:szCs w:val="24"/>
          <w:lang w:val="de-DE"/>
        </w:rPr>
        <w:t>5.2 How Tesco has managed change and its impact on strategic Implementation</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1</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7</w:t>
      </w:r>
    </w:p>
    <w:p w14:paraId="2AAB2D07">
      <w:pPr>
        <w:pStyle w:val="15"/>
        <w:tabs>
          <w:tab w:val="right" w:leader="dot" w:pos="9350"/>
        </w:tabs>
        <w:spacing w:line="360" w:lineRule="auto"/>
        <w:ind w:left="416" w:leftChars="0"/>
        <w:jc w:val="both"/>
        <w:rPr>
          <w:rFonts w:hint="default" w:ascii="Arial Regular" w:hAnsi="Arial Regular" w:cs="Arial Regular" w:eastAsiaTheme="minorEastAsia"/>
          <w:b w:val="0"/>
          <w:bCs w:val="0"/>
          <w:kern w:val="2"/>
          <w:sz w:val="24"/>
          <w:szCs w:val="24"/>
          <w:lang w:val="de-DE"/>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"_Toc223546869" </w:instrText>
      </w:r>
      <w:r>
        <w:rPr>
          <w:rFonts w:hint="default" w:ascii="Arial Regular" w:hAnsi="Arial Regular" w:cs="Arial Regular"/>
          <w:b w:val="0"/>
          <w:bCs w:val="0"/>
          <w:sz w:val="24"/>
          <w:szCs w:val="24"/>
        </w:rPr>
        <w:fldChar w:fldCharType="separate"/>
      </w:r>
      <w:r>
        <w:rPr>
          <w:rStyle w:val="10"/>
          <w:rFonts w:hint="default" w:ascii="Arial Regular" w:hAnsi="Arial Regular" w:cs="Arial Regular"/>
          <w:b w:val="0"/>
          <w:bCs w:val="0"/>
          <w:sz w:val="24"/>
          <w:szCs w:val="24"/>
          <w:lang w:val="de-DE"/>
        </w:rPr>
        <w:t>6. Strategic Evaluation and Recommendations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1</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8</w:t>
      </w:r>
    </w:p>
    <w:p w14:paraId="5B9507C8">
      <w:pPr>
        <w:pStyle w:val="15"/>
        <w:tabs>
          <w:tab w:val="right" w:leader="dot" w:pos="9350"/>
        </w:tabs>
        <w:spacing w:line="360" w:lineRule="auto"/>
        <w:ind w:left="720" w:leftChars="0"/>
        <w:jc w:val="both"/>
        <w:rPr>
          <w:rFonts w:hint="default" w:ascii="Arial Regular" w:hAnsi="Arial Regular" w:cs="Arial Regular"/>
          <w:b w:val="0"/>
          <w:bCs w:val="0"/>
          <w:sz w:val="24"/>
          <w:szCs w:val="24"/>
          <w:lang w:val="en-IN"/>
        </w:rPr>
      </w:pPr>
      <w:r>
        <w:rPr>
          <w:rFonts w:hint="default" w:ascii="Arial Regular" w:hAnsi="Arial Regular" w:cs="Arial Regular"/>
          <w:b w:val="0"/>
          <w:bCs w:val="0"/>
          <w:sz w:val="24"/>
          <w:szCs w:val="24"/>
          <w:lang w:val="de-DE"/>
        </w:rPr>
        <w:t>6.1 SWOT Analysis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_Toc223546869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w:t>
      </w:r>
      <w:r>
        <w:rPr>
          <w:rFonts w:hint="default" w:ascii="Arial Regular" w:hAnsi="Arial Regular" w:cs="Arial Regular"/>
          <w:b w:val="0"/>
          <w:bCs w:val="0"/>
          <w:sz w:val="24"/>
          <w:szCs w:val="24"/>
          <w:lang w:val="de-DE"/>
        </w:rPr>
        <w:t>8</w:t>
      </w:r>
      <w:r>
        <w:rPr>
          <w:rFonts w:hint="default" w:ascii="Arial Regular" w:hAnsi="Arial Regular" w:cs="Arial Regular"/>
          <w:b w:val="0"/>
          <w:bCs w:val="0"/>
          <w:sz w:val="24"/>
          <w:szCs w:val="24"/>
        </w:rPr>
        <w:fldChar w:fldCharType="end"/>
      </w:r>
    </w:p>
    <w:p w14:paraId="4045B60D">
      <w:pPr>
        <w:pStyle w:val="15"/>
        <w:tabs>
          <w:tab w:val="right" w:leader="dot" w:pos="9350"/>
        </w:tabs>
        <w:spacing w:line="360" w:lineRule="auto"/>
        <w:ind w:left="720" w:leftChars="0"/>
        <w:jc w:val="both"/>
        <w:rPr>
          <w:rFonts w:hint="default" w:ascii="Arial Regular" w:hAnsi="Arial Regular" w:cs="Arial Regular" w:eastAsiaTheme="minorEastAsia"/>
          <w:b w:val="0"/>
          <w:bCs w:val="0"/>
          <w:kern w:val="2"/>
          <w:sz w:val="24"/>
          <w:szCs w:val="24"/>
          <w:lang w:val="de-DE"/>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"_Toc223546870" </w:instrText>
      </w:r>
      <w:r>
        <w:rPr>
          <w:rFonts w:hint="default" w:ascii="Arial Regular" w:hAnsi="Arial Regular" w:cs="Arial Regular"/>
          <w:b w:val="0"/>
          <w:bCs w:val="0"/>
          <w:sz w:val="24"/>
          <w:szCs w:val="24"/>
        </w:rPr>
        <w:fldChar w:fldCharType="separate"/>
      </w:r>
      <w:r>
        <w:rPr>
          <w:rStyle w:val="10"/>
          <w:rFonts w:hint="default" w:ascii="Arial Regular" w:hAnsi="Arial Regular" w:cs="Arial Regular"/>
          <w:b w:val="0"/>
          <w:bCs w:val="0"/>
          <w:sz w:val="24"/>
          <w:szCs w:val="24"/>
          <w:lang w:val="de-DE"/>
        </w:rPr>
        <w:t>6.2 Recommendations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2</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0</w:t>
      </w:r>
    </w:p>
    <w:p w14:paraId="09E0B14F">
      <w:pPr>
        <w:pStyle w:val="14"/>
        <w:tabs>
          <w:tab w:val="right" w:leader="dot" w:pos="9350"/>
        </w:tabs>
        <w:spacing w:line="360" w:lineRule="auto"/>
        <w:jc w:val="both"/>
        <w:rPr>
          <w:rFonts w:hint="default" w:ascii="Arial Regular" w:hAnsi="Arial Regular" w:cs="Arial Regular"/>
          <w:b w:val="0"/>
          <w:bCs w:val="0"/>
          <w:sz w:val="24"/>
          <w:szCs w:val="24"/>
        </w:rPr>
      </w:pPr>
    </w:p>
    <w:p w14:paraId="4D65F87F">
      <w:pPr>
        <w:pStyle w:val="14"/>
        <w:tabs>
          <w:tab w:val="right" w:leader="dot" w:pos="9350"/>
        </w:tabs>
        <w:spacing w:line="360" w:lineRule="auto"/>
        <w:jc w:val="both"/>
        <w:rPr>
          <w:rFonts w:hint="default" w:ascii="Arial Regular" w:hAnsi="Arial Regular" w:cs="Arial Regular" w:eastAsiaTheme="minorEastAsia"/>
          <w:b w:val="0"/>
          <w:bCs w:val="0"/>
          <w:kern w:val="2"/>
          <w:sz w:val="24"/>
          <w:szCs w:val="24"/>
          <w:lang w:val="en-IN"/>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"_Toc223546871" </w:instrText>
      </w:r>
      <w:r>
        <w:rPr>
          <w:rFonts w:hint="default" w:ascii="Arial Regular" w:hAnsi="Arial Regular" w:cs="Arial Regular"/>
          <w:b w:val="0"/>
          <w:bCs w:val="0"/>
          <w:sz w:val="24"/>
          <w:szCs w:val="24"/>
        </w:rPr>
        <w:fldChar w:fldCharType="separate"/>
      </w:r>
      <w:r>
        <w:rPr>
          <w:rStyle w:val="10"/>
          <w:rFonts w:hint="default" w:ascii="Arial Regular" w:hAnsi="Arial Regular" w:cs="Arial Regular"/>
          <w:b w:val="0"/>
          <w:bCs w:val="0"/>
          <w:sz w:val="24"/>
          <w:szCs w:val="24"/>
        </w:rPr>
        <w:t>Section 2</w:t>
      </w:r>
      <w:r>
        <w:rPr>
          <w:rFonts w:hint="default" w:ascii="Arial Regular" w:hAnsi="Arial Regular" w:cs="Arial Regular"/>
          <w:b w:val="0"/>
          <w:bCs w:val="0"/>
          <w:sz w:val="24"/>
          <w:szCs w:val="24"/>
        </w:rPr>
        <w:fldChar w:fldCharType="end"/>
      </w:r>
    </w:p>
    <w:p w14:paraId="5BFB0FEE">
      <w:pPr>
        <w:pStyle w:val="15"/>
        <w:tabs>
          <w:tab w:val="right" w:leader="dot" w:pos="9350"/>
        </w:tabs>
        <w:spacing w:line="360" w:lineRule="auto"/>
        <w:ind w:left="416"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"_Toc223546872"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Reflective Account Using Gibbs’ Reflective Cycle</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2</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1</w:t>
      </w:r>
    </w:p>
    <w:p w14:paraId="1372AC2B">
      <w:pPr>
        <w:pStyle w:val="15"/>
        <w:tabs>
          <w:tab w:val="right" w:leader="dot" w:pos="9350"/>
        </w:tabs>
        <w:spacing w:line="360" w:lineRule="auto"/>
        <w:ind w:left="416"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"_Toc223546872"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Summary</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2</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5</w:t>
      </w:r>
    </w:p>
    <w:p w14:paraId="70F5DD0D">
      <w:pPr>
        <w:pStyle w:val="15"/>
        <w:tabs>
          <w:tab w:val="right" w:leader="dot" w:pos="9350"/>
        </w:tabs>
        <w:spacing w:line="360" w:lineRule="auto"/>
        <w:ind w:left="416" w:leftChars="0"/>
        <w:jc w:val="both"/>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"_Toc223546872"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Conclusion</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2</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5</w:t>
      </w:r>
    </w:p>
    <w:p w14:paraId="728D9620">
      <w:pPr>
        <w:pStyle w:val="15"/>
        <w:tabs>
          <w:tab w:val="right" w:leader="dot" w:pos="9350"/>
        </w:tabs>
        <w:spacing w:line="360" w:lineRule="auto"/>
        <w:ind w:left="416" w:leftChars="0"/>
        <w:jc w:val="both"/>
        <w:rPr>
          <w:rFonts w:hint="default" w:ascii="Arial Regular" w:hAnsi="Arial Regular" w:cs="Arial Regular" w:eastAsiaTheme="minorEastAsia"/>
          <w:b w:val="0"/>
          <w:bCs w:val="0"/>
          <w:kern w:val="2"/>
          <w:sz w:val="24"/>
          <w:szCs w:val="24"/>
          <w:lang w:val="de-DE"/>
          <w14:ligatures w14:val="standardContextual"/>
        </w:rPr>
      </w:pP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HYPERLINK \l "_Toc223546874"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lang w:val="de-DE"/>
        </w:rPr>
        <w:t>Bibliography</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lang w:val="de-DE"/>
        </w:rPr>
        <w:t>2</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de-DE"/>
        </w:rPr>
        <w:t>6</w:t>
      </w:r>
    </w:p>
    <w:p w14:paraId="7658E8CE">
      <w:pPr>
        <w:pStyle w:val="14"/>
        <w:tabs>
          <w:tab w:val="right" w:leader="dot" w:pos="9350"/>
        </w:tabs>
        <w:spacing w:line="360" w:lineRule="auto"/>
        <w:jc w:val="both"/>
        <w:rPr>
          <w:rFonts w:hint="default" w:ascii="Arial Regular" w:hAnsi="Arial Regular" w:cs="Arial Regular" w:eastAsiaTheme="minorEastAsia"/>
          <w:b w:val="0"/>
          <w:bCs w:val="0"/>
          <w:kern w:val="2"/>
          <w:sz w:val="24"/>
          <w:szCs w:val="24"/>
          <w:lang w:val="en-IN"/>
          <w14:ligatures w14:val="standardContextual"/>
        </w:rPr>
      </w:pPr>
    </w:p>
    <w:p w14:paraId="2ED6701E">
      <w:pPr>
        <w:spacing w:line="360" w:lineRule="auto"/>
        <w:jc w:val="both"/>
        <w:rPr>
          <w:rFonts w:hint="default" w:ascii="Arial Regular" w:hAnsi="Arial Regular" w:cs="Arial Regular"/>
          <w:b/>
          <w:bCs/>
          <w:sz w:val="24"/>
          <w:szCs w:val="24"/>
        </w:rPr>
      </w:pPr>
      <w:r>
        <w:rPr>
          <w:rFonts w:hint="default" w:ascii="Arial Regular" w:hAnsi="Arial Regular" w:cs="Arial Regular"/>
          <w:b w:val="0"/>
          <w:bCs w:val="0"/>
          <w:sz w:val="24"/>
          <w:szCs w:val="24"/>
        </w:rPr>
        <w:fldChar w:fldCharType="end"/>
      </w:r>
    </w:p>
    <w:p w14:paraId="581D75AF">
      <w:pPr>
        <w:spacing w:line="360" w:lineRule="auto"/>
        <w:jc w:val="both"/>
        <w:rPr>
          <w:rFonts w:hint="default" w:ascii="Arial Regular" w:hAnsi="Arial Regular" w:cs="Arial Regular"/>
          <w:b/>
          <w:bCs/>
          <w:sz w:val="24"/>
          <w:szCs w:val="24"/>
          <w:lang w:val="de-DE"/>
        </w:rPr>
      </w:pPr>
    </w:p>
    <w:p w14:paraId="59B76548">
      <w:p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br w:type="page"/>
      </w:r>
    </w:p>
    <w:p w14:paraId="253AB486">
      <w:p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Section 1</w:t>
      </w:r>
    </w:p>
    <w:p w14:paraId="5D4BA486">
      <w:pPr>
        <w:numPr>
          <w:ilvl w:val="0"/>
          <w:numId w:val="0"/>
        </w:num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Introduction </w:t>
      </w:r>
    </w:p>
    <w:p w14:paraId="35B869DA">
      <w:pPr>
        <w:pStyle w:val="11"/>
        <w:keepNext w:val="0"/>
        <w:keepLines w:val="0"/>
        <w:widowControl/>
        <w:suppressLineNumbers w:val="0"/>
        <w:spacing w:line="360" w:lineRule="auto"/>
        <w:jc w:val="both"/>
        <w:rPr>
          <w:rFonts w:hint="default" w:ascii="Arial Regular" w:hAnsi="Arial Regular" w:cs="Arial Regular"/>
          <w:sz w:val="24"/>
          <w:szCs w:val="24"/>
          <w:lang w:val="de-DE"/>
        </w:rPr>
      </w:pPr>
      <w:r>
        <w:rPr>
          <w:rFonts w:hint="default" w:ascii="Arial Regular" w:hAnsi="Arial Regular" w:cs="Arial Regular"/>
          <w:sz w:val="24"/>
          <w:szCs w:val="24"/>
        </w:rPr>
        <w:t>Tesco PLC is the largest grocery retailer in the United Kingdom, operating in a highly competitive and low-margin industry driven by scale, efficiency, and pricing strategies. This report provides a comprehensive strategic management analysis of Tesco, evaluating its ability to sustain competitive advantage in a dynamic macroeconomic environment. It begins with an overview of Tesco’s corporate background, followed by an analysis of the external environment using PESTEL and Porter’s Five Forces frameworks to identify key pressures such as inflation and intense market rivalry (Porter, 2008; OECD, 2024). The report then examines Tesco’s internal capabilities through the VRIO framework and Porter’s Diamond Model, highlighting its data-driven strategy and supply chain strengths (Barney, 1991). Furthermore, it evaluates Tesco’s CSR and sustainability initiatives alongside its strategic choices and performance using the Balanced Scorecard (Kaplan and Norton, 1992). Finally, the report presents recommendations and a reflective analysis using Gibbs’ Reflective Cycle</w:t>
      </w:r>
      <w:r>
        <w:rPr>
          <w:rFonts w:hint="default" w:ascii="Arial Regular" w:hAnsi="Arial Regular" w:cs="Arial Regular"/>
          <w:sz w:val="24"/>
          <w:szCs w:val="24"/>
          <w:lang w:val="de-DE"/>
        </w:rPr>
        <w:t xml:space="preserve">, </w:t>
      </w:r>
      <w:r>
        <w:rPr>
          <w:rFonts w:hint="default" w:ascii="Arial Regular" w:hAnsi="Arial Regular" w:cs="Arial Regular"/>
          <w:sz w:val="24"/>
          <w:szCs w:val="24"/>
        </w:rPr>
        <w:t>followed by conclusion, summary and references.</w:t>
      </w:r>
    </w:p>
    <w:p w14:paraId="61E5C82C">
      <w:pPr>
        <w:numPr>
          <w:ilvl w:val="0"/>
          <w:numId w:val="1"/>
        </w:num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Company Introduction and History </w:t>
      </w:r>
    </w:p>
    <w:p w14:paraId="180F3268">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Tesco operates in the grocery retail industry, a highly competitive, low-margin sector driven by scale, supply chain efficiency, and price leadership. Founded in 1919 by Jack Cohen, Tesco grew from a market stall into the UK’s largest retailer, maintaining leadership since the early 2000s. Its evolution includes international expansion and later strategic refocusing on core UK and European markets after divestments in Asia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2023;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2024).</w:t>
      </w:r>
    </w:p>
    <w:p w14:paraId="2BE248CE">
      <w:pPr>
        <w:pStyle w:val="11"/>
        <w:keepNext w:val="0"/>
        <w:keepLines w:val="0"/>
        <w:widowControl/>
        <w:suppressLineNumbers w:val="0"/>
        <w:spacing w:line="360" w:lineRule="auto"/>
        <w:jc w:val="center"/>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drawing>
          <wp:inline distT="0" distB="0" distL="114300" distR="114300">
            <wp:extent cx="4137660" cy="2482215"/>
            <wp:effectExtent l="0" t="0" r="2540" b="6985"/>
            <wp:docPr id="3" name="Picture 3" descr="Tesco-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sco-Shutterstock"/>
                    <pic:cNvPicPr>
                      <a:picLocks noChangeAspect="1"/>
                    </pic:cNvPicPr>
                  </pic:nvPicPr>
                  <pic:blipFill>
                    <a:blip r:embed="rId8"/>
                    <a:stretch>
                      <a:fillRect/>
                    </a:stretch>
                  </pic:blipFill>
                  <pic:spPr>
                    <a:xfrm>
                      <a:off x="0" y="0"/>
                      <a:ext cx="4137660" cy="2482215"/>
                    </a:xfrm>
                    <a:prstGeom prst="rect">
                      <a:avLst/>
                    </a:prstGeom>
                  </pic:spPr>
                </pic:pic>
              </a:graphicData>
            </a:graphic>
          </wp:inline>
        </w:drawing>
      </w:r>
    </w:p>
    <w:p w14:paraId="1082E31B">
      <w:pPr>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 xml:space="preserve">Figure 1: Tesco Outlet (Source: </w:t>
      </w:r>
      <w:r>
        <w:rPr>
          <w:rFonts w:hint="default" w:ascii="Arial Regular" w:hAnsi="Arial Regular" w:eastAsia="SimSun" w:cs="Arial Regular"/>
          <w:kern w:val="0"/>
          <w:sz w:val="24"/>
          <w:szCs w:val="24"/>
          <w:lang w:val="en-US" w:eastAsia="zh-CN" w:bidi="ar"/>
        </w:rPr>
        <w:t>Qureshi, 2025)</w:t>
      </w:r>
    </w:p>
    <w:p w14:paraId="6030B4E0">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b/>
          <w:bCs/>
          <w:sz w:val="24"/>
          <w:szCs w:val="24"/>
          <w:lang w:val="de-DE"/>
        </w:rPr>
        <w:t xml:space="preserve">Mission &amp; Vision: </w:t>
      </w:r>
      <w:r>
        <w:rPr>
          <w:rFonts w:hint="default" w:ascii="Arial Regular" w:hAnsi="Arial Regular" w:cs="Arial Regular"/>
          <w:sz w:val="24"/>
          <w:szCs w:val="24"/>
        </w:rPr>
        <w:t>Tesco’s mission is “serving our customers, communities and planet a little better every day,” reflecting its focus on value, sustainability, and customer satisfaction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2024). Its vision centres on being the most trusted retailer through quality, affordability, and innovation. The company serves millions of customers weekly and employs over 340,000 people globally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 Statista, 2025) .</w:t>
      </w:r>
    </w:p>
    <w:p w14:paraId="3417434C">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Tesco’s business model is based on high-volume retailing across groceries, general merchandise, and complementary services such as wholesale (Booker) and data analytics (dunnhumby). Financially, Tesco generated approximately £65.3 billion in 2023, £68.2 billion in 2024, and £69.9 billion in 2025 revenue, showing consistent growth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2023;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2024;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 . Operating profits reached around £3.1 billion in 2024/25, with margins typically between 3–4%, reflecting industry characteristics .</w:t>
      </w:r>
    </w:p>
    <w:p w14:paraId="4B8D7C48">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Operationally, Tesco uses a multi-format strategy (Extra, Superstore, Express) and an omnichannel model integrating over 3,000 stores with strong online grocery operations. Its Clubcard loyalty scheme, used by over 20 million UK households, enables data-driven decision-making and personalised pricing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 The Guardian, 2025) . Structurally, Tesco follows a hierarchical and divisional model organised by geography (UK &amp; ROI, Central Europe) and business units, allowing efficient large-scale management.</w:t>
      </w:r>
    </w:p>
    <w:p w14:paraId="64819C5F">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Tesco’s key competitors include Sainsbury’s, Asda, Morrisons, Aldi, and Lidl. Despite intense competition, Tesco maintains clear market leadership, holding approximately 27–28.5% of the UK grocery market in 2024–2025 . Its positioning focuses on “value for money,” combining competitive pricing (e.g., Aldi price matching on 600+ products) with quality and availability, reinforcing customer loyalty and volume growth .</w:t>
      </w:r>
    </w:p>
    <w:p w14:paraId="4A606408">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 xml:space="preserve">In summary, Tesco’s dominance is driven by its scale, data-driven strategy, and integrated omnichannel operations. With nearly £70 billion in annual revenue, </w:t>
      </w:r>
      <w:r>
        <w:rPr>
          <w:rFonts w:hint="default" w:ascii="Arial Regular" w:hAnsi="Arial Regular" w:cs="Arial Regular"/>
          <w:sz w:val="24"/>
          <w:szCs w:val="24"/>
          <w:lang w:val="de-DE"/>
        </w:rPr>
        <w:t xml:space="preserve">approximately </w:t>
      </w:r>
      <w:r>
        <w:rPr>
          <w:rFonts w:hint="default" w:ascii="Arial Regular" w:hAnsi="Arial Regular" w:cs="Arial Regular"/>
          <w:sz w:val="24"/>
          <w:szCs w:val="24"/>
        </w:rPr>
        <w:t xml:space="preserve">3–4% margins, and </w:t>
      </w:r>
      <w:r>
        <w:rPr>
          <w:rFonts w:hint="default" w:ascii="Arial Regular" w:hAnsi="Arial Regular" w:cs="Arial Regular"/>
          <w:sz w:val="24"/>
          <w:szCs w:val="24"/>
          <w:lang w:val="de-DE"/>
        </w:rPr>
        <w:t xml:space="preserve">approximately </w:t>
      </w:r>
      <w:r>
        <w:rPr>
          <w:rFonts w:hint="default" w:ascii="Arial Regular" w:hAnsi="Arial Regular" w:cs="Arial Regular"/>
          <w:sz w:val="24"/>
          <w:szCs w:val="24"/>
        </w:rPr>
        <w:t>28% market share, Tesco remains the UK’s leading grocery retailer despite ongoing competitive pressures.</w:t>
      </w:r>
    </w:p>
    <w:p w14:paraId="3763AEA7">
      <w:pPr>
        <w:keepNext w:val="0"/>
        <w:keepLines w:val="0"/>
        <w:widowControl/>
        <w:numPr>
          <w:ilvl w:val="0"/>
          <w:numId w:val="1"/>
        </w:numPr>
        <w:suppressLineNumbers w:val="0"/>
        <w:spacing w:line="360" w:lineRule="auto"/>
        <w:ind w:left="0" w:leftChars="0" w:firstLine="0" w:firstLineChars="0"/>
        <w:jc w:val="both"/>
        <w:rPr>
          <w:rFonts w:hint="default" w:ascii="Arial Regular" w:hAnsi="Arial Regular" w:cs="Arial Regular"/>
          <w:b/>
          <w:bCs/>
          <w:sz w:val="24"/>
          <w:szCs w:val="24"/>
          <w:lang w:val="de-DE"/>
        </w:rPr>
      </w:pPr>
      <w:r>
        <w:rPr>
          <w:rFonts w:hint="default" w:ascii="Arial Regular" w:hAnsi="Arial Regular" w:eastAsia="SimSun" w:cs="Arial Regular"/>
          <w:b/>
          <w:bCs/>
          <w:kern w:val="0"/>
          <w:sz w:val="24"/>
          <w:szCs w:val="24"/>
          <w:lang w:val="en-US" w:eastAsia="zh-CN" w:bidi="ar"/>
        </w:rPr>
        <w:t>External and Internal Environment Analysis</w:t>
      </w:r>
    </w:p>
    <w:p w14:paraId="6BECF8CE">
      <w:pPr>
        <w:keepNext w:val="0"/>
        <w:keepLines w:val="0"/>
        <w:widowControl/>
        <w:numPr>
          <w:numId w:val="0"/>
        </w:numPr>
        <w:suppressLineNumbers w:val="0"/>
        <w:spacing w:line="360" w:lineRule="auto"/>
        <w:ind w:leftChars="0"/>
        <w:jc w:val="both"/>
        <w:rPr>
          <w:rFonts w:hint="default" w:ascii="Arial Regular" w:hAnsi="Arial Regular" w:cs="Arial Regular"/>
          <w:b/>
          <w:bCs/>
          <w:sz w:val="24"/>
          <w:szCs w:val="24"/>
          <w:lang w:val="de-DE"/>
        </w:rPr>
      </w:pPr>
    </w:p>
    <w:p w14:paraId="409B9C46">
      <w:pPr>
        <w:numPr>
          <w:ilvl w:val="1"/>
          <w:numId w:val="1"/>
        </w:numPr>
        <w:spacing w:line="360" w:lineRule="auto"/>
        <w:ind w:leftChars="0"/>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PESTEL Analysis </w:t>
      </w:r>
    </w:p>
    <w:p w14:paraId="5B1C6656">
      <w:pPr>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distT="0" distB="0" distL="114300" distR="114300">
            <wp:extent cx="4624705" cy="3470275"/>
            <wp:effectExtent l="0" t="0" r="23495" b="9525"/>
            <wp:docPr id="4"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2"/>
                    <pic:cNvPicPr>
                      <a:picLocks noChangeAspect="1"/>
                    </pic:cNvPicPr>
                  </pic:nvPicPr>
                  <pic:blipFill>
                    <a:blip r:embed="rId9"/>
                    <a:stretch>
                      <a:fillRect/>
                    </a:stretch>
                  </pic:blipFill>
                  <pic:spPr>
                    <a:xfrm>
                      <a:off x="0" y="0"/>
                      <a:ext cx="4624705" cy="3470275"/>
                    </a:xfrm>
                    <a:prstGeom prst="rect">
                      <a:avLst/>
                    </a:prstGeom>
                  </pic:spPr>
                </pic:pic>
              </a:graphicData>
            </a:graphic>
          </wp:inline>
        </w:drawing>
      </w:r>
    </w:p>
    <w:p w14:paraId="50E65AF4">
      <w:pPr>
        <w:spacing w:line="360" w:lineRule="auto"/>
        <w:jc w:val="center"/>
        <w:rPr>
          <w:rFonts w:hint="default" w:ascii="Arial Regular" w:hAnsi="Arial Regular" w:cs="Arial Regular"/>
          <w:b/>
          <w:bCs/>
          <w:sz w:val="24"/>
          <w:szCs w:val="24"/>
          <w:lang w:val="de-DE"/>
        </w:rPr>
      </w:pPr>
      <w:r>
        <w:rPr>
          <w:rFonts w:hint="default" w:ascii="Arial Regular" w:hAnsi="Arial Regular" w:cs="Arial Regular"/>
          <w:sz w:val="24"/>
          <w:szCs w:val="24"/>
          <w:lang w:val="de-DE"/>
        </w:rPr>
        <w:t>Figure 2: PESTEL Analysis (Source: Self Developed)</w:t>
      </w:r>
    </w:p>
    <w:p w14:paraId="12B0790B">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 </w:t>
      </w:r>
      <w:r>
        <w:rPr>
          <w:rStyle w:val="12"/>
          <w:rFonts w:hint="default" w:ascii="Arial Regular" w:hAnsi="Arial Regular" w:cs="Arial Regular"/>
          <w:b w:val="0"/>
          <w:bCs w:val="0"/>
          <w:sz w:val="24"/>
          <w:szCs w:val="24"/>
        </w:rPr>
        <w:t>PESTEL analysis</w:t>
      </w:r>
      <w:r>
        <w:rPr>
          <w:rFonts w:hint="default" w:ascii="Arial Regular" w:hAnsi="Arial Regular" w:cs="Arial Regular"/>
          <w:b w:val="0"/>
          <w:bCs w:val="0"/>
          <w:sz w:val="24"/>
          <w:szCs w:val="24"/>
        </w:rPr>
        <w:t xml:space="preserve"> is a strategic management framework that examines </w:t>
      </w:r>
      <w:r>
        <w:rPr>
          <w:rStyle w:val="12"/>
          <w:rFonts w:hint="default" w:ascii="Arial Regular" w:hAnsi="Arial Regular" w:cs="Arial Regular"/>
          <w:b w:val="0"/>
          <w:bCs w:val="0"/>
          <w:sz w:val="24"/>
          <w:szCs w:val="24"/>
        </w:rPr>
        <w:t>Political, Economic, Social, Technological, Environmental and Legal</w:t>
      </w:r>
      <w:r>
        <w:rPr>
          <w:rFonts w:hint="default" w:ascii="Arial Regular" w:hAnsi="Arial Regular" w:cs="Arial Regular"/>
          <w:b w:val="0"/>
          <w:bCs w:val="0"/>
          <w:sz w:val="24"/>
          <w:szCs w:val="24"/>
        </w:rPr>
        <w:t xml:space="preserve"> macro</w:t>
      </w:r>
      <w:r>
        <w:rPr>
          <w:rFonts w:hint="default" w:ascii="Arial Regular" w:hAnsi="Arial Regular" w:cs="Arial Regular"/>
          <w:b w:val="0"/>
          <w:bCs w:val="0"/>
          <w:sz w:val="24"/>
          <w:szCs w:val="24"/>
        </w:rPr>
        <w:noBreakHyphen/>
      </w:r>
      <w:r>
        <w:rPr>
          <w:rFonts w:hint="default" w:ascii="Arial Regular" w:hAnsi="Arial Regular" w:cs="Arial Regular"/>
          <w:b w:val="0"/>
          <w:bCs w:val="0"/>
          <w:sz w:val="24"/>
          <w:szCs w:val="24"/>
        </w:rPr>
        <w:t>environmental factors influencing an organisation’s performance and strategic decisions (Belsare, 2025).</w:t>
      </w:r>
    </w:p>
    <w:p w14:paraId="01EA3CBA">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Political:</w:t>
      </w:r>
      <w:r>
        <w:rPr>
          <w:rFonts w:hint="default" w:ascii="Arial Regular" w:hAnsi="Arial Regular" w:cs="Arial Regular"/>
          <w:sz w:val="24"/>
          <w:szCs w:val="24"/>
        </w:rPr>
        <w:t xml:space="preserve"> Tesco operates within the UK and EU regulatory environments, which influence taxation, employment law, and trade policies. For example, post</w:t>
      </w:r>
      <w:r>
        <w:rPr>
          <w:rFonts w:hint="default" w:ascii="Arial Regular" w:hAnsi="Arial Regular" w:cs="Arial Regular"/>
          <w:sz w:val="24"/>
          <w:szCs w:val="24"/>
        </w:rPr>
        <w:noBreakHyphen/>
      </w:r>
      <w:r>
        <w:rPr>
          <w:rFonts w:hint="default" w:ascii="Arial Regular" w:hAnsi="Arial Regular" w:cs="Arial Regular"/>
          <w:sz w:val="24"/>
          <w:szCs w:val="24"/>
        </w:rPr>
        <w:t>Brexit trade and customs rules affect supply chain and pricing decisions. Government policy on minimum wage and packaging levies directly raises operational costs, forcing Tesco to adjust pricing and cost structures in its strategy (Reuters, 2025</w:t>
      </w:r>
      <w:r>
        <w:rPr>
          <w:rFonts w:hint="default" w:ascii="Arial Regular" w:hAnsi="Arial Regular" w:cs="Arial Regular"/>
          <w:sz w:val="24"/>
          <w:szCs w:val="24"/>
          <w:lang w:val="de-DE"/>
        </w:rPr>
        <w:t>b</w:t>
      </w:r>
      <w:r>
        <w:rPr>
          <w:rFonts w:hint="default" w:ascii="Arial Regular" w:hAnsi="Arial Regular" w:cs="Arial Regular"/>
          <w:sz w:val="24"/>
          <w:szCs w:val="24"/>
        </w:rPr>
        <w:t>).</w:t>
      </w:r>
    </w:p>
    <w:p w14:paraId="668A8D74">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Economic:</w:t>
      </w:r>
      <w:r>
        <w:rPr>
          <w:rFonts w:hint="default" w:ascii="Arial Regular" w:hAnsi="Arial Regular" w:cs="Arial Regular"/>
          <w:sz w:val="24"/>
          <w:szCs w:val="24"/>
        </w:rPr>
        <w:t xml:space="preserve"> Macroeconomic conditions such as inflation and consumer spending patterns shape Tesco’s performance. Group revenue grew to £69.9 billion in 2025, up from £68.2 billion in 2024 and £65.3 billion in 2023, indicating resilience in a volatile economy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 However, high cost</w:t>
      </w:r>
      <w:r>
        <w:rPr>
          <w:rFonts w:hint="default" w:ascii="Arial Regular" w:hAnsi="Arial Regular" w:cs="Arial Regular"/>
          <w:sz w:val="24"/>
          <w:szCs w:val="24"/>
        </w:rPr>
        <w:noBreakHyphen/>
      </w:r>
      <w:r>
        <w:rPr>
          <w:rFonts w:hint="default" w:ascii="Arial Regular" w:hAnsi="Arial Regular" w:cs="Arial Regular"/>
          <w:sz w:val="24"/>
          <w:szCs w:val="24"/>
        </w:rPr>
        <w:t>of</w:t>
      </w:r>
      <w:r>
        <w:rPr>
          <w:rFonts w:hint="default" w:ascii="Arial Regular" w:hAnsi="Arial Regular" w:cs="Arial Regular"/>
          <w:sz w:val="24"/>
          <w:szCs w:val="24"/>
        </w:rPr>
        <w:noBreakHyphen/>
      </w:r>
      <w:r>
        <w:rPr>
          <w:rFonts w:hint="default" w:ascii="Arial Regular" w:hAnsi="Arial Regular" w:cs="Arial Regular"/>
          <w:sz w:val="24"/>
          <w:szCs w:val="24"/>
        </w:rPr>
        <w:t>living pressures affect consumer behaviour towards value purchases, leading Tesco to emphasise competitive pricing through initiatives such as Aldi price matching.</w:t>
      </w:r>
    </w:p>
    <w:p w14:paraId="423A9B59">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Social:</w:t>
      </w:r>
      <w:r>
        <w:rPr>
          <w:rFonts w:hint="default" w:ascii="Arial Regular" w:hAnsi="Arial Regular" w:cs="Arial Regular"/>
          <w:sz w:val="24"/>
          <w:szCs w:val="24"/>
        </w:rPr>
        <w:t xml:space="preserve"> Shifts in consumer behaviour, such as growing demand for convenience and healthy products, influence Tesco’s product assortment and marketing. The Clubcard loyalty scheme drives customer engagement and informs strategic decisions on promotions and stock allocation. Changing demographics and social preferences push the company to innovate in healthier, sustainable offerings.</w:t>
      </w:r>
    </w:p>
    <w:p w14:paraId="40036CFF">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Technological:</w:t>
      </w:r>
      <w:r>
        <w:rPr>
          <w:rFonts w:hint="default" w:ascii="Arial Regular" w:hAnsi="Arial Regular" w:cs="Arial Regular"/>
          <w:sz w:val="24"/>
          <w:szCs w:val="24"/>
        </w:rPr>
        <w:t xml:space="preserve"> Investment in e</w:t>
      </w:r>
      <w:r>
        <w:rPr>
          <w:rFonts w:hint="default" w:ascii="Arial Regular" w:hAnsi="Arial Regular" w:cs="Arial Regular"/>
          <w:sz w:val="24"/>
          <w:szCs w:val="24"/>
        </w:rPr>
        <w:noBreakHyphen/>
      </w:r>
      <w:r>
        <w:rPr>
          <w:rFonts w:hint="default" w:ascii="Arial Regular" w:hAnsi="Arial Regular" w:cs="Arial Regular"/>
          <w:sz w:val="24"/>
          <w:szCs w:val="24"/>
        </w:rPr>
        <w:t>commerce and data analytics is vital. Tesco’s online services and use of customer data from Clubcard support personalised marketing and supply chain optimisation. Technology adoption reduces costs and improves customer experience, influencing digital transformation strategies.</w:t>
      </w:r>
    </w:p>
    <w:p w14:paraId="25DECC3C">
      <w:pPr>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lang w:val="de-DE"/>
        </w:rPr>
      </w:pPr>
      <w:r>
        <w:rPr>
          <w:rStyle w:val="12"/>
          <w:rFonts w:hint="default" w:ascii="Arial Regular" w:hAnsi="Arial Regular" w:cs="Arial Regular"/>
          <w:sz w:val="24"/>
          <w:szCs w:val="24"/>
        </w:rPr>
        <w:t>Environmental:</w:t>
      </w:r>
      <w:r>
        <w:rPr>
          <w:rFonts w:hint="default" w:ascii="Arial Regular" w:hAnsi="Arial Regular" w:cs="Arial Regular"/>
          <w:sz w:val="24"/>
          <w:szCs w:val="24"/>
        </w:rPr>
        <w:t xml:space="preserve"> Tesco integrates sustainability into strategy. Its 2025 sustainability report shows 87% of own</w:t>
      </w:r>
      <w:r>
        <w:rPr>
          <w:rFonts w:hint="default" w:ascii="Arial Regular" w:hAnsi="Arial Regular" w:cs="Arial Regular"/>
          <w:sz w:val="24"/>
          <w:szCs w:val="24"/>
        </w:rPr>
        <w:noBreakHyphen/>
      </w:r>
      <w:r>
        <w:rPr>
          <w:rFonts w:hint="default" w:ascii="Arial Regular" w:hAnsi="Arial Regular" w:cs="Arial Regular"/>
          <w:sz w:val="24"/>
          <w:szCs w:val="24"/>
        </w:rPr>
        <w:t xml:space="preserve">brand packaging recyclable at kerbside and substantial cuts in operational emissions, guiding strategic investment in green logistics and packaging design </w:t>
      </w:r>
      <w:r>
        <w:rPr>
          <w:rFonts w:hint="default" w:ascii="Arial Regular" w:hAnsi="Arial Regular" w:eastAsia="SimSun" w:cs="Arial Regular"/>
          <w:kern w:val="0"/>
          <w:sz w:val="24"/>
          <w:szCs w:val="24"/>
          <w:lang w:val="en-US" w:eastAsia="zh-CN" w:bidi="ar"/>
        </w:rPr>
        <w:t>(Tesco PLC, 2025b)</w:t>
      </w:r>
      <w:r>
        <w:rPr>
          <w:rFonts w:hint="default" w:ascii="Arial Regular" w:hAnsi="Arial Regular" w:eastAsia="SimSun" w:cs="Arial Regular"/>
          <w:kern w:val="0"/>
          <w:sz w:val="24"/>
          <w:szCs w:val="24"/>
          <w:lang w:val="de-DE" w:eastAsia="zh-CN" w:bidi="ar"/>
        </w:rPr>
        <w:t>.</w:t>
      </w:r>
    </w:p>
    <w:p w14:paraId="61BD5A1E">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Legal:</w:t>
      </w:r>
      <w:r>
        <w:rPr>
          <w:rFonts w:hint="default" w:ascii="Arial Regular" w:hAnsi="Arial Regular" w:cs="Arial Regular"/>
          <w:sz w:val="24"/>
          <w:szCs w:val="24"/>
        </w:rPr>
        <w:t xml:space="preserve"> Compliance with food safety, employment and data protection regulations affects operational policies. Tesco must continuously update practices to meet evolving legal standards across markets.</w:t>
      </w:r>
    </w:p>
    <w:p w14:paraId="62EC5866">
      <w:pPr>
        <w:pStyle w:val="11"/>
        <w:keepNext w:val="0"/>
        <w:keepLines w:val="0"/>
        <w:widowControl/>
        <w:suppressLineNumbers w:val="0"/>
        <w:spacing w:line="360" w:lineRule="auto"/>
        <w:jc w:val="both"/>
        <w:rPr>
          <w:rFonts w:hint="default" w:ascii="Arial Regular" w:hAnsi="Arial Regular" w:cs="Arial Regular"/>
          <w:sz w:val="24"/>
          <w:szCs w:val="24"/>
        </w:rPr>
      </w:pPr>
      <w:r>
        <w:rPr>
          <w:rStyle w:val="12"/>
          <w:rFonts w:hint="default" w:ascii="Arial Regular" w:hAnsi="Arial Regular" w:cs="Arial Regular"/>
          <w:sz w:val="24"/>
          <w:szCs w:val="24"/>
        </w:rPr>
        <w:t>Critical Analysis:</w:t>
      </w:r>
      <w:r>
        <w:rPr>
          <w:rFonts w:hint="default" w:ascii="Arial Regular" w:hAnsi="Arial Regular" w:cs="Arial Regular"/>
          <w:sz w:val="24"/>
          <w:szCs w:val="24"/>
        </w:rPr>
        <w:t xml:space="preserve"> While PESTEL highlights key external pressures, it can be descriptive and lacks weighting of factor impact. In Tesco’s case, economic and political factors (e.g., inflation and regulation) strongly drive pricing strategy and cost management, while technological and environmental trends reshape investment priorities. Strategic decisions increasingly balance regulatory compliance with digital innovation and sustainability commitments, demonstrating PESTEL’s role in informing Tesco’s multi</w:t>
      </w:r>
      <w:r>
        <w:rPr>
          <w:rFonts w:hint="default" w:ascii="Arial Regular" w:hAnsi="Arial Regular" w:cs="Arial Regular"/>
          <w:sz w:val="24"/>
          <w:szCs w:val="24"/>
        </w:rPr>
        <w:noBreakHyphen/>
      </w:r>
      <w:r>
        <w:rPr>
          <w:rFonts w:hint="default" w:ascii="Arial Regular" w:hAnsi="Arial Regular" w:cs="Arial Regular"/>
          <w:sz w:val="24"/>
          <w:szCs w:val="24"/>
        </w:rPr>
        <w:t>faceted response to external forces.</w:t>
      </w:r>
    </w:p>
    <w:p w14:paraId="5593C0C3">
      <w:pPr>
        <w:pStyle w:val="11"/>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2.2 Porter’s Five Forces Analysis</w:t>
      </w:r>
    </w:p>
    <w:p w14:paraId="354FA86B">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Style w:val="12"/>
          <w:rFonts w:hint="default" w:ascii="Arial Regular" w:hAnsi="Arial Regular" w:cs="Arial Regular"/>
          <w:b w:val="0"/>
          <w:bCs w:val="0"/>
          <w:sz w:val="24"/>
          <w:szCs w:val="24"/>
        </w:rPr>
        <w:t>Porter’s Five Forces</w:t>
      </w:r>
      <w:r>
        <w:rPr>
          <w:rFonts w:hint="default" w:ascii="Arial Regular" w:hAnsi="Arial Regular" w:cs="Arial Regular"/>
          <w:b w:val="0"/>
          <w:bCs w:val="0"/>
          <w:sz w:val="24"/>
          <w:szCs w:val="24"/>
        </w:rPr>
        <w:t xml:space="preserve"> is a strategic framework developed by </w:t>
      </w:r>
      <w:r>
        <w:rPr>
          <w:rStyle w:val="12"/>
          <w:rFonts w:hint="default" w:ascii="Arial Regular" w:hAnsi="Arial Regular" w:cs="Arial Regular"/>
          <w:b w:val="0"/>
          <w:bCs w:val="0"/>
          <w:sz w:val="24"/>
          <w:szCs w:val="24"/>
        </w:rPr>
        <w:t>Michael E. Porter</w:t>
      </w:r>
      <w:r>
        <w:rPr>
          <w:rFonts w:hint="default" w:ascii="Arial Regular" w:hAnsi="Arial Regular" w:cs="Arial Regular"/>
          <w:b w:val="0"/>
          <w:bCs w:val="0"/>
          <w:sz w:val="24"/>
          <w:szCs w:val="24"/>
        </w:rPr>
        <w:t xml:space="preserve"> to analyse the competitive forces that determine an industry’s profitability and intensity of competition. It assesses the </w:t>
      </w:r>
      <w:r>
        <w:rPr>
          <w:rStyle w:val="12"/>
          <w:rFonts w:hint="default" w:ascii="Arial Regular" w:hAnsi="Arial Regular" w:cs="Arial Regular"/>
          <w:b w:val="0"/>
          <w:bCs w:val="0"/>
          <w:sz w:val="24"/>
          <w:szCs w:val="24"/>
        </w:rPr>
        <w:t>threat of new entrants, threat of substitutes, bargaining power of buyers, bargaining power of suppliers,</w:t>
      </w:r>
      <w:r>
        <w:rPr>
          <w:rFonts w:hint="default" w:ascii="Arial Regular" w:hAnsi="Arial Regular" w:cs="Arial Regular"/>
          <w:b w:val="0"/>
          <w:bCs w:val="0"/>
          <w:sz w:val="24"/>
          <w:szCs w:val="24"/>
        </w:rPr>
        <w:t xml:space="preserve"> and </w:t>
      </w:r>
      <w:r>
        <w:rPr>
          <w:rStyle w:val="12"/>
          <w:rFonts w:hint="default" w:ascii="Arial Regular" w:hAnsi="Arial Regular" w:cs="Arial Regular"/>
          <w:b w:val="0"/>
          <w:bCs w:val="0"/>
          <w:sz w:val="24"/>
          <w:szCs w:val="24"/>
        </w:rPr>
        <w:t>competitive rivalry</w:t>
      </w:r>
      <w:r>
        <w:rPr>
          <w:rFonts w:hint="default" w:ascii="Arial Regular" w:hAnsi="Arial Regular" w:cs="Arial Regular"/>
          <w:b w:val="0"/>
          <w:bCs w:val="0"/>
          <w:sz w:val="24"/>
          <w:szCs w:val="24"/>
        </w:rPr>
        <w:t xml:space="preserve"> to inform strategic decision</w:t>
      </w:r>
      <w:r>
        <w:rPr>
          <w:rFonts w:hint="default" w:ascii="Arial Regular" w:hAnsi="Arial Regular" w:cs="Arial Regular"/>
          <w:b w:val="0"/>
          <w:bCs w:val="0"/>
          <w:sz w:val="24"/>
          <w:szCs w:val="24"/>
        </w:rPr>
        <w:noBreakHyphen/>
      </w:r>
      <w:r>
        <w:rPr>
          <w:rFonts w:hint="default" w:ascii="Arial Regular" w:hAnsi="Arial Regular" w:cs="Arial Regular"/>
          <w:b w:val="0"/>
          <w:bCs w:val="0"/>
          <w:sz w:val="24"/>
          <w:szCs w:val="24"/>
        </w:rPr>
        <w:t>making (Porter, 2008).</w:t>
      </w:r>
    </w:p>
    <w:p w14:paraId="55161618">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Threat of New Entrants</w:t>
      </w:r>
      <w:r>
        <w:rPr>
          <w:rStyle w:val="12"/>
          <w:rFonts w:hint="default" w:ascii="Arial Regular" w:hAnsi="Arial Regular" w:cs="Arial Regular"/>
          <w:sz w:val="24"/>
          <w:szCs w:val="24"/>
          <w:lang w:val="de-DE"/>
        </w:rPr>
        <w:t xml:space="preserve"> (High)</w:t>
      </w:r>
      <w:r>
        <w:rPr>
          <w:rFonts w:hint="default" w:ascii="Arial Regular" w:hAnsi="Arial Regular" w:cs="Arial Regular"/>
          <w:sz w:val="24"/>
          <w:szCs w:val="24"/>
        </w:rPr>
        <w:t xml:space="preserve"> </w:t>
      </w:r>
    </w:p>
    <w:p w14:paraId="6F48E24D">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Entry barriers in the UK grocery retail sector are </w:t>
      </w:r>
      <w:r>
        <w:rPr>
          <w:rStyle w:val="12"/>
          <w:rFonts w:hint="default" w:ascii="Arial Regular" w:hAnsi="Arial Regular" w:cs="Arial Regular"/>
          <w:b w:val="0"/>
          <w:bCs w:val="0"/>
          <w:sz w:val="24"/>
          <w:szCs w:val="24"/>
        </w:rPr>
        <w:t>high</w:t>
      </w:r>
      <w:r>
        <w:rPr>
          <w:rFonts w:hint="default" w:ascii="Arial Regular" w:hAnsi="Arial Regular" w:cs="Arial Regular"/>
          <w:b w:val="0"/>
          <w:bCs w:val="0"/>
          <w:sz w:val="24"/>
          <w:szCs w:val="24"/>
        </w:rPr>
        <w:t xml:space="preserve"> due to significant capital requirements for store networks and distribution infrastructure. Tesco’s scale—over </w:t>
      </w:r>
      <w:r>
        <w:rPr>
          <w:rStyle w:val="12"/>
          <w:rFonts w:hint="default" w:ascii="Arial Regular" w:hAnsi="Arial Regular" w:cs="Arial Regular"/>
          <w:b w:val="0"/>
          <w:bCs w:val="0"/>
          <w:sz w:val="24"/>
          <w:szCs w:val="24"/>
        </w:rPr>
        <w:t>4,000 stores</w:t>
      </w:r>
      <w:r>
        <w:rPr>
          <w:rFonts w:hint="default" w:ascii="Arial Regular" w:hAnsi="Arial Regular" w:cs="Arial Regular"/>
          <w:b w:val="0"/>
          <w:bCs w:val="0"/>
          <w:sz w:val="24"/>
          <w:szCs w:val="24"/>
        </w:rPr>
        <w:t xml:space="preserve"> and </w:t>
      </w:r>
      <w:r>
        <w:rPr>
          <w:rFonts w:hint="default" w:ascii="Arial Regular" w:hAnsi="Arial Regular" w:cs="Arial Regular"/>
          <w:sz w:val="24"/>
          <w:szCs w:val="24"/>
          <w:lang w:val="de-DE"/>
        </w:rPr>
        <w:t xml:space="preserve">approximately </w:t>
      </w:r>
      <w:r>
        <w:rPr>
          <w:rStyle w:val="12"/>
          <w:rFonts w:hint="default" w:ascii="Arial Regular" w:hAnsi="Arial Regular" w:cs="Arial Regular"/>
          <w:b w:val="0"/>
          <w:bCs w:val="0"/>
          <w:sz w:val="24"/>
          <w:szCs w:val="24"/>
        </w:rPr>
        <w:t>340,000 employees</w:t>
      </w:r>
      <w:r>
        <w:rPr>
          <w:rFonts w:hint="default" w:ascii="Arial Regular" w:hAnsi="Arial Regular" w:cs="Arial Regular"/>
          <w:b w:val="0"/>
          <w:bCs w:val="0"/>
          <w:sz w:val="24"/>
          <w:szCs w:val="24"/>
        </w:rPr>
        <w:t xml:space="preserve">—and </w:t>
      </w:r>
      <w:r>
        <w:rPr>
          <w:rFonts w:hint="default" w:ascii="Arial Regular" w:hAnsi="Arial Regular" w:cs="Arial Regular"/>
          <w:sz w:val="24"/>
          <w:szCs w:val="24"/>
        </w:rPr>
        <w:t>strong brand presence make it difficult for new players to gain meaningful share (MarketScreener, 2025). The capital intensity and regulatory compliance involved in food safety also deter smaller entrants.</w:t>
      </w:r>
    </w:p>
    <w:p w14:paraId="3A8F14FA">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Threat of Substitutes</w:t>
      </w:r>
      <w:r>
        <w:rPr>
          <w:rStyle w:val="12"/>
          <w:rFonts w:hint="default" w:ascii="Arial Regular" w:hAnsi="Arial Regular" w:cs="Arial Regular"/>
          <w:sz w:val="24"/>
          <w:szCs w:val="24"/>
          <w:lang w:val="de-DE"/>
        </w:rPr>
        <w:t xml:space="preserve"> (Moderate)</w:t>
      </w:r>
    </w:p>
    <w:p w14:paraId="03BD9F51">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The threat of substitutes for grocery retail remains </w:t>
      </w:r>
      <w:r>
        <w:rPr>
          <w:rStyle w:val="12"/>
          <w:rFonts w:hint="default" w:ascii="Arial Regular" w:hAnsi="Arial Regular" w:cs="Arial Regular"/>
          <w:b w:val="0"/>
          <w:bCs w:val="0"/>
          <w:sz w:val="24"/>
          <w:szCs w:val="24"/>
        </w:rPr>
        <w:t>moderate</w:t>
      </w:r>
      <w:r>
        <w:rPr>
          <w:rFonts w:hint="default" w:ascii="Arial Regular" w:hAnsi="Arial Regular" w:cs="Arial Regular"/>
          <w:sz w:val="24"/>
          <w:szCs w:val="24"/>
        </w:rPr>
        <w:t>. While alternative channels such as online</w:t>
      </w:r>
      <w:r>
        <w:rPr>
          <w:rFonts w:hint="default" w:ascii="Arial Regular" w:hAnsi="Arial Regular" w:cs="Arial Regular"/>
          <w:sz w:val="24"/>
          <w:szCs w:val="24"/>
        </w:rPr>
        <w:noBreakHyphen/>
      </w:r>
      <w:r>
        <w:rPr>
          <w:rFonts w:hint="default" w:ascii="Arial Regular" w:hAnsi="Arial Regular" w:cs="Arial Regular"/>
          <w:sz w:val="24"/>
          <w:szCs w:val="24"/>
        </w:rPr>
        <w:t>only grocers or meal delivery services exist, consumers still rely heavily on supermarkets for essential purchases. Value</w:t>
      </w:r>
      <w:r>
        <w:rPr>
          <w:rFonts w:hint="default" w:ascii="Arial Regular" w:hAnsi="Arial Regular" w:cs="Arial Regular"/>
          <w:sz w:val="24"/>
          <w:szCs w:val="24"/>
        </w:rPr>
        <w:noBreakHyphen/>
      </w:r>
      <w:r>
        <w:rPr>
          <w:rFonts w:hint="default" w:ascii="Arial Regular" w:hAnsi="Arial Regular" w:cs="Arial Regular"/>
          <w:sz w:val="24"/>
          <w:szCs w:val="24"/>
        </w:rPr>
        <w:t>focused competitors like discount retailers increase substitute pressure, especially among price</w:t>
      </w:r>
      <w:r>
        <w:rPr>
          <w:rFonts w:hint="default" w:ascii="Arial Regular" w:hAnsi="Arial Regular" w:cs="Arial Regular"/>
          <w:sz w:val="24"/>
          <w:szCs w:val="24"/>
        </w:rPr>
        <w:noBreakHyphen/>
      </w:r>
      <w:r>
        <w:rPr>
          <w:rFonts w:hint="default" w:ascii="Arial Regular" w:hAnsi="Arial Regular" w:cs="Arial Regular"/>
          <w:sz w:val="24"/>
          <w:szCs w:val="24"/>
        </w:rPr>
        <w:t>sensitive customers.</w:t>
      </w:r>
    </w:p>
    <w:p w14:paraId="62B97431">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Bargaining Power of Buyers</w:t>
      </w:r>
      <w:r>
        <w:rPr>
          <w:rStyle w:val="12"/>
          <w:rFonts w:hint="default" w:ascii="Arial Regular" w:hAnsi="Arial Regular" w:cs="Arial Regular"/>
          <w:sz w:val="24"/>
          <w:szCs w:val="24"/>
          <w:lang w:val="de-DE"/>
        </w:rPr>
        <w:t xml:space="preserve"> (High)</w:t>
      </w:r>
      <w:r>
        <w:rPr>
          <w:rFonts w:hint="default" w:ascii="Arial Regular" w:hAnsi="Arial Regular" w:cs="Arial Regular"/>
          <w:sz w:val="24"/>
          <w:szCs w:val="24"/>
        </w:rPr>
        <w:t xml:space="preserve"> </w:t>
      </w:r>
    </w:p>
    <w:p w14:paraId="18A2487B">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Buyer power is </w:t>
      </w:r>
      <w:r>
        <w:rPr>
          <w:rStyle w:val="12"/>
          <w:rFonts w:hint="default" w:ascii="Arial Regular" w:hAnsi="Arial Regular" w:cs="Arial Regular"/>
          <w:b w:val="0"/>
          <w:bCs w:val="0"/>
          <w:sz w:val="24"/>
          <w:szCs w:val="24"/>
        </w:rPr>
        <w:t>high</w:t>
      </w:r>
      <w:r>
        <w:rPr>
          <w:rFonts w:hint="default" w:ascii="Arial Regular" w:hAnsi="Arial Regular" w:cs="Arial Regular"/>
          <w:b w:val="0"/>
          <w:bCs w:val="0"/>
          <w:sz w:val="24"/>
          <w:szCs w:val="24"/>
        </w:rPr>
        <w:t xml:space="preserve">. Consumers can easily switch between retailers (e.g., Aldi, Lidl, Sainsbury’s), exerting pressure on pricing and service quality. Tesco’s response includes value strategies such as price matching and its </w:t>
      </w:r>
      <w:r>
        <w:rPr>
          <w:rStyle w:val="12"/>
          <w:rFonts w:hint="default" w:ascii="Arial Regular" w:hAnsi="Arial Regular" w:cs="Arial Regular"/>
          <w:b w:val="0"/>
          <w:bCs w:val="0"/>
          <w:sz w:val="24"/>
          <w:szCs w:val="24"/>
        </w:rPr>
        <w:t>Clubcard</w:t>
      </w:r>
      <w:r>
        <w:rPr>
          <w:rFonts w:hint="default" w:ascii="Arial Regular" w:hAnsi="Arial Regular" w:cs="Arial Regular"/>
          <w:b w:val="0"/>
          <w:bCs w:val="0"/>
          <w:sz w:val="24"/>
          <w:szCs w:val="24"/>
        </w:rPr>
        <w:t xml:space="preserve"> loyalty programme to retain customers and reduce switching (Reuters, 2025</w:t>
      </w:r>
      <w:r>
        <w:rPr>
          <w:rFonts w:hint="default" w:ascii="Arial Regular" w:hAnsi="Arial Regular" w:cs="Arial Regular"/>
          <w:b w:val="0"/>
          <w:bCs w:val="0"/>
          <w:sz w:val="24"/>
          <w:szCs w:val="24"/>
          <w:lang w:val="de-DE"/>
        </w:rPr>
        <w:t>e</w:t>
      </w:r>
      <w:r>
        <w:rPr>
          <w:rFonts w:hint="default" w:ascii="Arial Regular" w:hAnsi="Arial Regular" w:cs="Arial Regular"/>
          <w:b w:val="0"/>
          <w:bCs w:val="0"/>
          <w:sz w:val="24"/>
          <w:szCs w:val="24"/>
        </w:rPr>
        <w:t>).</w:t>
      </w:r>
    </w:p>
    <w:p w14:paraId="24CA0005">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Bargaining Power of Suppliers</w:t>
      </w:r>
      <w:r>
        <w:rPr>
          <w:rStyle w:val="12"/>
          <w:rFonts w:hint="default" w:ascii="Arial Regular" w:hAnsi="Arial Regular" w:cs="Arial Regular"/>
          <w:sz w:val="24"/>
          <w:szCs w:val="24"/>
          <w:lang w:val="de-DE"/>
        </w:rPr>
        <w:t xml:space="preserve"> (Moderate to low)</w:t>
      </w:r>
      <w:r>
        <w:rPr>
          <w:rFonts w:hint="default" w:ascii="Arial Regular" w:hAnsi="Arial Regular" w:cs="Arial Regular"/>
          <w:sz w:val="24"/>
          <w:szCs w:val="24"/>
        </w:rPr>
        <w:t xml:space="preserve"> </w:t>
      </w:r>
    </w:p>
    <w:p w14:paraId="7D2F92FB">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Supplier power is </w:t>
      </w:r>
      <w:r>
        <w:rPr>
          <w:rStyle w:val="12"/>
          <w:rFonts w:hint="default" w:ascii="Arial Regular" w:hAnsi="Arial Regular" w:cs="Arial Regular"/>
          <w:b w:val="0"/>
          <w:bCs w:val="0"/>
          <w:sz w:val="24"/>
          <w:szCs w:val="24"/>
        </w:rPr>
        <w:t>moderate to low</w:t>
      </w:r>
      <w:r>
        <w:rPr>
          <w:rFonts w:hint="default" w:ascii="Arial Regular" w:hAnsi="Arial Regular" w:cs="Arial Regular"/>
          <w:b w:val="0"/>
          <w:bCs w:val="0"/>
          <w:sz w:val="24"/>
          <w:szCs w:val="24"/>
        </w:rPr>
        <w:t xml:space="preserve"> because Tesco’s scale and purchasing volume strengthen its negotiating position. With annual revenue reported at </w:t>
      </w:r>
      <w:r>
        <w:rPr>
          <w:rStyle w:val="12"/>
          <w:rFonts w:hint="default" w:ascii="Arial Regular" w:hAnsi="Arial Regular" w:cs="Arial Regular"/>
          <w:b w:val="0"/>
          <w:bCs w:val="0"/>
          <w:sz w:val="24"/>
          <w:szCs w:val="24"/>
        </w:rPr>
        <w:t>£69.9 billion</w:t>
      </w:r>
      <w:r>
        <w:rPr>
          <w:rFonts w:hint="default" w:ascii="Arial Regular" w:hAnsi="Arial Regular" w:cs="Arial Regular"/>
          <w:b w:val="0"/>
          <w:bCs w:val="0"/>
          <w:sz w:val="24"/>
          <w:szCs w:val="24"/>
        </w:rPr>
        <w:t xml:space="preserve"> in 2025, Tesco can negotiate favourable terms, although specialised suppliers (e.g., for premium products) may exert some influence.</w:t>
      </w:r>
    </w:p>
    <w:p w14:paraId="41605F0C">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Competitive Rivalry</w:t>
      </w:r>
      <w:r>
        <w:rPr>
          <w:rStyle w:val="12"/>
          <w:rFonts w:hint="default" w:ascii="Arial Regular" w:hAnsi="Arial Regular" w:cs="Arial Regular"/>
          <w:sz w:val="24"/>
          <w:szCs w:val="24"/>
          <w:lang w:val="de-DE"/>
        </w:rPr>
        <w:t xml:space="preserve"> (Very high)</w:t>
      </w:r>
      <w:r>
        <w:rPr>
          <w:rFonts w:hint="default" w:ascii="Arial Regular" w:hAnsi="Arial Regular" w:cs="Arial Regular"/>
          <w:sz w:val="24"/>
          <w:szCs w:val="24"/>
        </w:rPr>
        <w:t xml:space="preserve"> </w:t>
      </w:r>
    </w:p>
    <w:p w14:paraId="539FB7B9">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Competitive rivalry is </w:t>
      </w:r>
      <w:r>
        <w:rPr>
          <w:rStyle w:val="12"/>
          <w:rFonts w:hint="default" w:ascii="Arial Regular" w:hAnsi="Arial Regular" w:cs="Arial Regular"/>
          <w:b w:val="0"/>
          <w:bCs w:val="0"/>
          <w:sz w:val="24"/>
          <w:szCs w:val="24"/>
        </w:rPr>
        <w:t>very high</w:t>
      </w:r>
      <w:r>
        <w:rPr>
          <w:rFonts w:hint="default" w:ascii="Arial Regular" w:hAnsi="Arial Regular" w:cs="Arial Regular"/>
          <w:b w:val="0"/>
          <w:bCs w:val="0"/>
          <w:sz w:val="24"/>
          <w:szCs w:val="24"/>
        </w:rPr>
        <w:t xml:space="preserve"> in UK grocery retail. Tesco’s main competitors—Sainsbury’s, Asda, Morrisons and strong discounters—compete aggressively on price, quality and convenience. Market competition has intensified, with rivals adopting price</w:t>
      </w:r>
      <w:r>
        <w:rPr>
          <w:rFonts w:hint="default" w:ascii="Arial Regular" w:hAnsi="Arial Regular" w:cs="Arial Regular"/>
          <w:b w:val="0"/>
          <w:bCs w:val="0"/>
          <w:sz w:val="24"/>
          <w:szCs w:val="24"/>
        </w:rPr>
        <w:noBreakHyphen/>
      </w:r>
      <w:r>
        <w:rPr>
          <w:rFonts w:hint="default" w:ascii="Arial Regular" w:hAnsi="Arial Regular" w:cs="Arial Regular"/>
          <w:b w:val="0"/>
          <w:bCs w:val="0"/>
          <w:sz w:val="24"/>
          <w:szCs w:val="24"/>
        </w:rPr>
        <w:t>cutting strategies that impact Tesco’s profit margins and strategic pricing decisions (Reuters, 2025</w:t>
      </w:r>
      <w:r>
        <w:rPr>
          <w:rFonts w:hint="default" w:ascii="Arial Regular" w:hAnsi="Arial Regular" w:cs="Arial Regular"/>
          <w:b w:val="0"/>
          <w:bCs w:val="0"/>
          <w:sz w:val="24"/>
          <w:szCs w:val="24"/>
          <w:lang w:val="de-DE"/>
        </w:rPr>
        <w:t>e</w:t>
      </w:r>
      <w:r>
        <w:rPr>
          <w:rFonts w:hint="default" w:ascii="Arial Regular" w:hAnsi="Arial Regular" w:cs="Arial Regular"/>
          <w:b w:val="0"/>
          <w:bCs w:val="0"/>
          <w:sz w:val="24"/>
          <w:szCs w:val="24"/>
        </w:rPr>
        <w:t>).</w:t>
      </w:r>
    </w:p>
    <w:p w14:paraId="7AD17EFD">
      <w:pPr>
        <w:keepNext w:val="0"/>
        <w:keepLines w:val="0"/>
        <w:widowControl/>
        <w:suppressLineNumbers w:val="0"/>
        <w:spacing w:line="360" w:lineRule="auto"/>
        <w:jc w:val="both"/>
        <w:rPr>
          <w:rFonts w:hint="default" w:ascii="Arial Regular" w:hAnsi="Arial Regular" w:eastAsia="SimSun" w:cs="Arial Regular"/>
          <w:kern w:val="0"/>
          <w:sz w:val="24"/>
          <w:szCs w:val="24"/>
          <w:lang w:val="en-US" w:eastAsia="zh-CN" w:bidi="ar"/>
        </w:rPr>
      </w:pPr>
      <w:r>
        <w:rPr>
          <w:rStyle w:val="12"/>
          <w:rFonts w:hint="default" w:ascii="Arial Regular" w:hAnsi="Arial Regular" w:cs="Arial Regular"/>
          <w:sz w:val="24"/>
          <w:szCs w:val="24"/>
        </w:rPr>
        <w:t xml:space="preserve">Critical </w:t>
      </w:r>
      <w:r>
        <w:rPr>
          <w:rStyle w:val="12"/>
          <w:rFonts w:hint="default" w:ascii="Arial Regular" w:hAnsi="Arial Regular" w:cs="Arial Regular"/>
          <w:sz w:val="24"/>
          <w:szCs w:val="24"/>
          <w:lang w:val="de-DE"/>
        </w:rPr>
        <w:t>Analysis</w:t>
      </w:r>
      <w:r>
        <w:rPr>
          <w:rStyle w:val="12"/>
          <w:rFonts w:hint="default" w:ascii="Arial Regular" w:hAnsi="Arial Regular" w:cs="Arial Regular"/>
          <w:sz w:val="24"/>
          <w:szCs w:val="24"/>
        </w:rPr>
        <w:t>:</w:t>
      </w:r>
      <w:r>
        <w:rPr>
          <w:rFonts w:hint="default" w:ascii="Arial Regular" w:hAnsi="Arial Regular" w:cs="Arial Regular"/>
          <w:sz w:val="24"/>
          <w:szCs w:val="24"/>
        </w:rPr>
        <w:t xml:space="preserve"> </w:t>
      </w:r>
      <w:r>
        <w:rPr>
          <w:rFonts w:hint="default" w:ascii="Arial Regular" w:hAnsi="Arial Regular" w:eastAsia="SimSun" w:cs="Arial Regular"/>
          <w:kern w:val="0"/>
          <w:sz w:val="24"/>
          <w:szCs w:val="24"/>
          <w:lang w:val="en-US" w:eastAsia="zh-CN" w:bidi="ar"/>
        </w:rPr>
        <w:t>Tesco’s success depends on scale economies, strong brand loyalty via Clubcard, supply chain efficiency, and omnichannel capabilities. However, it faces strategic challenges from intense price competition, rising labour and input costs, and shifting consumer preferences toward value and convenience. While Porter’s Five Forces highlights these pressures effectively, it is static and does not fully capture dynamic trends such as digital disruption and regulatory changes.</w:t>
      </w:r>
    </w:p>
    <w:p w14:paraId="143D7F4C">
      <w:pPr>
        <w:keepNext w:val="0"/>
        <w:keepLines w:val="0"/>
        <w:widowControl/>
        <w:suppressLineNumbers w:val="0"/>
        <w:spacing w:line="360" w:lineRule="auto"/>
        <w:jc w:val="both"/>
        <w:rPr>
          <w:rFonts w:hint="default" w:ascii="Arial Regular" w:hAnsi="Arial Regular" w:eastAsia="SimSun" w:cs="Arial Regular"/>
          <w:kern w:val="0"/>
          <w:sz w:val="24"/>
          <w:szCs w:val="24"/>
          <w:lang w:val="en-US" w:eastAsia="zh-CN" w:bidi="ar"/>
        </w:rPr>
      </w:pPr>
    </w:p>
    <w:p w14:paraId="5BEE785D">
      <w:pPr>
        <w:keepNext w:val="0"/>
        <w:keepLines w:val="0"/>
        <w:widowControl/>
        <w:numPr>
          <w:ilvl w:val="0"/>
          <w:numId w:val="0"/>
        </w:numPr>
        <w:suppressLineNumbers w:val="0"/>
        <w:spacing w:line="360" w:lineRule="auto"/>
        <w:ind w:leftChars="0"/>
        <w:jc w:val="both"/>
        <w:rPr>
          <w:rFonts w:hint="default" w:ascii="Arial Regular" w:hAnsi="Arial Regular" w:eastAsia="SimSun" w:cs="Arial Regular"/>
          <w:b/>
          <w:bCs/>
          <w:kern w:val="0"/>
          <w:sz w:val="24"/>
          <w:szCs w:val="24"/>
          <w:lang w:val="de-DE" w:eastAsia="zh-CN" w:bidi="ar"/>
        </w:rPr>
      </w:pPr>
      <w:r>
        <w:rPr>
          <w:rFonts w:hint="default" w:ascii="Arial Regular" w:hAnsi="Arial Regular" w:eastAsia="SimSun" w:cs="Arial Regular"/>
          <w:b/>
          <w:bCs/>
          <w:kern w:val="0"/>
          <w:sz w:val="24"/>
          <w:szCs w:val="24"/>
          <w:lang w:val="de-DE" w:eastAsia="zh-CN" w:bidi="ar"/>
        </w:rPr>
        <w:t xml:space="preserve">2.3 Porter’s Diamond Model Analysis </w:t>
      </w:r>
    </w:p>
    <w:p w14:paraId="38992B65">
      <w:pPr>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distT="0" distB="0" distL="114300" distR="114300">
            <wp:extent cx="4885690" cy="3665855"/>
            <wp:effectExtent l="0" t="0" r="16510" b="17145"/>
            <wp:docPr id="1" name="Picture 1" descr="/Users/anikaayub/Downloads/Existing Product (4).pngExisting Produc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sers/anikaayub/Downloads/Existing Product (4).pngExisting Product (4)"/>
                    <pic:cNvPicPr>
                      <a:picLocks noChangeAspect="1"/>
                    </pic:cNvPicPr>
                  </pic:nvPicPr>
                  <pic:blipFill>
                    <a:blip r:embed="rId10"/>
                    <a:srcRect l="24" r="24"/>
                    <a:stretch>
                      <a:fillRect/>
                    </a:stretch>
                  </pic:blipFill>
                  <pic:spPr>
                    <a:xfrm>
                      <a:off x="0" y="0"/>
                      <a:ext cx="4885690" cy="3665855"/>
                    </a:xfrm>
                    <a:prstGeom prst="rect">
                      <a:avLst/>
                    </a:prstGeom>
                  </pic:spPr>
                </pic:pic>
              </a:graphicData>
            </a:graphic>
          </wp:inline>
        </w:drawing>
      </w:r>
    </w:p>
    <w:p w14:paraId="3AEB0C27">
      <w:pPr>
        <w:spacing w:line="360" w:lineRule="auto"/>
        <w:jc w:val="center"/>
        <w:rPr>
          <w:rFonts w:hint="default" w:ascii="Arial Regular" w:hAnsi="Arial Regular" w:eastAsia="SimSun" w:cs="Arial Regular"/>
          <w:b/>
          <w:bCs/>
          <w:kern w:val="0"/>
          <w:sz w:val="24"/>
          <w:szCs w:val="24"/>
          <w:lang w:val="de-DE" w:eastAsia="zh-CN" w:bidi="ar"/>
        </w:rPr>
      </w:pPr>
      <w:r>
        <w:rPr>
          <w:rFonts w:hint="default" w:ascii="Arial Regular" w:hAnsi="Arial Regular" w:cs="Arial Regular"/>
          <w:sz w:val="24"/>
          <w:szCs w:val="24"/>
          <w:lang w:val="de-DE"/>
        </w:rPr>
        <w:t>Figure 3: Porter’s Diamond Model Analysis (Source: Self Developed)</w:t>
      </w:r>
    </w:p>
    <w:p w14:paraId="3BA8A012">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Style w:val="12"/>
          <w:rFonts w:hint="default" w:ascii="Arial Regular" w:hAnsi="Arial Regular" w:cs="Arial Regular"/>
          <w:b w:val="0"/>
          <w:bCs w:val="0"/>
          <w:sz w:val="24"/>
          <w:szCs w:val="24"/>
        </w:rPr>
        <w:t>Porter’s Diamond Model</w:t>
      </w:r>
      <w:r>
        <w:rPr>
          <w:rFonts w:hint="default" w:ascii="Arial Regular" w:hAnsi="Arial Regular" w:cs="Arial Regular"/>
          <w:b w:val="0"/>
          <w:bCs w:val="0"/>
          <w:sz w:val="24"/>
          <w:szCs w:val="24"/>
        </w:rPr>
        <w:t xml:space="preserve"> is a framework developed by </w:t>
      </w:r>
      <w:r>
        <w:rPr>
          <w:rStyle w:val="12"/>
          <w:rFonts w:hint="default" w:ascii="Arial Regular" w:hAnsi="Arial Regular" w:cs="Arial Regular"/>
          <w:b w:val="0"/>
          <w:bCs w:val="0"/>
          <w:sz w:val="24"/>
          <w:szCs w:val="24"/>
        </w:rPr>
        <w:t>Michael E. Porter</w:t>
      </w:r>
      <w:r>
        <w:rPr>
          <w:rFonts w:hint="default" w:ascii="Arial Regular" w:hAnsi="Arial Regular" w:cs="Arial Regular"/>
          <w:b w:val="0"/>
          <w:bCs w:val="0"/>
          <w:sz w:val="24"/>
          <w:szCs w:val="24"/>
        </w:rPr>
        <w:t xml:space="preserve"> to analyse the competitive advantage of nations and firms by examining four broad determinants—</w:t>
      </w:r>
      <w:r>
        <w:rPr>
          <w:rStyle w:val="12"/>
          <w:rFonts w:hint="default" w:ascii="Arial Regular" w:hAnsi="Arial Regular" w:cs="Arial Regular"/>
          <w:b w:val="0"/>
          <w:bCs w:val="0"/>
          <w:sz w:val="24"/>
          <w:szCs w:val="24"/>
        </w:rPr>
        <w:t>factor conditions, demand conditions, related and supporting industries,</w:t>
      </w:r>
      <w:r>
        <w:rPr>
          <w:rFonts w:hint="default" w:ascii="Arial Regular" w:hAnsi="Arial Regular" w:cs="Arial Regular"/>
          <w:b w:val="0"/>
          <w:bCs w:val="0"/>
          <w:sz w:val="24"/>
          <w:szCs w:val="24"/>
        </w:rPr>
        <w:t xml:space="preserve"> and </w:t>
      </w:r>
      <w:r>
        <w:rPr>
          <w:rStyle w:val="12"/>
          <w:rFonts w:hint="default" w:ascii="Arial Regular" w:hAnsi="Arial Regular" w:cs="Arial Regular"/>
          <w:b w:val="0"/>
          <w:bCs w:val="0"/>
          <w:sz w:val="24"/>
          <w:szCs w:val="24"/>
        </w:rPr>
        <w:t>firm strategy, structure, and rivalry</w:t>
      </w:r>
      <w:r>
        <w:rPr>
          <w:rFonts w:hint="default" w:ascii="Arial Regular" w:hAnsi="Arial Regular" w:cs="Arial Regular"/>
          <w:b w:val="0"/>
          <w:bCs w:val="0"/>
          <w:sz w:val="24"/>
          <w:szCs w:val="24"/>
        </w:rPr>
        <w:t xml:space="preserve">—along with </w:t>
      </w:r>
      <w:r>
        <w:rPr>
          <w:rStyle w:val="12"/>
          <w:rFonts w:hint="default" w:ascii="Arial Regular" w:hAnsi="Arial Regular" w:cs="Arial Regular"/>
          <w:b w:val="0"/>
          <w:bCs w:val="0"/>
          <w:sz w:val="24"/>
          <w:szCs w:val="24"/>
        </w:rPr>
        <w:t>government</w:t>
      </w:r>
      <w:r>
        <w:rPr>
          <w:rFonts w:hint="default" w:ascii="Arial Regular" w:hAnsi="Arial Regular" w:cs="Arial Regular"/>
          <w:b w:val="0"/>
          <w:bCs w:val="0"/>
          <w:sz w:val="24"/>
          <w:szCs w:val="24"/>
        </w:rPr>
        <w:t xml:space="preserve"> and </w:t>
      </w:r>
      <w:r>
        <w:rPr>
          <w:rStyle w:val="12"/>
          <w:rFonts w:hint="default" w:ascii="Arial Regular" w:hAnsi="Arial Regular" w:cs="Arial Regular"/>
          <w:b w:val="0"/>
          <w:bCs w:val="0"/>
          <w:sz w:val="24"/>
          <w:szCs w:val="24"/>
        </w:rPr>
        <w:t>chance</w:t>
      </w:r>
      <w:r>
        <w:rPr>
          <w:rFonts w:hint="default" w:ascii="Arial Regular" w:hAnsi="Arial Regular" w:cs="Arial Regular"/>
          <w:b w:val="0"/>
          <w:bCs w:val="0"/>
          <w:sz w:val="24"/>
          <w:szCs w:val="24"/>
        </w:rPr>
        <w:t xml:space="preserve"> influences (Porter, 1990)</w:t>
      </w:r>
    </w:p>
    <w:p w14:paraId="3EF05867">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highlight w:val="none"/>
        </w:rPr>
      </w:pPr>
      <w:r>
        <w:rPr>
          <w:rStyle w:val="12"/>
          <w:rFonts w:hint="default" w:ascii="Arial Regular" w:hAnsi="Arial Regular" w:cs="Arial Regular"/>
          <w:sz w:val="24"/>
          <w:szCs w:val="24"/>
          <w:highlight w:val="none"/>
        </w:rPr>
        <w:t>Factor Conditions:</w:t>
      </w:r>
      <w:r>
        <w:rPr>
          <w:rFonts w:hint="default" w:ascii="Arial Regular" w:hAnsi="Arial Regular" w:cs="Arial Regular"/>
          <w:sz w:val="24"/>
          <w:szCs w:val="24"/>
          <w:highlight w:val="none"/>
        </w:rPr>
        <w:t xml:space="preserve"> The UK offers advanced infrastructure, logistics, and a skilled workforce. Tesco benefits from scale and distribution networks across </w:t>
      </w:r>
      <w:r>
        <w:rPr>
          <w:rFonts w:hint="default" w:ascii="Arial Regular" w:hAnsi="Arial Regular" w:cs="Arial Regular"/>
          <w:sz w:val="24"/>
          <w:szCs w:val="24"/>
          <w:highlight w:val="none"/>
          <w:lang w:val="de-DE"/>
        </w:rPr>
        <w:t>approximately</w:t>
      </w:r>
      <w:r>
        <w:rPr>
          <w:rFonts w:hint="default" w:ascii="Arial Regular" w:hAnsi="Arial Regular" w:cs="Arial Regular"/>
          <w:b w:val="0"/>
          <w:bCs w:val="0"/>
          <w:sz w:val="24"/>
          <w:szCs w:val="24"/>
          <w:highlight w:val="none"/>
          <w:lang w:val="de-DE"/>
        </w:rPr>
        <w:t xml:space="preserve"> </w:t>
      </w:r>
      <w:r>
        <w:rPr>
          <w:rStyle w:val="12"/>
          <w:rFonts w:hint="default" w:ascii="Arial Regular" w:hAnsi="Arial Regular" w:cs="Arial Regular"/>
          <w:b w:val="0"/>
          <w:bCs w:val="0"/>
          <w:sz w:val="24"/>
          <w:szCs w:val="24"/>
          <w:highlight w:val="none"/>
        </w:rPr>
        <w:t>4,000 stores</w:t>
      </w:r>
      <w:r>
        <w:rPr>
          <w:rFonts w:hint="default" w:ascii="Arial Regular" w:hAnsi="Arial Regular" w:cs="Arial Regular"/>
          <w:b w:val="0"/>
          <w:bCs w:val="0"/>
          <w:sz w:val="24"/>
          <w:szCs w:val="24"/>
          <w:highlight w:val="none"/>
        </w:rPr>
        <w:t xml:space="preserve"> an</w:t>
      </w:r>
      <w:r>
        <w:rPr>
          <w:rFonts w:hint="default" w:ascii="Arial Regular" w:hAnsi="Arial Regular" w:cs="Arial Regular"/>
          <w:sz w:val="24"/>
          <w:szCs w:val="24"/>
          <w:highlight w:val="none"/>
        </w:rPr>
        <w:t>d extensive online fulfilment, underpinning cost efficiencies and responsiveness (Tesco</w:t>
      </w:r>
      <w:r>
        <w:rPr>
          <w:rFonts w:hint="default" w:ascii="Arial Regular" w:hAnsi="Arial Regular" w:cs="Arial Regular"/>
          <w:sz w:val="24"/>
          <w:szCs w:val="24"/>
          <w:highlight w:val="none"/>
          <w:lang w:val="de-DE"/>
        </w:rPr>
        <w:t xml:space="preserve"> PLC</w:t>
      </w:r>
      <w:r>
        <w:rPr>
          <w:rFonts w:hint="default" w:ascii="Arial Regular" w:hAnsi="Arial Regular" w:cs="Arial Regular"/>
          <w:sz w:val="24"/>
          <w:szCs w:val="24"/>
          <w:highlight w:val="none"/>
        </w:rPr>
        <w:t>, 2025</w:t>
      </w:r>
      <w:r>
        <w:rPr>
          <w:rFonts w:hint="default" w:ascii="Arial Regular" w:hAnsi="Arial Regular" w:cs="Arial Regular"/>
          <w:sz w:val="24"/>
          <w:szCs w:val="24"/>
          <w:highlight w:val="none"/>
          <w:lang w:val="de-DE"/>
        </w:rPr>
        <w:t>a</w:t>
      </w:r>
      <w:r>
        <w:rPr>
          <w:rFonts w:hint="default" w:ascii="Arial Regular" w:hAnsi="Arial Regular" w:cs="Arial Regular"/>
          <w:sz w:val="24"/>
          <w:szCs w:val="24"/>
          <w:highlight w:val="none"/>
        </w:rPr>
        <w:t>).</w:t>
      </w:r>
    </w:p>
    <w:p w14:paraId="1D6F4CFE">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b w:val="0"/>
          <w:bCs w:val="0"/>
          <w:sz w:val="24"/>
          <w:szCs w:val="24"/>
        </w:rPr>
      </w:pPr>
      <w:r>
        <w:rPr>
          <w:rStyle w:val="12"/>
          <w:rFonts w:hint="default" w:ascii="Arial Regular" w:hAnsi="Arial Regular" w:cs="Arial Regular"/>
          <w:sz w:val="24"/>
          <w:szCs w:val="24"/>
        </w:rPr>
        <w:t>Demand Conditions:</w:t>
      </w:r>
      <w:r>
        <w:rPr>
          <w:rFonts w:hint="default" w:ascii="Arial Regular" w:hAnsi="Arial Regular" w:cs="Arial Regular"/>
          <w:sz w:val="24"/>
          <w:szCs w:val="24"/>
        </w:rPr>
        <w:t xml:space="preserve"> UK consumers are sophisticated, value</w:t>
      </w:r>
      <w:r>
        <w:rPr>
          <w:rFonts w:hint="default" w:ascii="Arial Regular" w:hAnsi="Arial Regular" w:cs="Arial Regular"/>
          <w:sz w:val="24"/>
          <w:szCs w:val="24"/>
        </w:rPr>
        <w:noBreakHyphen/>
      </w:r>
      <w:r>
        <w:rPr>
          <w:rFonts w:hint="default" w:ascii="Arial Regular" w:hAnsi="Arial Regular" w:cs="Arial Regular"/>
          <w:sz w:val="24"/>
          <w:szCs w:val="24"/>
        </w:rPr>
        <w:t>oriented, and increasingly demand convenience and sustainabilit</w:t>
      </w:r>
      <w:r>
        <w:rPr>
          <w:rFonts w:hint="default" w:ascii="Arial Regular" w:hAnsi="Arial Regular" w:cs="Arial Regular"/>
          <w:b w:val="0"/>
          <w:bCs w:val="0"/>
          <w:sz w:val="24"/>
          <w:szCs w:val="24"/>
        </w:rPr>
        <w:t xml:space="preserve">y. Tesco’s </w:t>
      </w:r>
      <w:r>
        <w:rPr>
          <w:rStyle w:val="12"/>
          <w:rFonts w:hint="default" w:ascii="Arial Regular" w:hAnsi="Arial Regular" w:cs="Arial Regular"/>
          <w:b w:val="0"/>
          <w:bCs w:val="0"/>
          <w:sz w:val="24"/>
          <w:szCs w:val="24"/>
        </w:rPr>
        <w:t>Clubcard loyalty scheme</w:t>
      </w:r>
      <w:r>
        <w:rPr>
          <w:rFonts w:hint="default" w:ascii="Arial Regular" w:hAnsi="Arial Regular" w:cs="Arial Regular"/>
          <w:b w:val="0"/>
          <w:bCs w:val="0"/>
          <w:sz w:val="24"/>
          <w:szCs w:val="24"/>
        </w:rPr>
        <w:t xml:space="preserve"> with over </w:t>
      </w:r>
      <w:r>
        <w:rPr>
          <w:rStyle w:val="12"/>
          <w:rFonts w:hint="default" w:ascii="Arial Regular" w:hAnsi="Arial Regular" w:cs="Arial Regular"/>
          <w:b w:val="0"/>
          <w:bCs w:val="0"/>
          <w:sz w:val="24"/>
          <w:szCs w:val="24"/>
        </w:rPr>
        <w:t>20 million users</w:t>
      </w:r>
      <w:r>
        <w:rPr>
          <w:rFonts w:hint="default" w:ascii="Arial Regular" w:hAnsi="Arial Regular" w:cs="Arial Regular"/>
          <w:b w:val="0"/>
          <w:bCs w:val="0"/>
          <w:sz w:val="24"/>
          <w:szCs w:val="24"/>
        </w:rPr>
        <w:t xml:space="preserve"> offers robust customer insights, enabling tailored offerings and strategic pricing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Reuters, 2025</w:t>
      </w:r>
      <w:r>
        <w:rPr>
          <w:rFonts w:hint="default" w:ascii="Arial Regular" w:hAnsi="Arial Regular" w:cs="Arial Regular"/>
          <w:b w:val="0"/>
          <w:bCs w:val="0"/>
          <w:sz w:val="24"/>
          <w:szCs w:val="24"/>
          <w:lang w:val="de-DE"/>
        </w:rPr>
        <w:t>c</w:t>
      </w:r>
      <w:r>
        <w:rPr>
          <w:rFonts w:hint="default" w:ascii="Arial Regular" w:hAnsi="Arial Regular" w:cs="Arial Regular"/>
          <w:b w:val="0"/>
          <w:bCs w:val="0"/>
          <w:sz w:val="24"/>
          <w:szCs w:val="24"/>
        </w:rPr>
        <w:t>).</w:t>
      </w:r>
    </w:p>
    <w:p w14:paraId="5F1DD0F1">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Related and Supporting Industries:</w:t>
      </w:r>
      <w:r>
        <w:rPr>
          <w:rFonts w:hint="default" w:ascii="Arial Regular" w:hAnsi="Arial Regular" w:cs="Arial Regular"/>
          <w:sz w:val="24"/>
          <w:szCs w:val="24"/>
        </w:rPr>
        <w:t xml:space="preserve"> Tesco benefits from strong domestic suppliers and technology partners in data analytics (e.g., dunnhumby). Proximity to logistics providers enhances supply chain performance, critical during economic volatility.</w:t>
      </w:r>
    </w:p>
    <w:p w14:paraId="39DAC681">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Firm Strategy, Structure &amp; Rivalry:</w:t>
      </w:r>
      <w:r>
        <w:rPr>
          <w:rFonts w:hint="default" w:ascii="Arial Regular" w:hAnsi="Arial Regular" w:cs="Arial Regular"/>
          <w:sz w:val="24"/>
          <w:szCs w:val="24"/>
        </w:rPr>
        <w:t xml:space="preserve"> Tesco’s strategy focuses on value, convenience, and digital transformation. Competitive rivalry with Sainsbury’s, Asda, Aldi, and Lidl drives continuous innovation in pricing and service. This competitive pressure contributes to operational discipline and customer</w:t>
      </w:r>
      <w:r>
        <w:rPr>
          <w:rFonts w:hint="default" w:ascii="Arial Regular" w:hAnsi="Arial Regular" w:cs="Arial Regular"/>
          <w:sz w:val="24"/>
          <w:szCs w:val="24"/>
        </w:rPr>
        <w:noBreakHyphen/>
      </w:r>
      <w:r>
        <w:rPr>
          <w:rFonts w:hint="default" w:ascii="Arial Regular" w:hAnsi="Arial Regular" w:cs="Arial Regular"/>
          <w:sz w:val="24"/>
          <w:szCs w:val="24"/>
        </w:rPr>
        <w:t>centric strategic planning.</w:t>
      </w:r>
    </w:p>
    <w:p w14:paraId="31C3C2AA">
      <w:pPr>
        <w:pStyle w:val="11"/>
        <w:keepNext w:val="0"/>
        <w:keepLines w:val="0"/>
        <w:widowControl/>
        <w:numPr>
          <w:ilvl w:val="0"/>
          <w:numId w:val="2"/>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sz w:val="24"/>
          <w:szCs w:val="24"/>
        </w:rPr>
        <w:t>Government &amp; Chance:</w:t>
      </w:r>
      <w:r>
        <w:rPr>
          <w:rFonts w:hint="default" w:ascii="Arial Regular" w:hAnsi="Arial Regular" w:cs="Arial Regular"/>
          <w:sz w:val="24"/>
          <w:szCs w:val="24"/>
        </w:rPr>
        <w:t xml:space="preserve"> Post</w:t>
      </w:r>
      <w:r>
        <w:rPr>
          <w:rFonts w:hint="default" w:ascii="Arial Regular" w:hAnsi="Arial Regular" w:cs="Arial Regular"/>
          <w:sz w:val="24"/>
          <w:szCs w:val="24"/>
        </w:rPr>
        <w:noBreakHyphen/>
      </w:r>
      <w:r>
        <w:rPr>
          <w:rFonts w:hint="default" w:ascii="Arial Regular" w:hAnsi="Arial Regular" w:cs="Arial Regular"/>
          <w:sz w:val="24"/>
          <w:szCs w:val="24"/>
        </w:rPr>
        <w:t>Brexit trade policies and regulatory changes affect import costs and labour markets. Tesco’s agility in responding to these changes has informed strategic decisions in pricing and sourcing.</w:t>
      </w:r>
    </w:p>
    <w:p w14:paraId="5DBB285D">
      <w:pPr>
        <w:pStyle w:val="11"/>
        <w:keepNext w:val="0"/>
        <w:keepLines w:val="0"/>
        <w:widowControl/>
        <w:suppressLineNumbers w:val="0"/>
        <w:spacing w:line="360" w:lineRule="auto"/>
        <w:jc w:val="both"/>
        <w:rPr>
          <w:rFonts w:hint="default" w:ascii="Arial Regular" w:hAnsi="Arial Regular" w:cs="Arial Regular"/>
          <w:sz w:val="24"/>
          <w:szCs w:val="24"/>
        </w:rPr>
      </w:pPr>
      <w:r>
        <w:rPr>
          <w:rStyle w:val="12"/>
          <w:rFonts w:hint="default" w:ascii="Arial Regular" w:hAnsi="Arial Regular" w:cs="Arial Regular"/>
          <w:sz w:val="24"/>
          <w:szCs w:val="24"/>
        </w:rPr>
        <w:t>Critical Analysis:</w:t>
      </w:r>
      <w:r>
        <w:rPr>
          <w:rFonts w:hint="default" w:ascii="Arial Regular" w:hAnsi="Arial Regular" w:cs="Arial Regular"/>
          <w:sz w:val="24"/>
          <w:szCs w:val="24"/>
        </w:rPr>
        <w:t xml:space="preserve"> Internally, Tesco’s key resources—its scale, data analytics capability (Clubcard), and extensive logistics infrastructure—are core competencies that support competitive advantage. Its capability to leverage data for personalised marketing and optimise supply chains enhances cost leadership and customer loyalty. However, managing rising input and labour costs remains a strategic challenge that tests operational flexibility. Competencies in digital retail and integrated omnichannel services are increasingly critical for sustaining long</w:t>
      </w:r>
      <w:r>
        <w:rPr>
          <w:rFonts w:hint="default" w:ascii="Arial Regular" w:hAnsi="Arial Regular" w:cs="Arial Regular"/>
          <w:sz w:val="24"/>
          <w:szCs w:val="24"/>
        </w:rPr>
        <w:noBreakHyphen/>
      </w:r>
      <w:r>
        <w:rPr>
          <w:rFonts w:hint="default" w:ascii="Arial Regular" w:hAnsi="Arial Regular" w:cs="Arial Regular"/>
          <w:sz w:val="24"/>
          <w:szCs w:val="24"/>
        </w:rPr>
        <w:t>term competitiveness.</w:t>
      </w:r>
    </w:p>
    <w:p w14:paraId="730E4D3F">
      <w:pPr>
        <w:pStyle w:val="11"/>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2.4 VRIO Framework </w:t>
      </w:r>
    </w:p>
    <w:p w14:paraId="4D6DF0A6">
      <w:pPr>
        <w:pStyle w:val="11"/>
        <w:keepNext w:val="0"/>
        <w:keepLines w:val="0"/>
        <w:widowControl/>
        <w:suppressLineNumbers w:val="0"/>
        <w:spacing w:line="360" w:lineRule="auto"/>
        <w:jc w:val="both"/>
        <w:rPr>
          <w:rFonts w:hint="default" w:ascii="Arial Regular" w:hAnsi="Arial Regular" w:cs="Arial Regular"/>
          <w:b w:val="0"/>
          <w:bCs w:val="0"/>
          <w:sz w:val="24"/>
          <w:szCs w:val="24"/>
          <w:lang w:val="de-DE"/>
        </w:rPr>
      </w:pPr>
      <w:r>
        <w:rPr>
          <w:rStyle w:val="12"/>
          <w:rFonts w:hint="default" w:ascii="Arial Regular" w:hAnsi="Arial Regular" w:cs="Arial Regular"/>
          <w:b w:val="0"/>
          <w:bCs w:val="0"/>
          <w:sz w:val="24"/>
          <w:szCs w:val="24"/>
        </w:rPr>
        <w:t>VRIO Framework</w:t>
      </w:r>
      <w:r>
        <w:rPr>
          <w:rFonts w:hint="default" w:ascii="Arial Regular" w:hAnsi="Arial Regular" w:cs="Arial Regular"/>
          <w:b w:val="0"/>
          <w:bCs w:val="0"/>
          <w:sz w:val="24"/>
          <w:szCs w:val="24"/>
        </w:rPr>
        <w:t xml:space="preserve"> is a strategic tool that evaluates an organisation’s resources and capabilities based on </w:t>
      </w:r>
      <w:r>
        <w:rPr>
          <w:rStyle w:val="12"/>
          <w:rFonts w:hint="default" w:ascii="Arial Regular" w:hAnsi="Arial Regular" w:cs="Arial Regular"/>
          <w:b w:val="0"/>
          <w:bCs w:val="0"/>
          <w:sz w:val="24"/>
          <w:szCs w:val="24"/>
        </w:rPr>
        <w:t>Value, Rarity, Imitability,</w:t>
      </w:r>
      <w:r>
        <w:rPr>
          <w:rFonts w:hint="default" w:ascii="Arial Regular" w:hAnsi="Arial Regular" w:cs="Arial Regular"/>
          <w:b w:val="0"/>
          <w:bCs w:val="0"/>
          <w:sz w:val="24"/>
          <w:szCs w:val="24"/>
        </w:rPr>
        <w:t xml:space="preserve"> and </w:t>
      </w:r>
      <w:r>
        <w:rPr>
          <w:rStyle w:val="12"/>
          <w:rFonts w:hint="default" w:ascii="Arial Regular" w:hAnsi="Arial Regular" w:cs="Arial Regular"/>
          <w:b w:val="0"/>
          <w:bCs w:val="0"/>
          <w:sz w:val="24"/>
          <w:szCs w:val="24"/>
        </w:rPr>
        <w:t>Organisation</w:t>
      </w:r>
      <w:r>
        <w:rPr>
          <w:rFonts w:hint="default" w:ascii="Arial Regular" w:hAnsi="Arial Regular" w:cs="Arial Regular"/>
          <w:b w:val="0"/>
          <w:bCs w:val="0"/>
          <w:sz w:val="24"/>
          <w:szCs w:val="24"/>
        </w:rPr>
        <w:t>, helping identify which assets can deliver sustainable competitive advantage (Barney, 1991)</w:t>
      </w:r>
      <w:r>
        <w:rPr>
          <w:rFonts w:hint="default" w:ascii="Arial Regular" w:hAnsi="Arial Regular" w:cs="Arial Regular"/>
          <w:b w:val="0"/>
          <w:bCs w:val="0"/>
          <w:sz w:val="24"/>
          <w:szCs w:val="24"/>
          <w:lang w:val="de-DE"/>
        </w:rPr>
        <w:t xml:space="preserve">. </w:t>
      </w:r>
    </w:p>
    <w:p w14:paraId="1FE77950">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cs="Arial Regular"/>
          <w:b w:val="0"/>
          <w:bCs w:val="0"/>
          <w:sz w:val="24"/>
          <w:szCs w:val="24"/>
        </w:rPr>
      </w:pPr>
      <w:r>
        <w:rPr>
          <w:rStyle w:val="12"/>
          <w:rFonts w:hint="default" w:ascii="Arial Regular" w:hAnsi="Arial Regular" w:cs="Arial Regular"/>
          <w:sz w:val="24"/>
          <w:szCs w:val="24"/>
        </w:rPr>
        <w:t>Value:</w:t>
      </w:r>
      <w:r>
        <w:rPr>
          <w:rFonts w:hint="default" w:ascii="Arial Regular" w:hAnsi="Arial Regular" w:cs="Arial Regular"/>
          <w:sz w:val="24"/>
          <w:szCs w:val="24"/>
        </w:rPr>
        <w:t xml:space="preserve"> Tesco’s resources generate significant value by enabling cost leadership, op</w:t>
      </w:r>
      <w:r>
        <w:rPr>
          <w:rFonts w:hint="default" w:ascii="Arial Regular" w:hAnsi="Arial Regular" w:cs="Arial Regular"/>
          <w:b w:val="0"/>
          <w:bCs w:val="0"/>
          <w:sz w:val="24"/>
          <w:szCs w:val="24"/>
        </w:rPr>
        <w:t xml:space="preserve">erational efficiency, and customer loyalty. For instance, revenue reached </w:t>
      </w:r>
      <w:r>
        <w:rPr>
          <w:rStyle w:val="12"/>
          <w:rFonts w:hint="default" w:ascii="Arial Regular" w:hAnsi="Arial Regular" w:cs="Arial Regular"/>
          <w:b w:val="0"/>
          <w:bCs w:val="0"/>
          <w:sz w:val="24"/>
          <w:szCs w:val="24"/>
        </w:rPr>
        <w:t>£69.9 billion</w:t>
      </w:r>
      <w:r>
        <w:rPr>
          <w:rFonts w:hint="default" w:ascii="Arial Regular" w:hAnsi="Arial Regular" w:cs="Arial Regular"/>
          <w:b w:val="0"/>
          <w:bCs w:val="0"/>
          <w:sz w:val="24"/>
          <w:szCs w:val="24"/>
        </w:rPr>
        <w:t xml:space="preserve"> in 2025, supported by scale and efficient supply chains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xml:space="preserve">). </w:t>
      </w:r>
    </w:p>
    <w:p w14:paraId="1203843E">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Style w:val="12"/>
          <w:rFonts w:hint="default" w:ascii="Arial Regular" w:hAnsi="Arial Regular" w:cs="Arial Regular"/>
          <w:sz w:val="24"/>
          <w:szCs w:val="24"/>
        </w:rPr>
        <w:t>Rarity:</w:t>
      </w:r>
      <w:r>
        <w:rPr>
          <w:rFonts w:hint="default" w:ascii="Arial Regular" w:hAnsi="Arial Regular" w:cs="Arial Regular"/>
          <w:sz w:val="24"/>
          <w:szCs w:val="24"/>
        </w:rPr>
        <w:t xml:space="preserve"> Th</w:t>
      </w:r>
      <w:r>
        <w:rPr>
          <w:rFonts w:hint="default" w:ascii="Arial Regular" w:hAnsi="Arial Regular" w:cs="Arial Regular"/>
          <w:b w:val="0"/>
          <w:bCs w:val="0"/>
          <w:sz w:val="24"/>
          <w:szCs w:val="24"/>
        </w:rPr>
        <w:t xml:space="preserve">e </w:t>
      </w:r>
      <w:r>
        <w:rPr>
          <w:rStyle w:val="12"/>
          <w:rFonts w:hint="default" w:ascii="Arial Regular" w:hAnsi="Arial Regular" w:cs="Arial Regular"/>
          <w:b w:val="0"/>
          <w:bCs w:val="0"/>
          <w:sz w:val="24"/>
          <w:szCs w:val="24"/>
        </w:rPr>
        <w:t>Clubcard loyalty programme</w:t>
      </w:r>
      <w:r>
        <w:rPr>
          <w:rFonts w:hint="default" w:ascii="Arial Regular" w:hAnsi="Arial Regular" w:cs="Arial Regular"/>
          <w:b w:val="0"/>
          <w:bCs w:val="0"/>
          <w:sz w:val="24"/>
          <w:szCs w:val="24"/>
        </w:rPr>
        <w:t xml:space="preserve">, used by over </w:t>
      </w:r>
      <w:r>
        <w:rPr>
          <w:rStyle w:val="12"/>
          <w:rFonts w:hint="default" w:ascii="Arial Regular" w:hAnsi="Arial Regular" w:cs="Arial Regular"/>
          <w:b w:val="0"/>
          <w:bCs w:val="0"/>
          <w:sz w:val="24"/>
          <w:szCs w:val="24"/>
        </w:rPr>
        <w:t>20 million UK households</w:t>
      </w:r>
      <w:r>
        <w:rPr>
          <w:rFonts w:hint="default" w:ascii="Arial Regular" w:hAnsi="Arial Regular" w:cs="Arial Regular"/>
          <w:b w:val="0"/>
          <w:bCs w:val="0"/>
          <w:sz w:val="24"/>
          <w:szCs w:val="24"/>
        </w:rPr>
        <w:t>, is rare in its ability to provide detailed, actionable customer data for personalised marketing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xml:space="preserve">). </w:t>
      </w:r>
    </w:p>
    <w:p w14:paraId="7FCA153C">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Style w:val="12"/>
          <w:rFonts w:hint="default" w:ascii="Arial Regular" w:hAnsi="Arial Regular" w:cs="Arial Regular"/>
          <w:sz w:val="24"/>
          <w:szCs w:val="24"/>
        </w:rPr>
        <w:t>Imitability:</w:t>
      </w:r>
      <w:r>
        <w:rPr>
          <w:rFonts w:hint="default" w:ascii="Arial Regular" w:hAnsi="Arial Regular" w:cs="Arial Regular"/>
          <w:sz w:val="24"/>
          <w:szCs w:val="24"/>
        </w:rPr>
        <w:t xml:space="preserve"> Tesco’s integrated logistics network acro</w:t>
      </w:r>
      <w:r>
        <w:rPr>
          <w:rFonts w:hint="default" w:ascii="Arial Regular" w:hAnsi="Arial Regular" w:cs="Arial Regular"/>
          <w:b w:val="0"/>
          <w:bCs w:val="0"/>
          <w:sz w:val="24"/>
          <w:szCs w:val="24"/>
        </w:rPr>
        <w:t xml:space="preserve">ss </w:t>
      </w:r>
      <w:r>
        <w:rPr>
          <w:rFonts w:hint="default" w:ascii="Arial Regular" w:hAnsi="Arial Regular" w:cs="Arial Regular"/>
          <w:b w:val="0"/>
          <w:bCs w:val="0"/>
          <w:sz w:val="24"/>
          <w:szCs w:val="24"/>
          <w:lang w:val="de-DE"/>
        </w:rPr>
        <w:t xml:space="preserve">approximately </w:t>
      </w:r>
      <w:r>
        <w:rPr>
          <w:rStyle w:val="12"/>
          <w:rFonts w:hint="default" w:ascii="Arial Regular" w:hAnsi="Arial Regular" w:cs="Arial Regular"/>
          <w:b w:val="0"/>
          <w:bCs w:val="0"/>
          <w:sz w:val="24"/>
          <w:szCs w:val="24"/>
        </w:rPr>
        <w:t>4,000 stores</w:t>
      </w:r>
      <w:r>
        <w:rPr>
          <w:rFonts w:hint="default" w:ascii="Arial Regular" w:hAnsi="Arial Regular" w:cs="Arial Regular"/>
          <w:b w:val="0"/>
          <w:bCs w:val="0"/>
          <w:sz w:val="24"/>
          <w:szCs w:val="24"/>
        </w:rPr>
        <w:t xml:space="preserve"> an</w:t>
      </w:r>
      <w:r>
        <w:rPr>
          <w:rFonts w:hint="default" w:ascii="Arial Regular" w:hAnsi="Arial Regular" w:cs="Arial Regular"/>
          <w:sz w:val="24"/>
          <w:szCs w:val="24"/>
        </w:rPr>
        <w:t xml:space="preserve">d advanced digital platforms is difficult and costly for competitors to replicate, creating a strong barrier to imitation. </w:t>
      </w:r>
    </w:p>
    <w:p w14:paraId="1450C65F">
      <w:pPr>
        <w:keepNext w:val="0"/>
        <w:keepLines w:val="0"/>
        <w:widowControl/>
        <w:numPr>
          <w:ilvl w:val="0"/>
          <w:numId w:val="3"/>
        </w:numPr>
        <w:suppressLineNumbers w:val="0"/>
        <w:spacing w:before="0" w:beforeAutospacing="1" w:after="0" w:afterAutospacing="1" w:line="360" w:lineRule="auto"/>
        <w:ind w:left="720" w:hanging="360"/>
        <w:jc w:val="both"/>
        <w:rPr>
          <w:rFonts w:hint="default" w:ascii="Arial Regular" w:hAnsi="Arial Regular" w:cs="Arial Regular"/>
          <w:sz w:val="24"/>
          <w:szCs w:val="24"/>
        </w:rPr>
      </w:pPr>
      <w:r>
        <w:rPr>
          <w:rStyle w:val="12"/>
          <w:rFonts w:hint="default" w:ascii="Arial Regular" w:hAnsi="Arial Regular" w:cs="Arial Regular"/>
          <w:sz w:val="24"/>
          <w:szCs w:val="24"/>
        </w:rPr>
        <w:t>Organisation:</w:t>
      </w:r>
      <w:r>
        <w:rPr>
          <w:rFonts w:hint="default" w:ascii="Arial Regular" w:hAnsi="Arial Regular" w:cs="Arial Regular"/>
          <w:sz w:val="24"/>
          <w:szCs w:val="24"/>
        </w:rPr>
        <w:t xml:space="preserve"> Tesco effectively organises and leverages its resources through a structured store network, data analytics teams, and omnichannel operations, ensuring these capabilities support strategy and performance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 xml:space="preserve">). </w:t>
      </w:r>
    </w:p>
    <w:p w14:paraId="2A43B400">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Style w:val="12"/>
          <w:rFonts w:hint="default" w:ascii="Arial Regular" w:hAnsi="Arial Regular" w:cs="Arial Regular"/>
          <w:sz w:val="24"/>
          <w:szCs w:val="24"/>
        </w:rPr>
        <w:t>Critical Analysis:</w:t>
      </w:r>
      <w:r>
        <w:rPr>
          <w:rFonts w:hint="default" w:ascii="Arial Regular" w:hAnsi="Arial Regular" w:cs="Arial Regular"/>
          <w:sz w:val="24"/>
          <w:szCs w:val="24"/>
        </w:rPr>
        <w:t xml:space="preserve"> </w:t>
      </w:r>
      <w:r>
        <w:rPr>
          <w:rFonts w:hint="default" w:ascii="Arial Regular" w:hAnsi="Arial Regular" w:cs="Arial Regular"/>
          <w:b w:val="0"/>
          <w:bCs w:val="0"/>
          <w:sz w:val="24"/>
          <w:szCs w:val="24"/>
        </w:rPr>
        <w:t xml:space="preserve">Tesco’s VRIO assessment highlights its competitive differentiation. Its </w:t>
      </w:r>
      <w:r>
        <w:rPr>
          <w:rStyle w:val="12"/>
          <w:rFonts w:hint="default" w:ascii="Arial Regular" w:hAnsi="Arial Regular" w:cs="Arial Regular"/>
          <w:b w:val="0"/>
          <w:bCs w:val="0"/>
          <w:sz w:val="24"/>
          <w:szCs w:val="24"/>
        </w:rPr>
        <w:t>key strengths</w:t>
      </w:r>
      <w:r>
        <w:rPr>
          <w:rFonts w:hint="default" w:ascii="Arial Regular" w:hAnsi="Arial Regular" w:cs="Arial Regular"/>
          <w:b w:val="0"/>
          <w:bCs w:val="0"/>
          <w:sz w:val="24"/>
          <w:szCs w:val="24"/>
        </w:rPr>
        <w:t xml:space="preserve">—advanced data analytics, scale economies, and omnichannel integration—enable superior customer experience, pricing power, and operational efficiency. Unlike competitors such as Sainsbury’s or Asda, Tesco’s combination of rare, hard-to-imitate capabilities, and effective organisational deployment sustains its </w:t>
      </w:r>
      <w:r>
        <w:rPr>
          <w:rFonts w:hint="default" w:ascii="Arial Regular" w:hAnsi="Arial Regular" w:cs="Arial Regular"/>
          <w:sz w:val="24"/>
          <w:szCs w:val="24"/>
          <w:lang w:val="de-DE"/>
        </w:rPr>
        <w:t xml:space="preserve">approximately </w:t>
      </w:r>
      <w:r>
        <w:rPr>
          <w:rStyle w:val="12"/>
          <w:rFonts w:hint="default" w:ascii="Arial Regular" w:hAnsi="Arial Regular" w:cs="Arial Regular"/>
          <w:b w:val="0"/>
          <w:bCs w:val="0"/>
          <w:sz w:val="24"/>
          <w:szCs w:val="24"/>
        </w:rPr>
        <w:t>28% UK grocery market share</w:t>
      </w:r>
      <w:r>
        <w:rPr>
          <w:rFonts w:hint="default" w:ascii="Arial Regular" w:hAnsi="Arial Regular" w:cs="Arial Regular"/>
          <w:b w:val="0"/>
          <w:bCs w:val="0"/>
          <w:sz w:val="24"/>
          <w:szCs w:val="24"/>
        </w:rPr>
        <w:t xml:space="preserve"> and long-term competitive advantage (Reuters, 2025</w:t>
      </w:r>
      <w:r>
        <w:rPr>
          <w:rFonts w:hint="default" w:ascii="Arial Regular" w:hAnsi="Arial Regular" w:cs="Arial Regular"/>
          <w:b w:val="0"/>
          <w:bCs w:val="0"/>
          <w:sz w:val="24"/>
          <w:szCs w:val="24"/>
          <w:lang w:val="de-DE"/>
        </w:rPr>
        <w:t>b</w:t>
      </w:r>
      <w:r>
        <w:rPr>
          <w:rFonts w:hint="default" w:ascii="Arial Regular" w:hAnsi="Arial Regular" w:cs="Arial Regular"/>
          <w:b w:val="0"/>
          <w:bCs w:val="0"/>
          <w:sz w:val="24"/>
          <w:szCs w:val="24"/>
        </w:rPr>
        <w:t>).</w:t>
      </w:r>
    </w:p>
    <w:p w14:paraId="5A53A82F">
      <w:pPr>
        <w:pStyle w:val="11"/>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2.5 Competetive Advantage </w:t>
      </w:r>
    </w:p>
    <w:p w14:paraId="10ADFCE6">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Tesco’s internal strengths play a critical role in sustaining its competitive advantage in the UK grocery market. One of its key strengths is </w:t>
      </w:r>
      <w:r>
        <w:rPr>
          <w:rStyle w:val="12"/>
          <w:rFonts w:hint="default" w:ascii="Arial Regular" w:hAnsi="Arial Regular" w:cs="Arial Regular"/>
          <w:b w:val="0"/>
          <w:bCs w:val="0"/>
          <w:sz w:val="24"/>
          <w:szCs w:val="24"/>
        </w:rPr>
        <w:t>scale</w:t>
      </w:r>
      <w:r>
        <w:rPr>
          <w:rFonts w:hint="default" w:ascii="Arial Regular" w:hAnsi="Arial Regular" w:cs="Arial Regular"/>
          <w:b w:val="0"/>
          <w:bCs w:val="0"/>
          <w:sz w:val="24"/>
          <w:szCs w:val="24"/>
        </w:rPr>
        <w:t xml:space="preserve">, with revenue reaching </w:t>
      </w:r>
      <w:r>
        <w:rPr>
          <w:rStyle w:val="12"/>
          <w:rFonts w:hint="default" w:ascii="Arial Regular" w:hAnsi="Arial Regular" w:cs="Arial Regular"/>
          <w:b w:val="0"/>
          <w:bCs w:val="0"/>
          <w:sz w:val="24"/>
          <w:szCs w:val="24"/>
        </w:rPr>
        <w:t>£69.9 billion in 2024/25</w:t>
      </w:r>
      <w:r>
        <w:rPr>
          <w:rFonts w:hint="default" w:ascii="Arial Regular" w:hAnsi="Arial Regular" w:cs="Arial Regular"/>
          <w:b w:val="0"/>
          <w:bCs w:val="0"/>
          <w:sz w:val="24"/>
          <w:szCs w:val="24"/>
        </w:rPr>
        <w:t xml:space="preserve"> and a network of over </w:t>
      </w:r>
      <w:r>
        <w:rPr>
          <w:rStyle w:val="12"/>
          <w:rFonts w:hint="default" w:ascii="Arial Regular" w:hAnsi="Arial Regular" w:cs="Arial Regular"/>
          <w:b w:val="0"/>
          <w:bCs w:val="0"/>
          <w:sz w:val="24"/>
          <w:szCs w:val="24"/>
        </w:rPr>
        <w:t>4,000 stores</w:t>
      </w:r>
      <w:r>
        <w:rPr>
          <w:rFonts w:hint="default" w:ascii="Arial Regular" w:hAnsi="Arial Regular" w:cs="Arial Regular"/>
          <w:b w:val="0"/>
          <w:bCs w:val="0"/>
          <w:sz w:val="24"/>
          <w:szCs w:val="24"/>
        </w:rPr>
        <w:t>, enabling strong economies of scale and cost efficiencies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This allows Tesco to offer competitive pricing strategies, including price matching against discounters, while maintaining profitability.</w:t>
      </w:r>
    </w:p>
    <w:p w14:paraId="523F78E4">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Another major strength is its </w:t>
      </w:r>
      <w:r>
        <w:rPr>
          <w:rStyle w:val="12"/>
          <w:rFonts w:hint="default" w:ascii="Arial Regular" w:hAnsi="Arial Regular" w:cs="Arial Regular"/>
          <w:b w:val="0"/>
          <w:bCs w:val="0"/>
          <w:sz w:val="24"/>
          <w:szCs w:val="24"/>
        </w:rPr>
        <w:t>data-driven capability</w:t>
      </w:r>
      <w:r>
        <w:rPr>
          <w:rFonts w:hint="default" w:ascii="Arial Regular" w:hAnsi="Arial Regular" w:cs="Arial Regular"/>
          <w:b w:val="0"/>
          <w:bCs w:val="0"/>
          <w:sz w:val="24"/>
          <w:szCs w:val="24"/>
        </w:rPr>
        <w:t xml:space="preserve">, particularly through the Clubcard loyalty programme, used by over </w:t>
      </w:r>
      <w:r>
        <w:rPr>
          <w:rStyle w:val="12"/>
          <w:rFonts w:hint="default" w:ascii="Arial Regular" w:hAnsi="Arial Regular" w:cs="Arial Regular"/>
          <w:b w:val="0"/>
          <w:bCs w:val="0"/>
          <w:sz w:val="24"/>
          <w:szCs w:val="24"/>
        </w:rPr>
        <w:t>20 million UK households</w:t>
      </w:r>
      <w:r>
        <w:rPr>
          <w:rFonts w:hint="default" w:ascii="Arial Regular" w:hAnsi="Arial Regular" w:cs="Arial Regular"/>
          <w:b w:val="0"/>
          <w:bCs w:val="0"/>
          <w:sz w:val="24"/>
          <w:szCs w:val="24"/>
        </w:rPr>
        <w:t>. This provides valuable customer insights, enabling personalised promotions, improved demand forecasting, and optimised inventory management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xml:space="preserve">). Additionally, Tesco’s </w:t>
      </w:r>
      <w:r>
        <w:rPr>
          <w:rStyle w:val="12"/>
          <w:rFonts w:hint="default" w:ascii="Arial Regular" w:hAnsi="Arial Regular" w:cs="Arial Regular"/>
          <w:b w:val="0"/>
          <w:bCs w:val="0"/>
          <w:sz w:val="24"/>
          <w:szCs w:val="24"/>
        </w:rPr>
        <w:t>integrated supply chain and omnichannel operations</w:t>
      </w:r>
      <w:r>
        <w:rPr>
          <w:rFonts w:hint="default" w:ascii="Arial Regular" w:hAnsi="Arial Regular" w:cs="Arial Regular"/>
          <w:b w:val="0"/>
          <w:bCs w:val="0"/>
          <w:sz w:val="24"/>
          <w:szCs w:val="24"/>
        </w:rPr>
        <w:t xml:space="preserve"> enhance efficiency and convenience, supporting both in-store and online sales growth.</w:t>
      </w:r>
    </w:p>
    <w:p w14:paraId="4A102E49">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b w:val="0"/>
          <w:bCs w:val="0"/>
          <w:sz w:val="24"/>
          <w:szCs w:val="24"/>
        </w:rPr>
        <w:t xml:space="preserve">Critically, these strengths collectively reinforce Tesco’s market leadership, with around </w:t>
      </w:r>
      <w:r>
        <w:rPr>
          <w:rStyle w:val="12"/>
          <w:rFonts w:hint="default" w:ascii="Arial Regular" w:hAnsi="Arial Regular" w:cs="Arial Regular"/>
          <w:b w:val="0"/>
          <w:bCs w:val="0"/>
          <w:sz w:val="24"/>
          <w:szCs w:val="24"/>
        </w:rPr>
        <w:t>27–28% UK grocery market share</w:t>
      </w:r>
      <w:r>
        <w:rPr>
          <w:rFonts w:hint="default" w:ascii="Arial Regular" w:hAnsi="Arial Regular" w:cs="Arial Regular"/>
          <w:b w:val="0"/>
          <w:bCs w:val="0"/>
          <w:sz w:val="24"/>
          <w:szCs w:val="24"/>
        </w:rPr>
        <w:t xml:space="preserve"> (Reuters, 2025</w:t>
      </w:r>
      <w:r>
        <w:rPr>
          <w:rFonts w:hint="default" w:ascii="Arial Regular" w:hAnsi="Arial Regular" w:cs="Arial Regular"/>
          <w:b w:val="0"/>
          <w:bCs w:val="0"/>
          <w:sz w:val="24"/>
          <w:szCs w:val="24"/>
          <w:lang w:val="de-DE"/>
        </w:rPr>
        <w:t>c</w:t>
      </w:r>
      <w:r>
        <w:rPr>
          <w:rFonts w:hint="default" w:ascii="Arial Regular" w:hAnsi="Arial Regular" w:cs="Arial Regular"/>
          <w:b w:val="0"/>
          <w:bCs w:val="0"/>
          <w:sz w:val="24"/>
          <w:szCs w:val="24"/>
        </w:rPr>
        <w:t>). However, maintaining these advantages requires continuous investment in technology and cost control, especially amid rising labour and input costs. Overall, Tesco’s ability to leverage s</w:t>
      </w:r>
      <w:r>
        <w:rPr>
          <w:rFonts w:hint="default" w:ascii="Arial Regular" w:hAnsi="Arial Regular" w:cs="Arial Regular"/>
          <w:sz w:val="24"/>
          <w:szCs w:val="24"/>
        </w:rPr>
        <w:t>cale, data, and operational efficiency underpins its sustained competitive positioning.</w:t>
      </w:r>
    </w:p>
    <w:p w14:paraId="02385E2C">
      <w:pPr>
        <w:numPr>
          <w:ilvl w:val="0"/>
          <w:numId w:val="1"/>
        </w:numPr>
        <w:spacing w:line="360" w:lineRule="auto"/>
        <w:ind w:left="0" w:leftChars="0" w:firstLine="0" w:firstLineChars="0"/>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CSR and Sustainability Objectives of Tesco </w:t>
      </w:r>
    </w:p>
    <w:p w14:paraId="4191C058">
      <w:pPr>
        <w:numPr>
          <w:ilvl w:val="0"/>
          <w:numId w:val="0"/>
        </w:numPr>
        <w:spacing w:line="360" w:lineRule="auto"/>
        <w:ind w:leftChars="0"/>
        <w:jc w:val="both"/>
        <w:rPr>
          <w:rFonts w:hint="default" w:ascii="Arial Regular" w:hAnsi="Arial Regular" w:cs="Arial Regular"/>
          <w:b/>
          <w:bCs/>
          <w:sz w:val="24"/>
          <w:szCs w:val="24"/>
          <w:lang w:val="de-DE"/>
        </w:rPr>
      </w:pPr>
    </w:p>
    <w:p w14:paraId="129405CC">
      <w:pPr>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lang w:val="de-DE"/>
        </w:rPr>
        <w:t>3.1 T</w:t>
      </w:r>
      <w:r>
        <w:rPr>
          <w:rFonts w:hint="default" w:ascii="Arial Regular" w:hAnsi="Arial Regular" w:cs="Arial Regular"/>
          <w:b/>
          <w:bCs/>
          <w:sz w:val="24"/>
          <w:szCs w:val="24"/>
        </w:rPr>
        <w:t xml:space="preserve">he CSR </w:t>
      </w:r>
      <w:r>
        <w:rPr>
          <w:rFonts w:hint="default" w:ascii="Arial Regular" w:hAnsi="Arial Regular" w:cs="Arial Regular"/>
          <w:b/>
          <w:bCs/>
          <w:sz w:val="24"/>
          <w:szCs w:val="24"/>
          <w:lang w:val="de-DE"/>
        </w:rPr>
        <w:t>S</w:t>
      </w:r>
      <w:r>
        <w:rPr>
          <w:rFonts w:hint="default" w:ascii="Arial Regular" w:hAnsi="Arial Regular" w:cs="Arial Regular"/>
          <w:b/>
          <w:bCs/>
          <w:sz w:val="24"/>
          <w:szCs w:val="24"/>
        </w:rPr>
        <w:t>trategy of Tesco</w:t>
      </w:r>
    </w:p>
    <w:p w14:paraId="69DD743D">
      <w:pPr>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Tesco’s CSR strategy is embedded in its “Planet Plan,” focusing on environmental sustainability, social responsibility, and ethical governance. The company aligns its initiatives with several United Nations Sustainable Development Goals, particularly SDG 3 (Good Health), SDG 8 (Decent Work), SDG 12 (Responsible Consumption), and SDG 13 (Climate Action). For example, Tesco achieved a 65% reduction in operational emissions, redistributed 82% of unsold food, and ensured 87% of own-brand packaging is recyclable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 . Additionally, it invested £900 million in employee pay, supporting workforce wellbeing and SDG 8. These initiatives demonstrate a structured CSR approach integrating environmental, social, and economic responsibilities into core operations.</w:t>
      </w:r>
    </w:p>
    <w:p w14:paraId="6DEA89F4">
      <w:pPr>
        <w:spacing w:line="360" w:lineRule="auto"/>
        <w:jc w:val="both"/>
        <w:rPr>
          <w:rFonts w:hint="default" w:ascii="Arial Regular" w:hAnsi="Arial Regular" w:cs="Arial Regular"/>
          <w:sz w:val="24"/>
          <w:szCs w:val="24"/>
          <w:lang w:val="de-DE"/>
        </w:rPr>
      </w:pPr>
    </w:p>
    <w:p w14:paraId="3153C1E8">
      <w:pPr>
        <w:spacing w:line="360" w:lineRule="auto"/>
        <w:jc w:val="both"/>
        <w:rPr>
          <w:rFonts w:hint="default" w:ascii="Arial Regular" w:hAnsi="Arial Regular" w:cs="Arial Regular"/>
          <w:sz w:val="24"/>
          <w:szCs w:val="24"/>
          <w:lang w:val="de-DE"/>
        </w:rPr>
      </w:pPr>
      <w:r>
        <w:rPr>
          <w:rFonts w:hint="default" w:ascii="Arial Regular" w:hAnsi="Arial Regular" w:cs="Arial Regular"/>
          <w:sz w:val="24"/>
          <w:szCs w:val="24"/>
          <w:lang w:val="de-DE"/>
        </w:rPr>
        <w:t>Examples of Tesco’s CSR activities:</w:t>
      </w:r>
    </w:p>
    <w:p w14:paraId="7EE6366C">
      <w:pPr>
        <w:keepNext w:val="0"/>
        <w:keepLines w:val="0"/>
        <w:widowControl/>
        <w:numPr>
          <w:ilvl w:val="0"/>
          <w:numId w:val="4"/>
        </w:numPr>
        <w:suppressLineNumbers w:val="0"/>
        <w:spacing w:line="360" w:lineRule="auto"/>
        <w:ind w:left="420" w:leftChars="0" w:hanging="420" w:firstLineChars="0"/>
        <w:jc w:val="both"/>
        <w:rPr>
          <w:rFonts w:hint="default" w:ascii="Arial Regular" w:hAnsi="Arial Regular" w:cs="Arial Regular"/>
          <w:b w:val="0"/>
          <w:bCs w:val="0"/>
          <w:sz w:val="24"/>
          <w:szCs w:val="24"/>
        </w:rPr>
      </w:pPr>
      <w:r>
        <w:rPr>
          <w:rFonts w:hint="default" w:ascii="Arial Regular" w:hAnsi="Arial Regular" w:cs="Arial Regular"/>
          <w:sz w:val="24"/>
          <w:szCs w:val="24"/>
        </w:rPr>
        <w:t>Tesc</w:t>
      </w:r>
      <w:r>
        <w:rPr>
          <w:rFonts w:hint="default" w:ascii="Arial Regular" w:hAnsi="Arial Regular" w:cs="Arial Regular"/>
          <w:b w:val="0"/>
          <w:bCs w:val="0"/>
          <w:sz w:val="24"/>
          <w:szCs w:val="24"/>
        </w:rPr>
        <w:t xml:space="preserve">o focuses on </w:t>
      </w:r>
      <w:r>
        <w:rPr>
          <w:rStyle w:val="12"/>
          <w:rFonts w:hint="default" w:ascii="Arial Regular" w:hAnsi="Arial Regular" w:cs="Arial Regular"/>
          <w:b w:val="0"/>
          <w:bCs w:val="0"/>
          <w:sz w:val="24"/>
          <w:szCs w:val="24"/>
        </w:rPr>
        <w:t>environmental sustainability</w:t>
      </w:r>
      <w:r>
        <w:rPr>
          <w:rFonts w:hint="default" w:ascii="Arial Regular" w:hAnsi="Arial Regular" w:cs="Arial Regular"/>
          <w:b w:val="0"/>
          <w:bCs w:val="0"/>
          <w:sz w:val="24"/>
          <w:szCs w:val="24"/>
        </w:rPr>
        <w:t>, aiming to achieve net zero emissions across its operations and supply chain by 2050 through energy reduction and renewable electricity use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xml:space="preserve">, 2024). </w:t>
      </w:r>
    </w:p>
    <w:p w14:paraId="46D7CF03">
      <w:pPr>
        <w:keepNext w:val="0"/>
        <w:keepLines w:val="0"/>
        <w:widowControl/>
        <w:numPr>
          <w:ilvl w:val="0"/>
          <w:numId w:val="4"/>
        </w:numPr>
        <w:suppressLineNumbers w:val="0"/>
        <w:spacing w:line="360" w:lineRule="auto"/>
        <w:ind w:left="420" w:leftChars="0" w:hanging="420" w:firstLine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Tesco operates a </w:t>
      </w:r>
      <w:r>
        <w:rPr>
          <w:rStyle w:val="12"/>
          <w:rFonts w:hint="default" w:ascii="Arial Regular" w:hAnsi="Arial Regular" w:cs="Arial Regular"/>
          <w:b w:val="0"/>
          <w:bCs w:val="0"/>
          <w:sz w:val="24"/>
          <w:szCs w:val="24"/>
        </w:rPr>
        <w:t>Surplus Food Redistribution programme</w:t>
      </w:r>
      <w:r>
        <w:rPr>
          <w:rFonts w:hint="default" w:ascii="Arial Regular" w:hAnsi="Arial Regular" w:cs="Arial Regular"/>
          <w:b w:val="0"/>
          <w:bCs w:val="0"/>
          <w:sz w:val="24"/>
          <w:szCs w:val="24"/>
        </w:rPr>
        <w:t xml:space="preserve">, donating unsold food to charities such as FareShare, helping reduce food waste and support vulnerable communities (FareShare, 2023). </w:t>
      </w:r>
    </w:p>
    <w:p w14:paraId="780ADBE5">
      <w:pPr>
        <w:keepNext w:val="0"/>
        <w:keepLines w:val="0"/>
        <w:widowControl/>
        <w:numPr>
          <w:ilvl w:val="0"/>
          <w:numId w:val="4"/>
        </w:numPr>
        <w:suppressLineNumbers w:val="0"/>
        <w:spacing w:line="360" w:lineRule="auto"/>
        <w:ind w:left="420" w:leftChars="0" w:hanging="420" w:firstLineChars="0"/>
        <w:jc w:val="both"/>
        <w:rPr>
          <w:rFonts w:hint="default" w:ascii="Arial Regular" w:hAnsi="Arial Regular" w:cs="Arial Regular"/>
          <w:sz w:val="24"/>
          <w:szCs w:val="24"/>
        </w:rPr>
      </w:pPr>
      <w:r>
        <w:rPr>
          <w:rFonts w:hint="default" w:ascii="Arial Regular" w:hAnsi="Arial Regular" w:cs="Arial Regular"/>
          <w:b w:val="0"/>
          <w:bCs w:val="0"/>
          <w:sz w:val="24"/>
          <w:szCs w:val="24"/>
        </w:rPr>
        <w:t xml:space="preserve">Tesco promotes </w:t>
      </w:r>
      <w:r>
        <w:rPr>
          <w:rStyle w:val="12"/>
          <w:rFonts w:hint="default" w:ascii="Arial Regular" w:hAnsi="Arial Regular" w:cs="Arial Regular"/>
          <w:b w:val="0"/>
          <w:bCs w:val="0"/>
          <w:sz w:val="24"/>
          <w:szCs w:val="24"/>
        </w:rPr>
        <w:t>healthier consumer choices</w:t>
      </w:r>
      <w:r>
        <w:rPr>
          <w:rFonts w:hint="default" w:ascii="Arial Regular" w:hAnsi="Arial Regular" w:cs="Arial Regular"/>
          <w:b w:val="0"/>
          <w:bCs w:val="0"/>
          <w:sz w:val="24"/>
          <w:szCs w:val="24"/>
        </w:rPr>
        <w:t xml:space="preserve"> through its “Better Baskets” initiative, encouraging healthier </w:t>
      </w:r>
      <w:r>
        <w:rPr>
          <w:rFonts w:hint="default" w:ascii="Arial Regular" w:hAnsi="Arial Regular" w:cs="Arial Regular"/>
          <w:sz w:val="24"/>
          <w:szCs w:val="24"/>
        </w:rPr>
        <w:t>purchases and improving product labelling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2024).</w:t>
      </w:r>
    </w:p>
    <w:p w14:paraId="535F9477">
      <w:pPr>
        <w:spacing w:line="360" w:lineRule="auto"/>
        <w:jc w:val="both"/>
        <w:rPr>
          <w:rFonts w:hint="default" w:ascii="Arial Regular" w:hAnsi="Arial Regular" w:cs="Arial Regular"/>
          <w:sz w:val="24"/>
          <w:szCs w:val="24"/>
          <w:lang w:val="de-DE"/>
        </w:rPr>
      </w:pPr>
    </w:p>
    <w:p w14:paraId="44B51A37">
      <w:pPr>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rPr>
        <w:t>3.2 Alignment of the CSR strategy with the business objectives of Tesco</w:t>
      </w:r>
    </w:p>
    <w:p w14:paraId="17444448">
      <w:pPr>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Tesco’s CSR strategy is closely aligned with its business objectives of cost efficiency, customer loyalty, and long-term sustainability. By reducing food waste and improving supply chain efficiency, Tesco lowers operational costs while supporting SDG 12. Sustainability initiatives, such as renewable energy adoption and low-carbon sourcing, enhance brand reputation and customer trust, directly supporting revenue growth and competitive positioning. Furthermore, embedding CSR into corporate governance ensures that sustainability is a strategic priority at board level, influencing long-term decision-making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w:t>
      </w:r>
    </w:p>
    <w:p w14:paraId="010EB07D">
      <w:pPr>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rPr>
        <w:t>Critical Analysis</w:t>
      </w:r>
      <w:r>
        <w:rPr>
          <w:rFonts w:hint="default" w:ascii="Arial Regular" w:hAnsi="Arial Regular" w:cs="Arial Regular"/>
          <w:b/>
          <w:bCs/>
          <w:sz w:val="24"/>
          <w:szCs w:val="24"/>
          <w:lang w:val="de-DE"/>
        </w:rPr>
        <w:t xml:space="preserve"> </w:t>
      </w:r>
      <w:r>
        <w:rPr>
          <w:rFonts w:hint="default" w:ascii="Arial Regular" w:hAnsi="Arial Regular" w:cs="Arial Regular"/>
          <w:b/>
          <w:bCs/>
          <w:sz w:val="24"/>
          <w:szCs w:val="24"/>
        </w:rPr>
        <w:t xml:space="preserve"> </w:t>
      </w:r>
    </w:p>
    <w:p w14:paraId="18B949D5">
      <w:pPr>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Tesco’s CSR strategy creates shared value by aligning sustainability with profitability and operational efficiency. Its strong integration of SDGs enhances legitimacy and stakeholder trust. However, achieving net-zero targets and supply chain sustainability (e.g., reliance on suppliers for emissions reduction) remains challenging, requiring continuous investment and collaboration. Overall, CSR is not peripheral but central to Tesco’s strategic competitiveness.</w:t>
      </w:r>
    </w:p>
    <w:p w14:paraId="1245696E">
      <w:pPr>
        <w:pStyle w:val="2"/>
        <w:keepNext w:val="0"/>
        <w:keepLines w:val="0"/>
        <w:widowControl/>
        <w:numPr>
          <w:ilvl w:val="0"/>
          <w:numId w:val="5"/>
        </w:numPr>
        <w:suppressLineNumbers w:val="0"/>
        <w:spacing w:line="360" w:lineRule="auto"/>
        <w:jc w:val="both"/>
        <w:rPr>
          <w:rFonts w:hint="default" w:ascii="Arial Regular" w:hAnsi="Arial Regular" w:cs="Arial Regular"/>
          <w:sz w:val="24"/>
          <w:szCs w:val="24"/>
        </w:rPr>
      </w:pPr>
      <w:r>
        <w:rPr>
          <w:rStyle w:val="12"/>
          <w:rFonts w:hint="default" w:ascii="Arial Regular" w:hAnsi="Arial Regular" w:cs="Arial Regular"/>
          <w:b/>
          <w:bCs/>
          <w:sz w:val="24"/>
          <w:szCs w:val="24"/>
        </w:rPr>
        <w:t>Comprehensive and Holistic View of Tesco</w:t>
      </w:r>
    </w:p>
    <w:p w14:paraId="2E45F372">
      <w:pPr>
        <w:pStyle w:val="11"/>
        <w:keepNext w:val="0"/>
        <w:keepLines w:val="0"/>
        <w:widowControl/>
        <w:suppressLineNumbers w:val="0"/>
        <w:spacing w:line="360" w:lineRule="auto"/>
        <w:jc w:val="center"/>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drawing>
          <wp:inline distT="0" distB="0" distL="114300" distR="114300">
            <wp:extent cx="6120765" cy="3672205"/>
            <wp:effectExtent l="0" t="0" r="635" b="10795"/>
            <wp:docPr id="6" name="Picture 6" descr="/Users/anikaayub/Downloads/Existing Product (5).pngExisting Produc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Users/anikaayub/Downloads/Existing Product (5).pngExisting Product (5)"/>
                    <pic:cNvPicPr>
                      <a:picLocks noChangeAspect="1"/>
                    </pic:cNvPicPr>
                  </pic:nvPicPr>
                  <pic:blipFill>
                    <a:blip r:embed="rId11"/>
                    <a:srcRect t="10006" b="10006"/>
                    <a:stretch>
                      <a:fillRect/>
                    </a:stretch>
                  </pic:blipFill>
                  <pic:spPr>
                    <a:xfrm>
                      <a:off x="0" y="0"/>
                      <a:ext cx="6120765" cy="3672205"/>
                    </a:xfrm>
                    <a:prstGeom prst="rect">
                      <a:avLst/>
                    </a:prstGeom>
                  </pic:spPr>
                </pic:pic>
              </a:graphicData>
            </a:graphic>
          </wp:inline>
        </w:drawing>
      </w:r>
    </w:p>
    <w:p w14:paraId="30723D48">
      <w:pPr>
        <w:pStyle w:val="11"/>
        <w:keepNext w:val="0"/>
        <w:keepLines w:val="0"/>
        <w:widowControl/>
        <w:suppressLineNumbers w:val="0"/>
        <w:spacing w:line="360" w:lineRule="auto"/>
        <w:jc w:val="center"/>
        <w:rPr>
          <w:rFonts w:hint="default" w:ascii="Arial Regular" w:hAnsi="Arial Regular" w:cs="Arial Regular"/>
          <w:sz w:val="24"/>
          <w:szCs w:val="24"/>
        </w:rPr>
      </w:pPr>
      <w:r>
        <w:rPr>
          <w:rFonts w:hint="default" w:ascii="Arial Regular" w:hAnsi="Arial Regular" w:cs="Arial Regular"/>
          <w:b w:val="0"/>
          <w:bCs w:val="0"/>
          <w:sz w:val="24"/>
          <w:szCs w:val="24"/>
          <w:lang w:val="de-DE"/>
        </w:rPr>
        <w:t>Figure 4: Balance Scorecard of Tesco (Source: Self Developed)</w:t>
      </w:r>
    </w:p>
    <w:p w14:paraId="43308E77">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w:t>
      </w:r>
      <w:r>
        <w:rPr>
          <w:rStyle w:val="12"/>
          <w:rFonts w:hint="default" w:ascii="Arial Regular" w:hAnsi="Arial Regular" w:cs="Arial Regular"/>
          <w:b w:val="0"/>
          <w:bCs w:val="0"/>
          <w:sz w:val="24"/>
          <w:szCs w:val="24"/>
        </w:rPr>
        <w:t>Balanced Scorecard (BSC)</w:t>
      </w:r>
      <w:r>
        <w:rPr>
          <w:rFonts w:hint="default" w:ascii="Arial Regular" w:hAnsi="Arial Regular" w:cs="Arial Regular"/>
          <w:b w:val="0"/>
          <w:bCs w:val="0"/>
          <w:sz w:val="24"/>
          <w:szCs w:val="24"/>
        </w:rPr>
        <w:t xml:space="preserve"> is a strategic performance management framework that translates an organisation’s vision and strategy into a set of financial and non-financial measures across multiple perspectives, enabling a more comprehensive evaluation of organisational performance (Kaplan and Norton, 1992). It moves beyond traditional financial metrics by incorporating broader drivers of long-term success through four core perspectives: Financial, Customer, Internal Business Processes, and Learning and Growth.</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0"/>
        <w:gridCol w:w="2154"/>
        <w:gridCol w:w="2330"/>
        <w:gridCol w:w="3098"/>
      </w:tblGrid>
      <w:tr w14:paraId="55C3B69A">
        <w:tc>
          <w:tcPr>
            <w:tcW w:w="1660" w:type="dxa"/>
            <w:shd w:val="clear" w:color="auto" w:fill="B4C6E7" w:themeFill="accent5" w:themeFillTint="66"/>
          </w:tcPr>
          <w:p w14:paraId="691CB537">
            <w:pPr>
              <w:keepNext w:val="0"/>
              <w:keepLines w:val="0"/>
              <w:widowControl/>
              <w:suppressLineNumbers w:val="0"/>
              <w:spacing w:line="360" w:lineRule="auto"/>
              <w:jc w:val="center"/>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Perspective</w:t>
            </w:r>
          </w:p>
        </w:tc>
        <w:tc>
          <w:tcPr>
            <w:tcW w:w="2154" w:type="dxa"/>
            <w:shd w:val="clear" w:color="auto" w:fill="B4C6E7" w:themeFill="accent5" w:themeFillTint="66"/>
          </w:tcPr>
          <w:p w14:paraId="0E0DD515">
            <w:pPr>
              <w:keepNext w:val="0"/>
              <w:keepLines w:val="0"/>
              <w:widowControl/>
              <w:suppressLineNumbers w:val="0"/>
              <w:spacing w:line="360" w:lineRule="auto"/>
              <w:jc w:val="center"/>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Strategic Objective</w:t>
            </w:r>
          </w:p>
        </w:tc>
        <w:tc>
          <w:tcPr>
            <w:tcW w:w="2330" w:type="dxa"/>
            <w:shd w:val="clear" w:color="auto" w:fill="B4C6E7" w:themeFill="accent5" w:themeFillTint="66"/>
          </w:tcPr>
          <w:p w14:paraId="42A46153">
            <w:pPr>
              <w:keepNext w:val="0"/>
              <w:keepLines w:val="0"/>
              <w:widowControl/>
              <w:suppressLineNumbers w:val="0"/>
              <w:spacing w:line="360" w:lineRule="auto"/>
              <w:jc w:val="center"/>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Key Performance Indicators (KPIs)</w:t>
            </w:r>
          </w:p>
        </w:tc>
        <w:tc>
          <w:tcPr>
            <w:tcW w:w="3098" w:type="dxa"/>
            <w:shd w:val="clear" w:color="auto" w:fill="B4C6E7" w:themeFill="accent5" w:themeFillTint="66"/>
          </w:tcPr>
          <w:p w14:paraId="30D501D9">
            <w:pPr>
              <w:keepNext w:val="0"/>
              <w:keepLines w:val="0"/>
              <w:widowControl/>
              <w:suppressLineNumbers w:val="0"/>
              <w:spacing w:line="360" w:lineRule="auto"/>
              <w:jc w:val="center"/>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Key Initiatives</w:t>
            </w:r>
          </w:p>
        </w:tc>
      </w:tr>
      <w:tr w14:paraId="01E405D4">
        <w:tc>
          <w:tcPr>
            <w:tcW w:w="1660" w:type="dxa"/>
            <w:shd w:val="clear" w:color="auto" w:fill="8EAADB" w:themeFill="accent5" w:themeFillTint="99"/>
          </w:tcPr>
          <w:p w14:paraId="70B8D6CC">
            <w:pPr>
              <w:keepNext w:val="0"/>
              <w:keepLines w:val="0"/>
              <w:widowControl/>
              <w:suppressLineNumbers w:val="0"/>
              <w:spacing w:line="360" w:lineRule="auto"/>
              <w:jc w:val="both"/>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Financial</w:t>
            </w:r>
          </w:p>
        </w:tc>
        <w:tc>
          <w:tcPr>
            <w:tcW w:w="2154" w:type="dxa"/>
          </w:tcPr>
          <w:p w14:paraId="53938110">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Increase profitability and market share</w:t>
            </w:r>
          </w:p>
        </w:tc>
        <w:tc>
          <w:tcPr>
            <w:tcW w:w="2330" w:type="dxa"/>
          </w:tcPr>
          <w:p w14:paraId="0127A43E">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Revenue growth, operating margin, ROI</w:t>
            </w:r>
          </w:p>
        </w:tc>
        <w:tc>
          <w:tcPr>
            <w:tcW w:w="3098" w:type="dxa"/>
          </w:tcPr>
          <w:p w14:paraId="2DBBF8BC">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Cost reduction, price competitiveness, expansion of private labels</w:t>
            </w:r>
          </w:p>
        </w:tc>
      </w:tr>
      <w:tr w14:paraId="157B7E1C">
        <w:tc>
          <w:tcPr>
            <w:tcW w:w="1660" w:type="dxa"/>
            <w:shd w:val="clear" w:color="auto" w:fill="8EAADB" w:themeFill="accent5" w:themeFillTint="99"/>
          </w:tcPr>
          <w:p w14:paraId="5480773A">
            <w:pPr>
              <w:keepNext w:val="0"/>
              <w:keepLines w:val="0"/>
              <w:widowControl/>
              <w:suppressLineNumbers w:val="0"/>
              <w:spacing w:line="360" w:lineRule="auto"/>
              <w:jc w:val="both"/>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Customer</w:t>
            </w:r>
          </w:p>
        </w:tc>
        <w:tc>
          <w:tcPr>
            <w:tcW w:w="2154" w:type="dxa"/>
          </w:tcPr>
          <w:p w14:paraId="523F1EC6">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Improve customer satisfaction and loyalty</w:t>
            </w:r>
          </w:p>
        </w:tc>
        <w:tc>
          <w:tcPr>
            <w:tcW w:w="2330" w:type="dxa"/>
          </w:tcPr>
          <w:p w14:paraId="2A0906EE">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Customer satisfaction score, retention rate, Clubcard usage</w:t>
            </w:r>
          </w:p>
        </w:tc>
        <w:tc>
          <w:tcPr>
            <w:tcW w:w="3098" w:type="dxa"/>
          </w:tcPr>
          <w:p w14:paraId="3D7EB6B3">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Personalised offers, improved in-store and online experience</w:t>
            </w:r>
          </w:p>
        </w:tc>
      </w:tr>
      <w:tr w14:paraId="6CF8C3AE">
        <w:tc>
          <w:tcPr>
            <w:tcW w:w="1660" w:type="dxa"/>
            <w:shd w:val="clear" w:color="auto" w:fill="8EAADB" w:themeFill="accent5" w:themeFillTint="99"/>
          </w:tcPr>
          <w:p w14:paraId="446BBCF7">
            <w:pPr>
              <w:keepNext w:val="0"/>
              <w:keepLines w:val="0"/>
              <w:widowControl/>
              <w:suppressLineNumbers w:val="0"/>
              <w:spacing w:line="360" w:lineRule="auto"/>
              <w:jc w:val="both"/>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Internal Process</w:t>
            </w:r>
          </w:p>
        </w:tc>
        <w:tc>
          <w:tcPr>
            <w:tcW w:w="2154" w:type="dxa"/>
          </w:tcPr>
          <w:p w14:paraId="55AD60BE">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Enhance operational efficiency</w:t>
            </w:r>
          </w:p>
        </w:tc>
        <w:tc>
          <w:tcPr>
            <w:tcW w:w="2330" w:type="dxa"/>
          </w:tcPr>
          <w:p w14:paraId="39569517">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Supply chain efficiency, stock turnover, delivery time</w:t>
            </w:r>
          </w:p>
        </w:tc>
        <w:tc>
          <w:tcPr>
            <w:tcW w:w="3098" w:type="dxa"/>
          </w:tcPr>
          <w:p w14:paraId="30286C38">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Automation, digital supply chain, inventory management systems</w:t>
            </w:r>
          </w:p>
        </w:tc>
      </w:tr>
      <w:tr w14:paraId="12253B74">
        <w:tc>
          <w:tcPr>
            <w:tcW w:w="1660" w:type="dxa"/>
            <w:shd w:val="clear" w:color="auto" w:fill="8EAADB" w:themeFill="accent5" w:themeFillTint="99"/>
          </w:tcPr>
          <w:p w14:paraId="1AE5994D">
            <w:pPr>
              <w:keepNext w:val="0"/>
              <w:keepLines w:val="0"/>
              <w:widowControl/>
              <w:suppressLineNumbers w:val="0"/>
              <w:spacing w:line="360" w:lineRule="auto"/>
              <w:jc w:val="both"/>
              <w:rPr>
                <w:rFonts w:hint="default" w:ascii="Arial Regular" w:hAnsi="Arial Regular" w:cs="Arial Regular"/>
                <w:b/>
                <w:bCs/>
                <w:sz w:val="24"/>
                <w:szCs w:val="24"/>
                <w:vertAlign w:val="baseline"/>
              </w:rPr>
            </w:pPr>
            <w:r>
              <w:rPr>
                <w:rFonts w:hint="default" w:ascii="Arial Regular" w:hAnsi="Arial Regular" w:eastAsia="SimSun" w:cs="Arial Regular"/>
                <w:b/>
                <w:bCs/>
                <w:kern w:val="0"/>
                <w:sz w:val="24"/>
                <w:szCs w:val="24"/>
                <w:lang w:val="en-US" w:eastAsia="zh-CN" w:bidi="ar"/>
              </w:rPr>
              <w:t>Learning &amp; Growth</w:t>
            </w:r>
          </w:p>
        </w:tc>
        <w:tc>
          <w:tcPr>
            <w:tcW w:w="2154" w:type="dxa"/>
          </w:tcPr>
          <w:p w14:paraId="516ABF33">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Develop employee skills and innovation</w:t>
            </w:r>
          </w:p>
        </w:tc>
        <w:tc>
          <w:tcPr>
            <w:tcW w:w="2330" w:type="dxa"/>
          </w:tcPr>
          <w:p w14:paraId="32152220">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Employee satisfaction, training hours, staff retention</w:t>
            </w:r>
          </w:p>
        </w:tc>
        <w:tc>
          <w:tcPr>
            <w:tcW w:w="3098" w:type="dxa"/>
          </w:tcPr>
          <w:p w14:paraId="2E84C5E2">
            <w:pPr>
              <w:keepNext w:val="0"/>
              <w:keepLines w:val="0"/>
              <w:widowControl/>
              <w:suppressLineNumbers w:val="0"/>
              <w:spacing w:line="360" w:lineRule="auto"/>
              <w:jc w:val="both"/>
              <w:rPr>
                <w:rFonts w:hint="default" w:ascii="Arial Regular" w:hAnsi="Arial Regular" w:cs="Arial Regular"/>
                <w:b w:val="0"/>
                <w:bCs w:val="0"/>
                <w:sz w:val="24"/>
                <w:szCs w:val="24"/>
                <w:vertAlign w:val="baseline"/>
              </w:rPr>
            </w:pPr>
            <w:r>
              <w:rPr>
                <w:rFonts w:hint="default" w:ascii="Arial Regular" w:hAnsi="Arial Regular" w:eastAsia="SimSun" w:cs="Arial Regular"/>
                <w:kern w:val="0"/>
                <w:sz w:val="24"/>
                <w:szCs w:val="24"/>
                <w:lang w:val="en-US" w:eastAsia="zh-CN" w:bidi="ar"/>
              </w:rPr>
              <w:t>Training programmes, leadership development, digital skills investment</w:t>
            </w:r>
          </w:p>
        </w:tc>
      </w:tr>
    </w:tbl>
    <w:p w14:paraId="061AE0C8">
      <w:pPr>
        <w:pStyle w:val="11"/>
        <w:keepNext w:val="0"/>
        <w:keepLines w:val="0"/>
        <w:widowControl/>
        <w:suppressLineNumbers w:val="0"/>
        <w:spacing w:line="360" w:lineRule="auto"/>
        <w:jc w:val="center"/>
        <w:rPr>
          <w:rFonts w:hint="default" w:ascii="Arial Regular" w:hAnsi="Arial Regular" w:cs="Arial Regular"/>
          <w:b w:val="0"/>
          <w:bCs w:val="0"/>
          <w:sz w:val="24"/>
          <w:szCs w:val="24"/>
          <w:lang w:val="de-DE"/>
        </w:rPr>
      </w:pPr>
      <w:r>
        <w:rPr>
          <w:rFonts w:hint="default" w:ascii="Arial Regular" w:hAnsi="Arial Regular" w:cs="Arial Regular"/>
          <w:b w:val="0"/>
          <w:bCs w:val="0"/>
          <w:sz w:val="24"/>
          <w:szCs w:val="24"/>
          <w:lang w:val="de-DE"/>
        </w:rPr>
        <w:t>Figure 5: Balance Scorecard of Tesco (Source: Self Developed)</w:t>
      </w:r>
    </w:p>
    <w:p w14:paraId="24AE064A">
      <w:pPr>
        <w:pStyle w:val="3"/>
        <w:keepNext w:val="0"/>
        <w:keepLines w:val="0"/>
        <w:widowControl/>
        <w:numPr>
          <w:ilvl w:val="0"/>
          <w:numId w:val="6"/>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b/>
          <w:bCs/>
          <w:sz w:val="24"/>
          <w:szCs w:val="24"/>
        </w:rPr>
        <w:t>Financial Perspective</w:t>
      </w:r>
    </w:p>
    <w:p w14:paraId="6123F64E">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Tesco’s financial perspective focuses on achieving sustainable revenue growth, profitability, and cost efficiency within a highly competitive grocery market. In 2024/25, Tesco generated approximately </w:t>
      </w:r>
      <w:r>
        <w:rPr>
          <w:rStyle w:val="12"/>
          <w:rFonts w:hint="default" w:ascii="Arial Regular" w:hAnsi="Arial Regular" w:cs="Arial Regular"/>
          <w:b w:val="0"/>
          <w:bCs w:val="0"/>
          <w:sz w:val="24"/>
          <w:szCs w:val="24"/>
        </w:rPr>
        <w:t>£69.9 billion in revenue</w:t>
      </w:r>
      <w:r>
        <w:rPr>
          <w:rFonts w:hint="default" w:ascii="Arial Regular" w:hAnsi="Arial Regular" w:cs="Arial Regular"/>
          <w:b w:val="0"/>
          <w:bCs w:val="0"/>
          <w:sz w:val="24"/>
          <w:szCs w:val="24"/>
        </w:rPr>
        <w:t xml:space="preserve"> and over </w:t>
      </w:r>
      <w:r>
        <w:rPr>
          <w:rStyle w:val="12"/>
          <w:rFonts w:hint="default" w:ascii="Arial Regular" w:hAnsi="Arial Regular" w:cs="Arial Regular"/>
          <w:b w:val="0"/>
          <w:bCs w:val="0"/>
          <w:sz w:val="24"/>
          <w:szCs w:val="24"/>
        </w:rPr>
        <w:t>£3 billion in operating profit</w:t>
      </w:r>
      <w:r>
        <w:rPr>
          <w:rFonts w:hint="default" w:ascii="Arial Regular" w:hAnsi="Arial Regular" w:cs="Arial Regular"/>
          <w:b w:val="0"/>
          <w:bCs w:val="0"/>
          <w:sz w:val="24"/>
          <w:szCs w:val="24"/>
        </w:rPr>
        <w:t>, demonstrating resilience despite inflationary pressures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b</w:t>
      </w:r>
      <w:r>
        <w:rPr>
          <w:rFonts w:hint="default" w:ascii="Arial Regular" w:hAnsi="Arial Regular" w:cs="Arial Regular"/>
          <w:b w:val="0"/>
          <w:bCs w:val="0"/>
          <w:sz w:val="24"/>
          <w:szCs w:val="24"/>
        </w:rPr>
        <w:t xml:space="preserve">). The key objectives include maintaining profit margins, improving return on capital, and ensuring strong cash flow. Key performance indicators (KPIs) include revenue growth rate, operating margin (approximately </w:t>
      </w:r>
      <w:r>
        <w:rPr>
          <w:rStyle w:val="12"/>
          <w:rFonts w:hint="default" w:ascii="Arial Regular" w:hAnsi="Arial Regular" w:cs="Arial Regular"/>
          <w:b w:val="0"/>
          <w:bCs w:val="0"/>
          <w:sz w:val="24"/>
          <w:szCs w:val="24"/>
        </w:rPr>
        <w:t>3–4%</w:t>
      </w:r>
      <w:r>
        <w:rPr>
          <w:rFonts w:hint="default" w:ascii="Arial Regular" w:hAnsi="Arial Regular" w:cs="Arial Regular"/>
          <w:b w:val="0"/>
          <w:bCs w:val="0"/>
          <w:sz w:val="24"/>
          <w:szCs w:val="24"/>
        </w:rPr>
        <w:t>), and cost-to-sales ratio. Targets involve steady year-on-year growth while maintaining price competitiveness. Strategic initiatives such as cost reduction programmes, supply chain optimisation, and price-matching schemes support financial stability. These actions reflect Tesco’s ability to balance cost leadership with profitability, which is critical in sustaining shareholder value.</w:t>
      </w:r>
    </w:p>
    <w:p w14:paraId="728E24D1">
      <w:pPr>
        <w:pStyle w:val="3"/>
        <w:keepNext w:val="0"/>
        <w:keepLines w:val="0"/>
        <w:widowControl/>
        <w:numPr>
          <w:ilvl w:val="0"/>
          <w:numId w:val="6"/>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b/>
          <w:bCs/>
          <w:sz w:val="24"/>
          <w:szCs w:val="24"/>
        </w:rPr>
        <w:t>Customer Perspective</w:t>
      </w:r>
    </w:p>
    <w:p w14:paraId="01798283">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Tesco’s mission emphasises delivering value, quality, and convenience, making customer satisfaction central to its strategy. The company holds approximately </w:t>
      </w:r>
      <w:r>
        <w:rPr>
          <w:rStyle w:val="12"/>
          <w:rFonts w:hint="default" w:ascii="Arial Regular" w:hAnsi="Arial Regular" w:cs="Arial Regular"/>
          <w:b w:val="0"/>
          <w:bCs w:val="0"/>
          <w:sz w:val="24"/>
          <w:szCs w:val="24"/>
        </w:rPr>
        <w:t>27–28% market share in the UK grocery sector</w:t>
      </w:r>
      <w:r>
        <w:rPr>
          <w:rFonts w:hint="default" w:ascii="Arial Regular" w:hAnsi="Arial Regular" w:cs="Arial Regular"/>
          <w:b w:val="0"/>
          <w:bCs w:val="0"/>
          <w:sz w:val="24"/>
          <w:szCs w:val="24"/>
        </w:rPr>
        <w:t>, indicating strong customer loyalty (Reuters, 2025</w:t>
      </w:r>
      <w:r>
        <w:rPr>
          <w:rFonts w:hint="default" w:ascii="Arial Regular" w:hAnsi="Arial Regular" w:cs="Arial Regular"/>
          <w:b w:val="0"/>
          <w:bCs w:val="0"/>
          <w:sz w:val="24"/>
          <w:szCs w:val="24"/>
          <w:lang w:val="de-DE"/>
        </w:rPr>
        <w:t>b</w:t>
      </w:r>
      <w:r>
        <w:rPr>
          <w:rFonts w:hint="default" w:ascii="Arial Regular" w:hAnsi="Arial Regular" w:cs="Arial Regular"/>
          <w:b w:val="0"/>
          <w:bCs w:val="0"/>
          <w:sz w:val="24"/>
          <w:szCs w:val="24"/>
        </w:rPr>
        <w:t xml:space="preserve">). Objectives include improving customer retention, enhancing satisfaction, and expanding market share. KPIs include customer satisfaction scores, loyalty metrics, and engagement with the Clubcard programme, which is used by over </w:t>
      </w:r>
      <w:r>
        <w:rPr>
          <w:rStyle w:val="12"/>
          <w:rFonts w:hint="default" w:ascii="Arial Regular" w:hAnsi="Arial Regular" w:cs="Arial Regular"/>
          <w:b w:val="0"/>
          <w:bCs w:val="0"/>
          <w:sz w:val="24"/>
          <w:szCs w:val="24"/>
        </w:rPr>
        <w:t>20 million UK household</w:t>
      </w:r>
      <w:r>
        <w:rPr>
          <w:rStyle w:val="12"/>
          <w:rFonts w:hint="default" w:ascii="Arial Regular" w:hAnsi="Arial Regular" w:cs="Arial Regular"/>
          <w:b w:val="0"/>
          <w:bCs w:val="0"/>
          <w:sz w:val="24"/>
          <w:szCs w:val="24"/>
          <w:highlight w:val="none"/>
        </w:rPr>
        <w:t>s</w:t>
      </w:r>
      <w:r>
        <w:rPr>
          <w:rFonts w:hint="default" w:ascii="Arial Regular" w:hAnsi="Arial Regular" w:cs="Arial Regular"/>
          <w:b w:val="0"/>
          <w:bCs w:val="0"/>
          <w:sz w:val="24"/>
          <w:szCs w:val="24"/>
          <w:highlight w:val="none"/>
        </w:rPr>
        <w:t xml:space="preserve"> (Tesco</w:t>
      </w:r>
      <w:r>
        <w:rPr>
          <w:rFonts w:hint="default" w:ascii="Arial Regular" w:hAnsi="Arial Regular" w:cs="Arial Regular"/>
          <w:b w:val="0"/>
          <w:bCs w:val="0"/>
          <w:sz w:val="24"/>
          <w:szCs w:val="24"/>
          <w:highlight w:val="none"/>
          <w:lang w:val="de-DE"/>
        </w:rPr>
        <w:t xml:space="preserve"> PLC</w:t>
      </w:r>
      <w:r>
        <w:rPr>
          <w:rFonts w:hint="default" w:ascii="Arial Regular" w:hAnsi="Arial Regular" w:cs="Arial Regular"/>
          <w:b w:val="0"/>
          <w:bCs w:val="0"/>
          <w:sz w:val="24"/>
          <w:szCs w:val="24"/>
          <w:highlight w:val="none"/>
        </w:rPr>
        <w:t>, 2025</w:t>
      </w:r>
      <w:r>
        <w:rPr>
          <w:rFonts w:hint="default" w:ascii="Arial Regular" w:hAnsi="Arial Regular" w:cs="Arial Regular"/>
          <w:b w:val="0"/>
          <w:bCs w:val="0"/>
          <w:sz w:val="24"/>
          <w:szCs w:val="24"/>
          <w:highlight w:val="none"/>
          <w:lang w:val="de-DE"/>
        </w:rPr>
        <w:t>a</w:t>
      </w:r>
      <w:r>
        <w:rPr>
          <w:rFonts w:hint="default" w:ascii="Arial Regular" w:hAnsi="Arial Regular" w:cs="Arial Regular"/>
          <w:b w:val="0"/>
          <w:bCs w:val="0"/>
          <w:sz w:val="24"/>
          <w:szCs w:val="24"/>
          <w:highlight w:val="none"/>
        </w:rPr>
        <w:t xml:space="preserve">). Targets focus on </w:t>
      </w:r>
      <w:r>
        <w:rPr>
          <w:rFonts w:hint="default" w:ascii="Arial Regular" w:hAnsi="Arial Regular" w:cs="Arial Regular"/>
          <w:b w:val="0"/>
          <w:bCs w:val="0"/>
          <w:sz w:val="24"/>
          <w:szCs w:val="24"/>
        </w:rPr>
        <w:t>increasing loyalty participation and improving customer experience. Initiatives include personalised promotions, expansion of online grocery services, and product diversification across value and premium ranges. These strategies strengthen Tesco’s competitive position by aligning closely with evolving consumer preferences.</w:t>
      </w:r>
    </w:p>
    <w:p w14:paraId="004175D3">
      <w:pPr>
        <w:pStyle w:val="3"/>
        <w:keepNext w:val="0"/>
        <w:keepLines w:val="0"/>
        <w:widowControl/>
        <w:numPr>
          <w:ilvl w:val="0"/>
          <w:numId w:val="6"/>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b/>
          <w:bCs/>
          <w:sz w:val="24"/>
          <w:szCs w:val="24"/>
        </w:rPr>
        <w:t>Internal Business Processes Perspective</w:t>
      </w:r>
    </w:p>
    <w:p w14:paraId="376CAC84">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Tesco aims to improve operational efficiency, product availability, and supply chain effectiveness. Objectives include reducing operational waste, improving inventory management, and ensuring consistent service quality. KPIs include inventory turnover rates, on-shelf availability, and logistics costs. Tesco’s network of over </w:t>
      </w:r>
      <w:r>
        <w:rPr>
          <w:rStyle w:val="12"/>
          <w:rFonts w:hint="default" w:ascii="Arial Regular" w:hAnsi="Arial Regular" w:cs="Arial Regular"/>
          <w:b w:val="0"/>
          <w:bCs w:val="0"/>
          <w:sz w:val="24"/>
          <w:szCs w:val="24"/>
        </w:rPr>
        <w:t>4,000 stores</w:t>
      </w:r>
      <w:r>
        <w:rPr>
          <w:rFonts w:hint="default" w:ascii="Arial Regular" w:hAnsi="Arial Regular" w:cs="Arial Regular"/>
          <w:b w:val="0"/>
          <w:bCs w:val="0"/>
          <w:sz w:val="24"/>
          <w:szCs w:val="24"/>
        </w:rPr>
        <w:t xml:space="preserve"> and advanced distribution infrastructure provides a strong operational foundation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xml:space="preserve">). Targets include reducing inefficiencies and improving process reliability. Key initiatives include warehouse automation, digital inventory systems, and food waste reduction programmes, with approximately </w:t>
      </w:r>
      <w:r>
        <w:rPr>
          <w:rStyle w:val="12"/>
          <w:rFonts w:hint="default" w:ascii="Arial Regular" w:hAnsi="Arial Regular" w:cs="Arial Regular"/>
          <w:b w:val="0"/>
          <w:bCs w:val="0"/>
          <w:sz w:val="24"/>
          <w:szCs w:val="24"/>
        </w:rPr>
        <w:t>82% of unsold food redistributed</w:t>
      </w:r>
      <w:r>
        <w:rPr>
          <w:rFonts w:hint="default" w:ascii="Arial Regular" w:hAnsi="Arial Regular" w:cs="Arial Regular"/>
          <w:b w:val="0"/>
          <w:bCs w:val="0"/>
          <w:sz w:val="24"/>
          <w:szCs w:val="24"/>
        </w:rPr>
        <w:t>. These improvements enable Tesco to maintain high service standards while controlling costs, supporting its cost leadership strategy.</w:t>
      </w:r>
    </w:p>
    <w:p w14:paraId="5FC6CAD7">
      <w:pPr>
        <w:pStyle w:val="3"/>
        <w:keepNext w:val="0"/>
        <w:keepLines w:val="0"/>
        <w:widowControl/>
        <w:numPr>
          <w:ilvl w:val="0"/>
          <w:numId w:val="6"/>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b/>
          <w:bCs/>
          <w:sz w:val="24"/>
          <w:szCs w:val="24"/>
        </w:rPr>
        <w:t>Learning and Growth Perspective</w:t>
      </w:r>
    </w:p>
    <w:p w14:paraId="4D61CDD1">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This perspective focuses on employee capability, innovation, and organisational culture. Tesco employs over </w:t>
      </w:r>
      <w:r>
        <w:rPr>
          <w:rStyle w:val="12"/>
          <w:rFonts w:hint="default" w:ascii="Arial Regular" w:hAnsi="Arial Regular" w:cs="Arial Regular"/>
          <w:b w:val="0"/>
          <w:bCs w:val="0"/>
          <w:sz w:val="24"/>
          <w:szCs w:val="24"/>
        </w:rPr>
        <w:t>340,000 people</w:t>
      </w:r>
      <w:r>
        <w:rPr>
          <w:rFonts w:hint="default" w:ascii="Arial Regular" w:hAnsi="Arial Regular" w:cs="Arial Regular"/>
          <w:b w:val="0"/>
          <w:bCs w:val="0"/>
          <w:sz w:val="24"/>
          <w:szCs w:val="24"/>
        </w:rPr>
        <w:t>, making human capital a critical strategic resource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xml:space="preserve">). Objectives include improving employee engagement, developing digital skills, and fostering innovation. KPIs include employee satisfaction, retention rates, and training participation. Targets focus on enhancing workforce capability and leadership development. Initiatives include investment in training programmes, digital transformation, and increased wages, with over </w:t>
      </w:r>
      <w:r>
        <w:rPr>
          <w:rStyle w:val="12"/>
          <w:rFonts w:hint="default" w:ascii="Arial Regular" w:hAnsi="Arial Regular" w:cs="Arial Regular"/>
          <w:b w:val="0"/>
          <w:bCs w:val="0"/>
          <w:sz w:val="24"/>
          <w:szCs w:val="24"/>
        </w:rPr>
        <w:t>£900 million invested in employee pay</w:t>
      </w:r>
      <w:r>
        <w:rPr>
          <w:rFonts w:hint="default" w:ascii="Arial Regular" w:hAnsi="Arial Regular" w:cs="Arial Regular"/>
          <w:b w:val="0"/>
          <w:bCs w:val="0"/>
          <w:sz w:val="24"/>
          <w:szCs w:val="24"/>
        </w:rPr>
        <w:t>. These efforts enhance productivity, motivation, and adaptability, ensuring Tesco remains competitive in a rapidly changing retail environment.</w:t>
      </w:r>
    </w:p>
    <w:p w14:paraId="79C7E831">
      <w:pPr>
        <w:pStyle w:val="3"/>
        <w:keepNext w:val="0"/>
        <w:keepLines w:val="0"/>
        <w:widowControl/>
        <w:numPr>
          <w:ilvl w:val="0"/>
          <w:numId w:val="6"/>
        </w:numPr>
        <w:suppressLineNumbers w:val="0"/>
        <w:spacing w:line="360" w:lineRule="auto"/>
        <w:ind w:left="420" w:leftChars="0" w:hanging="420" w:firstLineChars="0"/>
        <w:jc w:val="both"/>
        <w:rPr>
          <w:rFonts w:hint="default" w:ascii="Arial Regular" w:hAnsi="Arial Regular" w:cs="Arial Regular"/>
          <w:sz w:val="24"/>
          <w:szCs w:val="24"/>
        </w:rPr>
      </w:pPr>
      <w:r>
        <w:rPr>
          <w:rStyle w:val="12"/>
          <w:rFonts w:hint="default" w:ascii="Arial Regular" w:hAnsi="Arial Regular" w:cs="Arial Regular"/>
          <w:b/>
          <w:bCs/>
          <w:sz w:val="24"/>
          <w:szCs w:val="24"/>
        </w:rPr>
        <w:t>Integrated Analysis</w:t>
      </w:r>
    </w:p>
    <w:p w14:paraId="4C65223D">
      <w:pPr>
        <w:pStyle w:val="11"/>
        <w:keepNext w:val="0"/>
        <w:keepLines w:val="0"/>
        <w:widowControl/>
        <w:suppressLineNumbers w:val="0"/>
        <w:spacing w:line="360" w:lineRule="auto"/>
        <w:jc w:val="both"/>
        <w:rPr>
          <w:rFonts w:hint="default" w:ascii="Arial Regular" w:hAnsi="Arial Regular" w:cs="Arial Regular"/>
          <w:sz w:val="24"/>
          <w:szCs w:val="24"/>
          <w:lang w:val="de-DE" w:eastAsia="zh-CN"/>
        </w:rPr>
      </w:pPr>
      <w:r>
        <w:rPr>
          <w:rFonts w:hint="default" w:ascii="Arial Regular" w:hAnsi="Arial Regular" w:cs="Arial Regular"/>
          <w:sz w:val="24"/>
          <w:szCs w:val="24"/>
        </w:rPr>
        <w:t>Tesco’s Balanced Scorecard demonstrates strong alignment across all four perspectives, highlighting how internal capabilities drive overall performance. Customer loyalty initiatives, such as Clubcard, directly contribute to financial outcomes by increasing repeat purchases and revenue growth. Efficient internal processes reduce costs and improve service quality, reinforcing customer satisfaction. Simultaneously, investments in employee development and digital innovation strengthen organisational capabilities, enabling continuous improvement. However, Tesco faces ongoing challenges in balancing cost leadership with rising labour and operational expenses. Sustained investment in technology and workforce development is essential to maintain efficiency and competitiveness. Overall, the Balanced Scorecard provides a holistic framework that integrates strategy with operational execution, supporting Tesco’s long-term value creation.</w:t>
      </w:r>
    </w:p>
    <w:p w14:paraId="6B97C5DA">
      <w:pPr>
        <w:keepNext w:val="0"/>
        <w:keepLines w:val="0"/>
        <w:widowControl/>
        <w:numPr>
          <w:ilvl w:val="0"/>
          <w:numId w:val="5"/>
        </w:numPr>
        <w:suppressLineNumbers w:val="0"/>
        <w:spacing w:line="360" w:lineRule="auto"/>
        <w:ind w:left="0" w:leftChars="0" w:firstLine="0" w:firstLineChars="0"/>
        <w:jc w:val="both"/>
        <w:rPr>
          <w:rFonts w:hint="default" w:ascii="Arial Regular" w:hAnsi="Arial Regular" w:cs="Arial Regular"/>
          <w:b/>
          <w:bCs/>
          <w:sz w:val="24"/>
          <w:szCs w:val="24"/>
          <w:lang w:val="de-DE"/>
        </w:rPr>
      </w:pPr>
      <w:r>
        <w:rPr>
          <w:rFonts w:hint="default" w:ascii="Arial Regular" w:hAnsi="Arial Regular" w:eastAsia="SimSun" w:cs="Arial Regular"/>
          <w:b/>
          <w:bCs/>
          <w:kern w:val="0"/>
          <w:sz w:val="24"/>
          <w:szCs w:val="24"/>
          <w:lang w:val="en-US" w:eastAsia="zh-CN" w:bidi="ar"/>
        </w:rPr>
        <w:t>Strategic Choices and Implementation</w:t>
      </w:r>
      <w:r>
        <w:rPr>
          <w:rFonts w:hint="default" w:ascii="Arial Regular" w:hAnsi="Arial Regular" w:eastAsia="SimSun" w:cs="Arial Regular"/>
          <w:b/>
          <w:bCs/>
          <w:kern w:val="0"/>
          <w:sz w:val="24"/>
          <w:szCs w:val="24"/>
          <w:lang w:val="de-DE" w:eastAsia="zh-CN" w:bidi="ar"/>
        </w:rPr>
        <w:t xml:space="preserve"> </w:t>
      </w:r>
    </w:p>
    <w:p w14:paraId="31A3799C">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Tesco’s strategic choices can be evaluated at both the </w:t>
      </w:r>
      <w:r>
        <w:rPr>
          <w:rStyle w:val="12"/>
          <w:rFonts w:hint="default" w:ascii="Arial Regular" w:hAnsi="Arial Regular" w:cs="Arial Regular"/>
          <w:b w:val="0"/>
          <w:bCs w:val="0"/>
          <w:sz w:val="24"/>
          <w:szCs w:val="24"/>
        </w:rPr>
        <w:t>business level</w:t>
      </w:r>
      <w:r>
        <w:rPr>
          <w:rFonts w:hint="default" w:ascii="Arial Regular" w:hAnsi="Arial Regular" w:cs="Arial Regular"/>
          <w:b w:val="0"/>
          <w:bCs w:val="0"/>
          <w:sz w:val="24"/>
          <w:szCs w:val="24"/>
        </w:rPr>
        <w:t xml:space="preserve"> and </w:t>
      </w:r>
      <w:r>
        <w:rPr>
          <w:rStyle w:val="12"/>
          <w:rFonts w:hint="default" w:ascii="Arial Regular" w:hAnsi="Arial Regular" w:cs="Arial Regular"/>
          <w:b w:val="0"/>
          <w:bCs w:val="0"/>
          <w:sz w:val="24"/>
          <w:szCs w:val="24"/>
        </w:rPr>
        <w:t>corporate level</w:t>
      </w:r>
      <w:r>
        <w:rPr>
          <w:rFonts w:hint="default" w:ascii="Arial Regular" w:hAnsi="Arial Regular" w:cs="Arial Regular"/>
          <w:b w:val="0"/>
          <w:bCs w:val="0"/>
          <w:sz w:val="24"/>
          <w:szCs w:val="24"/>
        </w:rPr>
        <w:t>, reflecting how the organisation competes and grows within a dynamic and highly competitive retail environment.</w:t>
      </w:r>
    </w:p>
    <w:p w14:paraId="7C1584FE">
      <w:pPr>
        <w:pStyle w:val="11"/>
        <w:keepNext w:val="0"/>
        <w:keepLines w:val="0"/>
        <w:widowControl/>
        <w:numPr>
          <w:ilvl w:val="0"/>
          <w:numId w:val="7"/>
        </w:numPr>
        <w:suppressLineNumbers w:val="0"/>
        <w:spacing w:line="360" w:lineRule="auto"/>
        <w:ind w:left="420" w:leftChars="0" w:hanging="420" w:firstLine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At the </w:t>
      </w:r>
      <w:r>
        <w:rPr>
          <w:rStyle w:val="12"/>
          <w:rFonts w:hint="default" w:ascii="Arial Regular" w:hAnsi="Arial Regular" w:cs="Arial Regular"/>
          <w:b w:val="0"/>
          <w:bCs w:val="0"/>
          <w:sz w:val="24"/>
          <w:szCs w:val="24"/>
        </w:rPr>
        <w:t>business level</w:t>
      </w:r>
      <w:r>
        <w:rPr>
          <w:rFonts w:hint="default" w:ascii="Arial Regular" w:hAnsi="Arial Regular" w:cs="Arial Regular"/>
          <w:b w:val="0"/>
          <w:bCs w:val="0"/>
          <w:sz w:val="24"/>
          <w:szCs w:val="24"/>
        </w:rPr>
        <w:t xml:space="preserve">, Tesco primarily follows a </w:t>
      </w:r>
      <w:r>
        <w:rPr>
          <w:rStyle w:val="12"/>
          <w:rFonts w:hint="default" w:ascii="Arial Regular" w:hAnsi="Arial Regular" w:cs="Arial Regular"/>
          <w:b w:val="0"/>
          <w:bCs w:val="0"/>
          <w:sz w:val="24"/>
          <w:szCs w:val="24"/>
        </w:rPr>
        <w:t>cost leadership strategy</w:t>
      </w:r>
      <w:r>
        <w:rPr>
          <w:rFonts w:hint="default" w:ascii="Arial Regular" w:hAnsi="Arial Regular" w:cs="Arial Regular"/>
          <w:b w:val="0"/>
          <w:bCs w:val="0"/>
          <w:sz w:val="24"/>
          <w:szCs w:val="24"/>
        </w:rPr>
        <w:t xml:space="preserve">, supported by economies of scale, efficient supply chain management, and strong purchasing power. With approximately </w:t>
      </w:r>
      <w:r>
        <w:rPr>
          <w:rStyle w:val="12"/>
          <w:rFonts w:hint="default" w:ascii="Arial Regular" w:hAnsi="Arial Regular" w:cs="Arial Regular"/>
          <w:b w:val="0"/>
          <w:bCs w:val="0"/>
          <w:sz w:val="24"/>
          <w:szCs w:val="24"/>
        </w:rPr>
        <w:t>£69.9 billion in revenue in 2024/25</w:t>
      </w:r>
      <w:r>
        <w:rPr>
          <w:rFonts w:hint="default" w:ascii="Arial Regular" w:hAnsi="Arial Regular" w:cs="Arial Regular"/>
          <w:b w:val="0"/>
          <w:bCs w:val="0"/>
          <w:sz w:val="24"/>
          <w:szCs w:val="24"/>
        </w:rPr>
        <w:t xml:space="preserve"> and a UK market share of </w:t>
      </w:r>
      <w:r>
        <w:rPr>
          <w:rStyle w:val="12"/>
          <w:rFonts w:hint="default" w:ascii="Arial Regular" w:hAnsi="Arial Regular" w:cs="Arial Regular"/>
          <w:b w:val="0"/>
          <w:bCs w:val="0"/>
          <w:sz w:val="24"/>
          <w:szCs w:val="24"/>
        </w:rPr>
        <w:t>27–28%</w:t>
      </w:r>
      <w:r>
        <w:rPr>
          <w:rFonts w:hint="default" w:ascii="Arial Regular" w:hAnsi="Arial Regular" w:cs="Arial Regular"/>
          <w:b w:val="0"/>
          <w:bCs w:val="0"/>
          <w:sz w:val="24"/>
          <w:szCs w:val="24"/>
        </w:rPr>
        <w:t>, Tesco is able to offer competitive pricing while maintaining profitability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Reuters, 2025</w:t>
      </w:r>
      <w:r>
        <w:rPr>
          <w:rFonts w:hint="default" w:ascii="Arial Regular" w:hAnsi="Arial Regular" w:cs="Arial Regular"/>
          <w:b w:val="0"/>
          <w:bCs w:val="0"/>
          <w:sz w:val="24"/>
          <w:szCs w:val="24"/>
          <w:lang w:val="de-DE"/>
        </w:rPr>
        <w:t>d</w:t>
      </w:r>
      <w:r>
        <w:rPr>
          <w:rFonts w:hint="default" w:ascii="Arial Regular" w:hAnsi="Arial Regular" w:cs="Arial Regular"/>
          <w:b w:val="0"/>
          <w:bCs w:val="0"/>
          <w:sz w:val="24"/>
          <w:szCs w:val="24"/>
        </w:rPr>
        <w:t xml:space="preserve">). Initiatives such as Aldi Price Match and the expansion of private-label products reinforce its low-cost positioning. However, Tesco also adopts elements of </w:t>
      </w:r>
      <w:r>
        <w:rPr>
          <w:rStyle w:val="12"/>
          <w:rFonts w:hint="default" w:ascii="Arial Regular" w:hAnsi="Arial Regular" w:cs="Arial Regular"/>
          <w:b w:val="0"/>
          <w:bCs w:val="0"/>
          <w:sz w:val="24"/>
          <w:szCs w:val="24"/>
        </w:rPr>
        <w:t>differentiation</w:t>
      </w:r>
      <w:r>
        <w:rPr>
          <w:rFonts w:hint="default" w:ascii="Arial Regular" w:hAnsi="Arial Regular" w:cs="Arial Regular"/>
          <w:b w:val="0"/>
          <w:bCs w:val="0"/>
          <w:sz w:val="24"/>
          <w:szCs w:val="24"/>
        </w:rPr>
        <w:t xml:space="preserve">, particularly through premium product ranges such as “Finest,” improved in-store experience, and personalised promotions driven by its Clubcard programme, which is used by over </w:t>
      </w:r>
      <w:r>
        <w:rPr>
          <w:rStyle w:val="12"/>
          <w:rFonts w:hint="default" w:ascii="Arial Regular" w:hAnsi="Arial Regular" w:cs="Arial Regular"/>
          <w:b w:val="0"/>
          <w:bCs w:val="0"/>
          <w:sz w:val="24"/>
          <w:szCs w:val="24"/>
        </w:rPr>
        <w:t>20 million UK households</w:t>
      </w:r>
      <w:r>
        <w:rPr>
          <w:rFonts w:hint="default" w:ascii="Arial Regular" w:hAnsi="Arial Regular" w:cs="Arial Regular"/>
          <w:b w:val="0"/>
          <w:bCs w:val="0"/>
          <w:sz w:val="24"/>
          <w:szCs w:val="24"/>
        </w:rPr>
        <w:t xml:space="preserve">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This hybrid strategy allows Tesco to appeal to both price-sensitive and quality-focused customers, strengthening its competitive position.</w:t>
      </w:r>
    </w:p>
    <w:p w14:paraId="3BBADBC8">
      <w:pPr>
        <w:pStyle w:val="11"/>
        <w:keepNext w:val="0"/>
        <w:keepLines w:val="0"/>
        <w:widowControl/>
        <w:numPr>
          <w:ilvl w:val="0"/>
          <w:numId w:val="7"/>
        </w:numPr>
        <w:suppressLineNumbers w:val="0"/>
        <w:spacing w:line="360" w:lineRule="auto"/>
        <w:ind w:left="420" w:leftChars="0" w:hanging="420" w:firstLineChars="0"/>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At the </w:t>
      </w:r>
      <w:r>
        <w:rPr>
          <w:rStyle w:val="12"/>
          <w:rFonts w:hint="default" w:ascii="Arial Regular" w:hAnsi="Arial Regular" w:cs="Arial Regular"/>
          <w:b w:val="0"/>
          <w:bCs w:val="0"/>
          <w:sz w:val="24"/>
          <w:szCs w:val="24"/>
        </w:rPr>
        <w:t>corporate level</w:t>
      </w:r>
      <w:r>
        <w:rPr>
          <w:rFonts w:hint="default" w:ascii="Arial Regular" w:hAnsi="Arial Regular" w:cs="Arial Regular"/>
          <w:b w:val="0"/>
          <w:bCs w:val="0"/>
          <w:sz w:val="24"/>
          <w:szCs w:val="24"/>
        </w:rPr>
        <w:t xml:space="preserve">, Tesco has pursued a strategy of </w:t>
      </w:r>
      <w:r>
        <w:rPr>
          <w:rStyle w:val="12"/>
          <w:rFonts w:hint="default" w:ascii="Arial Regular" w:hAnsi="Arial Regular" w:cs="Arial Regular"/>
          <w:b w:val="0"/>
          <w:bCs w:val="0"/>
          <w:sz w:val="24"/>
          <w:szCs w:val="24"/>
        </w:rPr>
        <w:t>focused diversification and strategic consolidation</w:t>
      </w:r>
      <w:r>
        <w:rPr>
          <w:rFonts w:hint="default" w:ascii="Arial Regular" w:hAnsi="Arial Regular" w:cs="Arial Regular"/>
          <w:b w:val="0"/>
          <w:bCs w:val="0"/>
          <w:sz w:val="24"/>
          <w:szCs w:val="24"/>
        </w:rPr>
        <w:t>. The acquisition of Booker has enhanced its wholesale and distribution capabilities, providing an additional revenue stream and strengthening supply chain integration. At the same time, Tesco has reduced its global footprint by exiting less profitable markets, including its operations in Asia, and concentrating on core markets such as the UK, Ireland, and Central Europe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2023). This demonstrates a shift from aggressive international expansion to a more disciplined approach focused on efficiency, profitability, and risk management.</w:t>
      </w:r>
    </w:p>
    <w:p w14:paraId="7B1537C0">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5.1 Recommendations</w:t>
      </w:r>
    </w:p>
    <w:p w14:paraId="1925F681">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b/>
          <w:bCs/>
          <w:sz w:val="24"/>
          <w:szCs w:val="24"/>
          <w:lang w:val="de-DE"/>
        </w:rPr>
      </w:pPr>
      <w:r>
        <w:rPr>
          <w:rFonts w:hint="default" w:ascii="Arial Regular" w:hAnsi="Arial Regular" w:cs="Arial Regular"/>
          <w:b w:val="0"/>
          <w:bCs w:val="0"/>
          <w:sz w:val="24"/>
          <w:szCs w:val="24"/>
        </w:rPr>
        <w:t xml:space="preserve">In terms of recommendations, Tesco should continue to prioritise its </w:t>
      </w:r>
      <w:r>
        <w:rPr>
          <w:rStyle w:val="12"/>
          <w:rFonts w:hint="default" w:ascii="Arial Regular" w:hAnsi="Arial Regular" w:cs="Arial Regular"/>
          <w:b w:val="0"/>
          <w:bCs w:val="0"/>
          <w:sz w:val="24"/>
          <w:szCs w:val="24"/>
        </w:rPr>
        <w:t>cost leadership strategy</w:t>
      </w:r>
      <w:r>
        <w:rPr>
          <w:rFonts w:hint="default" w:ascii="Arial Regular" w:hAnsi="Arial Regular" w:cs="Arial Regular"/>
          <w:b w:val="0"/>
          <w:bCs w:val="0"/>
          <w:sz w:val="24"/>
          <w:szCs w:val="24"/>
        </w:rPr>
        <w:t xml:space="preserve">, as it remains highly relevant in the current economic climate characterised by inflation and cost-of-living pressures. Maintaining competitive pricing is essential to sustain customer loyalty and market share. However, Tesco should also strengthen its </w:t>
      </w:r>
      <w:r>
        <w:rPr>
          <w:rStyle w:val="12"/>
          <w:rFonts w:hint="default" w:ascii="Arial Regular" w:hAnsi="Arial Regular" w:cs="Arial Regular"/>
          <w:b w:val="0"/>
          <w:bCs w:val="0"/>
          <w:sz w:val="24"/>
          <w:szCs w:val="24"/>
        </w:rPr>
        <w:t>differentiation strategy</w:t>
      </w:r>
      <w:r>
        <w:rPr>
          <w:rFonts w:hint="default" w:ascii="Arial Regular" w:hAnsi="Arial Regular" w:cs="Arial Regular"/>
          <w:b w:val="0"/>
          <w:bCs w:val="0"/>
          <w:sz w:val="24"/>
          <w:szCs w:val="24"/>
        </w:rPr>
        <w:t xml:space="preserve"> by investing in digital innovation, sustainability initiatives, and enhanced customer experience. At the corporate level, Tesco should adopt </w:t>
      </w:r>
      <w:r>
        <w:rPr>
          <w:rStyle w:val="12"/>
          <w:rFonts w:hint="default" w:ascii="Arial Regular" w:hAnsi="Arial Regular" w:cs="Arial Regular"/>
          <w:b w:val="0"/>
          <w:bCs w:val="0"/>
          <w:sz w:val="24"/>
          <w:szCs w:val="24"/>
        </w:rPr>
        <w:t>selective international expansion</w:t>
      </w:r>
      <w:r>
        <w:rPr>
          <w:rFonts w:hint="default" w:ascii="Arial Regular" w:hAnsi="Arial Regular" w:cs="Arial Regular"/>
          <w:b w:val="0"/>
          <w:bCs w:val="0"/>
          <w:sz w:val="24"/>
          <w:szCs w:val="24"/>
        </w:rPr>
        <w:t>, focusing on stable and high-growth markets while reducing risk through partnerships or digital channels instead of capital-intensive store expansion. Furthermore, continued investment in automation, artificial intelligence, and supply chain technologies will be critical in maintaining operational efficiency and long-term competitiveness.</w:t>
      </w:r>
    </w:p>
    <w:p w14:paraId="6CE1DF5C">
      <w:pPr>
        <w:keepNext w:val="0"/>
        <w:keepLines w:val="0"/>
        <w:widowControl/>
        <w:numPr>
          <w:ilvl w:val="0"/>
          <w:numId w:val="0"/>
        </w:numPr>
        <w:suppressLineNumbers w:val="0"/>
        <w:spacing w:line="360" w:lineRule="auto"/>
        <w:ind w:leftChars="0"/>
        <w:jc w:val="both"/>
        <w:rPr>
          <w:rFonts w:hint="default" w:ascii="Arial Regular" w:hAnsi="Arial Regular" w:eastAsia="SimSun" w:cs="Arial Regular"/>
          <w:b/>
          <w:bCs/>
          <w:kern w:val="0"/>
          <w:sz w:val="24"/>
          <w:szCs w:val="24"/>
          <w:lang w:val="en-US" w:eastAsia="zh-CN" w:bidi="ar"/>
        </w:rPr>
      </w:pPr>
      <w:r>
        <w:rPr>
          <w:rFonts w:hint="default" w:ascii="Arial Regular" w:hAnsi="Arial Regular" w:cs="Arial Regular"/>
          <w:b/>
          <w:bCs/>
          <w:sz w:val="24"/>
          <w:szCs w:val="24"/>
          <w:lang w:val="de-DE"/>
        </w:rPr>
        <w:t xml:space="preserve">5.2 How Tesco </w:t>
      </w:r>
      <w:r>
        <w:rPr>
          <w:rFonts w:hint="default" w:ascii="Arial Regular" w:hAnsi="Arial Regular" w:eastAsia="SimSun" w:cs="Arial Regular"/>
          <w:b/>
          <w:bCs/>
          <w:kern w:val="0"/>
          <w:sz w:val="24"/>
          <w:szCs w:val="24"/>
          <w:lang w:val="en-US" w:eastAsia="zh-CN" w:bidi="ar"/>
        </w:rPr>
        <w:t>has managed change and its impact on strategic implementation</w:t>
      </w:r>
    </w:p>
    <w:p w14:paraId="579AED4A">
      <w:pPr>
        <w:keepNext w:val="0"/>
        <w:keepLines w:val="0"/>
        <w:widowControl/>
        <w:numPr>
          <w:ilvl w:val="0"/>
          <w:numId w:val="0"/>
        </w:numPr>
        <w:suppressLineNumbers w:val="0"/>
        <w:spacing w:line="360" w:lineRule="auto"/>
        <w:ind w:leftChars="0"/>
        <w:jc w:val="both"/>
        <w:rPr>
          <w:rFonts w:hint="default" w:ascii="Arial Regular" w:hAnsi="Arial Regular" w:cs="Arial Regular"/>
          <w:sz w:val="24"/>
          <w:szCs w:val="24"/>
        </w:rPr>
      </w:pPr>
      <w:r>
        <w:rPr>
          <w:rFonts w:hint="default" w:ascii="Arial Regular" w:hAnsi="Arial Regular" w:cs="Arial Regular"/>
          <w:sz w:val="24"/>
          <w:szCs w:val="24"/>
        </w:rPr>
        <w:t>Tesco has demonstrated a strong capability in managing organisational change, particularly through digital transformation and strategic restructuring. The expansion of its online grocery operations, increased use of data analytics, and focus on core markets have improved both efficiency and customer engagement, supporting effective strategic implementation (Tesco</w:t>
      </w:r>
      <w:r>
        <w:rPr>
          <w:rFonts w:hint="default" w:ascii="Arial Regular" w:hAnsi="Arial Regular" w:cs="Arial Regular"/>
          <w:sz w:val="24"/>
          <w:szCs w:val="24"/>
          <w:lang w:val="de-DE"/>
        </w:rPr>
        <w:t xml:space="preserve"> PLC</w:t>
      </w:r>
      <w:r>
        <w:rPr>
          <w:rFonts w:hint="default" w:ascii="Arial Regular" w:hAnsi="Arial Regular" w:cs="Arial Regular"/>
          <w:sz w:val="24"/>
          <w:szCs w:val="24"/>
        </w:rPr>
        <w:t>, 2025</w:t>
      </w:r>
      <w:r>
        <w:rPr>
          <w:rFonts w:hint="default" w:ascii="Arial Regular" w:hAnsi="Arial Regular" w:cs="Arial Regular"/>
          <w:sz w:val="24"/>
          <w:szCs w:val="24"/>
          <w:lang w:val="de-DE"/>
        </w:rPr>
        <w:t>a</w:t>
      </w:r>
      <w:r>
        <w:rPr>
          <w:rFonts w:hint="default" w:ascii="Arial Regular" w:hAnsi="Arial Regular" w:cs="Arial Regular"/>
          <w:sz w:val="24"/>
          <w:szCs w:val="24"/>
        </w:rPr>
        <w:t>). These changes reflect Tesco’s ability to align its internal capabilities with evolving external conditions.</w:t>
      </w:r>
    </w:p>
    <w:p w14:paraId="5BF8889B">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However, external challenges, including the </w:t>
      </w:r>
      <w:r>
        <w:rPr>
          <w:rStyle w:val="12"/>
          <w:rFonts w:hint="default" w:ascii="Arial Regular" w:hAnsi="Arial Regular" w:cs="Arial Regular"/>
          <w:b w:val="0"/>
          <w:bCs w:val="0"/>
          <w:sz w:val="24"/>
          <w:szCs w:val="24"/>
        </w:rPr>
        <w:t>ongoing global geopolitical conflicts such as the Russia–Ukraine war</w:t>
      </w:r>
      <w:r>
        <w:rPr>
          <w:rFonts w:hint="default" w:ascii="Arial Regular" w:hAnsi="Arial Regular" w:cs="Arial Regular"/>
          <w:b w:val="0"/>
          <w:bCs w:val="0"/>
          <w:sz w:val="24"/>
          <w:szCs w:val="24"/>
        </w:rPr>
        <w:t>, have significantly affected Tesco’s operating environment. These conflicts have disrupted global supply chains, increased energy and transportation costs, and contributed to inflationary pressures, which impact both operational expenses and consumer purchasing behaviour (OECD, 2024). As a result, Tesco has been required to continuously adjust its pricing strategies, supplier relationships, and cost structures. While Tesco has shown resilience, such external uncertainties highlight the limitations of strategic planning in volatile environments.</w:t>
      </w:r>
    </w:p>
    <w:p w14:paraId="73CB8BDC">
      <w:pPr>
        <w:pStyle w:val="11"/>
        <w:keepNext w:val="0"/>
        <w:keepLines w:val="0"/>
        <w:widowControl/>
        <w:suppressLineNumbers w:val="0"/>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Critical Analysis </w:t>
      </w:r>
    </w:p>
    <w:p w14:paraId="05D0B3E7">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Critically, Tesco’s success in managing change is underpinned by its strong internal capabilities, including its scale, data-driven decision-making, and efficient supply chain. These strengths enable the organisation to respond quickly to external pressures. However, sustaining this advantage requires ongoing innovation and adaptability. Overall, Tesco has managed change effectively, but its long-term success will depend on balancing cost leadership with differentiation, while maintaining flexibility in response to global uncertainties.</w:t>
      </w:r>
    </w:p>
    <w:p w14:paraId="182693D7">
      <w:pPr>
        <w:keepNext w:val="0"/>
        <w:keepLines w:val="0"/>
        <w:widowControl/>
        <w:numPr>
          <w:ilvl w:val="0"/>
          <w:numId w:val="5"/>
        </w:numPr>
        <w:suppressLineNumbers w:val="0"/>
        <w:spacing w:line="360" w:lineRule="auto"/>
        <w:ind w:left="0" w:leftChars="0" w:firstLine="0" w:firstLineChars="0"/>
        <w:jc w:val="both"/>
        <w:rPr>
          <w:rFonts w:hint="default" w:ascii="Arial Regular" w:hAnsi="Arial Regular" w:cs="Arial Regular"/>
          <w:b/>
          <w:bCs/>
          <w:sz w:val="24"/>
          <w:szCs w:val="24"/>
          <w:lang w:val="de-DE"/>
        </w:rPr>
      </w:pPr>
      <w:r>
        <w:rPr>
          <w:rFonts w:hint="default" w:ascii="Arial Regular" w:hAnsi="Arial Regular" w:eastAsia="SimSun" w:cs="Arial Regular"/>
          <w:b/>
          <w:bCs/>
          <w:kern w:val="0"/>
          <w:sz w:val="24"/>
          <w:szCs w:val="24"/>
          <w:lang w:val="en-US" w:eastAsia="zh-CN" w:bidi="ar"/>
        </w:rPr>
        <w:t>Strategic Evaluation and Recommendations</w:t>
      </w:r>
      <w:r>
        <w:rPr>
          <w:rFonts w:hint="default" w:ascii="Arial Regular" w:hAnsi="Arial Regular" w:eastAsia="SimSun" w:cs="Arial Regular"/>
          <w:b/>
          <w:bCs/>
          <w:kern w:val="0"/>
          <w:sz w:val="24"/>
          <w:szCs w:val="24"/>
          <w:lang w:val="de-DE" w:eastAsia="zh-CN" w:bidi="ar"/>
        </w:rPr>
        <w:t xml:space="preserve"> </w:t>
      </w:r>
    </w:p>
    <w:p w14:paraId="318C46BD">
      <w:pPr>
        <w:keepNext w:val="0"/>
        <w:keepLines w:val="0"/>
        <w:widowControl/>
        <w:numPr>
          <w:numId w:val="0"/>
        </w:numPr>
        <w:suppressLineNumbers w:val="0"/>
        <w:spacing w:line="360" w:lineRule="auto"/>
        <w:ind w:leftChars="0"/>
        <w:jc w:val="both"/>
        <w:rPr>
          <w:rFonts w:hint="default" w:ascii="Arial Regular" w:hAnsi="Arial Regular" w:cs="Arial Regular"/>
          <w:b/>
          <w:bCs/>
          <w:sz w:val="24"/>
          <w:szCs w:val="24"/>
          <w:lang w:val="de-DE"/>
        </w:rPr>
      </w:pPr>
    </w:p>
    <w:p w14:paraId="6EB88DA2">
      <w:pPr>
        <w:keepNext w:val="0"/>
        <w:keepLines w:val="0"/>
        <w:widowControl/>
        <w:numPr>
          <w:ilvl w:val="1"/>
          <w:numId w:val="5"/>
        </w:numPr>
        <w:suppressLineNumbers w:val="0"/>
        <w:spacing w:line="360" w:lineRule="auto"/>
        <w:ind w:left="0" w:leftChars="0" w:firstLine="0" w:firstLineChars="0"/>
        <w:jc w:val="both"/>
        <w:rPr>
          <w:rFonts w:hint="default" w:ascii="Arial Regular" w:hAnsi="Arial Regular" w:eastAsia="SimSun" w:cs="Arial Regular"/>
          <w:b/>
          <w:bCs/>
          <w:kern w:val="0"/>
          <w:sz w:val="24"/>
          <w:szCs w:val="24"/>
          <w:lang w:val="de-DE" w:eastAsia="zh-CN" w:bidi="ar"/>
        </w:rPr>
      </w:pPr>
      <w:r>
        <w:rPr>
          <w:rFonts w:hint="default" w:ascii="Arial Regular" w:hAnsi="Arial Regular" w:eastAsia="SimSun" w:cs="Arial Regular"/>
          <w:b/>
          <w:bCs/>
          <w:kern w:val="0"/>
          <w:sz w:val="24"/>
          <w:szCs w:val="24"/>
          <w:lang w:val="de-DE" w:eastAsia="zh-CN" w:bidi="ar"/>
        </w:rPr>
        <w:t xml:space="preserve">SOWT Analysis </w:t>
      </w:r>
    </w:p>
    <w:p w14:paraId="3293B3A2">
      <w:pPr>
        <w:keepNext w:val="0"/>
        <w:keepLines w:val="0"/>
        <w:widowControl/>
        <w:suppressLineNumbers w:val="0"/>
        <w:spacing w:line="360" w:lineRule="auto"/>
        <w:jc w:val="both"/>
        <w:rPr>
          <w:rFonts w:hint="default" w:ascii="Arial Regular" w:hAnsi="Arial Regular" w:eastAsia="SimSun" w:cs="Arial Regular"/>
          <w:b w:val="0"/>
          <w:bCs w:val="0"/>
          <w:kern w:val="0"/>
          <w:sz w:val="24"/>
          <w:szCs w:val="24"/>
          <w:lang w:val="en-US" w:eastAsia="zh-CN" w:bidi="ar"/>
        </w:rPr>
      </w:pPr>
      <w:r>
        <w:rPr>
          <w:rStyle w:val="12"/>
          <w:rFonts w:hint="default" w:ascii="Arial Regular" w:hAnsi="Arial Regular" w:eastAsia="SimSun" w:cs="Arial Regular"/>
          <w:b w:val="0"/>
          <w:bCs w:val="0"/>
          <w:kern w:val="0"/>
          <w:sz w:val="24"/>
          <w:szCs w:val="24"/>
          <w:lang w:val="en-US" w:eastAsia="zh-CN" w:bidi="ar"/>
        </w:rPr>
        <w:t>SWOT analysis</w:t>
      </w:r>
      <w:r>
        <w:rPr>
          <w:rFonts w:hint="default" w:ascii="Arial Regular" w:hAnsi="Arial Regular" w:eastAsia="SimSun" w:cs="Arial Regular"/>
          <w:b w:val="0"/>
          <w:bCs w:val="0"/>
          <w:kern w:val="0"/>
          <w:sz w:val="24"/>
          <w:szCs w:val="24"/>
          <w:lang w:val="en-US" w:eastAsia="zh-CN" w:bidi="ar"/>
        </w:rPr>
        <w:t xml:space="preserve"> is a strategic planning framework that assesses an organisation’s </w:t>
      </w:r>
      <w:r>
        <w:rPr>
          <w:rStyle w:val="12"/>
          <w:rFonts w:hint="default" w:ascii="Arial Regular" w:hAnsi="Arial Regular" w:eastAsia="SimSun" w:cs="Arial Regular"/>
          <w:b w:val="0"/>
          <w:bCs w:val="0"/>
          <w:kern w:val="0"/>
          <w:sz w:val="24"/>
          <w:szCs w:val="24"/>
          <w:lang w:val="en-US" w:eastAsia="zh-CN" w:bidi="ar"/>
        </w:rPr>
        <w:t>internal Strengths and Weaknesses</w:t>
      </w:r>
      <w:r>
        <w:rPr>
          <w:rFonts w:hint="default" w:ascii="Arial Regular" w:hAnsi="Arial Regular" w:eastAsia="SimSun" w:cs="Arial Regular"/>
          <w:b w:val="0"/>
          <w:bCs w:val="0"/>
          <w:kern w:val="0"/>
          <w:sz w:val="24"/>
          <w:szCs w:val="24"/>
          <w:lang w:val="en-US" w:eastAsia="zh-CN" w:bidi="ar"/>
        </w:rPr>
        <w:t xml:space="preserve"> and </w:t>
      </w:r>
      <w:r>
        <w:rPr>
          <w:rStyle w:val="12"/>
          <w:rFonts w:hint="default" w:ascii="Arial Regular" w:hAnsi="Arial Regular" w:eastAsia="SimSun" w:cs="Arial Regular"/>
          <w:b w:val="0"/>
          <w:bCs w:val="0"/>
          <w:kern w:val="0"/>
          <w:sz w:val="24"/>
          <w:szCs w:val="24"/>
          <w:lang w:val="en-US" w:eastAsia="zh-CN" w:bidi="ar"/>
        </w:rPr>
        <w:t>external Opportunities and Threats</w:t>
      </w:r>
      <w:r>
        <w:rPr>
          <w:rFonts w:hint="default" w:ascii="Arial Regular" w:hAnsi="Arial Regular" w:eastAsia="SimSun" w:cs="Arial Regular"/>
          <w:b w:val="0"/>
          <w:bCs w:val="0"/>
          <w:kern w:val="0"/>
          <w:sz w:val="24"/>
          <w:szCs w:val="24"/>
          <w:lang w:val="en-US" w:eastAsia="zh-CN" w:bidi="ar"/>
        </w:rPr>
        <w:t xml:space="preserve"> to support decision</w:t>
      </w:r>
      <w:r>
        <w:rPr>
          <w:rFonts w:hint="default" w:ascii="Arial Regular" w:hAnsi="Arial Regular" w:eastAsia="SimSun" w:cs="Arial Regular"/>
          <w:b w:val="0"/>
          <w:bCs w:val="0"/>
          <w:kern w:val="0"/>
          <w:sz w:val="24"/>
          <w:szCs w:val="24"/>
          <w:lang w:val="en-US" w:eastAsia="zh-CN" w:bidi="ar"/>
        </w:rPr>
        <w:noBreakHyphen/>
      </w:r>
      <w:r>
        <w:rPr>
          <w:rFonts w:hint="default" w:ascii="Arial Regular" w:hAnsi="Arial Regular" w:eastAsia="SimSun" w:cs="Arial Regular"/>
          <w:b w:val="0"/>
          <w:bCs w:val="0"/>
          <w:kern w:val="0"/>
          <w:sz w:val="24"/>
          <w:szCs w:val="24"/>
          <w:lang w:val="en-US" w:eastAsia="zh-CN" w:bidi="ar"/>
        </w:rPr>
        <w:t>making and strategic alignment (Pickton &amp; Wright, 1998).</w:t>
      </w:r>
    </w:p>
    <w:p w14:paraId="02D35BF7">
      <w:pPr>
        <w:keepNext w:val="0"/>
        <w:keepLines w:val="0"/>
        <w:widowControl/>
        <w:suppressLineNumbers w:val="0"/>
        <w:spacing w:line="360" w:lineRule="auto"/>
        <w:jc w:val="both"/>
        <w:rPr>
          <w:rFonts w:hint="default" w:ascii="Arial Regular" w:hAnsi="Arial Regular" w:eastAsia="SimSun" w:cs="Arial Regular"/>
          <w:b w:val="0"/>
          <w:bCs w:val="0"/>
          <w:kern w:val="0"/>
          <w:sz w:val="24"/>
          <w:szCs w:val="24"/>
          <w:lang w:val="en-US" w:eastAsia="zh-CN" w:bidi="ar"/>
        </w:rPr>
      </w:pPr>
    </w:p>
    <w:tbl>
      <w:tblPr>
        <w:tblStyle w:val="13"/>
        <w:tblW w:w="0" w:type="auto"/>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3"/>
        <w:gridCol w:w="4348"/>
      </w:tblGrid>
      <w:tr w14:paraId="20B983F6">
        <w:tc>
          <w:tcPr>
            <w:tcW w:w="4323" w:type="dxa"/>
            <w:shd w:val="clear" w:color="auto" w:fill="B4C6E7" w:themeFill="accent5" w:themeFillTint="66"/>
          </w:tcPr>
          <w:p w14:paraId="57EAC3EC">
            <w:pPr>
              <w:pStyle w:val="4"/>
              <w:keepNext w:val="0"/>
              <w:keepLines w:val="0"/>
              <w:widowControl/>
              <w:suppressLineNumbers w:val="0"/>
              <w:spacing w:line="360" w:lineRule="auto"/>
              <w:jc w:val="center"/>
              <w:rPr>
                <w:rFonts w:hint="default" w:ascii="Arial Regular" w:hAnsi="Arial Regular" w:cs="Arial Regular"/>
                <w:sz w:val="24"/>
                <w:szCs w:val="24"/>
                <w:lang w:val="en-US" w:eastAsia="zh-CN"/>
              </w:rPr>
            </w:pPr>
            <w:r>
              <w:rPr>
                <w:rStyle w:val="12"/>
                <w:rFonts w:hint="default" w:ascii="Arial Regular" w:hAnsi="Arial Regular" w:cs="Arial Regular"/>
                <w:b/>
                <w:bCs/>
                <w:sz w:val="24"/>
                <w:szCs w:val="24"/>
              </w:rPr>
              <w:t>Strengths</w:t>
            </w:r>
          </w:p>
        </w:tc>
        <w:tc>
          <w:tcPr>
            <w:tcW w:w="4348" w:type="dxa"/>
            <w:shd w:val="clear" w:color="auto" w:fill="B4C6E7" w:themeFill="accent5" w:themeFillTint="66"/>
          </w:tcPr>
          <w:p w14:paraId="564782C6">
            <w:pPr>
              <w:pStyle w:val="4"/>
              <w:keepNext w:val="0"/>
              <w:keepLines w:val="0"/>
              <w:widowControl/>
              <w:suppressLineNumbers w:val="0"/>
              <w:spacing w:line="360" w:lineRule="auto"/>
              <w:jc w:val="center"/>
              <w:rPr>
                <w:rFonts w:hint="default" w:ascii="Arial Regular" w:hAnsi="Arial Regular" w:eastAsia="SimSun" w:cs="Arial Regular"/>
                <w:b/>
                <w:bCs/>
                <w:kern w:val="0"/>
                <w:sz w:val="24"/>
                <w:szCs w:val="24"/>
                <w:vertAlign w:val="baseline"/>
                <w:lang w:val="en-US" w:eastAsia="zh-CN" w:bidi="ar"/>
              </w:rPr>
            </w:pPr>
            <w:r>
              <w:rPr>
                <w:rStyle w:val="12"/>
                <w:rFonts w:hint="default" w:ascii="Arial Regular" w:hAnsi="Arial Regular" w:cs="Arial Regular"/>
                <w:b/>
                <w:bCs/>
                <w:sz w:val="24"/>
                <w:szCs w:val="24"/>
              </w:rPr>
              <w:t>Weaknesses</w:t>
            </w:r>
          </w:p>
        </w:tc>
      </w:tr>
      <w:tr w14:paraId="27F5E2B4">
        <w:tc>
          <w:tcPr>
            <w:tcW w:w="4323" w:type="dxa"/>
          </w:tcPr>
          <w:p w14:paraId="2CA68158">
            <w:pPr>
              <w:pStyle w:val="11"/>
              <w:keepNext w:val="0"/>
              <w:keepLines w:val="0"/>
              <w:widowControl/>
              <w:suppressLineNumbers w:val="0"/>
              <w:spacing w:line="360" w:lineRule="auto"/>
              <w:jc w:val="both"/>
              <w:rPr>
                <w:rFonts w:hint="default" w:ascii="Arial Regular" w:hAnsi="Arial Regular" w:eastAsia="SimSun" w:cs="Arial Regular"/>
                <w:b w:val="0"/>
                <w:bCs w:val="0"/>
                <w:kern w:val="0"/>
                <w:sz w:val="24"/>
                <w:szCs w:val="24"/>
                <w:vertAlign w:val="baseline"/>
                <w:lang w:val="de-DE" w:eastAsia="zh-CN" w:bidi="ar"/>
              </w:rPr>
            </w:pPr>
            <w:r>
              <w:rPr>
                <w:rFonts w:hint="default" w:ascii="Arial Regular" w:hAnsi="Arial Regular" w:cs="Arial Regular"/>
                <w:b w:val="0"/>
                <w:bCs w:val="0"/>
                <w:sz w:val="24"/>
                <w:szCs w:val="24"/>
              </w:rPr>
              <w:t xml:space="preserve">Tesco’s scale and market dominance remain key strengths. In 2024/25, Tesco reported approximately </w:t>
            </w:r>
            <w:r>
              <w:rPr>
                <w:rStyle w:val="12"/>
                <w:rFonts w:hint="default" w:ascii="Arial Regular" w:hAnsi="Arial Regular" w:cs="Arial Regular"/>
                <w:b w:val="0"/>
                <w:bCs w:val="0"/>
                <w:sz w:val="24"/>
                <w:szCs w:val="24"/>
              </w:rPr>
              <w:t>£69.9 billion in revenue</w:t>
            </w:r>
            <w:r>
              <w:rPr>
                <w:rFonts w:hint="default" w:ascii="Arial Regular" w:hAnsi="Arial Regular" w:cs="Arial Regular"/>
                <w:b w:val="0"/>
                <w:bCs w:val="0"/>
                <w:sz w:val="24"/>
                <w:szCs w:val="24"/>
              </w:rPr>
              <w:t>, supported by a large store network and a strong online grocery channel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Its Clubcard loyalty programme, which engages millions of customers, enables personalised offers and pricing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The Clubcard’s integration of purchase data allows Tesco to tailor promotions and better understand customer behaviour, reinforcing loyalty and repeat purchases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w:t>
            </w:r>
            <w:r>
              <w:rPr>
                <w:rFonts w:hint="default" w:ascii="Arial Regular" w:hAnsi="Arial Regular" w:cs="Arial Regular"/>
                <w:b w:val="0"/>
                <w:bCs w:val="0"/>
                <w:sz w:val="24"/>
                <w:szCs w:val="24"/>
                <w:lang w:val="de-DE"/>
              </w:rPr>
              <w:t xml:space="preserve"> </w:t>
            </w:r>
          </w:p>
        </w:tc>
        <w:tc>
          <w:tcPr>
            <w:tcW w:w="4348" w:type="dxa"/>
          </w:tcPr>
          <w:p w14:paraId="6BAD3E02">
            <w:pPr>
              <w:pStyle w:val="11"/>
              <w:keepNext w:val="0"/>
              <w:keepLines w:val="0"/>
              <w:widowControl/>
              <w:suppressLineNumbers w:val="0"/>
              <w:spacing w:line="360" w:lineRule="auto"/>
              <w:jc w:val="both"/>
              <w:rPr>
                <w:rFonts w:hint="default" w:ascii="Arial Regular" w:hAnsi="Arial Regular" w:eastAsia="SimSun" w:cs="Arial Regular"/>
                <w:b w:val="0"/>
                <w:bCs w:val="0"/>
                <w:kern w:val="0"/>
                <w:sz w:val="24"/>
                <w:szCs w:val="24"/>
                <w:vertAlign w:val="baseline"/>
                <w:lang w:val="de-DE" w:eastAsia="zh-CN" w:bidi="ar"/>
              </w:rPr>
            </w:pPr>
            <w:r>
              <w:rPr>
                <w:rFonts w:hint="default" w:ascii="Arial Regular" w:hAnsi="Arial Regular" w:cs="Arial Regular"/>
                <w:b w:val="0"/>
                <w:bCs w:val="0"/>
                <w:sz w:val="24"/>
                <w:szCs w:val="24"/>
              </w:rPr>
              <w:t>Despite strong data capabilities, Tesco incurs high operational costs from its extensive store network, making it less agile than pure</w:t>
            </w:r>
            <w:r>
              <w:rPr>
                <w:rFonts w:hint="default" w:ascii="Arial Regular" w:hAnsi="Arial Regular" w:cs="Arial Regular"/>
                <w:b w:val="0"/>
                <w:bCs w:val="0"/>
                <w:sz w:val="24"/>
                <w:szCs w:val="24"/>
              </w:rPr>
              <w:noBreakHyphen/>
            </w:r>
            <w:r>
              <w:rPr>
                <w:rFonts w:hint="default" w:ascii="Arial Regular" w:hAnsi="Arial Regular" w:cs="Arial Regular"/>
                <w:b w:val="0"/>
                <w:bCs w:val="0"/>
                <w:sz w:val="24"/>
                <w:szCs w:val="24"/>
              </w:rPr>
              <w:t>play online rivals. Balancing competitive pricing with profitability is increasingly challenging, especially as “Clubcard Prices” become central to customer value propositions (NimbleFins, 2026). Integration of online fulfilment with store operations remains complex and expensive.</w:t>
            </w:r>
            <w:r>
              <w:rPr>
                <w:rFonts w:hint="default" w:ascii="Arial Regular" w:hAnsi="Arial Regular" w:cs="Arial Regular"/>
                <w:b w:val="0"/>
                <w:bCs w:val="0"/>
                <w:sz w:val="24"/>
                <w:szCs w:val="24"/>
                <w:lang w:val="de-DE"/>
              </w:rPr>
              <w:t xml:space="preserve"> </w:t>
            </w:r>
          </w:p>
        </w:tc>
      </w:tr>
      <w:tr w14:paraId="162152CA">
        <w:tc>
          <w:tcPr>
            <w:tcW w:w="4323" w:type="dxa"/>
            <w:shd w:val="clear" w:color="auto" w:fill="B4C6E7" w:themeFill="accent5" w:themeFillTint="66"/>
          </w:tcPr>
          <w:p w14:paraId="1AB05407">
            <w:pPr>
              <w:pStyle w:val="4"/>
              <w:keepNext w:val="0"/>
              <w:keepLines w:val="0"/>
              <w:widowControl/>
              <w:suppressLineNumbers w:val="0"/>
              <w:spacing w:line="360" w:lineRule="auto"/>
              <w:jc w:val="center"/>
              <w:rPr>
                <w:rFonts w:hint="default" w:ascii="Arial Regular" w:hAnsi="Arial Regular" w:eastAsia="SimSun" w:cs="Arial Regular"/>
                <w:b/>
                <w:bCs/>
                <w:kern w:val="0"/>
                <w:sz w:val="24"/>
                <w:szCs w:val="24"/>
                <w:vertAlign w:val="baseline"/>
                <w:lang w:val="en-US" w:eastAsia="zh-CN" w:bidi="ar"/>
              </w:rPr>
            </w:pPr>
            <w:r>
              <w:rPr>
                <w:rStyle w:val="12"/>
                <w:rFonts w:hint="default" w:ascii="Arial Regular" w:hAnsi="Arial Regular" w:cs="Arial Regular"/>
                <w:b/>
                <w:bCs/>
                <w:sz w:val="24"/>
                <w:szCs w:val="24"/>
              </w:rPr>
              <w:t>Opportunities</w:t>
            </w:r>
          </w:p>
        </w:tc>
        <w:tc>
          <w:tcPr>
            <w:tcW w:w="4348" w:type="dxa"/>
            <w:shd w:val="clear" w:color="auto" w:fill="B4C6E7" w:themeFill="accent5" w:themeFillTint="66"/>
          </w:tcPr>
          <w:p w14:paraId="6282B28A">
            <w:pPr>
              <w:pStyle w:val="4"/>
              <w:keepNext w:val="0"/>
              <w:keepLines w:val="0"/>
              <w:widowControl/>
              <w:suppressLineNumbers w:val="0"/>
              <w:spacing w:line="360" w:lineRule="auto"/>
              <w:jc w:val="center"/>
              <w:rPr>
                <w:rFonts w:hint="default" w:ascii="Arial Regular" w:hAnsi="Arial Regular" w:eastAsia="SimSun" w:cs="Arial Regular"/>
                <w:b/>
                <w:bCs/>
                <w:kern w:val="0"/>
                <w:sz w:val="24"/>
                <w:szCs w:val="24"/>
                <w:vertAlign w:val="baseline"/>
                <w:lang w:val="de-DE" w:eastAsia="zh-CN" w:bidi="ar"/>
              </w:rPr>
            </w:pPr>
            <w:r>
              <w:rPr>
                <w:rStyle w:val="12"/>
                <w:rFonts w:hint="default" w:ascii="Arial Regular" w:hAnsi="Arial Regular" w:cs="Arial Regular"/>
                <w:b/>
                <w:bCs/>
                <w:sz w:val="24"/>
                <w:szCs w:val="24"/>
              </w:rPr>
              <w:t>Threats</w:t>
            </w:r>
          </w:p>
        </w:tc>
      </w:tr>
      <w:tr w14:paraId="3208BFB2">
        <w:tc>
          <w:tcPr>
            <w:tcW w:w="4323" w:type="dxa"/>
          </w:tcPr>
          <w:p w14:paraId="1A13521B">
            <w:pPr>
              <w:pStyle w:val="11"/>
              <w:keepNext w:val="0"/>
              <w:keepLines w:val="0"/>
              <w:widowControl/>
              <w:suppressLineNumbers w:val="0"/>
              <w:spacing w:line="360" w:lineRule="auto"/>
              <w:jc w:val="both"/>
              <w:rPr>
                <w:rFonts w:hint="default" w:ascii="Arial Regular" w:hAnsi="Arial Regular" w:eastAsia="SimSun" w:cs="Arial Regular"/>
                <w:b w:val="0"/>
                <w:bCs w:val="0"/>
                <w:kern w:val="0"/>
                <w:sz w:val="24"/>
                <w:szCs w:val="24"/>
                <w:vertAlign w:val="baseline"/>
                <w:lang w:val="de-DE" w:eastAsia="zh-CN" w:bidi="ar"/>
              </w:rPr>
            </w:pPr>
            <w:r>
              <w:rPr>
                <w:rFonts w:hint="default" w:ascii="Arial Regular" w:hAnsi="Arial Regular" w:cs="Arial Regular"/>
                <w:b w:val="0"/>
                <w:bCs w:val="0"/>
                <w:sz w:val="24"/>
                <w:szCs w:val="24"/>
              </w:rPr>
              <w:t>Tesco can expand personalised digital engagement further, as seen in AI</w:t>
            </w:r>
            <w:r>
              <w:rPr>
                <w:rFonts w:hint="default" w:ascii="Arial Regular" w:hAnsi="Arial Regular" w:cs="Arial Regular"/>
                <w:b w:val="0"/>
                <w:bCs w:val="0"/>
                <w:sz w:val="24"/>
                <w:szCs w:val="24"/>
              </w:rPr>
              <w:noBreakHyphen/>
            </w:r>
            <w:r>
              <w:rPr>
                <w:rFonts w:hint="default" w:ascii="Arial Regular" w:hAnsi="Arial Regular" w:cs="Arial Regular"/>
                <w:b w:val="0"/>
                <w:bCs w:val="0"/>
                <w:sz w:val="24"/>
                <w:szCs w:val="24"/>
              </w:rPr>
              <w:t>powered Clubcard pricing trials, which tailor offers based on purchase behaviour, boosting engagement and basket growth (Grocery Gazette, 2025). Transforming physical stores into fulfilment hubs for faster last</w:t>
            </w:r>
            <w:r>
              <w:rPr>
                <w:rFonts w:hint="default" w:ascii="Arial Regular" w:hAnsi="Arial Regular" w:cs="Arial Regular"/>
                <w:b w:val="0"/>
                <w:bCs w:val="0"/>
                <w:sz w:val="24"/>
                <w:szCs w:val="24"/>
              </w:rPr>
              <w:noBreakHyphen/>
            </w:r>
            <w:r>
              <w:rPr>
                <w:rFonts w:hint="default" w:ascii="Arial Regular" w:hAnsi="Arial Regular" w:cs="Arial Regular"/>
                <w:b w:val="0"/>
                <w:bCs w:val="0"/>
                <w:sz w:val="24"/>
                <w:szCs w:val="24"/>
              </w:rPr>
              <w:t>mile delivery presents further opportunity to improve convenience and reduce logistics costs (Ocado, 2025). Tesco’s sustainability agenda, including partnerships with innovators, also offers alignment with ESG trends (FoodNavigator, 2022).</w:t>
            </w:r>
            <w:r>
              <w:rPr>
                <w:rFonts w:hint="default" w:ascii="Arial Regular" w:hAnsi="Arial Regular" w:cs="Arial Regular"/>
                <w:b w:val="0"/>
                <w:bCs w:val="0"/>
                <w:sz w:val="24"/>
                <w:szCs w:val="24"/>
                <w:lang w:val="de-DE"/>
              </w:rPr>
              <w:t xml:space="preserve"> </w:t>
            </w:r>
          </w:p>
        </w:tc>
        <w:tc>
          <w:tcPr>
            <w:tcW w:w="4348" w:type="dxa"/>
          </w:tcPr>
          <w:p w14:paraId="2A15B7A3">
            <w:pPr>
              <w:pStyle w:val="11"/>
              <w:keepNext w:val="0"/>
              <w:keepLines w:val="0"/>
              <w:widowControl/>
              <w:suppressLineNumbers w:val="0"/>
              <w:spacing w:line="360" w:lineRule="auto"/>
              <w:jc w:val="both"/>
              <w:rPr>
                <w:rFonts w:hint="default" w:ascii="Arial Regular" w:hAnsi="Arial Regular" w:eastAsia="SimSun" w:cs="Arial Regular"/>
                <w:b w:val="0"/>
                <w:bCs w:val="0"/>
                <w:kern w:val="0"/>
                <w:sz w:val="24"/>
                <w:szCs w:val="24"/>
                <w:vertAlign w:val="baseline"/>
                <w:lang w:val="de-DE" w:eastAsia="zh-CN" w:bidi="ar"/>
              </w:rPr>
            </w:pPr>
            <w:r>
              <w:rPr>
                <w:rFonts w:hint="default" w:ascii="Arial Regular" w:hAnsi="Arial Regular" w:cs="Arial Regular"/>
                <w:b w:val="0"/>
                <w:bCs w:val="0"/>
                <w:sz w:val="24"/>
                <w:szCs w:val="24"/>
              </w:rPr>
              <w:t>The competitive landscape remains intense, with discount rivals Aldi and Lidl challenging price leadership (Reuters, 2025</w:t>
            </w:r>
            <w:r>
              <w:rPr>
                <w:rFonts w:hint="default" w:ascii="Arial Regular" w:hAnsi="Arial Regular" w:cs="Arial Regular"/>
                <w:b w:val="0"/>
                <w:bCs w:val="0"/>
                <w:sz w:val="24"/>
                <w:szCs w:val="24"/>
                <w:lang w:val="de-DE"/>
              </w:rPr>
              <w:t>d</w:t>
            </w:r>
            <w:r>
              <w:rPr>
                <w:rFonts w:hint="default" w:ascii="Arial Regular" w:hAnsi="Arial Regular" w:cs="Arial Regular"/>
                <w:b w:val="0"/>
                <w:bCs w:val="0"/>
                <w:sz w:val="24"/>
                <w:szCs w:val="24"/>
              </w:rPr>
              <w:t xml:space="preserve">). Global geopolitical instability, including the </w:t>
            </w:r>
            <w:r>
              <w:rPr>
                <w:rStyle w:val="12"/>
                <w:rFonts w:hint="default" w:ascii="Arial Regular" w:hAnsi="Arial Regular" w:cs="Arial Regular"/>
                <w:b w:val="0"/>
                <w:bCs w:val="0"/>
                <w:sz w:val="24"/>
                <w:szCs w:val="24"/>
              </w:rPr>
              <w:t>Russia–Ukraine war</w:t>
            </w:r>
            <w:r>
              <w:rPr>
                <w:rFonts w:hint="default" w:ascii="Arial Regular" w:hAnsi="Arial Regular" w:cs="Arial Regular"/>
                <w:b w:val="0"/>
                <w:bCs w:val="0"/>
                <w:sz w:val="24"/>
                <w:szCs w:val="24"/>
              </w:rPr>
              <w:t>, continues to disrupt supply chains and heighten inflationary pressures, squeezing margins and affecting consumer spending patterns (OECD, 2024). Technological disruption also gives agile competitors an edge in innovation adoption.</w:t>
            </w:r>
            <w:r>
              <w:rPr>
                <w:rFonts w:hint="default" w:ascii="Arial Regular" w:hAnsi="Arial Regular" w:cs="Arial Regular"/>
                <w:b w:val="0"/>
                <w:bCs w:val="0"/>
                <w:sz w:val="24"/>
                <w:szCs w:val="24"/>
                <w:lang w:val="de-DE"/>
              </w:rPr>
              <w:t xml:space="preserve"> </w:t>
            </w:r>
          </w:p>
        </w:tc>
      </w:tr>
    </w:tbl>
    <w:p w14:paraId="520E0CF3">
      <w:pPr>
        <w:keepNext w:val="0"/>
        <w:keepLines w:val="0"/>
        <w:widowControl/>
        <w:suppressLineNumbers w:val="0"/>
        <w:spacing w:line="360" w:lineRule="auto"/>
        <w:jc w:val="both"/>
        <w:rPr>
          <w:rFonts w:hint="default" w:ascii="Arial Regular" w:hAnsi="Arial Regular" w:eastAsia="SimSun" w:cs="Arial Regular"/>
          <w:b w:val="0"/>
          <w:bCs w:val="0"/>
          <w:kern w:val="0"/>
          <w:sz w:val="24"/>
          <w:szCs w:val="24"/>
          <w:lang w:val="de-DE" w:eastAsia="zh-CN" w:bidi="ar"/>
        </w:rPr>
      </w:pPr>
    </w:p>
    <w:p w14:paraId="715F52EC">
      <w:pPr>
        <w:keepNext w:val="0"/>
        <w:keepLines w:val="0"/>
        <w:widowControl/>
        <w:suppressLineNumbers w:val="0"/>
        <w:spacing w:line="360" w:lineRule="auto"/>
        <w:jc w:val="center"/>
        <w:rPr>
          <w:rFonts w:hint="default" w:ascii="Arial Regular" w:hAnsi="Arial Regular" w:eastAsia="SimSun" w:cs="Arial Regular"/>
          <w:b w:val="0"/>
          <w:bCs w:val="0"/>
          <w:kern w:val="0"/>
          <w:sz w:val="24"/>
          <w:szCs w:val="24"/>
          <w:lang w:val="de-DE" w:eastAsia="zh-CN" w:bidi="ar"/>
        </w:rPr>
      </w:pPr>
      <w:r>
        <w:rPr>
          <w:rFonts w:hint="default" w:ascii="Arial Regular" w:hAnsi="Arial Regular" w:eastAsia="SimSun" w:cs="Arial Regular"/>
          <w:b w:val="0"/>
          <w:bCs w:val="0"/>
          <w:kern w:val="0"/>
          <w:sz w:val="24"/>
          <w:szCs w:val="24"/>
          <w:lang w:val="de-DE" w:eastAsia="zh-CN" w:bidi="ar"/>
        </w:rPr>
        <w:t>Figure 6: SWOT Analysis (Source: Self Developed)</w:t>
      </w:r>
    </w:p>
    <w:p w14:paraId="64B352A1">
      <w:pPr>
        <w:pStyle w:val="3"/>
        <w:keepNext w:val="0"/>
        <w:keepLines w:val="0"/>
        <w:widowControl/>
        <w:suppressLineNumbers w:val="0"/>
        <w:spacing w:line="360" w:lineRule="auto"/>
        <w:jc w:val="both"/>
        <w:rPr>
          <w:rStyle w:val="12"/>
          <w:rFonts w:hint="default" w:ascii="Arial Regular" w:hAnsi="Arial Regular" w:cs="Arial Regular"/>
          <w:b/>
          <w:bCs/>
          <w:sz w:val="24"/>
          <w:szCs w:val="24"/>
        </w:rPr>
      </w:pPr>
      <w:r>
        <w:rPr>
          <w:rStyle w:val="12"/>
          <w:rFonts w:hint="default" w:ascii="Arial Regular" w:hAnsi="Arial Regular" w:cs="Arial Regular"/>
          <w:b/>
          <w:bCs/>
          <w:sz w:val="24"/>
          <w:szCs w:val="24"/>
        </w:rPr>
        <w:t>Critical Evaluation</w:t>
      </w:r>
    </w:p>
    <w:p w14:paraId="18B506BD">
      <w:pPr>
        <w:pStyle w:val="3"/>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b w:val="0"/>
          <w:bCs w:val="0"/>
          <w:sz w:val="24"/>
          <w:szCs w:val="24"/>
        </w:rPr>
        <w:t>Tesco’s current strategy shows strong alignment with maintaining competitive pricing and enhancing customer engagement through data</w:t>
      </w:r>
      <w:r>
        <w:rPr>
          <w:rFonts w:hint="default" w:ascii="Arial Regular" w:hAnsi="Arial Regular" w:cs="Arial Regular"/>
          <w:b w:val="0"/>
          <w:bCs w:val="0"/>
          <w:sz w:val="24"/>
          <w:szCs w:val="24"/>
        </w:rPr>
        <w:noBreakHyphen/>
      </w:r>
      <w:r>
        <w:rPr>
          <w:rFonts w:hint="default" w:ascii="Arial Regular" w:hAnsi="Arial Regular" w:cs="Arial Regular"/>
          <w:b w:val="0"/>
          <w:bCs w:val="0"/>
          <w:sz w:val="24"/>
          <w:szCs w:val="24"/>
        </w:rPr>
        <w:t>driven loyalty programmes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Its use of personalised offers and Clubcard segmentation gives it an advantage in customer retention and targeted promotions. However, high operational costs, combined with competitive discount pressures and customer scepticism about loyalty pricing, present strategic weaknesses (NimbleFins, 2026). The ongoing global conflict has compounded supply chain disruption and input cost inflation, highlighting the need for cost control and agile risk management (OECD, 2024).</w:t>
      </w:r>
    </w:p>
    <w:p w14:paraId="368ADA34">
      <w:pPr>
        <w:numPr>
          <w:ilvl w:val="1"/>
          <w:numId w:val="5"/>
        </w:numPr>
        <w:spacing w:line="360" w:lineRule="auto"/>
        <w:ind w:left="0" w:leftChars="0" w:firstLine="0" w:firstLineChars="0"/>
        <w:jc w:val="both"/>
        <w:rPr>
          <w:rFonts w:hint="default" w:ascii="Arial Regular" w:hAnsi="Arial Regular" w:cs="Arial Regular"/>
          <w:b w:val="0"/>
          <w:bCs w:val="0"/>
          <w:sz w:val="24"/>
          <w:szCs w:val="24"/>
          <w:lang w:val="de-DE"/>
        </w:rPr>
      </w:pPr>
      <w:r>
        <w:rPr>
          <w:rFonts w:hint="default" w:ascii="Arial Regular" w:hAnsi="Arial Regular" w:cs="Arial Regular"/>
          <w:b/>
          <w:bCs/>
          <w:sz w:val="24"/>
          <w:szCs w:val="24"/>
          <w:lang w:val="de-DE"/>
        </w:rPr>
        <w:t xml:space="preserve">Recommendations </w:t>
      </w:r>
    </w:p>
    <w:p w14:paraId="6E5293EB">
      <w:pPr>
        <w:numPr>
          <w:numId w:val="0"/>
        </w:numPr>
        <w:spacing w:line="360" w:lineRule="auto"/>
        <w:ind w:leftChars="0"/>
        <w:jc w:val="both"/>
        <w:rPr>
          <w:rFonts w:hint="default" w:ascii="Arial Regular" w:hAnsi="Arial Regular" w:cs="Arial Regular"/>
          <w:b w:val="0"/>
          <w:bCs w:val="0"/>
          <w:sz w:val="24"/>
          <w:szCs w:val="24"/>
          <w:lang w:val="de-DE"/>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2"/>
        <w:gridCol w:w="3176"/>
        <w:gridCol w:w="3393"/>
      </w:tblGrid>
      <w:tr w14:paraId="15C39476">
        <w:tc>
          <w:tcPr>
            <w:tcW w:w="2472" w:type="dxa"/>
            <w:shd w:val="clear" w:color="auto" w:fill="B4C6E7" w:themeFill="accent5" w:themeFillTint="66"/>
          </w:tcPr>
          <w:p w14:paraId="7852C421">
            <w:pPr>
              <w:widowControl w:val="0"/>
              <w:numPr>
                <w:ilvl w:val="0"/>
                <w:numId w:val="0"/>
              </w:numPr>
              <w:spacing w:line="360" w:lineRule="auto"/>
              <w:jc w:val="center"/>
              <w:rPr>
                <w:rFonts w:hint="default" w:ascii="Arial Regular" w:hAnsi="Arial Regular" w:cs="Arial Regular"/>
                <w:b/>
                <w:bCs/>
                <w:sz w:val="24"/>
                <w:szCs w:val="24"/>
                <w:vertAlign w:val="baseline"/>
                <w:lang w:val="de-DE"/>
              </w:rPr>
            </w:pPr>
            <w:r>
              <w:rPr>
                <w:rFonts w:hint="default" w:ascii="Arial Regular" w:hAnsi="Arial Regular" w:cs="Arial Regular"/>
                <w:b/>
                <w:bCs/>
                <w:sz w:val="24"/>
                <w:szCs w:val="24"/>
                <w:vertAlign w:val="baseline"/>
                <w:lang w:val="de-DE"/>
              </w:rPr>
              <w:t>Recommendations</w:t>
            </w:r>
          </w:p>
        </w:tc>
        <w:tc>
          <w:tcPr>
            <w:tcW w:w="3176" w:type="dxa"/>
            <w:shd w:val="clear" w:color="auto" w:fill="B4C6E7" w:themeFill="accent5" w:themeFillTint="66"/>
          </w:tcPr>
          <w:p w14:paraId="1F50A826">
            <w:pPr>
              <w:widowControl w:val="0"/>
              <w:numPr>
                <w:ilvl w:val="0"/>
                <w:numId w:val="0"/>
              </w:numPr>
              <w:spacing w:line="360" w:lineRule="auto"/>
              <w:jc w:val="center"/>
              <w:rPr>
                <w:rFonts w:hint="default" w:ascii="Arial Regular" w:hAnsi="Arial Regular" w:cs="Arial Regular"/>
                <w:b/>
                <w:bCs/>
                <w:sz w:val="24"/>
                <w:szCs w:val="24"/>
                <w:vertAlign w:val="baseline"/>
                <w:lang w:val="de-DE"/>
              </w:rPr>
            </w:pPr>
            <w:r>
              <w:rPr>
                <w:rFonts w:hint="default" w:ascii="Arial Regular" w:hAnsi="Arial Regular" w:cs="Arial Regular"/>
                <w:b/>
                <w:bCs/>
                <w:sz w:val="24"/>
                <w:szCs w:val="24"/>
                <w:vertAlign w:val="baseline"/>
                <w:lang w:val="de-DE"/>
              </w:rPr>
              <w:t>Description</w:t>
            </w:r>
          </w:p>
        </w:tc>
        <w:tc>
          <w:tcPr>
            <w:tcW w:w="3393" w:type="dxa"/>
            <w:shd w:val="clear" w:color="auto" w:fill="B4C6E7" w:themeFill="accent5" w:themeFillTint="66"/>
          </w:tcPr>
          <w:p w14:paraId="69E0A86B">
            <w:pPr>
              <w:widowControl w:val="0"/>
              <w:numPr>
                <w:ilvl w:val="0"/>
                <w:numId w:val="0"/>
              </w:numPr>
              <w:spacing w:line="360" w:lineRule="auto"/>
              <w:jc w:val="center"/>
              <w:rPr>
                <w:rFonts w:hint="default" w:ascii="Arial Regular" w:hAnsi="Arial Regular" w:cs="Arial Regular"/>
                <w:b/>
                <w:bCs/>
                <w:sz w:val="24"/>
                <w:szCs w:val="24"/>
                <w:vertAlign w:val="baseline"/>
                <w:lang w:val="de-DE"/>
              </w:rPr>
            </w:pPr>
            <w:r>
              <w:rPr>
                <w:rFonts w:hint="default" w:ascii="Arial Regular" w:hAnsi="Arial Regular" w:cs="Arial Regular"/>
                <w:b/>
                <w:bCs/>
                <w:sz w:val="24"/>
                <w:szCs w:val="24"/>
                <w:vertAlign w:val="baseline"/>
                <w:lang w:val="de-DE"/>
              </w:rPr>
              <w:t>Example</w:t>
            </w:r>
          </w:p>
        </w:tc>
      </w:tr>
      <w:tr w14:paraId="3ED2C2D0">
        <w:tc>
          <w:tcPr>
            <w:tcW w:w="2472" w:type="dxa"/>
            <w:shd w:val="clear" w:color="auto" w:fill="8EAADB" w:themeFill="accent5" w:themeFillTint="99"/>
            <w:vAlign w:val="top"/>
          </w:tcPr>
          <w:p w14:paraId="71068A3B">
            <w:pPr>
              <w:keepNext w:val="0"/>
              <w:keepLines w:val="0"/>
              <w:widowControl/>
              <w:suppressLineNumbers w:val="0"/>
              <w:spacing w:line="360" w:lineRule="auto"/>
              <w:jc w:val="both"/>
              <w:rPr>
                <w:rFonts w:hint="default" w:ascii="Arial Regular" w:hAnsi="Arial Regular" w:eastAsia="Arial" w:cs="Arial Regular"/>
                <w:b/>
                <w:bCs/>
                <w:sz w:val="24"/>
                <w:szCs w:val="24"/>
                <w:vertAlign w:val="baseline"/>
                <w:lang w:val="de-DE"/>
              </w:rPr>
            </w:pPr>
            <w:r>
              <w:rPr>
                <w:rFonts w:hint="default" w:ascii="Arial Regular" w:hAnsi="Arial Regular" w:eastAsia="SimSun" w:cs="Arial Regular"/>
                <w:b/>
                <w:bCs/>
                <w:kern w:val="0"/>
                <w:sz w:val="24"/>
                <w:szCs w:val="24"/>
                <w:lang w:val="en-US" w:eastAsia="zh-CN" w:bidi="ar"/>
              </w:rPr>
              <w:t>Deepen Data</w:t>
            </w:r>
            <w:r>
              <w:rPr>
                <w:rFonts w:hint="default" w:ascii="Arial Regular" w:hAnsi="Arial Regular" w:eastAsia="SimSun" w:cs="Arial Regular"/>
                <w:b/>
                <w:bCs/>
                <w:kern w:val="0"/>
                <w:sz w:val="24"/>
                <w:szCs w:val="24"/>
                <w:lang w:val="en-US" w:eastAsia="zh-CN" w:bidi="ar"/>
              </w:rPr>
              <w:noBreakHyphen/>
            </w:r>
            <w:r>
              <w:rPr>
                <w:rFonts w:hint="default" w:ascii="Arial Regular" w:hAnsi="Arial Regular" w:eastAsia="SimSun" w:cs="Arial Regular"/>
                <w:b/>
                <w:bCs/>
                <w:kern w:val="0"/>
                <w:sz w:val="24"/>
                <w:szCs w:val="24"/>
                <w:lang w:val="en-US" w:eastAsia="zh-CN" w:bidi="ar"/>
              </w:rPr>
              <w:t>Driven Personalisation</w:t>
            </w:r>
          </w:p>
        </w:tc>
        <w:tc>
          <w:tcPr>
            <w:tcW w:w="3176" w:type="dxa"/>
            <w:shd w:val="clear" w:color="auto" w:fill="auto"/>
            <w:vAlign w:val="top"/>
          </w:tcPr>
          <w:p w14:paraId="4208BA1D">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Tesco should expand hyper</w:t>
            </w:r>
            <w:r>
              <w:rPr>
                <w:rFonts w:hint="default" w:ascii="Arial Regular" w:hAnsi="Arial Regular" w:eastAsia="SimSun" w:cs="Arial Regular"/>
                <w:kern w:val="0"/>
                <w:sz w:val="24"/>
                <w:szCs w:val="24"/>
                <w:lang w:val="en-US" w:eastAsia="zh-CN" w:bidi="ar"/>
              </w:rPr>
              <w:noBreakHyphen/>
            </w:r>
            <w:r>
              <w:rPr>
                <w:rFonts w:hint="default" w:ascii="Arial Regular" w:hAnsi="Arial Regular" w:eastAsia="SimSun" w:cs="Arial Regular"/>
                <w:kern w:val="0"/>
                <w:sz w:val="24"/>
                <w:szCs w:val="24"/>
                <w:lang w:val="en-US" w:eastAsia="zh-CN" w:bidi="ar"/>
              </w:rPr>
              <w:t>personalised pricing and reward initiatives across all customer segments based on shopping data (Tesco</w:t>
            </w:r>
            <w:r>
              <w:rPr>
                <w:rFonts w:hint="default" w:ascii="Arial Regular" w:hAnsi="Arial Regular" w:eastAsia="SimSun" w:cs="Arial Regular"/>
                <w:kern w:val="0"/>
                <w:sz w:val="24"/>
                <w:szCs w:val="24"/>
                <w:lang w:val="de-DE" w:eastAsia="zh-CN" w:bidi="ar"/>
              </w:rPr>
              <w:t xml:space="preserve"> PLC</w:t>
            </w:r>
            <w:r>
              <w:rPr>
                <w:rFonts w:hint="default" w:ascii="Arial Regular" w:hAnsi="Arial Regular" w:eastAsia="SimSun" w:cs="Arial Regular"/>
                <w:kern w:val="0"/>
                <w:sz w:val="24"/>
                <w:szCs w:val="24"/>
                <w:lang w:val="en-US" w:eastAsia="zh-CN" w:bidi="ar"/>
              </w:rPr>
              <w:t>, 2025</w:t>
            </w:r>
            <w:r>
              <w:rPr>
                <w:rFonts w:hint="default" w:ascii="Arial Regular" w:hAnsi="Arial Regular" w:eastAsia="SimSun" w:cs="Arial Regular"/>
                <w:kern w:val="0"/>
                <w:sz w:val="24"/>
                <w:szCs w:val="24"/>
                <w:lang w:val="de-DE" w:eastAsia="zh-CN" w:bidi="ar"/>
              </w:rPr>
              <w:t>a</w:t>
            </w:r>
            <w:r>
              <w:rPr>
                <w:rFonts w:hint="default" w:ascii="Arial Regular" w:hAnsi="Arial Regular" w:eastAsia="SimSun" w:cs="Arial Regular"/>
                <w:kern w:val="0"/>
                <w:sz w:val="24"/>
                <w:szCs w:val="24"/>
                <w:lang w:val="en-US" w:eastAsia="zh-CN" w:bidi="ar"/>
              </w:rPr>
              <w:t>).</w:t>
            </w:r>
          </w:p>
        </w:tc>
        <w:tc>
          <w:tcPr>
            <w:tcW w:w="3393" w:type="dxa"/>
            <w:shd w:val="clear" w:color="auto" w:fill="auto"/>
            <w:vAlign w:val="top"/>
          </w:tcPr>
          <w:p w14:paraId="553F4B4A">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Expand the “Your Clubcard Prices” pilot to include personalised price points and tailored bundled offers that adapt weekly based on consumer trends (Grocery Gazette, 2025).</w:t>
            </w:r>
          </w:p>
        </w:tc>
      </w:tr>
      <w:tr w14:paraId="5DA99E6F">
        <w:tc>
          <w:tcPr>
            <w:tcW w:w="2472" w:type="dxa"/>
            <w:shd w:val="clear" w:color="auto" w:fill="8EAADB" w:themeFill="accent5" w:themeFillTint="99"/>
            <w:vAlign w:val="top"/>
          </w:tcPr>
          <w:p w14:paraId="374E7D83">
            <w:pPr>
              <w:keepNext w:val="0"/>
              <w:keepLines w:val="0"/>
              <w:widowControl/>
              <w:suppressLineNumbers w:val="0"/>
              <w:spacing w:line="360" w:lineRule="auto"/>
              <w:jc w:val="both"/>
              <w:rPr>
                <w:rFonts w:hint="default" w:ascii="Arial Regular" w:hAnsi="Arial Regular" w:eastAsia="Arial" w:cs="Arial Regular"/>
                <w:b/>
                <w:bCs/>
                <w:sz w:val="24"/>
                <w:szCs w:val="24"/>
                <w:vertAlign w:val="baseline"/>
                <w:lang w:val="de-DE"/>
              </w:rPr>
            </w:pPr>
            <w:r>
              <w:rPr>
                <w:rFonts w:hint="default" w:ascii="Arial Regular" w:hAnsi="Arial Regular" w:eastAsia="SimSun" w:cs="Arial Regular"/>
                <w:b/>
                <w:bCs/>
                <w:kern w:val="0"/>
                <w:sz w:val="24"/>
                <w:szCs w:val="24"/>
                <w:lang w:val="en-US" w:eastAsia="zh-CN" w:bidi="ar"/>
              </w:rPr>
              <w:t>Transform Stores into Omni</w:t>
            </w:r>
            <w:r>
              <w:rPr>
                <w:rFonts w:hint="default" w:ascii="Arial Regular" w:hAnsi="Arial Regular" w:eastAsia="SimSun" w:cs="Arial Regular"/>
                <w:b/>
                <w:bCs/>
                <w:kern w:val="0"/>
                <w:sz w:val="24"/>
                <w:szCs w:val="24"/>
                <w:lang w:val="en-US" w:eastAsia="zh-CN" w:bidi="ar"/>
              </w:rPr>
              <w:noBreakHyphen/>
            </w:r>
            <w:r>
              <w:rPr>
                <w:rFonts w:hint="default" w:ascii="Arial Regular" w:hAnsi="Arial Regular" w:eastAsia="SimSun" w:cs="Arial Regular"/>
                <w:b/>
                <w:bCs/>
                <w:kern w:val="0"/>
                <w:sz w:val="24"/>
                <w:szCs w:val="24"/>
                <w:lang w:val="en-US" w:eastAsia="zh-CN" w:bidi="ar"/>
              </w:rPr>
              <w:t>Fulfilment Hubs</w:t>
            </w:r>
          </w:p>
        </w:tc>
        <w:tc>
          <w:tcPr>
            <w:tcW w:w="3176" w:type="dxa"/>
            <w:shd w:val="clear" w:color="auto" w:fill="auto"/>
            <w:vAlign w:val="top"/>
          </w:tcPr>
          <w:p w14:paraId="3A514A93">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Convert more physical stores into hybrid fulfilment centres to enhance last</w:t>
            </w:r>
            <w:r>
              <w:rPr>
                <w:rFonts w:hint="default" w:ascii="Arial Regular" w:hAnsi="Arial Regular" w:eastAsia="SimSun" w:cs="Arial Regular"/>
                <w:kern w:val="0"/>
                <w:sz w:val="24"/>
                <w:szCs w:val="24"/>
                <w:lang w:val="en-US" w:eastAsia="zh-CN" w:bidi="ar"/>
              </w:rPr>
              <w:noBreakHyphen/>
            </w:r>
            <w:r>
              <w:rPr>
                <w:rFonts w:hint="default" w:ascii="Arial Regular" w:hAnsi="Arial Regular" w:eastAsia="SimSun" w:cs="Arial Regular"/>
                <w:kern w:val="0"/>
                <w:sz w:val="24"/>
                <w:szCs w:val="24"/>
                <w:lang w:val="en-US" w:eastAsia="zh-CN" w:bidi="ar"/>
              </w:rPr>
              <w:t>mile delivery efficiency and reduce order fulfilment costs (Ocado, 2025).</w:t>
            </w:r>
          </w:p>
        </w:tc>
        <w:tc>
          <w:tcPr>
            <w:tcW w:w="3393" w:type="dxa"/>
            <w:shd w:val="clear" w:color="auto" w:fill="auto"/>
            <w:vAlign w:val="top"/>
          </w:tcPr>
          <w:p w14:paraId="5252A00F">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Integrate in</w:t>
            </w:r>
            <w:r>
              <w:rPr>
                <w:rFonts w:hint="default" w:ascii="Arial Regular" w:hAnsi="Arial Regular" w:eastAsia="SimSun" w:cs="Arial Regular"/>
                <w:kern w:val="0"/>
                <w:sz w:val="24"/>
                <w:szCs w:val="24"/>
                <w:lang w:val="en-US" w:eastAsia="zh-CN" w:bidi="ar"/>
              </w:rPr>
              <w:noBreakHyphen/>
            </w:r>
            <w:r>
              <w:rPr>
                <w:rFonts w:hint="default" w:ascii="Arial Regular" w:hAnsi="Arial Regular" w:eastAsia="SimSun" w:cs="Arial Regular"/>
                <w:kern w:val="0"/>
                <w:sz w:val="24"/>
                <w:szCs w:val="24"/>
                <w:lang w:val="en-US" w:eastAsia="zh-CN" w:bidi="ar"/>
              </w:rPr>
              <w:t>store picking and rapid delivery slots in urban catchments to better compete with pure</w:t>
            </w:r>
            <w:r>
              <w:rPr>
                <w:rFonts w:hint="default" w:ascii="Arial Regular" w:hAnsi="Arial Regular" w:eastAsia="SimSun" w:cs="Arial Regular"/>
                <w:kern w:val="0"/>
                <w:sz w:val="24"/>
                <w:szCs w:val="24"/>
                <w:lang w:val="en-US" w:eastAsia="zh-CN" w:bidi="ar"/>
              </w:rPr>
              <w:noBreakHyphen/>
            </w:r>
            <w:r>
              <w:rPr>
                <w:rFonts w:hint="default" w:ascii="Arial Regular" w:hAnsi="Arial Regular" w:eastAsia="SimSun" w:cs="Arial Regular"/>
                <w:kern w:val="0"/>
                <w:sz w:val="24"/>
                <w:szCs w:val="24"/>
                <w:lang w:val="en-US" w:eastAsia="zh-CN" w:bidi="ar"/>
              </w:rPr>
              <w:t>play online grocers.</w:t>
            </w:r>
          </w:p>
        </w:tc>
      </w:tr>
      <w:tr w14:paraId="76D3FA4D">
        <w:tc>
          <w:tcPr>
            <w:tcW w:w="2472" w:type="dxa"/>
            <w:shd w:val="clear" w:color="auto" w:fill="8EAADB" w:themeFill="accent5" w:themeFillTint="99"/>
            <w:vAlign w:val="top"/>
          </w:tcPr>
          <w:p w14:paraId="1E5EC8BB">
            <w:pPr>
              <w:keepNext w:val="0"/>
              <w:keepLines w:val="0"/>
              <w:widowControl/>
              <w:suppressLineNumbers w:val="0"/>
              <w:spacing w:line="360" w:lineRule="auto"/>
              <w:jc w:val="both"/>
              <w:rPr>
                <w:rFonts w:hint="default" w:ascii="Arial Regular" w:hAnsi="Arial Regular" w:eastAsia="Arial" w:cs="Arial Regular"/>
                <w:b/>
                <w:bCs/>
                <w:sz w:val="24"/>
                <w:szCs w:val="24"/>
                <w:vertAlign w:val="baseline"/>
                <w:lang w:val="de-DE"/>
              </w:rPr>
            </w:pPr>
            <w:r>
              <w:rPr>
                <w:rFonts w:hint="default" w:ascii="Arial Regular" w:hAnsi="Arial Regular" w:eastAsia="SimSun" w:cs="Arial Regular"/>
                <w:b/>
                <w:bCs/>
                <w:kern w:val="0"/>
                <w:sz w:val="24"/>
                <w:szCs w:val="24"/>
                <w:lang w:val="en-US" w:eastAsia="zh-CN" w:bidi="ar"/>
              </w:rPr>
              <w:t>Strengthen Sustainability and ESG Initiatives</w:t>
            </w:r>
          </w:p>
        </w:tc>
        <w:tc>
          <w:tcPr>
            <w:tcW w:w="3176" w:type="dxa"/>
            <w:shd w:val="clear" w:color="auto" w:fill="auto"/>
            <w:vAlign w:val="top"/>
          </w:tcPr>
          <w:p w14:paraId="204FDAE5">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Expand sustainable supply chain partnerships and transparency to meet increasing consumer and regulatory demand (FoodNavigator, 2022).</w:t>
            </w:r>
            <w:r>
              <w:rPr>
                <w:rFonts w:hint="default" w:ascii="Arial Regular" w:hAnsi="Arial Regular" w:eastAsia="SimSun" w:cs="Arial Regular"/>
                <w:kern w:val="0"/>
                <w:sz w:val="24"/>
                <w:szCs w:val="24"/>
                <w:lang w:val="de-DE" w:eastAsia="zh-CN" w:bidi="ar"/>
              </w:rPr>
              <w:t xml:space="preserve"> </w:t>
            </w:r>
          </w:p>
        </w:tc>
        <w:tc>
          <w:tcPr>
            <w:tcW w:w="3393" w:type="dxa"/>
            <w:shd w:val="clear" w:color="auto" w:fill="auto"/>
            <w:vAlign w:val="top"/>
          </w:tcPr>
          <w:p w14:paraId="09B41D56">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Launch programmes for plastic reduction, carbon tracking on products, and incentivised sustainable purchases through Clubcard rewards.</w:t>
            </w:r>
            <w:r>
              <w:rPr>
                <w:rFonts w:hint="default" w:ascii="Arial Regular" w:hAnsi="Arial Regular" w:eastAsia="SimSun" w:cs="Arial Regular"/>
                <w:kern w:val="0"/>
                <w:sz w:val="24"/>
                <w:szCs w:val="24"/>
                <w:lang w:val="de-DE" w:eastAsia="zh-CN" w:bidi="ar"/>
              </w:rPr>
              <w:t xml:space="preserve"> </w:t>
            </w:r>
          </w:p>
        </w:tc>
      </w:tr>
      <w:tr w14:paraId="59518448">
        <w:tc>
          <w:tcPr>
            <w:tcW w:w="2472" w:type="dxa"/>
            <w:shd w:val="clear" w:color="auto" w:fill="8EAADB" w:themeFill="accent5" w:themeFillTint="99"/>
            <w:vAlign w:val="top"/>
          </w:tcPr>
          <w:p w14:paraId="6DE8ACF3">
            <w:pPr>
              <w:keepNext w:val="0"/>
              <w:keepLines w:val="0"/>
              <w:widowControl/>
              <w:suppressLineNumbers w:val="0"/>
              <w:spacing w:line="360" w:lineRule="auto"/>
              <w:jc w:val="both"/>
              <w:rPr>
                <w:rFonts w:hint="default" w:ascii="Arial Regular" w:hAnsi="Arial Regular" w:eastAsia="Arial" w:cs="Arial Regular"/>
                <w:b/>
                <w:bCs/>
                <w:sz w:val="24"/>
                <w:szCs w:val="24"/>
                <w:vertAlign w:val="baseline"/>
                <w:lang w:val="de-DE"/>
              </w:rPr>
            </w:pPr>
            <w:r>
              <w:rPr>
                <w:rFonts w:hint="default" w:ascii="Arial Regular" w:hAnsi="Arial Regular" w:eastAsia="SimSun" w:cs="Arial Regular"/>
                <w:b/>
                <w:bCs/>
                <w:kern w:val="0"/>
                <w:sz w:val="24"/>
                <w:szCs w:val="24"/>
                <w:lang w:val="en-US" w:eastAsia="zh-CN" w:bidi="ar"/>
              </w:rPr>
              <w:t>Monetise Retail Media Networks</w:t>
            </w:r>
            <w:r>
              <w:rPr>
                <w:rFonts w:hint="default" w:ascii="Arial Regular" w:hAnsi="Arial Regular" w:eastAsia="SimSun" w:cs="Arial Regular"/>
                <w:b/>
                <w:bCs/>
                <w:kern w:val="0"/>
                <w:sz w:val="24"/>
                <w:szCs w:val="24"/>
                <w:lang w:val="de-DE" w:eastAsia="zh-CN" w:bidi="ar"/>
              </w:rPr>
              <w:t xml:space="preserve"> </w:t>
            </w:r>
          </w:p>
        </w:tc>
        <w:tc>
          <w:tcPr>
            <w:tcW w:w="3176" w:type="dxa"/>
            <w:shd w:val="clear" w:color="auto" w:fill="auto"/>
            <w:vAlign w:val="top"/>
          </w:tcPr>
          <w:p w14:paraId="5370B71C">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Leverage Tesco’s extensive customer purchasing data to offer targeted retail media solutions to supplier partners (Tesco</w:t>
            </w:r>
            <w:r>
              <w:rPr>
                <w:rFonts w:hint="default" w:ascii="Arial Regular" w:hAnsi="Arial Regular" w:eastAsia="SimSun" w:cs="Arial Regular"/>
                <w:kern w:val="0"/>
                <w:sz w:val="24"/>
                <w:szCs w:val="24"/>
                <w:lang w:val="de-DE" w:eastAsia="zh-CN" w:bidi="ar"/>
              </w:rPr>
              <w:t xml:space="preserve"> PLC</w:t>
            </w:r>
            <w:r>
              <w:rPr>
                <w:rFonts w:hint="default" w:ascii="Arial Regular" w:hAnsi="Arial Regular" w:eastAsia="SimSun" w:cs="Arial Regular"/>
                <w:kern w:val="0"/>
                <w:sz w:val="24"/>
                <w:szCs w:val="24"/>
                <w:lang w:val="en-US" w:eastAsia="zh-CN" w:bidi="ar"/>
              </w:rPr>
              <w:t>, 2025</w:t>
            </w:r>
            <w:r>
              <w:rPr>
                <w:rFonts w:hint="default" w:ascii="Arial Regular" w:hAnsi="Arial Regular" w:eastAsia="SimSun" w:cs="Arial Regular"/>
                <w:kern w:val="0"/>
                <w:sz w:val="24"/>
                <w:szCs w:val="24"/>
                <w:lang w:val="de-DE" w:eastAsia="zh-CN" w:bidi="ar"/>
              </w:rPr>
              <w:t>a</w:t>
            </w:r>
            <w:r>
              <w:rPr>
                <w:rFonts w:hint="default" w:ascii="Arial Regular" w:hAnsi="Arial Regular" w:eastAsia="SimSun" w:cs="Arial Regular"/>
                <w:kern w:val="0"/>
                <w:sz w:val="24"/>
                <w:szCs w:val="24"/>
                <w:lang w:val="en-US" w:eastAsia="zh-CN" w:bidi="ar"/>
              </w:rPr>
              <w:t>).</w:t>
            </w:r>
            <w:r>
              <w:rPr>
                <w:rFonts w:hint="default" w:ascii="Arial Regular" w:hAnsi="Arial Regular" w:eastAsia="SimSun" w:cs="Arial Regular"/>
                <w:kern w:val="0"/>
                <w:sz w:val="24"/>
                <w:szCs w:val="24"/>
                <w:lang w:val="de-DE" w:eastAsia="zh-CN" w:bidi="ar"/>
              </w:rPr>
              <w:t xml:space="preserve"> </w:t>
            </w:r>
          </w:p>
        </w:tc>
        <w:tc>
          <w:tcPr>
            <w:tcW w:w="3393" w:type="dxa"/>
            <w:shd w:val="clear" w:color="auto" w:fill="auto"/>
            <w:vAlign w:val="top"/>
          </w:tcPr>
          <w:p w14:paraId="0FA8F7F4">
            <w:pPr>
              <w:keepNext w:val="0"/>
              <w:keepLines w:val="0"/>
              <w:widowControl/>
              <w:suppressLineNumbers w:val="0"/>
              <w:spacing w:line="360" w:lineRule="auto"/>
              <w:jc w:val="both"/>
              <w:rPr>
                <w:rFonts w:hint="default" w:ascii="Arial Regular" w:hAnsi="Arial Regular" w:eastAsia="Arial" w:cs="Arial Regular"/>
                <w:b w:val="0"/>
                <w:bCs w:val="0"/>
                <w:sz w:val="24"/>
                <w:szCs w:val="24"/>
                <w:vertAlign w:val="baseline"/>
                <w:lang w:val="de-DE"/>
              </w:rPr>
            </w:pPr>
            <w:r>
              <w:rPr>
                <w:rFonts w:hint="default" w:ascii="Arial Regular" w:hAnsi="Arial Regular" w:eastAsia="SimSun" w:cs="Arial Regular"/>
                <w:kern w:val="0"/>
                <w:sz w:val="24"/>
                <w:szCs w:val="24"/>
                <w:lang w:val="en-US" w:eastAsia="zh-CN" w:bidi="ar"/>
              </w:rPr>
              <w:t>Develop premium advertising solutions that allow brands to reach Tesco shoppers with personalised in</w:t>
            </w:r>
            <w:r>
              <w:rPr>
                <w:rFonts w:hint="default" w:ascii="Arial Regular" w:hAnsi="Arial Regular" w:eastAsia="SimSun" w:cs="Arial Regular"/>
                <w:kern w:val="0"/>
                <w:sz w:val="24"/>
                <w:szCs w:val="24"/>
                <w:lang w:val="en-US" w:eastAsia="zh-CN" w:bidi="ar"/>
              </w:rPr>
              <w:noBreakHyphen/>
            </w:r>
            <w:r>
              <w:rPr>
                <w:rFonts w:hint="default" w:ascii="Arial Regular" w:hAnsi="Arial Regular" w:eastAsia="SimSun" w:cs="Arial Regular"/>
                <w:kern w:val="0"/>
                <w:sz w:val="24"/>
                <w:szCs w:val="24"/>
                <w:lang w:val="en-US" w:eastAsia="zh-CN" w:bidi="ar"/>
              </w:rPr>
              <w:t>app promotions, generating high</w:t>
            </w:r>
            <w:r>
              <w:rPr>
                <w:rFonts w:hint="default" w:ascii="Arial Regular" w:hAnsi="Arial Regular" w:eastAsia="SimSun" w:cs="Arial Regular"/>
                <w:kern w:val="0"/>
                <w:sz w:val="24"/>
                <w:szCs w:val="24"/>
                <w:lang w:val="en-US" w:eastAsia="zh-CN" w:bidi="ar"/>
              </w:rPr>
              <w:noBreakHyphen/>
            </w:r>
            <w:r>
              <w:rPr>
                <w:rFonts w:hint="default" w:ascii="Arial Regular" w:hAnsi="Arial Regular" w:eastAsia="SimSun" w:cs="Arial Regular"/>
                <w:kern w:val="0"/>
                <w:sz w:val="24"/>
                <w:szCs w:val="24"/>
                <w:lang w:val="en-US" w:eastAsia="zh-CN" w:bidi="ar"/>
              </w:rPr>
              <w:t>margin data monetisation aligned with platform strategies in retail.</w:t>
            </w:r>
          </w:p>
        </w:tc>
      </w:tr>
    </w:tbl>
    <w:p w14:paraId="5519223D">
      <w:pPr>
        <w:numPr>
          <w:ilvl w:val="0"/>
          <w:numId w:val="0"/>
        </w:numPr>
        <w:spacing w:line="360" w:lineRule="auto"/>
        <w:jc w:val="both"/>
        <w:rPr>
          <w:rFonts w:hint="default" w:ascii="Arial Regular" w:hAnsi="Arial Regular" w:cs="Arial Regular"/>
          <w:b w:val="0"/>
          <w:bCs w:val="0"/>
          <w:sz w:val="24"/>
          <w:szCs w:val="24"/>
          <w:lang w:val="de-DE"/>
        </w:rPr>
      </w:pPr>
    </w:p>
    <w:p w14:paraId="59BFCAB7">
      <w:pPr>
        <w:numPr>
          <w:ilvl w:val="0"/>
          <w:numId w:val="0"/>
        </w:numPr>
        <w:spacing w:line="360" w:lineRule="auto"/>
        <w:jc w:val="center"/>
        <w:rPr>
          <w:rFonts w:hint="default" w:ascii="Arial Regular" w:hAnsi="Arial Regular" w:eastAsia="SimSun" w:cs="Arial Regular"/>
          <w:kern w:val="0"/>
          <w:sz w:val="24"/>
          <w:szCs w:val="24"/>
          <w:lang w:val="de-DE" w:eastAsia="zh-CN" w:bidi="ar"/>
        </w:rPr>
      </w:pPr>
      <w:r>
        <w:rPr>
          <w:rFonts w:hint="default" w:ascii="Arial Regular" w:hAnsi="Arial Regular" w:cs="Arial Regular"/>
          <w:b w:val="0"/>
          <w:bCs w:val="0"/>
          <w:sz w:val="24"/>
          <w:szCs w:val="24"/>
          <w:lang w:val="de-DE"/>
        </w:rPr>
        <w:t>Figure 7: Recommendations for Tesco (Source: Self Developed)</w:t>
      </w:r>
    </w:p>
    <w:p w14:paraId="722C6D03">
      <w:pPr>
        <w:spacing w:line="360" w:lineRule="auto"/>
        <w:jc w:val="both"/>
        <w:rPr>
          <w:rFonts w:hint="default" w:ascii="Arial Regular" w:hAnsi="Arial Regular" w:cs="Arial Regular"/>
          <w:b/>
          <w:bCs/>
          <w:sz w:val="24"/>
          <w:szCs w:val="24"/>
          <w:lang w:val="de-DE"/>
        </w:rPr>
      </w:pPr>
    </w:p>
    <w:p w14:paraId="1500A289">
      <w:pPr>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lang w:val="de-DE"/>
        </w:rPr>
        <w:t xml:space="preserve">Section 2 </w:t>
      </w:r>
    </w:p>
    <w:p w14:paraId="5ABF5598">
      <w:pPr>
        <w:numPr>
          <w:ilvl w:val="0"/>
          <w:numId w:val="0"/>
        </w:numPr>
        <w:spacing w:line="360" w:lineRule="auto"/>
        <w:jc w:val="both"/>
        <w:rPr>
          <w:rFonts w:hint="default" w:ascii="Arial Regular" w:hAnsi="Arial Regular" w:cs="Arial Regular"/>
          <w:b/>
          <w:bCs/>
          <w:sz w:val="24"/>
          <w:szCs w:val="24"/>
        </w:rPr>
      </w:pPr>
      <w:r>
        <w:rPr>
          <w:rFonts w:hint="default" w:ascii="Arial Regular" w:hAnsi="Arial Regular" w:cs="Arial Regular"/>
          <w:b/>
          <w:bCs/>
          <w:sz w:val="24"/>
          <w:szCs w:val="24"/>
        </w:rPr>
        <w:t>Reflective Account Using Gibbs’ Reflective Cycle</w:t>
      </w:r>
    </w:p>
    <w:p w14:paraId="2D3C854E">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w:t>
      </w:r>
      <w:r>
        <w:rPr>
          <w:rStyle w:val="12"/>
          <w:rFonts w:hint="default" w:ascii="Arial Regular" w:hAnsi="Arial Regular" w:cs="Arial Regular"/>
          <w:b w:val="0"/>
          <w:bCs w:val="0"/>
          <w:sz w:val="24"/>
          <w:szCs w:val="24"/>
        </w:rPr>
        <w:t>Gibbs Reflective Cycle</w:t>
      </w:r>
      <w:r>
        <w:rPr>
          <w:rFonts w:hint="default" w:ascii="Arial Regular" w:hAnsi="Arial Regular" w:cs="Arial Regular"/>
          <w:b w:val="0"/>
          <w:bCs w:val="0"/>
          <w:sz w:val="24"/>
          <w:szCs w:val="24"/>
        </w:rPr>
        <w:t xml:space="preserve"> is a structured framework that enables individuals to learn from experience through six stages: description, feelings, evaluation, analysis, conclusion, and action plan, encouraging systematic reflection and continuous improvement (Gibbs, 1988).</w:t>
      </w:r>
    </w:p>
    <w:p w14:paraId="5D1F54D9">
      <w:pPr>
        <w:pStyle w:val="11"/>
        <w:keepNext w:val="0"/>
        <w:keepLines w:val="0"/>
        <w:widowControl/>
        <w:suppressLineNumbers w:val="0"/>
        <w:spacing w:line="360" w:lineRule="auto"/>
        <w:jc w:val="center"/>
        <w:rPr>
          <w:rFonts w:hint="default" w:ascii="Arial Regular" w:hAnsi="Arial Regular" w:cs="Arial Regular"/>
          <w:sz w:val="24"/>
          <w:szCs w:val="24"/>
          <w:lang w:val="de-DE"/>
        </w:rPr>
      </w:pPr>
      <w:r>
        <w:rPr>
          <w:rFonts w:hint="default" w:ascii="Arial Regular" w:hAnsi="Arial Regular" w:cs="Arial Regular"/>
          <w:sz w:val="24"/>
          <w:szCs w:val="24"/>
          <w:lang w:val="de-DE"/>
        </w:rPr>
        <w:drawing>
          <wp:inline distT="0" distB="0" distL="114300" distR="114300">
            <wp:extent cx="2891790" cy="2891790"/>
            <wp:effectExtent l="0" t="0" r="3810" b="3810"/>
            <wp:docPr id="11" name="Picture 11" descr="Gibbs-Reflective-Cycle-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ibbs-Reflective-Cycle-1024x1024"/>
                    <pic:cNvPicPr>
                      <a:picLocks noChangeAspect="1"/>
                    </pic:cNvPicPr>
                  </pic:nvPicPr>
                  <pic:blipFill>
                    <a:blip r:embed="rId12"/>
                    <a:stretch>
                      <a:fillRect/>
                    </a:stretch>
                  </pic:blipFill>
                  <pic:spPr>
                    <a:xfrm>
                      <a:off x="0" y="0"/>
                      <a:ext cx="2891790" cy="2891790"/>
                    </a:xfrm>
                    <a:prstGeom prst="rect">
                      <a:avLst/>
                    </a:prstGeom>
                  </pic:spPr>
                </pic:pic>
              </a:graphicData>
            </a:graphic>
          </wp:inline>
        </w:drawing>
      </w:r>
    </w:p>
    <w:p w14:paraId="3C6BE307">
      <w:pPr>
        <w:keepNext w:val="0"/>
        <w:keepLines w:val="0"/>
        <w:widowControl/>
        <w:suppressLineNumbers w:val="0"/>
        <w:spacing w:line="360" w:lineRule="auto"/>
        <w:jc w:val="center"/>
        <w:rPr>
          <w:rFonts w:hint="default" w:ascii="Arial Regular" w:hAnsi="Arial Regular" w:cs="Arial Regular"/>
          <w:b w:val="0"/>
          <w:bCs w:val="0"/>
          <w:sz w:val="24"/>
          <w:szCs w:val="24"/>
        </w:rPr>
      </w:pPr>
      <w:r>
        <w:rPr>
          <w:rFonts w:hint="default" w:ascii="Arial Regular" w:hAnsi="Arial Regular" w:cs="Arial Regular"/>
          <w:sz w:val="24"/>
          <w:szCs w:val="24"/>
          <w:lang w:val="de-DE"/>
        </w:rPr>
        <w:t xml:space="preserve">Figure 8: Gibbs Reflective Cycle </w:t>
      </w:r>
      <w:r>
        <w:rPr>
          <w:rFonts w:hint="default" w:ascii="Arial Regular" w:hAnsi="Arial Regular" w:eastAsia="SimSun" w:cs="Arial Regular"/>
          <w:kern w:val="0"/>
          <w:sz w:val="24"/>
          <w:szCs w:val="24"/>
          <w:lang w:val="en-US" w:eastAsia="zh-CN" w:bidi="ar"/>
        </w:rPr>
        <w:t xml:space="preserve">(Channell, </w:t>
      </w:r>
      <w:r>
        <w:rPr>
          <w:rFonts w:hint="default" w:ascii="Arial Regular" w:hAnsi="Arial Regular" w:cs="Arial Regular"/>
          <w:kern w:val="0"/>
          <w:sz w:val="24"/>
          <w:szCs w:val="24"/>
          <w:lang w:val="de-DE" w:eastAsia="zh-CN" w:bidi="ar"/>
        </w:rPr>
        <w:t>2025</w:t>
      </w:r>
      <w:r>
        <w:rPr>
          <w:rFonts w:hint="default" w:ascii="Arial Regular" w:hAnsi="Arial Regular" w:eastAsia="SimSun" w:cs="Arial Regular"/>
          <w:kern w:val="0"/>
          <w:sz w:val="24"/>
          <w:szCs w:val="24"/>
          <w:lang w:val="en-US" w:eastAsia="zh-CN" w:bidi="ar"/>
        </w:rPr>
        <w:t>)</w:t>
      </w:r>
    </w:p>
    <w:p w14:paraId="40BA9587">
      <w:pPr>
        <w:pStyle w:val="4"/>
        <w:keepNext w:val="0"/>
        <w:keepLines w:val="0"/>
        <w:widowControl/>
        <w:numPr>
          <w:ilvl w:val="0"/>
          <w:numId w:val="8"/>
        </w:numPr>
        <w:suppressLineNumbers w:val="0"/>
        <w:spacing w:line="360" w:lineRule="auto"/>
        <w:ind w:left="420" w:leftChars="0" w:hanging="420" w:firstLineChars="0"/>
        <w:jc w:val="both"/>
        <w:rPr>
          <w:rFonts w:hint="default" w:ascii="Arial Regular" w:hAnsi="Arial Regular" w:cs="Arial Regular"/>
          <w:b/>
          <w:bCs/>
          <w:sz w:val="24"/>
          <w:szCs w:val="24"/>
        </w:rPr>
      </w:pPr>
      <w:r>
        <w:rPr>
          <w:rStyle w:val="12"/>
          <w:rFonts w:hint="default" w:ascii="Arial Regular" w:hAnsi="Arial Regular" w:cs="Arial Regular"/>
          <w:b/>
          <w:bCs/>
          <w:sz w:val="24"/>
          <w:szCs w:val="24"/>
        </w:rPr>
        <w:t>Description</w:t>
      </w:r>
    </w:p>
    <w:p w14:paraId="341996F1">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The completion of the previous assessment sections required a structured process of research, analysis, and strategic evaluation of Tesco. The research phase involved collecting both quantitative and qualitative data from reliable and credible sources. The primary data source was Tesco’s Annual Reports from 2023 to 2025, which provided key financial information such as revenue of approximately </w:t>
      </w:r>
      <w:r>
        <w:rPr>
          <w:rStyle w:val="12"/>
          <w:rFonts w:hint="default" w:ascii="Arial Regular" w:hAnsi="Arial Regular" w:cs="Arial Regular"/>
          <w:b w:val="0"/>
          <w:bCs w:val="0"/>
          <w:sz w:val="24"/>
          <w:szCs w:val="24"/>
        </w:rPr>
        <w:t>£69.9 billion</w:t>
      </w:r>
      <w:r>
        <w:rPr>
          <w:rFonts w:hint="default" w:ascii="Arial Regular" w:hAnsi="Arial Regular" w:cs="Arial Regular"/>
          <w:b w:val="0"/>
          <w:bCs w:val="0"/>
          <w:sz w:val="24"/>
          <w:szCs w:val="24"/>
        </w:rPr>
        <w:t>, operational performance, and strategic priorities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2023;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xml:space="preserve">). Additional external data were gathered from sources such as OECD and Reuters to understand macroeconomic conditions, industry competition, and market share, which is approximately </w:t>
      </w:r>
      <w:r>
        <w:rPr>
          <w:rStyle w:val="12"/>
          <w:rFonts w:hint="default" w:ascii="Arial Regular" w:hAnsi="Arial Regular" w:cs="Arial Regular"/>
          <w:b w:val="0"/>
          <w:bCs w:val="0"/>
          <w:sz w:val="24"/>
          <w:szCs w:val="24"/>
        </w:rPr>
        <w:t>27–28% in the UK grocery market</w:t>
      </w:r>
      <w:r>
        <w:rPr>
          <w:rFonts w:hint="default" w:ascii="Arial Regular" w:hAnsi="Arial Regular" w:cs="Arial Regular"/>
          <w:b w:val="0"/>
          <w:bCs w:val="0"/>
          <w:sz w:val="24"/>
          <w:szCs w:val="24"/>
        </w:rPr>
        <w:t xml:space="preserve"> (OECD, 2024; Reuters, 2025</w:t>
      </w:r>
      <w:r>
        <w:rPr>
          <w:rFonts w:hint="default" w:ascii="Arial Regular" w:hAnsi="Arial Regular" w:cs="Arial Regular"/>
          <w:b w:val="0"/>
          <w:bCs w:val="0"/>
          <w:sz w:val="24"/>
          <w:szCs w:val="24"/>
          <w:lang w:val="de-DE"/>
        </w:rPr>
        <w:t>e</w:t>
      </w:r>
      <w:r>
        <w:rPr>
          <w:rFonts w:hint="default" w:ascii="Arial Regular" w:hAnsi="Arial Regular" w:cs="Arial Regular"/>
          <w:b w:val="0"/>
          <w:bCs w:val="0"/>
          <w:sz w:val="24"/>
          <w:szCs w:val="24"/>
        </w:rPr>
        <w:t>).</w:t>
      </w:r>
    </w:p>
    <w:p w14:paraId="401AB8BE">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After collecting the data, analytical frameworks such as SWOT analysis, Balanced Scorecard, Porter’s Five Forces, and VRIO were applied to structure the evaluation. Each framework was used to analyse different aspects of Tesco’s strategy, including internal capabilities, external environment, and competitive positioning. The findings from these frameworks were then synthesised to develop recommendations focused on enhancing Tesco’s competitive advantage, particularly in areas such as digital transformation, customer personalisation, and sustainability.</w:t>
      </w:r>
    </w:p>
    <w:p w14:paraId="5B4B3A6A">
      <w:pPr>
        <w:pStyle w:val="4"/>
        <w:keepNext w:val="0"/>
        <w:keepLines w:val="0"/>
        <w:widowControl/>
        <w:numPr>
          <w:ilvl w:val="0"/>
          <w:numId w:val="8"/>
        </w:numPr>
        <w:suppressLineNumbers w:val="0"/>
        <w:spacing w:line="360" w:lineRule="auto"/>
        <w:ind w:left="420" w:leftChars="0" w:hanging="420" w:firstLineChars="0"/>
        <w:jc w:val="both"/>
        <w:rPr>
          <w:rFonts w:hint="default" w:ascii="Arial Regular" w:hAnsi="Arial Regular" w:cs="Arial Regular"/>
          <w:b/>
          <w:bCs/>
          <w:sz w:val="24"/>
          <w:szCs w:val="24"/>
        </w:rPr>
      </w:pPr>
      <w:r>
        <w:rPr>
          <w:rStyle w:val="12"/>
          <w:rFonts w:hint="default" w:ascii="Arial Regular" w:hAnsi="Arial Regular" w:cs="Arial Regular"/>
          <w:b/>
          <w:bCs/>
          <w:sz w:val="24"/>
          <w:szCs w:val="24"/>
        </w:rPr>
        <w:t>Feelings</w:t>
      </w:r>
    </w:p>
    <w:p w14:paraId="0A2452E4">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At the beginning of the process, the research task appeared challenging due to the large amount of available information and the requirement to ensure that all sources were credible and academically valid. There was initial uncertainty in selecting relevant data and aligning it with appropriate frameworks. However, as the research progressed, confidence improved as patterns became clearer, especially regarding Tesco’s cost leadership strategy and its focus on data-driven customer engagement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The use of structured models helped reduce complexity and provided clarity in organising information. By the later stages, the process became more systematic and manageable, and there was a greater sense of confidence in developing strategic recommendations based on the analysis.</w:t>
      </w:r>
    </w:p>
    <w:p w14:paraId="36BB473A">
      <w:pPr>
        <w:pStyle w:val="4"/>
        <w:keepNext w:val="0"/>
        <w:keepLines w:val="0"/>
        <w:widowControl/>
        <w:numPr>
          <w:ilvl w:val="0"/>
          <w:numId w:val="8"/>
        </w:numPr>
        <w:suppressLineNumbers w:val="0"/>
        <w:spacing w:line="360" w:lineRule="auto"/>
        <w:ind w:left="420" w:leftChars="0" w:hanging="420" w:firstLineChars="0"/>
        <w:jc w:val="both"/>
        <w:rPr>
          <w:rFonts w:hint="default" w:ascii="Arial Regular" w:hAnsi="Arial Regular" w:cs="Arial Regular"/>
          <w:b/>
          <w:bCs/>
          <w:sz w:val="24"/>
          <w:szCs w:val="24"/>
        </w:rPr>
      </w:pPr>
      <w:r>
        <w:rPr>
          <w:rStyle w:val="12"/>
          <w:rFonts w:hint="default" w:ascii="Arial Regular" w:hAnsi="Arial Regular" w:cs="Arial Regular"/>
          <w:b/>
          <w:bCs/>
          <w:sz w:val="24"/>
          <w:szCs w:val="24"/>
        </w:rPr>
        <w:t>Evaluation</w:t>
      </w:r>
    </w:p>
    <w:p w14:paraId="4CCBA8F0">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The overall research and analysis process was effective in integrating both quantitative and qualitative data to produce a comprehensive evaluation. The use of Tesco’s annual reports ensured high reliability and accuracy of financial and strategic information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2023;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Applying frameworks such as SWOT analysis and the Balanced Scorecard provided a clear structure for analysing internal and external factors, supporting a balanced assessment (Kaplan and Norton, 1992).</w:t>
      </w:r>
    </w:p>
    <w:p w14:paraId="4FD0693E">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However, there were some limitations. The large volume of information required careful selection, and some potentially relevant details had to be excluded due to strict word limits. Additionally, while external sources such as OECD and Reuters provided valuable insights into macroeconomic and industry conditions, they may not fully capture real-time changes in a dynamic retail environment (OECD, 2024; Reuters, 2025</w:t>
      </w:r>
      <w:r>
        <w:rPr>
          <w:rFonts w:hint="default" w:ascii="Arial Regular" w:hAnsi="Arial Regular" w:cs="Arial Regular"/>
          <w:b w:val="0"/>
          <w:bCs w:val="0"/>
          <w:sz w:val="24"/>
          <w:szCs w:val="24"/>
          <w:lang w:val="de-DE"/>
        </w:rPr>
        <w:t>e</w:t>
      </w:r>
      <w:r>
        <w:rPr>
          <w:rFonts w:hint="default" w:ascii="Arial Regular" w:hAnsi="Arial Regular" w:cs="Arial Regular"/>
          <w:b w:val="0"/>
          <w:bCs w:val="0"/>
          <w:sz w:val="24"/>
          <w:szCs w:val="24"/>
        </w:rPr>
        <w:t>). Despite these limitations, the process was effective in generating meaningful insights and supporting evidence-based conclusions.</w:t>
      </w:r>
    </w:p>
    <w:p w14:paraId="6F66E322">
      <w:pPr>
        <w:pStyle w:val="4"/>
        <w:keepNext w:val="0"/>
        <w:keepLines w:val="0"/>
        <w:widowControl/>
        <w:numPr>
          <w:ilvl w:val="0"/>
          <w:numId w:val="8"/>
        </w:numPr>
        <w:suppressLineNumbers w:val="0"/>
        <w:spacing w:line="360" w:lineRule="auto"/>
        <w:ind w:left="420" w:leftChars="0" w:hanging="420" w:firstLineChars="0"/>
        <w:jc w:val="both"/>
        <w:rPr>
          <w:rFonts w:hint="default" w:ascii="Arial Regular" w:hAnsi="Arial Regular" w:cs="Arial Regular"/>
          <w:b/>
          <w:bCs/>
          <w:sz w:val="24"/>
          <w:szCs w:val="24"/>
        </w:rPr>
      </w:pPr>
      <w:r>
        <w:rPr>
          <w:rStyle w:val="12"/>
          <w:rFonts w:hint="default" w:ascii="Arial Regular" w:hAnsi="Arial Regular" w:cs="Arial Regular"/>
          <w:b/>
          <w:bCs/>
          <w:sz w:val="24"/>
          <w:szCs w:val="24"/>
        </w:rPr>
        <w:t>Analysis</w:t>
      </w:r>
    </w:p>
    <w:p w14:paraId="5446AD39">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The analytical phase involved interpreting the collected data through the application of theoretical frameworks. SWOT analysis was used to identify Tesco’s strengths, such as its scale and loyalty programmes, and weaknesses, including high operational costs. It also highlighted opportunities in digital innovation and threats such as intense competition and geopolitical instability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 OECD, 2024). The Balanced Scorecard enabled a broader perspective by linking financial outcomes with customer satisfaction, internal processes, and organisational learning (Kaplan and Norton, 1992). Porter’s Five Forces analysis further emphasised the high level of competition and the strong bargaining power of customers within the UK grocery market (Reuters,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w:t>
      </w:r>
    </w:p>
    <w:p w14:paraId="455A7954">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The recommendations were developed by connecting gaps identified in the analysis with relevant theoretical concepts. For example, enhancing data-driven personalisation aligns with the concept of customer intimacy, which focuses on tailoring services to individual customer needs (Treacy and Wiersema, 1993). Similarly, transforming stores into fulfilment hubs reflects omni-channel retail strategies that integrate physical and digital operations to improve efficiency and customer experience. Sustainability initiatives were proposed based on corporate social responsibility principles, recognising the growing importance of environmental and social considerations in strategic decision-making.</w:t>
      </w:r>
    </w:p>
    <w:p w14:paraId="071DC62C">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 xml:space="preserve">External factors such as the </w:t>
      </w:r>
      <w:r>
        <w:rPr>
          <w:rStyle w:val="12"/>
          <w:rFonts w:hint="default" w:ascii="Arial Regular" w:hAnsi="Arial Regular" w:cs="Arial Regular"/>
          <w:b w:val="0"/>
          <w:bCs w:val="0"/>
          <w:sz w:val="24"/>
          <w:szCs w:val="24"/>
        </w:rPr>
        <w:t>Russia–Ukraine war</w:t>
      </w:r>
      <w:r>
        <w:rPr>
          <w:rFonts w:hint="default" w:ascii="Arial Regular" w:hAnsi="Arial Regular" w:cs="Arial Regular"/>
          <w:b w:val="0"/>
          <w:bCs w:val="0"/>
          <w:sz w:val="24"/>
          <w:szCs w:val="24"/>
        </w:rPr>
        <w:t xml:space="preserve"> were incorporated into the analysis, as they significantly affect supply chains, energy costs, and inflation, influencing Tesco’s cost structures and pricing strategies (OECD, 2024). This ensured that the analysis was grounded in both theoretical frameworks and real-world conditions.</w:t>
      </w:r>
    </w:p>
    <w:p w14:paraId="795F609F">
      <w:pPr>
        <w:pStyle w:val="4"/>
        <w:keepNext w:val="0"/>
        <w:keepLines w:val="0"/>
        <w:widowControl/>
        <w:numPr>
          <w:ilvl w:val="0"/>
          <w:numId w:val="8"/>
        </w:numPr>
        <w:suppressLineNumbers w:val="0"/>
        <w:spacing w:line="360" w:lineRule="auto"/>
        <w:ind w:left="420" w:leftChars="0" w:hanging="420" w:firstLineChars="0"/>
        <w:jc w:val="both"/>
        <w:rPr>
          <w:rFonts w:hint="default" w:ascii="Arial Regular" w:hAnsi="Arial Regular" w:cs="Arial Regular"/>
          <w:b/>
          <w:bCs/>
          <w:sz w:val="24"/>
          <w:szCs w:val="24"/>
        </w:rPr>
      </w:pPr>
      <w:r>
        <w:rPr>
          <w:rStyle w:val="12"/>
          <w:rFonts w:hint="default" w:ascii="Arial Regular" w:hAnsi="Arial Regular" w:cs="Arial Regular"/>
          <w:b/>
          <w:bCs/>
          <w:sz w:val="24"/>
          <w:szCs w:val="24"/>
        </w:rPr>
        <w:t>Conclusion</w:t>
      </w:r>
    </w:p>
    <w:p w14:paraId="4DEFCC84">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The overall process of researching and analysing Tesco’s strategy was comprehensive and insightful. The use of structured frameworks facilitated a systematic evaluation of the organisation’s internal and external environment. Integrating academic theories with real-world data enhanced the credibility and relevance of the analysis (Kaplan and Norton, 1992;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w:t>
      </w:r>
    </w:p>
    <w:p w14:paraId="697B5E40">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However, the process also highlighted the importance of critically selecting relevant information and managing time effectively. It demonstrated that strategic analysis is dynamic and must account for external influences such as economic conditions and geopolitical events (OECD, 2024). This experience reinforced the importance of combining theoretical knowledge with practical evidence to produce well-supported and meaningful strategic insights.</w:t>
      </w:r>
    </w:p>
    <w:p w14:paraId="3B2AF05F">
      <w:pPr>
        <w:pStyle w:val="4"/>
        <w:keepNext w:val="0"/>
        <w:keepLines w:val="0"/>
        <w:widowControl/>
        <w:numPr>
          <w:ilvl w:val="0"/>
          <w:numId w:val="8"/>
        </w:numPr>
        <w:suppressLineNumbers w:val="0"/>
        <w:spacing w:line="360" w:lineRule="auto"/>
        <w:ind w:left="420" w:leftChars="0" w:hanging="420" w:firstLineChars="0"/>
        <w:jc w:val="both"/>
        <w:rPr>
          <w:rFonts w:hint="default" w:ascii="Arial Regular" w:hAnsi="Arial Regular" w:cs="Arial Regular"/>
          <w:b/>
          <w:bCs/>
          <w:sz w:val="24"/>
          <w:szCs w:val="24"/>
        </w:rPr>
      </w:pPr>
      <w:r>
        <w:rPr>
          <w:rStyle w:val="12"/>
          <w:rFonts w:hint="default" w:ascii="Arial Regular" w:hAnsi="Arial Regular" w:cs="Arial Regular"/>
          <w:b/>
          <w:bCs/>
          <w:sz w:val="24"/>
          <w:szCs w:val="24"/>
        </w:rPr>
        <w:t>Action Plan</w:t>
      </w:r>
    </w:p>
    <w:p w14:paraId="76F12D5C">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For future assessments, several improvements can be made. Firstly, adopting a more structured approach to data collection, such as categorising sources by relevance, will improve efficiency and organisation. Secondly, increasing the use of peer-reviewed academic journals will strengthen theoretical grounding. Thirdly, better time management will allow more focus on critical analysis rather than data collection.</w:t>
      </w:r>
    </w:p>
    <w:p w14:paraId="058AB0B0">
      <w:pPr>
        <w:pStyle w:val="11"/>
        <w:keepNext w:val="0"/>
        <w:keepLines w:val="0"/>
        <w:widowControl/>
        <w:suppressLineNumbers w:val="0"/>
        <w:spacing w:line="360" w:lineRule="auto"/>
        <w:jc w:val="both"/>
        <w:rPr>
          <w:rFonts w:hint="default" w:ascii="Arial Regular" w:hAnsi="Arial Regular" w:cs="Arial Regular"/>
          <w:b w:val="0"/>
          <w:bCs w:val="0"/>
          <w:sz w:val="24"/>
          <w:szCs w:val="24"/>
        </w:rPr>
      </w:pPr>
      <w:r>
        <w:rPr>
          <w:rFonts w:hint="default" w:ascii="Arial Regular" w:hAnsi="Arial Regular" w:cs="Arial Regular"/>
          <w:b w:val="0"/>
          <w:bCs w:val="0"/>
          <w:sz w:val="24"/>
          <w:szCs w:val="24"/>
        </w:rPr>
        <w:t>Additionally, future work will place greater emphasis on incorporating real-time data and emerging trends, particularly in digital transformation and sustainability (Tesco</w:t>
      </w:r>
      <w:r>
        <w:rPr>
          <w:rFonts w:hint="default" w:ascii="Arial Regular" w:hAnsi="Arial Regular" w:cs="Arial Regular"/>
          <w:b w:val="0"/>
          <w:bCs w:val="0"/>
          <w:sz w:val="24"/>
          <w:szCs w:val="24"/>
          <w:lang w:val="de-DE"/>
        </w:rPr>
        <w:t xml:space="preserve"> PLC</w:t>
      </w:r>
      <w:r>
        <w:rPr>
          <w:rFonts w:hint="default" w:ascii="Arial Regular" w:hAnsi="Arial Regular" w:cs="Arial Regular"/>
          <w:b w:val="0"/>
          <w:bCs w:val="0"/>
          <w:sz w:val="24"/>
          <w:szCs w:val="24"/>
        </w:rPr>
        <w:t>, 2025</w:t>
      </w:r>
      <w:r>
        <w:rPr>
          <w:rFonts w:hint="default" w:ascii="Arial Regular" w:hAnsi="Arial Regular" w:cs="Arial Regular"/>
          <w:b w:val="0"/>
          <w:bCs w:val="0"/>
          <w:sz w:val="24"/>
          <w:szCs w:val="24"/>
          <w:lang w:val="de-DE"/>
        </w:rPr>
        <w:t>a</w:t>
      </w:r>
      <w:r>
        <w:rPr>
          <w:rFonts w:hint="default" w:ascii="Arial Regular" w:hAnsi="Arial Regular" w:cs="Arial Regular"/>
          <w:b w:val="0"/>
          <w:bCs w:val="0"/>
          <w:sz w:val="24"/>
          <w:szCs w:val="24"/>
        </w:rPr>
        <w:t>). Developing stronger skills in data interpretation and visual presentation will also improve the clarity of analysis. Finally, continued practice in applying strategic frameworks will enhance analytical depth and the ability to generate innovative recommendations. By implementing these improvements, future work will demonstrate stronger integration of theory, data, and strategic thinking, leading to more effective outcomes.</w:t>
      </w:r>
    </w:p>
    <w:p w14:paraId="11C6152D">
      <w:pPr>
        <w:pStyle w:val="11"/>
        <w:keepNext w:val="0"/>
        <w:keepLines w:val="0"/>
        <w:widowControl/>
        <w:suppressLineNumbers w:val="0"/>
        <w:spacing w:line="360" w:lineRule="auto"/>
        <w:jc w:val="both"/>
        <w:rPr>
          <w:rFonts w:hint="default" w:ascii="Arial Regular" w:hAnsi="Arial Regular" w:cs="Arial Regular"/>
          <w:b w:val="0"/>
          <w:bCs w:val="0"/>
          <w:sz w:val="24"/>
          <w:szCs w:val="24"/>
          <w:lang w:val="de-DE"/>
        </w:rPr>
      </w:pPr>
      <w:r>
        <w:rPr>
          <w:rFonts w:hint="default" w:ascii="Arial Regular" w:hAnsi="Arial Regular" w:cs="Arial Regular"/>
          <w:b/>
          <w:bCs/>
          <w:sz w:val="24"/>
          <w:szCs w:val="24"/>
          <w:lang w:val="de-DE"/>
        </w:rPr>
        <w:t>Summary</w:t>
      </w:r>
    </w:p>
    <w:p w14:paraId="6951CAFF">
      <w:pPr>
        <w:pStyle w:val="11"/>
        <w:keepNext w:val="0"/>
        <w:keepLines w:val="0"/>
        <w:widowControl/>
        <w:suppressLineNumbers w:val="0"/>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This report critically analyses Tesco’s strategic position using both internal and external frameworks. It finds that Tesco sustains market leadership through economies of scale, operational efficiency, and data-driven customer engagement strategies. However, challenges such as rising operational costs, strong price competition, and macroeconomic instability continue to impact performance (OECD, 2024; Reuters, 2025</w:t>
      </w:r>
      <w:r>
        <w:rPr>
          <w:rFonts w:hint="default" w:ascii="Arial Regular" w:hAnsi="Arial Regular" w:cs="Arial Regular"/>
          <w:sz w:val="24"/>
          <w:szCs w:val="24"/>
          <w:lang w:val="de-DE"/>
        </w:rPr>
        <w:t>a</w:t>
      </w:r>
      <w:r>
        <w:rPr>
          <w:rFonts w:hint="default" w:ascii="Arial Regular" w:hAnsi="Arial Regular" w:cs="Arial Regular"/>
          <w:sz w:val="24"/>
          <w:szCs w:val="24"/>
        </w:rPr>
        <w:t>). The analysis emphasises the importance of digital transformation, sustainability integration, and omnichannel retailing in maintaining competitiveness. Overall, while Tesco demonstrates resilience and adaptability, continuous strategic innovation is essential to ensure long-term growth and profitability in a rapidly evolving retail environment.</w:t>
      </w:r>
    </w:p>
    <w:p w14:paraId="5E511809">
      <w:pPr>
        <w:pStyle w:val="11"/>
        <w:keepNext w:val="0"/>
        <w:keepLines w:val="0"/>
        <w:widowControl/>
        <w:suppressLineNumbers w:val="0"/>
        <w:spacing w:line="360" w:lineRule="auto"/>
        <w:jc w:val="both"/>
        <w:rPr>
          <w:rFonts w:hint="default" w:ascii="Arial Regular" w:hAnsi="Arial Regular" w:cs="Arial Regular"/>
          <w:sz w:val="24"/>
          <w:szCs w:val="24"/>
          <w:lang w:val="de-DE"/>
        </w:rPr>
      </w:pPr>
      <w:r>
        <w:rPr>
          <w:rFonts w:hint="default" w:ascii="Arial Regular" w:hAnsi="Arial Regular" w:cs="Arial Regular"/>
          <w:b/>
          <w:bCs/>
          <w:sz w:val="24"/>
          <w:szCs w:val="24"/>
          <w:lang w:val="de-DE"/>
        </w:rPr>
        <w:t xml:space="preserve">Conclusion </w:t>
      </w:r>
    </w:p>
    <w:p w14:paraId="04C0633F">
      <w:pPr>
        <w:spacing w:line="360" w:lineRule="auto"/>
        <w:jc w:val="both"/>
        <w:rPr>
          <w:rFonts w:hint="default" w:ascii="Arial Regular" w:hAnsi="Arial Regular" w:cs="Arial Regular"/>
          <w:sz w:val="24"/>
          <w:szCs w:val="24"/>
        </w:rPr>
      </w:pPr>
      <w:r>
        <w:rPr>
          <w:rFonts w:hint="default" w:ascii="Arial Regular" w:hAnsi="Arial Regular" w:cs="Arial Regular"/>
          <w:sz w:val="24"/>
          <w:szCs w:val="24"/>
        </w:rPr>
        <w:t>In conclusion, Tesco’s competitive advantage is primarily driven by its scale, advanced data analytics, and efficient supply chain, supporting its cost leadership strategy. Strategic analysis indicates that although Tesco maintains a dominant market position, it faces persistent challenges from intense competition, economic pressures, and changing consumer expectations (Porter, 2008; Tesco PLC, 2025</w:t>
      </w:r>
      <w:r>
        <w:rPr>
          <w:rFonts w:hint="default" w:ascii="Arial Regular" w:hAnsi="Arial Regular" w:cs="Arial Regular"/>
          <w:sz w:val="24"/>
          <w:szCs w:val="24"/>
          <w:lang w:val="de-DE"/>
        </w:rPr>
        <w:t>a</w:t>
      </w:r>
      <w:r>
        <w:rPr>
          <w:rFonts w:hint="default" w:ascii="Arial Regular" w:hAnsi="Arial Regular" w:cs="Arial Regular"/>
          <w:sz w:val="24"/>
          <w:szCs w:val="24"/>
        </w:rPr>
        <w:t>). To sustain its leadership, Tesco must balance cost efficiency with innovation, particularly in digital capabilities and sustainability initiatives. Continued investment in technology, customer personalisation, and operational efficiency will be critical for enhancing resilience and securing long-term competitive advantage in the UK grocery sector.</w:t>
      </w:r>
    </w:p>
    <w:p w14:paraId="213080E5">
      <w:pPr>
        <w:spacing w:line="360" w:lineRule="auto"/>
        <w:jc w:val="both"/>
        <w:rPr>
          <w:rFonts w:hint="default" w:ascii="Arial Regular" w:hAnsi="Arial Regular" w:cs="Arial Regular"/>
          <w:sz w:val="24"/>
          <w:szCs w:val="24"/>
        </w:rPr>
      </w:pPr>
      <w:r>
        <w:rPr>
          <w:rFonts w:hint="default" w:ascii="Arial Regular" w:hAnsi="Arial Regular" w:cs="Arial Regular"/>
          <w:sz w:val="24"/>
          <w:szCs w:val="24"/>
        </w:rPr>
        <w:br w:type="page"/>
      </w:r>
    </w:p>
    <w:p w14:paraId="584BC937">
      <w:pPr>
        <w:spacing w:line="360" w:lineRule="auto"/>
        <w:jc w:val="both"/>
        <w:rPr>
          <w:rFonts w:hint="default" w:ascii="Arial Regular" w:hAnsi="Arial Regular" w:cs="Arial Regular"/>
          <w:b/>
          <w:bCs/>
          <w:sz w:val="24"/>
          <w:szCs w:val="24"/>
          <w:lang w:val="de-DE"/>
        </w:rPr>
      </w:pPr>
      <w:r>
        <w:rPr>
          <w:rFonts w:hint="default" w:ascii="Arial Regular" w:hAnsi="Arial Regular" w:cs="Arial Regular"/>
          <w:b/>
          <w:bCs/>
          <w:sz w:val="24"/>
          <w:szCs w:val="24"/>
          <w:lang w:val="de-DE"/>
        </w:rPr>
        <w:t xml:space="preserve">Bibliography  </w:t>
      </w:r>
    </w:p>
    <w:p w14:paraId="5D1DBF55">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Barney, J. (1991) ‘Firm resources and sustained competitive advantage’, </w:t>
      </w:r>
      <w:r>
        <w:rPr>
          <w:rStyle w:val="7"/>
          <w:rFonts w:hint="default" w:ascii="Arial Regular" w:hAnsi="Arial Regular" w:cs="Arial Regular"/>
          <w:sz w:val="24"/>
          <w:szCs w:val="24"/>
        </w:rPr>
        <w:t>Journal of Management</w:t>
      </w:r>
      <w:r>
        <w:rPr>
          <w:rFonts w:hint="default" w:ascii="Arial Regular" w:hAnsi="Arial Regular" w:cs="Arial Regular"/>
          <w:sz w:val="24"/>
          <w:szCs w:val="24"/>
        </w:rPr>
        <w:t>, 17(1), pp. 99–120.</w:t>
      </w:r>
    </w:p>
    <w:p w14:paraId="08D9EF9D">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Belsare, H.V. (2025) ‘PESTLE analysis’, </w:t>
      </w:r>
      <w:r>
        <w:rPr>
          <w:rStyle w:val="7"/>
          <w:rFonts w:hint="default" w:ascii="Arial Regular" w:hAnsi="Arial Regular" w:cs="Arial Regular"/>
          <w:sz w:val="24"/>
          <w:szCs w:val="24"/>
        </w:rPr>
        <w:t>International Journal of Advanced Research</w:t>
      </w:r>
      <w:r>
        <w:rPr>
          <w:rFonts w:hint="default" w:ascii="Arial Regular" w:hAnsi="Arial Regular" w:cs="Arial Regular"/>
          <w:sz w:val="24"/>
          <w:szCs w:val="24"/>
        </w:rPr>
        <w:t>, 13(2).</w:t>
      </w:r>
    </w:p>
    <w:p w14:paraId="5995E0F0">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Channell, M. (2025) </w:t>
      </w:r>
      <w:r>
        <w:rPr>
          <w:rStyle w:val="7"/>
          <w:rFonts w:hint="default" w:ascii="Arial Regular" w:hAnsi="Arial Regular" w:cs="Arial Regular"/>
          <w:sz w:val="24"/>
          <w:szCs w:val="24"/>
        </w:rPr>
        <w:t>Gibbs Reflective Cycle – A Practical Guide</w:t>
      </w:r>
      <w:r>
        <w:rPr>
          <w:rFonts w:hint="default" w:ascii="Arial Regular" w:hAnsi="Arial Regular" w:cs="Arial Regular"/>
          <w:sz w:val="24"/>
          <w:szCs w:val="24"/>
        </w:rPr>
        <w:t xml:space="preserve">. The Skills Workshop.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"https://www.tsw.co.uk/insights/gibbs-reflective-cycle/"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https://www.tsw.co.uk/insights/gibbs-reflective-cycle/</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15 April 2026).</w:t>
      </w:r>
    </w:p>
    <w:p w14:paraId="02F96AF9">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FareShare (no date) </w:t>
      </w:r>
      <w:r>
        <w:rPr>
          <w:rStyle w:val="7"/>
          <w:rFonts w:hint="default" w:ascii="Arial Regular" w:hAnsi="Arial Regular" w:cs="Arial Regular"/>
          <w:sz w:val="24"/>
          <w:szCs w:val="24"/>
        </w:rPr>
        <w:t>Surplus food redistribution</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"https://fareshare.org.uk"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https://fareshare.org.uk</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2 March 2026).</w:t>
      </w:r>
    </w:p>
    <w:p w14:paraId="4AEE023D">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FoodNavigator (2022) </w:t>
      </w:r>
      <w:r>
        <w:rPr>
          <w:rStyle w:val="7"/>
          <w:rFonts w:hint="default" w:ascii="Arial Regular" w:hAnsi="Arial Regular" w:cs="Arial Regular"/>
          <w:sz w:val="24"/>
          <w:szCs w:val="24"/>
        </w:rPr>
        <w:t>Tesco susta</w:t>
      </w:r>
      <w:bookmarkStart w:id="1" w:name="_GoBack"/>
      <w:bookmarkEnd w:id="1"/>
      <w:r>
        <w:rPr>
          <w:rStyle w:val="7"/>
          <w:rFonts w:hint="default" w:ascii="Arial Regular" w:hAnsi="Arial Regular" w:cs="Arial Regular"/>
          <w:sz w:val="24"/>
          <w:szCs w:val="24"/>
        </w:rPr>
        <w:t>inable supply chain innovation</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"https://www.foodnavigator.com"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https://www.foodnavigator.com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2 April 2026).</w:t>
      </w:r>
    </w:p>
    <w:p w14:paraId="1E14DBD7">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Gibbs, G. (1988) </w:t>
      </w:r>
      <w:r>
        <w:rPr>
          <w:rStyle w:val="7"/>
          <w:rFonts w:hint="default" w:ascii="Arial Regular" w:hAnsi="Arial Regular" w:cs="Arial Regular"/>
          <w:sz w:val="24"/>
          <w:szCs w:val="24"/>
        </w:rPr>
        <w:t>Learning by doing: A guide to teaching and learning methods</w:t>
      </w:r>
      <w:r>
        <w:rPr>
          <w:rFonts w:hint="default" w:ascii="Arial Regular" w:hAnsi="Arial Regular" w:cs="Arial Regular"/>
          <w:sz w:val="24"/>
          <w:szCs w:val="24"/>
        </w:rPr>
        <w:t>. Oxford: Oxford Polytechnic.</w:t>
      </w:r>
    </w:p>
    <w:p w14:paraId="3CD62510">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Grocery Gazette (2025) </w:t>
      </w:r>
      <w:r>
        <w:rPr>
          <w:rStyle w:val="7"/>
          <w:rFonts w:hint="default" w:ascii="Arial Regular" w:hAnsi="Arial Regular" w:cs="Arial Regular"/>
          <w:sz w:val="24"/>
          <w:szCs w:val="24"/>
        </w:rPr>
        <w:t>Tesco trials personalised Clubcard scheme</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"https://www.grocerygazette.co.uk"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https://www.grocerygazette.co.uk</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5 April 2026).</w:t>
      </w:r>
    </w:p>
    <w:p w14:paraId="69220662">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Kaplan, R.S. and Norton, D.P. (1992) ‘The balanced scorecard: Measures that drive performance’, </w:t>
      </w:r>
      <w:r>
        <w:rPr>
          <w:rStyle w:val="7"/>
          <w:rFonts w:hint="default" w:ascii="Arial Regular" w:hAnsi="Arial Regular" w:cs="Arial Regular"/>
          <w:sz w:val="24"/>
          <w:szCs w:val="24"/>
        </w:rPr>
        <w:t>Harvard Business Review</w:t>
      </w:r>
      <w:r>
        <w:rPr>
          <w:rFonts w:hint="default" w:ascii="Arial Regular" w:hAnsi="Arial Regular" w:cs="Arial Regular"/>
          <w:sz w:val="24"/>
          <w:szCs w:val="24"/>
        </w:rPr>
        <w:t>, 70(1), pp. 71–79.</w:t>
      </w:r>
    </w:p>
    <w:p w14:paraId="6847BC42">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MarketScreener (2025) </w:t>
      </w:r>
      <w:r>
        <w:rPr>
          <w:rStyle w:val="7"/>
          <w:rFonts w:hint="default" w:ascii="Arial Regular" w:hAnsi="Arial Regular" w:cs="Arial Regular"/>
          <w:sz w:val="24"/>
          <w:szCs w:val="24"/>
        </w:rPr>
        <w:t>Tesco PLC earnings and company profile</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"https://www.marketscreener.com"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https://www.marketscreener.com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8 April 2026).</w:t>
      </w:r>
    </w:p>
    <w:p w14:paraId="62809195">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NimbleFins (2026) </w:t>
      </w:r>
      <w:r>
        <w:rPr>
          <w:rStyle w:val="7"/>
          <w:rFonts w:hint="default" w:ascii="Arial Regular" w:hAnsi="Arial Regular" w:cs="Arial Regular"/>
          <w:sz w:val="24"/>
          <w:szCs w:val="24"/>
        </w:rPr>
        <w:t>Tesco Clubcard pricing issues report</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"https://www.nimblefins.co.uk"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https://www.nimblefins.co.uk</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12 April 2026).</w:t>
      </w:r>
    </w:p>
    <w:p w14:paraId="705F2DF1">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Ocado (2025) </w:t>
      </w:r>
      <w:r>
        <w:rPr>
          <w:rStyle w:val="7"/>
          <w:rFonts w:hint="default" w:ascii="Arial Regular" w:hAnsi="Arial Regular" w:cs="Arial Regular"/>
          <w:sz w:val="24"/>
          <w:szCs w:val="24"/>
        </w:rPr>
        <w:t>Online grocery fulfilment technologies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"https://www.ocado.com"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https://www.ocado.com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5 April 2026).</w:t>
      </w:r>
    </w:p>
    <w:p w14:paraId="610E3CBA">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OECD (2024) </w:t>
      </w:r>
      <w:r>
        <w:rPr>
          <w:rStyle w:val="7"/>
          <w:rFonts w:hint="default" w:ascii="Arial Regular" w:hAnsi="Arial Regular" w:cs="Arial Regular"/>
          <w:sz w:val="24"/>
          <w:szCs w:val="24"/>
        </w:rPr>
        <w:t>OECD economic outlook, volume 2024 issue 1: An unfolding recovery</w:t>
      </w:r>
      <w:r>
        <w:rPr>
          <w:rFonts w:hint="default" w:ascii="Arial Regular" w:hAnsi="Arial Regular" w:cs="Arial Regular"/>
          <w:sz w:val="24"/>
          <w:szCs w:val="24"/>
        </w:rPr>
        <w:t>. Paris: OECD Publishing.</w:t>
      </w:r>
    </w:p>
    <w:p w14:paraId="36464CE4">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Pickton, D.W. and Wright, S. (1998) ‘What’s SWOT in strategic analysis?’, </w:t>
      </w:r>
      <w:r>
        <w:rPr>
          <w:rStyle w:val="7"/>
          <w:rFonts w:hint="default" w:ascii="Arial Regular" w:hAnsi="Arial Regular" w:cs="Arial Regular"/>
          <w:sz w:val="24"/>
          <w:szCs w:val="24"/>
        </w:rPr>
        <w:t>Strategic Change</w:t>
      </w:r>
      <w:r>
        <w:rPr>
          <w:rFonts w:hint="default" w:ascii="Arial Regular" w:hAnsi="Arial Regular" w:cs="Arial Regular"/>
          <w:sz w:val="24"/>
          <w:szCs w:val="24"/>
        </w:rPr>
        <w:t>, 7(2), pp. 101–109.</w:t>
      </w:r>
    </w:p>
    <w:p w14:paraId="1CF0C57C">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Porter, M.E. (1990) </w:t>
      </w:r>
      <w:r>
        <w:rPr>
          <w:rStyle w:val="7"/>
          <w:rFonts w:hint="default" w:ascii="Arial Regular" w:hAnsi="Arial Regular" w:cs="Arial Regular"/>
          <w:sz w:val="24"/>
          <w:szCs w:val="24"/>
        </w:rPr>
        <w:t>The competitive advantage of nations</w:t>
      </w:r>
      <w:r>
        <w:rPr>
          <w:rFonts w:hint="default" w:ascii="Arial Regular" w:hAnsi="Arial Regular" w:cs="Arial Regular"/>
          <w:sz w:val="24"/>
          <w:szCs w:val="24"/>
        </w:rPr>
        <w:t>. New York: Free Press.</w:t>
      </w:r>
    </w:p>
    <w:p w14:paraId="09A24ED7">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Porter, M.E. (2008) ‘The five competitive forces that shape strategy’, </w:t>
      </w:r>
      <w:r>
        <w:rPr>
          <w:rStyle w:val="7"/>
          <w:rFonts w:hint="default" w:ascii="Arial Regular" w:hAnsi="Arial Regular" w:cs="Arial Regular"/>
          <w:sz w:val="24"/>
          <w:szCs w:val="24"/>
        </w:rPr>
        <w:t>Harvard Business Review</w:t>
      </w:r>
      <w:r>
        <w:rPr>
          <w:rFonts w:hint="default" w:ascii="Arial Regular" w:hAnsi="Arial Regular" w:cs="Arial Regular"/>
          <w:sz w:val="24"/>
          <w:szCs w:val="24"/>
        </w:rPr>
        <w:t>, 86(1), pp. 78–93.</w:t>
      </w:r>
    </w:p>
    <w:p w14:paraId="17222512">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Qureshi, W. (2025) ‘Tesco trials QR codes in move set to reshape UK retail’, </w:t>
      </w:r>
      <w:r>
        <w:rPr>
          <w:rStyle w:val="7"/>
          <w:rFonts w:hint="default" w:ascii="Arial Regular" w:hAnsi="Arial Regular" w:cs="Arial Regular"/>
          <w:sz w:val="24"/>
          <w:szCs w:val="24"/>
        </w:rPr>
        <w:t>Packaging News</w:t>
      </w:r>
      <w:r>
        <w:rPr>
          <w:rFonts w:hint="default" w:ascii="Arial Regular" w:hAnsi="Arial Regular" w:cs="Arial Regular"/>
          <w:sz w:val="24"/>
          <w:szCs w:val="24"/>
        </w:rPr>
        <w:t xml:space="preserve">, 25 April.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"https://www.packagingnews.co.uk/news/retailers/tesco-trials-qr-codes-in-move-set-to-reshape-uk-retail-25-04-2025"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https://www.packagingnews.co.uk/news/retailers/tesco-trials-qr-codes-in-move-set-to-reshape-uk-retail-25-04-2025</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15 April 2026).</w:t>
      </w:r>
    </w:p>
    <w:p w14:paraId="1FF8C503">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Reuters (2025a) </w:t>
      </w:r>
      <w:r>
        <w:rPr>
          <w:rStyle w:val="7"/>
          <w:rFonts w:hint="default" w:ascii="Arial Regular" w:hAnsi="Arial Regular" w:cs="Arial Regular"/>
          <w:sz w:val="24"/>
          <w:szCs w:val="24"/>
        </w:rPr>
        <w:t>Tesco market outlook and external pressures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"https://www.reuters.com"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https://www.reuters.com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15 April 2026).</w:t>
      </w:r>
    </w:p>
    <w:p w14:paraId="427DCB6A">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Reuters (2025b) </w:t>
      </w:r>
      <w:r>
        <w:rPr>
          <w:rStyle w:val="7"/>
          <w:rFonts w:hint="default" w:ascii="Arial Regular" w:hAnsi="Arial Regular" w:cs="Arial Regular"/>
          <w:sz w:val="24"/>
          <w:szCs w:val="24"/>
        </w:rPr>
        <w:t>Tesco UK competitive environment</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"https://www.reuters.com"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https://www.reuters.com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10 April 2026).</w:t>
      </w:r>
    </w:p>
    <w:p w14:paraId="1F5DB0A7">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Reuters (2025c) </w:t>
      </w:r>
      <w:r>
        <w:rPr>
          <w:rStyle w:val="7"/>
          <w:rFonts w:hint="default" w:ascii="Arial Regular" w:hAnsi="Arial Regular" w:cs="Arial Regular"/>
          <w:sz w:val="24"/>
          <w:szCs w:val="24"/>
        </w:rPr>
        <w:t>Tesco UK grocery market share and performance</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"https://www.reuters.com"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https://www.reuters.com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10 April 2026).</w:t>
      </w:r>
    </w:p>
    <w:p w14:paraId="0677185D">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Reuters (2025d) </w:t>
      </w:r>
      <w:r>
        <w:rPr>
          <w:rStyle w:val="7"/>
          <w:rFonts w:hint="default" w:ascii="Arial Regular" w:hAnsi="Arial Regular" w:cs="Arial Regular"/>
          <w:sz w:val="24"/>
          <w:szCs w:val="24"/>
        </w:rPr>
        <w:t>Tesco UK sales growth and competitive environment</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"https://www.reuters.com"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https://www.reuters.com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14 April 2026).</w:t>
      </w:r>
    </w:p>
    <w:p w14:paraId="210DFBDA">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Reuters (2025e) </w:t>
      </w:r>
      <w:r>
        <w:rPr>
          <w:rStyle w:val="7"/>
          <w:rFonts w:hint="default" w:ascii="Arial Regular" w:hAnsi="Arial Regular" w:cs="Arial Regular"/>
          <w:sz w:val="24"/>
          <w:szCs w:val="24"/>
        </w:rPr>
        <w:t>Tesco faces pressure from inflation and rising competition in UK grocery market</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"https://www.reuters.com"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https://www.reuters.com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17 April 2026).</w:t>
      </w:r>
    </w:p>
    <w:p w14:paraId="4DD4C1D0">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Statista (2025) </w:t>
      </w:r>
      <w:r>
        <w:rPr>
          <w:rStyle w:val="7"/>
          <w:rFonts w:hint="default" w:ascii="Arial Regular" w:hAnsi="Arial Regular" w:cs="Arial Regular"/>
          <w:sz w:val="24"/>
          <w:szCs w:val="24"/>
        </w:rPr>
        <w:t>Tesco profile and employment data</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"https://www.statista.com"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https://www.statista.com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8 April 2026).</w:t>
      </w:r>
    </w:p>
    <w:p w14:paraId="1D2EF18C">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Tesco PLC (2023) </w:t>
      </w:r>
      <w:r>
        <w:rPr>
          <w:rStyle w:val="7"/>
          <w:rFonts w:hint="default" w:ascii="Arial Regular" w:hAnsi="Arial Regular" w:cs="Arial Regular"/>
          <w:sz w:val="24"/>
          <w:szCs w:val="24"/>
        </w:rPr>
        <w:t>Annual report and financial statements 2023</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"https://www.tescoplc.com"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https://www.tescoplc.com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28 March 2026).</w:t>
      </w:r>
    </w:p>
    <w:p w14:paraId="72B587D9">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Tesco PLC (2024) </w:t>
      </w:r>
      <w:r>
        <w:rPr>
          <w:rStyle w:val="7"/>
          <w:rFonts w:hint="default" w:ascii="Arial Regular" w:hAnsi="Arial Regular" w:cs="Arial Regular"/>
          <w:sz w:val="24"/>
          <w:szCs w:val="24"/>
        </w:rPr>
        <w:t>Annual report and financial statements 2024</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"https://www.tescoplc.com"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https://www.tescoplc.com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 April 2026).</w:t>
      </w:r>
    </w:p>
    <w:p w14:paraId="71EC4859">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Tesco PLC (2025a) </w:t>
      </w:r>
      <w:r>
        <w:rPr>
          <w:rStyle w:val="7"/>
          <w:rFonts w:hint="default" w:ascii="Arial Regular" w:hAnsi="Arial Regular" w:cs="Arial Regular"/>
          <w:sz w:val="24"/>
          <w:szCs w:val="24"/>
        </w:rPr>
        <w:t>Annual report and financial statements 2025</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"https://www.tescoplc.com"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https://www.tescoplc.com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13 April 2026).</w:t>
      </w:r>
    </w:p>
    <w:p w14:paraId="7BF17C3F">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Tesco PLC (2025b) </w:t>
      </w:r>
      <w:r>
        <w:rPr>
          <w:rStyle w:val="7"/>
          <w:rFonts w:hint="default" w:ascii="Arial Regular" w:hAnsi="Arial Regular" w:cs="Arial Regular"/>
          <w:sz w:val="24"/>
          <w:szCs w:val="24"/>
        </w:rPr>
        <w:t>Sustainability report 2025</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"https://www.tescoplc.com"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https://www.tescoplc.com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13 April 2026).</w:t>
      </w:r>
    </w:p>
    <w:p w14:paraId="60754866">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The Guardian (2025) </w:t>
      </w:r>
      <w:r>
        <w:rPr>
          <w:rStyle w:val="7"/>
          <w:rFonts w:hint="default" w:ascii="Arial Regular" w:hAnsi="Arial Regular" w:cs="Arial Regular"/>
          <w:sz w:val="24"/>
          <w:szCs w:val="24"/>
        </w:rPr>
        <w:t>Tesco market strategy and operations</w:t>
      </w:r>
      <w:r>
        <w:rPr>
          <w:rFonts w:hint="default" w:ascii="Arial Regular" w:hAnsi="Arial Regular" w:cs="Arial Regular"/>
          <w:sz w:val="24"/>
          <w:szCs w:val="24"/>
        </w:rPr>
        <w:t xml:space="preserve">. 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"https://www.theguardian.com" \t "/Users/anikaayub/Documents\\x/_new" </w:instrText>
      </w:r>
      <w:r>
        <w:rPr>
          <w:rFonts w:hint="default" w:ascii="Arial Regular" w:hAnsi="Arial Regular" w:cs="Arial Regular"/>
          <w:sz w:val="24"/>
          <w:szCs w:val="24"/>
        </w:rPr>
        <w:fldChar w:fldCharType="separate"/>
      </w:r>
      <w:r>
        <w:rPr>
          <w:rStyle w:val="10"/>
          <w:rFonts w:hint="default" w:ascii="Arial Regular" w:hAnsi="Arial Regular" w:cs="Arial Regular"/>
          <w:sz w:val="24"/>
          <w:szCs w:val="24"/>
        </w:rPr>
        <w:t>https://www.theguardian.com</w:t>
      </w:r>
      <w:r>
        <w:rPr>
          <w:rFonts w:hint="default" w:ascii="Arial Regular" w:hAnsi="Arial Regular" w:cs="Arial Regular"/>
          <w:sz w:val="24"/>
          <w:szCs w:val="24"/>
        </w:rPr>
        <w:fldChar w:fldCharType="end"/>
      </w:r>
      <w:r>
        <w:rPr>
          <w:rFonts w:hint="default" w:ascii="Arial Regular" w:hAnsi="Arial Regular" w:cs="Arial Regular"/>
          <w:sz w:val="24"/>
          <w:szCs w:val="24"/>
        </w:rPr>
        <w:t xml:space="preserve"> (Accessed: 11 April 2026).</w:t>
      </w:r>
    </w:p>
    <w:p w14:paraId="1D88ADCF">
      <w:pPr>
        <w:pStyle w:val="11"/>
        <w:keepNext w:val="0"/>
        <w:keepLines w:val="0"/>
        <w:widowControl/>
        <w:numPr>
          <w:ilvl w:val="0"/>
          <w:numId w:val="0"/>
        </w:numPr>
        <w:suppressLineNumbers w:val="0"/>
        <w:spacing w:line="360" w:lineRule="auto"/>
        <w:ind w:leftChars="0" w:right="0" w:rightChars="0"/>
        <w:jc w:val="both"/>
        <w:rPr>
          <w:rFonts w:hint="default" w:ascii="Arial Regular" w:hAnsi="Arial Regular" w:cs="Arial Regular"/>
          <w:sz w:val="24"/>
          <w:szCs w:val="24"/>
        </w:rPr>
      </w:pPr>
      <w:r>
        <w:rPr>
          <w:rFonts w:hint="default" w:ascii="Arial Regular" w:hAnsi="Arial Regular" w:cs="Arial Regular"/>
          <w:sz w:val="24"/>
          <w:szCs w:val="24"/>
        </w:rPr>
        <w:t xml:space="preserve">Treacy, M. and Wiersema, F. (1993) ‘Customer intimacy and other value disciplines’, </w:t>
      </w:r>
      <w:r>
        <w:rPr>
          <w:rStyle w:val="7"/>
          <w:rFonts w:hint="default" w:ascii="Arial Regular" w:hAnsi="Arial Regular" w:cs="Arial Regular"/>
          <w:sz w:val="24"/>
          <w:szCs w:val="24"/>
        </w:rPr>
        <w:t>Harvard Business Review</w:t>
      </w:r>
      <w:r>
        <w:rPr>
          <w:rFonts w:hint="default" w:ascii="Arial Regular" w:hAnsi="Arial Regular" w:cs="Arial Regular"/>
          <w:sz w:val="24"/>
          <w:szCs w:val="24"/>
        </w:rPr>
        <w:t>.</w:t>
      </w:r>
    </w:p>
    <w:p w14:paraId="1DC1F639">
      <w:pPr>
        <w:spacing w:line="360" w:lineRule="auto"/>
        <w:jc w:val="both"/>
        <w:rPr>
          <w:rFonts w:hint="default" w:ascii="Arial Regular" w:hAnsi="Arial Regular" w:cs="Arial Regular"/>
          <w:i w:val="0"/>
          <w:sz w:val="24"/>
          <w:szCs w:val="24"/>
          <w:lang w:val="de-DE"/>
        </w:rPr>
      </w:pPr>
    </w:p>
    <w:sectPr>
      <w:footerReference r:id="rId5"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Arial Regular">
    <w:panose1 w:val="020B0704020202020204"/>
    <w:charset w:val="00"/>
    <w:family w:val="auto"/>
    <w:pitch w:val="default"/>
    <w:sig w:usb0="E0002AFF" w:usb1="C0007843" w:usb2="00000009" w:usb3="00000000" w:csb0="400001FF" w:csb1="FFFF0000"/>
  </w:font>
  <w:font w:name="Symbol">
    <w:altName w:val="Kingsoft Sign"/>
    <w:panose1 w:val="00000000000000000000"/>
    <w:charset w:val="00"/>
    <w:family w:val="auto"/>
    <w:pitch w:val="default"/>
    <w:sig w:usb0="00000000" w:usb1="00000000" w:usb2="00000000" w:usb3="00000000" w:csb0="00000000" w:csb1="00000000"/>
  </w:font>
  <w:font w:name="Arial Bold">
    <w:panose1 w:val="020B0704020202020204"/>
    <w:charset w:val="00"/>
    <w:family w:val="auto"/>
    <w:pitch w:val="default"/>
    <w:sig w:usb0="E0002AFF" w:usb1="C0007843" w:usb2="00000009" w:usb3="00000000" w:csb0="400001FF" w:csb1="FFFF0000"/>
  </w:font>
  <w:font w:name="宋体-简">
    <w:panose1 w:val="02010800040101010101"/>
    <w:charset w:val="86"/>
    <w:family w:val="auto"/>
    <w:pitch w:val="default"/>
    <w:sig w:usb0="00000001" w:usb1="080F0000" w:usb2="00000000" w:usb3="00000000" w:csb0="00040000" w:csb1="0000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黑体-简">
    <w:panose1 w:val="00000000000000000000"/>
    <w:charset w:val="86"/>
    <w:family w:val="auto"/>
    <w:pitch w:val="default"/>
    <w:sig w:usb0="8000002F" w:usb1="0800004A" w:usb2="00000000" w:usb3="00000000" w:csb0="203E0000"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SimSun">
    <w:altName w:val="宋体-简"/>
    <w:panose1 w:val="02010600030101010101"/>
    <w:charset w:val="86"/>
    <w:family w:val="roman"/>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63B6E">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67F9E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14:paraId="6567F9EB">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9BA5CF"/>
    <w:multiLevelType w:val="multilevel"/>
    <w:tmpl w:val="A39BA5CF"/>
    <w:lvl w:ilvl="0" w:tentative="0">
      <w:start w:val="4"/>
      <w:numFmt w:val="decimal"/>
      <w:suff w:val="space"/>
      <w:lvlText w:val="%1."/>
      <w:lvlJc w:val="left"/>
    </w:lvl>
    <w:lvl w:ilvl="1" w:tentative="0">
      <w:start w:val="1"/>
      <w:numFmt w:val="decimal"/>
      <w:suff w:val="space"/>
      <w:lvlText w:val="%1.%2"/>
      <w:lvlJc w:val="left"/>
      <w:pPr>
        <w:ind w:left="0" w:leftChars="0" w:firstLine="0" w:firstLineChars="0"/>
      </w:pPr>
      <w:rPr>
        <w:rFonts w:hint="default" w:ascii="Arial Bold" w:hAnsi="Arial Bold" w:cs="Arial Bold"/>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B17EE60F"/>
    <w:multiLevelType w:val="singleLevel"/>
    <w:tmpl w:val="B17EE60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BF7C59C6"/>
    <w:multiLevelType w:val="singleLevel"/>
    <w:tmpl w:val="BF7C59C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FEBE5E55"/>
    <w:multiLevelType w:val="multilevel"/>
    <w:tmpl w:val="FEBE5E5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FFF32560"/>
    <w:multiLevelType w:val="singleLevel"/>
    <w:tmpl w:val="FFF3256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3EFFA02A"/>
    <w:multiLevelType w:val="singleLevel"/>
    <w:tmpl w:val="3EFFA02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6AF556EC"/>
    <w:multiLevelType w:val="singleLevel"/>
    <w:tmpl w:val="6AF556E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7B7F8BA3"/>
    <w:multiLevelType w:val="multilevel"/>
    <w:tmpl w:val="7B7F8BA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7"/>
  </w:num>
  <w:num w:numId="2">
    <w:abstractNumId w:val="6"/>
  </w:num>
  <w:num w:numId="3">
    <w:abstractNumId w:val="3"/>
  </w:num>
  <w:num w:numId="4">
    <w:abstractNumId w:val="2"/>
  </w:num>
  <w:num w:numId="5">
    <w:abstractNumId w:val="0"/>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4"/>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5B4CC8"/>
    <w:rsid w:val="377F3BE1"/>
    <w:rsid w:val="3BFF07FF"/>
    <w:rsid w:val="435B4CC8"/>
    <w:rsid w:val="5FFB39DE"/>
    <w:rsid w:val="65BF0FDC"/>
    <w:rsid w:val="67FD2992"/>
    <w:rsid w:val="71EE74C9"/>
    <w:rsid w:val="7F76ED64"/>
    <w:rsid w:val="AC54CE6E"/>
    <w:rsid w:val="B7FFB42C"/>
    <w:rsid w:val="BFD97687"/>
    <w:rsid w:val="BFFEBC13"/>
    <w:rsid w:val="DFBC12A0"/>
    <w:rsid w:val="E3FBCE44"/>
    <w:rsid w:val="F3FCAC45"/>
    <w:rsid w:val="F63B64BD"/>
    <w:rsid w:val="F7AC4C1F"/>
    <w:rsid w:val="FCAE8C8B"/>
    <w:rsid w:val="FEDEF01C"/>
    <w:rsid w:val="FFFF17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zh-CN"/>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footer"/>
    <w:basedOn w:val="1"/>
    <w:uiPriority w:val="0"/>
    <w:pPr>
      <w:tabs>
        <w:tab w:val="center" w:pos="4153"/>
        <w:tab w:val="right" w:pos="8306"/>
      </w:tabs>
      <w:snapToGrid w:val="0"/>
      <w:jc w:val="left"/>
    </w:pPr>
    <w:rPr>
      <w:sz w:val="18"/>
      <w:szCs w:val="18"/>
    </w:rPr>
  </w:style>
  <w:style w:type="paragraph" w:styleId="9">
    <w:name w:val="header"/>
    <w:basedOn w:val="1"/>
    <w:uiPriority w:val="0"/>
    <w:pPr>
      <w:tabs>
        <w:tab w:val="center" w:pos="4153"/>
        <w:tab w:val="right" w:pos="8306"/>
      </w:tabs>
      <w:snapToGrid w:val="0"/>
    </w:pPr>
    <w:rPr>
      <w:sz w:val="18"/>
      <w:szCs w:val="18"/>
    </w:rPr>
  </w:style>
  <w:style w:type="character" w:styleId="10">
    <w:name w:val="Hyperlink"/>
    <w:basedOn w:val="5"/>
    <w:unhideWhenUsed/>
    <w:uiPriority w:val="99"/>
    <w:rPr>
      <w:color w:val="0563C1" w:themeColor="hyperlink"/>
      <w:u w:val="single"/>
      <w14:textFill>
        <w14:solidFill>
          <w14:schemeClr w14:val="hlink"/>
        </w14:solidFill>
      </w14:textFill>
    </w:rPr>
  </w:style>
  <w:style w:type="paragraph" w:styleId="11">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2">
    <w:name w:val="Strong"/>
    <w:basedOn w:val="5"/>
    <w:qFormat/>
    <w:uiPriority w:val="0"/>
    <w:rPr>
      <w:b/>
      <w:bCs/>
    </w:rPr>
  </w:style>
  <w:style w:type="table" w:styleId="13">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toc 1"/>
    <w:basedOn w:val="1"/>
    <w:next w:val="1"/>
    <w:unhideWhenUsed/>
    <w:uiPriority w:val="39"/>
    <w:pPr>
      <w:spacing w:after="100"/>
    </w:pPr>
  </w:style>
  <w:style w:type="paragraph" w:styleId="15">
    <w:name w:val="toc 2"/>
    <w:basedOn w:val="1"/>
    <w:next w:val="1"/>
    <w:uiPriority w:val="0"/>
    <w:pPr>
      <w:ind w:left="420" w:leftChars="200"/>
    </w:pPr>
  </w:style>
  <w:style w:type="paragraph" w:styleId="16">
    <w:name w:val="toc 3"/>
    <w:basedOn w:val="1"/>
    <w:next w:val="1"/>
    <w:uiPriority w:val="0"/>
    <w:pPr>
      <w:ind w:left="840" w:leftChars="400"/>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5f96aa2-983f-4572-996d-0069b4793c6e}"/>
        <w:style w:val=""/>
        <w:category>
          <w:name w:val="General"/>
          <w:gallery w:val="placeholder"/>
        </w:category>
        <w:types>
          <w:type w:val="bbPlcHdr"/>
        </w:types>
        <w:behaviors>
          <w:behavior w:val="content"/>
        </w:behaviors>
        <w:description w:val=""/>
        <w:guid w:val="{55f96aa2-983f-4572-996d-0069b4793c6e}"/>
      </w:docPartPr>
      <w:docPartBody>
        <w:p w14:paraId="38432BAC">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86"/>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31</TotalTime>
  <ScaleCrop>false</ScaleCrop>
  <LinksUpToDate>false</LinksUpToDate>
  <CharactersWithSpaces>0</CharactersWithSpaces>
  <Application>WPS Office_12.1.23155.23155_F1E327BC-269C-435d-A152-05C5408002CA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2026-04-02T10:52:00Z</dcterms:created>
  <dc:creator>anika ayub</dc:creator>
  <cp:lastModifiedBy>anika ayub</cp:lastModifiedBy>
  <dcterms:modified xsi:type="dcterms:W3CDTF">2026-04-27T16:34:57Z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78972641F6FC929F3A31CD693A728512_41</vt:lpwstr>
  </property>
</Properties>
</file>