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sdt>
      <w:sdtPr>
        <w:rPr>
          <w:color w:val="156082" w:themeColor="accent1"/>
        </w:rPr>
        <w:id w:val="-245187577"/>
        <w:docPartObj>
          <w:docPartGallery w:val="Cover Pages"/>
          <w:docPartUnique/>
        </w:docPartObj>
      </w:sdtPr>
      <w:sdtEndPr>
        <w:rPr>
          <w:rFonts w:ascii="Calibri" w:hAnsi="Calibri" w:eastAsia="Calibri" w:cs="Calibri"/>
          <w:b/>
          <w:bCs/>
          <w:color w:val="auto"/>
          <w:lang w:val="en-GB" w:eastAsia="en-GB"/>
        </w:rPr>
      </w:sdtEndPr>
      <w:sdtContent>
        <w:p w:rsidR="00E23120" w:rsidRDefault="00E23120" w14:paraId="7FFD6313" w14:textId="4411C4A6">
          <w:pPr>
            <w:pStyle w:val="NoSpacing"/>
            <w:spacing w:before="1540" w:after="240"/>
            <w:jc w:val="center"/>
            <w:rPr>
              <w:color w:val="156082" w:themeColor="accent1"/>
            </w:rPr>
          </w:pPr>
          <w:r>
            <w:rPr>
              <w:noProof/>
              <w:color w:val="156082" w:themeColor="accent1"/>
            </w:rPr>
            <w:drawing>
              <wp:inline distT="0" distB="0" distL="0" distR="0" wp14:anchorId="74053789" wp14:editId="073072B7">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156082" w:themeColor="accent1"/>
              <w:sz w:val="48"/>
              <w:szCs w:val="48"/>
            </w:rPr>
            <w:alias w:val="Title"/>
            <w:tag w:val=""/>
            <w:id w:val="1735040861"/>
            <w:placeholder>
              <w:docPart w:val="F78C5D4B18FD3D4E84036FCDEE6826C3"/>
            </w:placeholder>
            <w:dataBinding w:prefixMappings="xmlns:ns0='http://purl.org/dc/elements/1.1/' xmlns:ns1='http://schemas.openxmlformats.org/package/2006/metadata/core-properties' " w:xpath="/ns1:coreProperties[1]/ns0:title[1]" w:storeItemID="{6C3C8BC8-F283-45AE-878A-BAB7291924A1}"/>
            <w:text/>
          </w:sdtPr>
          <w:sdtContent>
            <w:p w:rsidR="00E23120" w:rsidRDefault="00317E8C" w14:paraId="36CEC58A" w14:textId="0A91E78E">
              <w:pPr>
                <w:pStyle w:val="NoSpacing"/>
                <w:pBdr>
                  <w:top w:val="single" w:color="156082" w:themeColor="accent1" w:sz="6" w:space="6"/>
                  <w:bottom w:val="single" w:color="156082" w:themeColor="accent1" w:sz="6" w:space="6"/>
                </w:pBdr>
                <w:spacing w:after="240"/>
                <w:jc w:val="center"/>
                <w:rPr>
                  <w:rFonts w:asciiTheme="majorHAnsi" w:hAnsiTheme="majorHAnsi" w:eastAsiaTheme="majorEastAsia" w:cstheme="majorBidi"/>
                  <w:caps/>
                  <w:color w:val="156082" w:themeColor="accent1"/>
                  <w:sz w:val="80"/>
                  <w:szCs w:val="80"/>
                </w:rPr>
              </w:pPr>
              <w:r w:rsidRPr="00317E8C">
                <w:rPr>
                  <w:rFonts w:asciiTheme="majorHAnsi" w:hAnsiTheme="majorHAnsi" w:eastAsiaTheme="majorEastAsia" w:cstheme="majorBidi"/>
                  <w:caps/>
                  <w:color w:val="156082" w:themeColor="accent1"/>
                  <w:sz w:val="48"/>
                  <w:szCs w:val="48"/>
                </w:rPr>
                <w:t>FINANCIAL PERFORMANCE</w:t>
              </w:r>
              <w:r>
                <w:rPr>
                  <w:rFonts w:asciiTheme="majorHAnsi" w:hAnsiTheme="majorHAnsi" w:eastAsiaTheme="majorEastAsia" w:cstheme="majorBidi"/>
                  <w:caps/>
                  <w:color w:val="156082" w:themeColor="accent1"/>
                  <w:sz w:val="48"/>
                  <w:szCs w:val="48"/>
                </w:rPr>
                <w:t xml:space="preserve"> AND MANAGEMENT</w:t>
              </w:r>
              <w:r w:rsidR="0054712B">
                <w:rPr>
                  <w:rFonts w:asciiTheme="majorHAnsi" w:hAnsiTheme="majorHAnsi" w:eastAsiaTheme="majorEastAsia" w:cstheme="majorBidi"/>
                  <w:caps/>
                  <w:color w:val="156082" w:themeColor="accent1"/>
                  <w:sz w:val="48"/>
                  <w:szCs w:val="48"/>
                </w:rPr>
                <w:t xml:space="preserve"> 7002</w:t>
              </w:r>
            </w:p>
          </w:sdtContent>
        </w:sdt>
        <w:sdt>
          <w:sdtPr>
            <w:rPr>
              <w:color w:val="156082" w:themeColor="accent1"/>
              <w:sz w:val="48"/>
              <w:szCs w:val="48"/>
            </w:rPr>
            <w:alias w:val="Subtitle"/>
            <w:tag w:val=""/>
            <w:id w:val="328029620"/>
            <w:placeholder>
              <w:docPart w:val="BC8488FD05C5494F83C8D5148EE6D0E8"/>
            </w:placeholder>
            <w:dataBinding w:prefixMappings="xmlns:ns0='http://purl.org/dc/elements/1.1/' xmlns:ns1='http://schemas.openxmlformats.org/package/2006/metadata/core-properties' " w:xpath="/ns1:coreProperties[1]/ns0:subject[1]" w:storeItemID="{6C3C8BC8-F283-45AE-878A-BAB7291924A1}"/>
            <w:text/>
          </w:sdtPr>
          <w:sdtContent>
            <w:p w:rsidR="00E23120" w:rsidRDefault="002536A0" w14:paraId="357D1FB7" w14:textId="56B87049">
              <w:pPr>
                <w:pStyle w:val="NoSpacing"/>
                <w:jc w:val="center"/>
                <w:rPr>
                  <w:color w:val="156082" w:themeColor="accent1"/>
                  <w:sz w:val="28"/>
                  <w:szCs w:val="28"/>
                </w:rPr>
              </w:pPr>
              <w:r w:rsidRPr="002536A0">
                <w:rPr>
                  <w:color w:val="156082" w:themeColor="accent1"/>
                  <w:sz w:val="48"/>
                  <w:szCs w:val="48"/>
                </w:rPr>
                <w:t>2236502</w:t>
              </w:r>
            </w:p>
          </w:sdtContent>
        </w:sdt>
        <w:p w:rsidR="00E23120" w:rsidRDefault="00E23120" w14:paraId="1C368E7E" w14:textId="3774231E">
          <w:pPr>
            <w:pStyle w:val="NoSpacing"/>
            <w:spacing w:before="480"/>
            <w:jc w:val="center"/>
            <w:rPr>
              <w:color w:val="156082" w:themeColor="accent1"/>
            </w:rPr>
          </w:pPr>
          <w:r>
            <w:rPr>
              <w:noProof/>
              <w:color w:val="156082" w:themeColor="accent1"/>
            </w:rPr>
            <w:drawing>
              <wp:inline distT="0" distB="0" distL="0" distR="0" wp14:anchorId="33FD5677" wp14:editId="7D740CE3">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2536A0" w:rsidRDefault="00982245" w14:paraId="3013233A" w14:textId="4C6804C0">
          <w:pPr>
            <w:pStyle w:val="NoSpacing"/>
            <w:spacing w:before="480"/>
            <w:jc w:val="center"/>
            <w:rPr>
              <w:color w:val="156082" w:themeColor="accent1"/>
              <w:sz w:val="44"/>
              <w:szCs w:val="44"/>
            </w:rPr>
          </w:pPr>
          <w:r w:rsidRPr="00982245">
            <w:rPr>
              <w:color w:val="156082" w:themeColor="accent1"/>
              <w:sz w:val="44"/>
              <w:szCs w:val="44"/>
            </w:rPr>
            <w:t>PETER FRANCIS</w:t>
          </w:r>
        </w:p>
        <w:p w:rsidRPr="00982245" w:rsidR="00D92625" w:rsidRDefault="005E7038" w14:paraId="7BA30281" w14:textId="79229903">
          <w:pPr>
            <w:pStyle w:val="NoSpacing"/>
            <w:spacing w:before="480"/>
            <w:jc w:val="center"/>
            <w:rPr>
              <w:color w:val="156082" w:themeColor="accent1"/>
              <w:sz w:val="44"/>
              <w:szCs w:val="44"/>
            </w:rPr>
          </w:pPr>
          <w:r>
            <w:rPr>
              <w:color w:val="156082" w:themeColor="accent1"/>
              <w:sz w:val="44"/>
              <w:szCs w:val="44"/>
            </w:rPr>
            <w:t>TUTOR</w:t>
          </w:r>
          <w:r w:rsidR="00D92625">
            <w:rPr>
              <w:color w:val="156082" w:themeColor="accent1"/>
              <w:sz w:val="44"/>
              <w:szCs w:val="44"/>
            </w:rPr>
            <w:t>: PATRICK YEBOAH</w:t>
          </w:r>
        </w:p>
        <w:p w:rsidR="00E23120" w:rsidRDefault="00E23120" w14:paraId="51C6A0AF" w14:textId="15CD0207">
          <w:r>
            <w:rPr>
              <w:b/>
              <w:bCs/>
            </w:rPr>
            <w:br w:type="page"/>
          </w:r>
        </w:p>
      </w:sdtContent>
    </w:sdt>
    <w:sdt>
      <w:sdtPr>
        <w:id w:val="98225130"/>
        <w:docPartObj>
          <w:docPartGallery w:val="Table of Contents"/>
          <w:docPartUnique/>
        </w:docPartObj>
      </w:sdtPr>
      <w:sdtEndPr>
        <w:rPr>
          <w:rFonts w:ascii="Calibri" w:hAnsi="Calibri" w:eastAsia="Calibri" w:cs="Calibri"/>
          <w:noProof/>
          <w:color w:val="auto"/>
          <w:sz w:val="22"/>
          <w:szCs w:val="22"/>
          <w:lang w:val="en-GB" w:eastAsia="en-GB"/>
        </w:rPr>
      </w:sdtEndPr>
      <w:sdtContent>
        <w:p w:rsidR="00790E1A" w:rsidRDefault="00790E1A" w14:paraId="76B06C4C" w14:textId="23CB8554">
          <w:pPr>
            <w:pStyle w:val="TOCHeading"/>
          </w:pPr>
          <w:r>
            <w:t>Table of Contents</w:t>
          </w:r>
        </w:p>
        <w:p w:rsidR="00790E1A" w:rsidRDefault="00790E1A" w14:paraId="786EB95F" w14:textId="4A62112E">
          <w:pPr>
            <w:pStyle w:val="TOC1"/>
            <w:tabs>
              <w:tab w:val="right" w:leader="dot" w:pos="9016"/>
            </w:tabs>
            <w:rPr>
              <w:rFonts w:eastAsiaTheme="minorEastAsia" w:cstheme="minorBidi"/>
              <w:b w:val="0"/>
              <w:bCs w:val="0"/>
              <w:i/>
              <w:iCs/>
              <w:noProof/>
              <w:kern w:val="2"/>
              <w14:ligatures w14:val="standardContextual"/>
            </w:rPr>
          </w:pPr>
          <w:r>
            <w:rPr>
              <w:b w:val="0"/>
              <w:bCs w:val="0"/>
            </w:rPr>
            <w:fldChar w:fldCharType="begin"/>
          </w:r>
          <w:r>
            <w:instrText xml:space="preserve"> TOC \o "1-3" \h \z \u </w:instrText>
          </w:r>
          <w:r>
            <w:rPr>
              <w:b w:val="0"/>
              <w:bCs w:val="0"/>
            </w:rPr>
            <w:fldChar w:fldCharType="separate"/>
          </w:r>
          <w:hyperlink w:history="1" w:anchor="_Toc236251017">
            <w:r w:rsidRPr="00DD4545">
              <w:rPr>
                <w:rStyle w:val="Hyperlink"/>
                <w:noProof/>
              </w:rPr>
              <w:t>Introduction</w:t>
            </w:r>
            <w:r>
              <w:rPr>
                <w:noProof/>
                <w:webHidden/>
              </w:rPr>
              <w:tab/>
            </w:r>
            <w:r>
              <w:rPr>
                <w:noProof/>
                <w:webHidden/>
              </w:rPr>
              <w:fldChar w:fldCharType="begin"/>
            </w:r>
            <w:r>
              <w:rPr>
                <w:noProof/>
                <w:webHidden/>
              </w:rPr>
              <w:instrText xml:space="preserve"> PAGEREF _Toc236251017 \h </w:instrText>
            </w:r>
            <w:r>
              <w:rPr>
                <w:noProof/>
                <w:webHidden/>
              </w:rPr>
            </w:r>
            <w:r>
              <w:rPr>
                <w:noProof/>
                <w:webHidden/>
              </w:rPr>
              <w:fldChar w:fldCharType="separate"/>
            </w:r>
            <w:r>
              <w:rPr>
                <w:noProof/>
                <w:webHidden/>
              </w:rPr>
              <w:t>4</w:t>
            </w:r>
            <w:r>
              <w:rPr>
                <w:noProof/>
                <w:webHidden/>
              </w:rPr>
              <w:fldChar w:fldCharType="end"/>
            </w:r>
          </w:hyperlink>
        </w:p>
        <w:p w:rsidR="00790E1A" w:rsidRDefault="00790E1A" w14:paraId="4ACA6174" w14:textId="5EF3F087">
          <w:pPr>
            <w:pStyle w:val="TOC1"/>
            <w:tabs>
              <w:tab w:val="right" w:leader="dot" w:pos="9016"/>
            </w:tabs>
            <w:rPr>
              <w:rFonts w:eastAsiaTheme="minorEastAsia" w:cstheme="minorBidi"/>
              <w:b w:val="0"/>
              <w:bCs w:val="0"/>
              <w:i/>
              <w:iCs/>
              <w:noProof/>
              <w:kern w:val="2"/>
              <w14:ligatures w14:val="standardContextual"/>
            </w:rPr>
          </w:pPr>
          <w:hyperlink w:history="1" w:anchor="_Toc236251018">
            <w:r w:rsidRPr="00DD4545">
              <w:rPr>
                <w:rStyle w:val="Hyperlink"/>
                <w:noProof/>
              </w:rPr>
              <w:t>Analysis of Financial Statements (2021–2025)</w:t>
            </w:r>
            <w:r>
              <w:rPr>
                <w:noProof/>
                <w:webHidden/>
              </w:rPr>
              <w:tab/>
            </w:r>
            <w:r>
              <w:rPr>
                <w:noProof/>
                <w:webHidden/>
              </w:rPr>
              <w:fldChar w:fldCharType="begin"/>
            </w:r>
            <w:r>
              <w:rPr>
                <w:noProof/>
                <w:webHidden/>
              </w:rPr>
              <w:instrText xml:space="preserve"> PAGEREF _Toc236251018 \h </w:instrText>
            </w:r>
            <w:r>
              <w:rPr>
                <w:noProof/>
                <w:webHidden/>
              </w:rPr>
            </w:r>
            <w:r>
              <w:rPr>
                <w:noProof/>
                <w:webHidden/>
              </w:rPr>
              <w:fldChar w:fldCharType="separate"/>
            </w:r>
            <w:r>
              <w:rPr>
                <w:noProof/>
                <w:webHidden/>
              </w:rPr>
              <w:t>4</w:t>
            </w:r>
            <w:r>
              <w:rPr>
                <w:noProof/>
                <w:webHidden/>
              </w:rPr>
              <w:fldChar w:fldCharType="end"/>
            </w:r>
          </w:hyperlink>
        </w:p>
        <w:p w:rsidR="00790E1A" w:rsidRDefault="00790E1A" w14:paraId="51098737" w14:textId="1674D1AC">
          <w:pPr>
            <w:pStyle w:val="TOC1"/>
            <w:tabs>
              <w:tab w:val="right" w:leader="dot" w:pos="9016"/>
            </w:tabs>
            <w:rPr>
              <w:rFonts w:eastAsiaTheme="minorEastAsia" w:cstheme="minorBidi"/>
              <w:b w:val="0"/>
              <w:bCs w:val="0"/>
              <w:i/>
              <w:iCs/>
              <w:noProof/>
              <w:kern w:val="2"/>
              <w14:ligatures w14:val="standardContextual"/>
            </w:rPr>
          </w:pPr>
          <w:hyperlink w:history="1" w:anchor="_Toc236251019">
            <w:r w:rsidRPr="00DD4545">
              <w:rPr>
                <w:rStyle w:val="Hyperlink"/>
                <w:noProof/>
              </w:rPr>
              <w:t>Profitability Ratio Analysis</w:t>
            </w:r>
            <w:r>
              <w:rPr>
                <w:noProof/>
                <w:webHidden/>
              </w:rPr>
              <w:tab/>
            </w:r>
            <w:r>
              <w:rPr>
                <w:noProof/>
                <w:webHidden/>
              </w:rPr>
              <w:fldChar w:fldCharType="begin"/>
            </w:r>
            <w:r>
              <w:rPr>
                <w:noProof/>
                <w:webHidden/>
              </w:rPr>
              <w:instrText xml:space="preserve"> PAGEREF _Toc236251019 \h </w:instrText>
            </w:r>
            <w:r>
              <w:rPr>
                <w:noProof/>
                <w:webHidden/>
              </w:rPr>
            </w:r>
            <w:r>
              <w:rPr>
                <w:noProof/>
                <w:webHidden/>
              </w:rPr>
              <w:fldChar w:fldCharType="separate"/>
            </w:r>
            <w:r>
              <w:rPr>
                <w:noProof/>
                <w:webHidden/>
              </w:rPr>
              <w:t>6</w:t>
            </w:r>
            <w:r>
              <w:rPr>
                <w:noProof/>
                <w:webHidden/>
              </w:rPr>
              <w:fldChar w:fldCharType="end"/>
            </w:r>
          </w:hyperlink>
        </w:p>
        <w:p w:rsidR="00790E1A" w:rsidRDefault="00790E1A" w14:paraId="75952E48" w14:textId="7CDC0066">
          <w:pPr>
            <w:pStyle w:val="TOC2"/>
            <w:tabs>
              <w:tab w:val="right" w:leader="dot" w:pos="9016"/>
            </w:tabs>
            <w:rPr>
              <w:rFonts w:eastAsiaTheme="minorEastAsia" w:cstheme="minorBidi"/>
              <w:b/>
              <w:bCs/>
              <w:noProof/>
              <w:kern w:val="2"/>
              <w:sz w:val="24"/>
              <w:szCs w:val="24"/>
              <w14:ligatures w14:val="standardContextual"/>
            </w:rPr>
          </w:pPr>
          <w:hyperlink w:history="1" w:anchor="_Toc236251020">
            <w:r w:rsidRPr="00DD4545">
              <w:rPr>
                <w:rStyle w:val="Hyperlink"/>
                <w:noProof/>
              </w:rPr>
              <w:t>Gross Profit Margin</w:t>
            </w:r>
            <w:r>
              <w:rPr>
                <w:noProof/>
                <w:webHidden/>
              </w:rPr>
              <w:tab/>
            </w:r>
            <w:r>
              <w:rPr>
                <w:noProof/>
                <w:webHidden/>
              </w:rPr>
              <w:fldChar w:fldCharType="begin"/>
            </w:r>
            <w:r>
              <w:rPr>
                <w:noProof/>
                <w:webHidden/>
              </w:rPr>
              <w:instrText xml:space="preserve"> PAGEREF _Toc236251020 \h </w:instrText>
            </w:r>
            <w:r>
              <w:rPr>
                <w:noProof/>
                <w:webHidden/>
              </w:rPr>
            </w:r>
            <w:r>
              <w:rPr>
                <w:noProof/>
                <w:webHidden/>
              </w:rPr>
              <w:fldChar w:fldCharType="separate"/>
            </w:r>
            <w:r>
              <w:rPr>
                <w:noProof/>
                <w:webHidden/>
              </w:rPr>
              <w:t>6</w:t>
            </w:r>
            <w:r>
              <w:rPr>
                <w:noProof/>
                <w:webHidden/>
              </w:rPr>
              <w:fldChar w:fldCharType="end"/>
            </w:r>
          </w:hyperlink>
        </w:p>
        <w:p w:rsidR="00790E1A" w:rsidRDefault="00790E1A" w14:paraId="771D702C" w14:textId="1AAD4936">
          <w:pPr>
            <w:pStyle w:val="TOC2"/>
            <w:tabs>
              <w:tab w:val="right" w:leader="dot" w:pos="9016"/>
            </w:tabs>
            <w:rPr>
              <w:rFonts w:eastAsiaTheme="minorEastAsia" w:cstheme="minorBidi"/>
              <w:b/>
              <w:bCs/>
              <w:noProof/>
              <w:kern w:val="2"/>
              <w:sz w:val="24"/>
              <w:szCs w:val="24"/>
              <w14:ligatures w14:val="standardContextual"/>
            </w:rPr>
          </w:pPr>
          <w:hyperlink w:history="1" w:anchor="_Toc236251021">
            <w:r w:rsidRPr="00DD4545">
              <w:rPr>
                <w:rStyle w:val="Hyperlink"/>
                <w:noProof/>
              </w:rPr>
              <w:t>Operating Profit Margin</w:t>
            </w:r>
            <w:r>
              <w:rPr>
                <w:noProof/>
                <w:webHidden/>
              </w:rPr>
              <w:tab/>
            </w:r>
            <w:r>
              <w:rPr>
                <w:noProof/>
                <w:webHidden/>
              </w:rPr>
              <w:fldChar w:fldCharType="begin"/>
            </w:r>
            <w:r>
              <w:rPr>
                <w:noProof/>
                <w:webHidden/>
              </w:rPr>
              <w:instrText xml:space="preserve"> PAGEREF _Toc236251021 \h </w:instrText>
            </w:r>
            <w:r>
              <w:rPr>
                <w:noProof/>
                <w:webHidden/>
              </w:rPr>
            </w:r>
            <w:r>
              <w:rPr>
                <w:noProof/>
                <w:webHidden/>
              </w:rPr>
              <w:fldChar w:fldCharType="separate"/>
            </w:r>
            <w:r>
              <w:rPr>
                <w:noProof/>
                <w:webHidden/>
              </w:rPr>
              <w:t>6</w:t>
            </w:r>
            <w:r>
              <w:rPr>
                <w:noProof/>
                <w:webHidden/>
              </w:rPr>
              <w:fldChar w:fldCharType="end"/>
            </w:r>
          </w:hyperlink>
        </w:p>
        <w:p w:rsidR="00790E1A" w:rsidRDefault="00790E1A" w14:paraId="3F65371A" w14:textId="60DB8D11">
          <w:pPr>
            <w:pStyle w:val="TOC2"/>
            <w:tabs>
              <w:tab w:val="right" w:leader="dot" w:pos="9016"/>
            </w:tabs>
            <w:rPr>
              <w:rFonts w:eastAsiaTheme="minorEastAsia" w:cstheme="minorBidi"/>
              <w:b/>
              <w:bCs/>
              <w:noProof/>
              <w:kern w:val="2"/>
              <w:sz w:val="24"/>
              <w:szCs w:val="24"/>
              <w14:ligatures w14:val="standardContextual"/>
            </w:rPr>
          </w:pPr>
          <w:hyperlink w:history="1" w:anchor="_Toc236251022">
            <w:r w:rsidRPr="00DD4545">
              <w:rPr>
                <w:rStyle w:val="Hyperlink"/>
                <w:noProof/>
              </w:rPr>
              <w:t>Return on Capital Employed (ROCE)</w:t>
            </w:r>
            <w:r>
              <w:rPr>
                <w:noProof/>
                <w:webHidden/>
              </w:rPr>
              <w:tab/>
            </w:r>
            <w:r>
              <w:rPr>
                <w:noProof/>
                <w:webHidden/>
              </w:rPr>
              <w:fldChar w:fldCharType="begin"/>
            </w:r>
            <w:r>
              <w:rPr>
                <w:noProof/>
                <w:webHidden/>
              </w:rPr>
              <w:instrText xml:space="preserve"> PAGEREF _Toc236251022 \h </w:instrText>
            </w:r>
            <w:r>
              <w:rPr>
                <w:noProof/>
                <w:webHidden/>
              </w:rPr>
            </w:r>
            <w:r>
              <w:rPr>
                <w:noProof/>
                <w:webHidden/>
              </w:rPr>
              <w:fldChar w:fldCharType="separate"/>
            </w:r>
            <w:r>
              <w:rPr>
                <w:noProof/>
                <w:webHidden/>
              </w:rPr>
              <w:t>7</w:t>
            </w:r>
            <w:r>
              <w:rPr>
                <w:noProof/>
                <w:webHidden/>
              </w:rPr>
              <w:fldChar w:fldCharType="end"/>
            </w:r>
          </w:hyperlink>
        </w:p>
        <w:p w:rsidR="00790E1A" w:rsidRDefault="00790E1A" w14:paraId="28FFC8AC" w14:textId="1493D0F5">
          <w:pPr>
            <w:pStyle w:val="TOC1"/>
            <w:tabs>
              <w:tab w:val="right" w:leader="dot" w:pos="9016"/>
            </w:tabs>
            <w:rPr>
              <w:rFonts w:eastAsiaTheme="minorEastAsia" w:cstheme="minorBidi"/>
              <w:b w:val="0"/>
              <w:bCs w:val="0"/>
              <w:i/>
              <w:iCs/>
              <w:noProof/>
              <w:kern w:val="2"/>
              <w14:ligatures w14:val="standardContextual"/>
            </w:rPr>
          </w:pPr>
          <w:hyperlink w:history="1" w:anchor="_Toc236251023">
            <w:r w:rsidRPr="00DD4545">
              <w:rPr>
                <w:rStyle w:val="Hyperlink"/>
                <w:noProof/>
              </w:rPr>
              <w:t>Efficiency Ratio Analysis</w:t>
            </w:r>
            <w:r>
              <w:rPr>
                <w:noProof/>
                <w:webHidden/>
              </w:rPr>
              <w:tab/>
            </w:r>
            <w:r>
              <w:rPr>
                <w:noProof/>
                <w:webHidden/>
              </w:rPr>
              <w:fldChar w:fldCharType="begin"/>
            </w:r>
            <w:r>
              <w:rPr>
                <w:noProof/>
                <w:webHidden/>
              </w:rPr>
              <w:instrText xml:space="preserve"> PAGEREF _Toc236251023 \h </w:instrText>
            </w:r>
            <w:r>
              <w:rPr>
                <w:noProof/>
                <w:webHidden/>
              </w:rPr>
            </w:r>
            <w:r>
              <w:rPr>
                <w:noProof/>
                <w:webHidden/>
              </w:rPr>
              <w:fldChar w:fldCharType="separate"/>
            </w:r>
            <w:r>
              <w:rPr>
                <w:noProof/>
                <w:webHidden/>
              </w:rPr>
              <w:t>7</w:t>
            </w:r>
            <w:r>
              <w:rPr>
                <w:noProof/>
                <w:webHidden/>
              </w:rPr>
              <w:fldChar w:fldCharType="end"/>
            </w:r>
          </w:hyperlink>
        </w:p>
        <w:p w:rsidR="00790E1A" w:rsidRDefault="00790E1A" w14:paraId="77C23B5C" w14:textId="4B72A696">
          <w:pPr>
            <w:pStyle w:val="TOC2"/>
            <w:tabs>
              <w:tab w:val="right" w:leader="dot" w:pos="9016"/>
            </w:tabs>
            <w:rPr>
              <w:rFonts w:eastAsiaTheme="minorEastAsia" w:cstheme="minorBidi"/>
              <w:b/>
              <w:bCs/>
              <w:noProof/>
              <w:kern w:val="2"/>
              <w:sz w:val="24"/>
              <w:szCs w:val="24"/>
              <w14:ligatures w14:val="standardContextual"/>
            </w:rPr>
          </w:pPr>
          <w:hyperlink w:history="1" w:anchor="_Toc236251024">
            <w:r w:rsidRPr="00DD4545">
              <w:rPr>
                <w:rStyle w:val="Hyperlink"/>
                <w:noProof/>
              </w:rPr>
              <w:t>Asset Turnover Ratio</w:t>
            </w:r>
            <w:r>
              <w:rPr>
                <w:noProof/>
                <w:webHidden/>
              </w:rPr>
              <w:tab/>
            </w:r>
            <w:r>
              <w:rPr>
                <w:noProof/>
                <w:webHidden/>
              </w:rPr>
              <w:fldChar w:fldCharType="begin"/>
            </w:r>
            <w:r>
              <w:rPr>
                <w:noProof/>
                <w:webHidden/>
              </w:rPr>
              <w:instrText xml:space="preserve"> PAGEREF _Toc236251024 \h </w:instrText>
            </w:r>
            <w:r>
              <w:rPr>
                <w:noProof/>
                <w:webHidden/>
              </w:rPr>
            </w:r>
            <w:r>
              <w:rPr>
                <w:noProof/>
                <w:webHidden/>
              </w:rPr>
              <w:fldChar w:fldCharType="separate"/>
            </w:r>
            <w:r>
              <w:rPr>
                <w:noProof/>
                <w:webHidden/>
              </w:rPr>
              <w:t>8</w:t>
            </w:r>
            <w:r>
              <w:rPr>
                <w:noProof/>
                <w:webHidden/>
              </w:rPr>
              <w:fldChar w:fldCharType="end"/>
            </w:r>
          </w:hyperlink>
        </w:p>
        <w:p w:rsidR="00790E1A" w:rsidRDefault="00790E1A" w14:paraId="716C2032" w14:textId="7232BA74">
          <w:pPr>
            <w:pStyle w:val="TOC2"/>
            <w:tabs>
              <w:tab w:val="right" w:leader="dot" w:pos="9016"/>
            </w:tabs>
            <w:rPr>
              <w:rFonts w:eastAsiaTheme="minorEastAsia" w:cstheme="minorBidi"/>
              <w:b/>
              <w:bCs/>
              <w:noProof/>
              <w:kern w:val="2"/>
              <w:sz w:val="24"/>
              <w:szCs w:val="24"/>
              <w14:ligatures w14:val="standardContextual"/>
            </w:rPr>
          </w:pPr>
          <w:hyperlink w:history="1" w:anchor="_Toc236251025">
            <w:r w:rsidRPr="00DD4545">
              <w:rPr>
                <w:rStyle w:val="Hyperlink"/>
                <w:noProof/>
              </w:rPr>
              <w:t>Receivables Collection Period</w:t>
            </w:r>
            <w:r>
              <w:rPr>
                <w:noProof/>
                <w:webHidden/>
              </w:rPr>
              <w:tab/>
            </w:r>
            <w:r>
              <w:rPr>
                <w:noProof/>
                <w:webHidden/>
              </w:rPr>
              <w:fldChar w:fldCharType="begin"/>
            </w:r>
            <w:r>
              <w:rPr>
                <w:noProof/>
                <w:webHidden/>
              </w:rPr>
              <w:instrText xml:space="preserve"> PAGEREF _Toc236251025 \h </w:instrText>
            </w:r>
            <w:r>
              <w:rPr>
                <w:noProof/>
                <w:webHidden/>
              </w:rPr>
            </w:r>
            <w:r>
              <w:rPr>
                <w:noProof/>
                <w:webHidden/>
              </w:rPr>
              <w:fldChar w:fldCharType="separate"/>
            </w:r>
            <w:r>
              <w:rPr>
                <w:noProof/>
                <w:webHidden/>
              </w:rPr>
              <w:t>8</w:t>
            </w:r>
            <w:r>
              <w:rPr>
                <w:noProof/>
                <w:webHidden/>
              </w:rPr>
              <w:fldChar w:fldCharType="end"/>
            </w:r>
          </w:hyperlink>
        </w:p>
        <w:p w:rsidR="00790E1A" w:rsidRDefault="00790E1A" w14:paraId="5C1C0E08" w14:textId="56B0F55C">
          <w:pPr>
            <w:pStyle w:val="TOC2"/>
            <w:tabs>
              <w:tab w:val="right" w:leader="dot" w:pos="9016"/>
            </w:tabs>
            <w:rPr>
              <w:rFonts w:eastAsiaTheme="minorEastAsia" w:cstheme="minorBidi"/>
              <w:b/>
              <w:bCs/>
              <w:noProof/>
              <w:kern w:val="2"/>
              <w:sz w:val="24"/>
              <w:szCs w:val="24"/>
              <w14:ligatures w14:val="standardContextual"/>
            </w:rPr>
          </w:pPr>
          <w:hyperlink w:history="1" w:anchor="_Toc236251026">
            <w:r w:rsidRPr="00DD4545">
              <w:rPr>
                <w:rStyle w:val="Hyperlink"/>
                <w:noProof/>
              </w:rPr>
              <w:t>Payables Payment Period</w:t>
            </w:r>
            <w:r>
              <w:rPr>
                <w:noProof/>
                <w:webHidden/>
              </w:rPr>
              <w:tab/>
            </w:r>
            <w:r>
              <w:rPr>
                <w:noProof/>
                <w:webHidden/>
              </w:rPr>
              <w:fldChar w:fldCharType="begin"/>
            </w:r>
            <w:r>
              <w:rPr>
                <w:noProof/>
                <w:webHidden/>
              </w:rPr>
              <w:instrText xml:space="preserve"> PAGEREF _Toc236251026 \h </w:instrText>
            </w:r>
            <w:r>
              <w:rPr>
                <w:noProof/>
                <w:webHidden/>
              </w:rPr>
            </w:r>
            <w:r>
              <w:rPr>
                <w:noProof/>
                <w:webHidden/>
              </w:rPr>
              <w:fldChar w:fldCharType="separate"/>
            </w:r>
            <w:r>
              <w:rPr>
                <w:noProof/>
                <w:webHidden/>
              </w:rPr>
              <w:t>8</w:t>
            </w:r>
            <w:r>
              <w:rPr>
                <w:noProof/>
                <w:webHidden/>
              </w:rPr>
              <w:fldChar w:fldCharType="end"/>
            </w:r>
          </w:hyperlink>
        </w:p>
        <w:p w:rsidR="00790E1A" w:rsidRDefault="00790E1A" w14:paraId="3B532A17" w14:textId="6C62267F">
          <w:pPr>
            <w:pStyle w:val="TOC1"/>
            <w:tabs>
              <w:tab w:val="right" w:leader="dot" w:pos="9016"/>
            </w:tabs>
            <w:rPr>
              <w:rFonts w:eastAsiaTheme="minorEastAsia" w:cstheme="minorBidi"/>
              <w:b w:val="0"/>
              <w:bCs w:val="0"/>
              <w:i/>
              <w:iCs/>
              <w:noProof/>
              <w:kern w:val="2"/>
              <w14:ligatures w14:val="standardContextual"/>
            </w:rPr>
          </w:pPr>
          <w:hyperlink w:history="1" w:anchor="_Toc236251027">
            <w:r w:rsidRPr="00DD4545">
              <w:rPr>
                <w:rStyle w:val="Hyperlink"/>
                <w:noProof/>
              </w:rPr>
              <w:t>Gearing Ratio Analysis</w:t>
            </w:r>
            <w:r>
              <w:rPr>
                <w:noProof/>
                <w:webHidden/>
              </w:rPr>
              <w:tab/>
            </w:r>
            <w:r>
              <w:rPr>
                <w:noProof/>
                <w:webHidden/>
              </w:rPr>
              <w:fldChar w:fldCharType="begin"/>
            </w:r>
            <w:r>
              <w:rPr>
                <w:noProof/>
                <w:webHidden/>
              </w:rPr>
              <w:instrText xml:space="preserve"> PAGEREF _Toc236251027 \h </w:instrText>
            </w:r>
            <w:r>
              <w:rPr>
                <w:noProof/>
                <w:webHidden/>
              </w:rPr>
            </w:r>
            <w:r>
              <w:rPr>
                <w:noProof/>
                <w:webHidden/>
              </w:rPr>
              <w:fldChar w:fldCharType="separate"/>
            </w:r>
            <w:r>
              <w:rPr>
                <w:noProof/>
                <w:webHidden/>
              </w:rPr>
              <w:t>9</w:t>
            </w:r>
            <w:r>
              <w:rPr>
                <w:noProof/>
                <w:webHidden/>
              </w:rPr>
              <w:fldChar w:fldCharType="end"/>
            </w:r>
          </w:hyperlink>
        </w:p>
        <w:p w:rsidR="00790E1A" w:rsidRDefault="00790E1A" w14:paraId="00827E64" w14:textId="1D335A00">
          <w:pPr>
            <w:pStyle w:val="TOC2"/>
            <w:tabs>
              <w:tab w:val="right" w:leader="dot" w:pos="9016"/>
            </w:tabs>
            <w:rPr>
              <w:rFonts w:eastAsiaTheme="minorEastAsia" w:cstheme="minorBidi"/>
              <w:b/>
              <w:bCs/>
              <w:noProof/>
              <w:kern w:val="2"/>
              <w:sz w:val="24"/>
              <w:szCs w:val="24"/>
              <w14:ligatures w14:val="standardContextual"/>
            </w:rPr>
          </w:pPr>
          <w:hyperlink w:history="1" w:anchor="_Toc236251028">
            <w:r w:rsidRPr="00DD4545">
              <w:rPr>
                <w:rStyle w:val="Hyperlink"/>
                <w:noProof/>
              </w:rPr>
              <w:t>Debt-to-Equity Ratio</w:t>
            </w:r>
            <w:r>
              <w:rPr>
                <w:noProof/>
                <w:webHidden/>
              </w:rPr>
              <w:tab/>
            </w:r>
            <w:r>
              <w:rPr>
                <w:noProof/>
                <w:webHidden/>
              </w:rPr>
              <w:fldChar w:fldCharType="begin"/>
            </w:r>
            <w:r>
              <w:rPr>
                <w:noProof/>
                <w:webHidden/>
              </w:rPr>
              <w:instrText xml:space="preserve"> PAGEREF _Toc236251028 \h </w:instrText>
            </w:r>
            <w:r>
              <w:rPr>
                <w:noProof/>
                <w:webHidden/>
              </w:rPr>
            </w:r>
            <w:r>
              <w:rPr>
                <w:noProof/>
                <w:webHidden/>
              </w:rPr>
              <w:fldChar w:fldCharType="separate"/>
            </w:r>
            <w:r>
              <w:rPr>
                <w:noProof/>
                <w:webHidden/>
              </w:rPr>
              <w:t>9</w:t>
            </w:r>
            <w:r>
              <w:rPr>
                <w:noProof/>
                <w:webHidden/>
              </w:rPr>
              <w:fldChar w:fldCharType="end"/>
            </w:r>
          </w:hyperlink>
        </w:p>
        <w:p w:rsidR="00790E1A" w:rsidRDefault="00790E1A" w14:paraId="29376120" w14:textId="4F062000">
          <w:pPr>
            <w:pStyle w:val="TOC2"/>
            <w:tabs>
              <w:tab w:val="right" w:leader="dot" w:pos="9016"/>
            </w:tabs>
            <w:rPr>
              <w:rFonts w:eastAsiaTheme="minorEastAsia" w:cstheme="minorBidi"/>
              <w:b/>
              <w:bCs/>
              <w:noProof/>
              <w:kern w:val="2"/>
              <w:sz w:val="24"/>
              <w:szCs w:val="24"/>
              <w14:ligatures w14:val="standardContextual"/>
            </w:rPr>
          </w:pPr>
          <w:hyperlink w:history="1" w:anchor="_Toc236251029">
            <w:r w:rsidRPr="00DD4545">
              <w:rPr>
                <w:rStyle w:val="Hyperlink"/>
                <w:noProof/>
              </w:rPr>
              <w:t>Interest Cover Ratio</w:t>
            </w:r>
            <w:r>
              <w:rPr>
                <w:noProof/>
                <w:webHidden/>
              </w:rPr>
              <w:tab/>
            </w:r>
            <w:r>
              <w:rPr>
                <w:noProof/>
                <w:webHidden/>
              </w:rPr>
              <w:fldChar w:fldCharType="begin"/>
            </w:r>
            <w:r>
              <w:rPr>
                <w:noProof/>
                <w:webHidden/>
              </w:rPr>
              <w:instrText xml:space="preserve"> PAGEREF _Toc236251029 \h </w:instrText>
            </w:r>
            <w:r>
              <w:rPr>
                <w:noProof/>
                <w:webHidden/>
              </w:rPr>
            </w:r>
            <w:r>
              <w:rPr>
                <w:noProof/>
                <w:webHidden/>
              </w:rPr>
              <w:fldChar w:fldCharType="separate"/>
            </w:r>
            <w:r>
              <w:rPr>
                <w:noProof/>
                <w:webHidden/>
              </w:rPr>
              <w:t>10</w:t>
            </w:r>
            <w:r>
              <w:rPr>
                <w:noProof/>
                <w:webHidden/>
              </w:rPr>
              <w:fldChar w:fldCharType="end"/>
            </w:r>
          </w:hyperlink>
        </w:p>
        <w:p w:rsidR="00790E1A" w:rsidRDefault="00790E1A" w14:paraId="4C95D534" w14:textId="47AB2838">
          <w:pPr>
            <w:pStyle w:val="TOC1"/>
            <w:tabs>
              <w:tab w:val="right" w:leader="dot" w:pos="9016"/>
            </w:tabs>
            <w:rPr>
              <w:rFonts w:eastAsiaTheme="minorEastAsia" w:cstheme="minorBidi"/>
              <w:b w:val="0"/>
              <w:bCs w:val="0"/>
              <w:i/>
              <w:iCs/>
              <w:noProof/>
              <w:kern w:val="2"/>
              <w14:ligatures w14:val="standardContextual"/>
            </w:rPr>
          </w:pPr>
          <w:hyperlink w:history="1" w:anchor="_Toc236251030">
            <w:r w:rsidRPr="00DD4545">
              <w:rPr>
                <w:rStyle w:val="Hyperlink"/>
                <w:noProof/>
              </w:rPr>
              <w:t>Investment Ratio Analysis</w:t>
            </w:r>
            <w:r>
              <w:rPr>
                <w:noProof/>
                <w:webHidden/>
              </w:rPr>
              <w:tab/>
            </w:r>
            <w:r>
              <w:rPr>
                <w:noProof/>
                <w:webHidden/>
              </w:rPr>
              <w:fldChar w:fldCharType="begin"/>
            </w:r>
            <w:r>
              <w:rPr>
                <w:noProof/>
                <w:webHidden/>
              </w:rPr>
              <w:instrText xml:space="preserve"> PAGEREF _Toc236251030 \h </w:instrText>
            </w:r>
            <w:r>
              <w:rPr>
                <w:noProof/>
                <w:webHidden/>
              </w:rPr>
            </w:r>
            <w:r>
              <w:rPr>
                <w:noProof/>
                <w:webHidden/>
              </w:rPr>
              <w:fldChar w:fldCharType="separate"/>
            </w:r>
            <w:r>
              <w:rPr>
                <w:noProof/>
                <w:webHidden/>
              </w:rPr>
              <w:t>10</w:t>
            </w:r>
            <w:r>
              <w:rPr>
                <w:noProof/>
                <w:webHidden/>
              </w:rPr>
              <w:fldChar w:fldCharType="end"/>
            </w:r>
          </w:hyperlink>
        </w:p>
        <w:p w:rsidR="00790E1A" w:rsidRDefault="00790E1A" w14:paraId="2B21034C" w14:textId="11EFB600">
          <w:pPr>
            <w:pStyle w:val="TOC2"/>
            <w:tabs>
              <w:tab w:val="right" w:leader="dot" w:pos="9016"/>
            </w:tabs>
            <w:rPr>
              <w:rFonts w:eastAsiaTheme="minorEastAsia" w:cstheme="minorBidi"/>
              <w:b/>
              <w:bCs/>
              <w:noProof/>
              <w:kern w:val="2"/>
              <w:sz w:val="24"/>
              <w:szCs w:val="24"/>
              <w14:ligatures w14:val="standardContextual"/>
            </w:rPr>
          </w:pPr>
          <w:hyperlink w:history="1" w:anchor="_Toc236251031">
            <w:r w:rsidRPr="00DD4545">
              <w:rPr>
                <w:rStyle w:val="Hyperlink"/>
                <w:noProof/>
              </w:rPr>
              <w:t>Earnings Per Share (EPS)</w:t>
            </w:r>
            <w:r>
              <w:rPr>
                <w:noProof/>
                <w:webHidden/>
              </w:rPr>
              <w:tab/>
            </w:r>
            <w:r>
              <w:rPr>
                <w:noProof/>
                <w:webHidden/>
              </w:rPr>
              <w:fldChar w:fldCharType="begin"/>
            </w:r>
            <w:r>
              <w:rPr>
                <w:noProof/>
                <w:webHidden/>
              </w:rPr>
              <w:instrText xml:space="preserve"> PAGEREF _Toc236251031 \h </w:instrText>
            </w:r>
            <w:r>
              <w:rPr>
                <w:noProof/>
                <w:webHidden/>
              </w:rPr>
            </w:r>
            <w:r>
              <w:rPr>
                <w:noProof/>
                <w:webHidden/>
              </w:rPr>
              <w:fldChar w:fldCharType="separate"/>
            </w:r>
            <w:r>
              <w:rPr>
                <w:noProof/>
                <w:webHidden/>
              </w:rPr>
              <w:t>11</w:t>
            </w:r>
            <w:r>
              <w:rPr>
                <w:noProof/>
                <w:webHidden/>
              </w:rPr>
              <w:fldChar w:fldCharType="end"/>
            </w:r>
          </w:hyperlink>
        </w:p>
        <w:p w:rsidR="00790E1A" w:rsidRDefault="00790E1A" w14:paraId="2C883CD9" w14:textId="2BCD90E1">
          <w:pPr>
            <w:pStyle w:val="TOC2"/>
            <w:tabs>
              <w:tab w:val="right" w:leader="dot" w:pos="9016"/>
            </w:tabs>
            <w:rPr>
              <w:rFonts w:eastAsiaTheme="minorEastAsia" w:cstheme="minorBidi"/>
              <w:b/>
              <w:bCs/>
              <w:noProof/>
              <w:kern w:val="2"/>
              <w:sz w:val="24"/>
              <w:szCs w:val="24"/>
              <w14:ligatures w14:val="standardContextual"/>
            </w:rPr>
          </w:pPr>
          <w:hyperlink w:history="1" w:anchor="_Toc236251032">
            <w:r w:rsidRPr="00DD4545">
              <w:rPr>
                <w:rStyle w:val="Hyperlink"/>
                <w:noProof/>
              </w:rPr>
              <w:t>Dividend Per Share</w:t>
            </w:r>
            <w:r>
              <w:rPr>
                <w:noProof/>
                <w:webHidden/>
              </w:rPr>
              <w:tab/>
            </w:r>
            <w:r>
              <w:rPr>
                <w:noProof/>
                <w:webHidden/>
              </w:rPr>
              <w:fldChar w:fldCharType="begin"/>
            </w:r>
            <w:r>
              <w:rPr>
                <w:noProof/>
                <w:webHidden/>
              </w:rPr>
              <w:instrText xml:space="preserve"> PAGEREF _Toc236251032 \h </w:instrText>
            </w:r>
            <w:r>
              <w:rPr>
                <w:noProof/>
                <w:webHidden/>
              </w:rPr>
            </w:r>
            <w:r>
              <w:rPr>
                <w:noProof/>
                <w:webHidden/>
              </w:rPr>
              <w:fldChar w:fldCharType="separate"/>
            </w:r>
            <w:r>
              <w:rPr>
                <w:noProof/>
                <w:webHidden/>
              </w:rPr>
              <w:t>11</w:t>
            </w:r>
            <w:r>
              <w:rPr>
                <w:noProof/>
                <w:webHidden/>
              </w:rPr>
              <w:fldChar w:fldCharType="end"/>
            </w:r>
          </w:hyperlink>
        </w:p>
        <w:p w:rsidR="00790E1A" w:rsidRDefault="00790E1A" w14:paraId="01931A31" w14:textId="7A1935A7">
          <w:pPr>
            <w:pStyle w:val="TOC2"/>
            <w:tabs>
              <w:tab w:val="right" w:leader="dot" w:pos="9016"/>
            </w:tabs>
            <w:rPr>
              <w:rFonts w:eastAsiaTheme="minorEastAsia" w:cstheme="minorBidi"/>
              <w:b/>
              <w:bCs/>
              <w:noProof/>
              <w:kern w:val="2"/>
              <w:sz w:val="24"/>
              <w:szCs w:val="24"/>
              <w14:ligatures w14:val="standardContextual"/>
            </w:rPr>
          </w:pPr>
          <w:hyperlink w:history="1" w:anchor="_Toc236251033">
            <w:r w:rsidRPr="00DD4545">
              <w:rPr>
                <w:rStyle w:val="Hyperlink"/>
                <w:noProof/>
              </w:rPr>
              <w:t>Cash Flow Analysis</w:t>
            </w:r>
            <w:r>
              <w:rPr>
                <w:noProof/>
                <w:webHidden/>
              </w:rPr>
              <w:tab/>
            </w:r>
            <w:r>
              <w:rPr>
                <w:noProof/>
                <w:webHidden/>
              </w:rPr>
              <w:fldChar w:fldCharType="begin"/>
            </w:r>
            <w:r>
              <w:rPr>
                <w:noProof/>
                <w:webHidden/>
              </w:rPr>
              <w:instrText xml:space="preserve"> PAGEREF _Toc236251033 \h </w:instrText>
            </w:r>
            <w:r>
              <w:rPr>
                <w:noProof/>
                <w:webHidden/>
              </w:rPr>
            </w:r>
            <w:r>
              <w:rPr>
                <w:noProof/>
                <w:webHidden/>
              </w:rPr>
              <w:fldChar w:fldCharType="separate"/>
            </w:r>
            <w:r>
              <w:rPr>
                <w:noProof/>
                <w:webHidden/>
              </w:rPr>
              <w:t>11</w:t>
            </w:r>
            <w:r>
              <w:rPr>
                <w:noProof/>
                <w:webHidden/>
              </w:rPr>
              <w:fldChar w:fldCharType="end"/>
            </w:r>
          </w:hyperlink>
        </w:p>
        <w:p w:rsidR="00790E1A" w:rsidRDefault="00790E1A" w14:paraId="0360769D" w14:textId="216F2BF4">
          <w:pPr>
            <w:pStyle w:val="TOC1"/>
            <w:tabs>
              <w:tab w:val="right" w:leader="dot" w:pos="9016"/>
            </w:tabs>
            <w:rPr>
              <w:rFonts w:eastAsiaTheme="minorEastAsia" w:cstheme="minorBidi"/>
              <w:b w:val="0"/>
              <w:bCs w:val="0"/>
              <w:i/>
              <w:iCs/>
              <w:noProof/>
              <w:kern w:val="2"/>
              <w14:ligatures w14:val="standardContextual"/>
            </w:rPr>
          </w:pPr>
          <w:hyperlink w:history="1" w:anchor="_Toc236251034">
            <w:r w:rsidRPr="00DD4545">
              <w:rPr>
                <w:rStyle w:val="Hyperlink"/>
                <w:noProof/>
              </w:rPr>
              <w:t>Trends, Strengths and Potential Threats</w:t>
            </w:r>
            <w:r>
              <w:rPr>
                <w:noProof/>
                <w:webHidden/>
              </w:rPr>
              <w:tab/>
            </w:r>
            <w:r>
              <w:rPr>
                <w:noProof/>
                <w:webHidden/>
              </w:rPr>
              <w:fldChar w:fldCharType="begin"/>
            </w:r>
            <w:r>
              <w:rPr>
                <w:noProof/>
                <w:webHidden/>
              </w:rPr>
              <w:instrText xml:space="preserve"> PAGEREF _Toc236251034 \h </w:instrText>
            </w:r>
            <w:r>
              <w:rPr>
                <w:noProof/>
                <w:webHidden/>
              </w:rPr>
            </w:r>
            <w:r>
              <w:rPr>
                <w:noProof/>
                <w:webHidden/>
              </w:rPr>
              <w:fldChar w:fldCharType="separate"/>
            </w:r>
            <w:r>
              <w:rPr>
                <w:noProof/>
                <w:webHidden/>
              </w:rPr>
              <w:t>12</w:t>
            </w:r>
            <w:r>
              <w:rPr>
                <w:noProof/>
                <w:webHidden/>
              </w:rPr>
              <w:fldChar w:fldCharType="end"/>
            </w:r>
          </w:hyperlink>
        </w:p>
        <w:p w:rsidR="00790E1A" w:rsidRDefault="00790E1A" w14:paraId="26B309FA" w14:textId="37278444">
          <w:pPr>
            <w:pStyle w:val="TOC1"/>
            <w:tabs>
              <w:tab w:val="right" w:leader="dot" w:pos="9016"/>
            </w:tabs>
            <w:rPr>
              <w:rFonts w:eastAsiaTheme="minorEastAsia" w:cstheme="minorBidi"/>
              <w:b w:val="0"/>
              <w:bCs w:val="0"/>
              <w:i/>
              <w:iCs/>
              <w:noProof/>
              <w:kern w:val="2"/>
              <w14:ligatures w14:val="standardContextual"/>
            </w:rPr>
          </w:pPr>
          <w:hyperlink w:history="1" w:anchor="_Toc236251035">
            <w:r w:rsidRPr="00DD4545">
              <w:rPr>
                <w:rStyle w:val="Hyperlink"/>
                <w:noProof/>
              </w:rPr>
              <w:t>Management Analysis</w:t>
            </w:r>
            <w:r>
              <w:rPr>
                <w:noProof/>
                <w:webHidden/>
              </w:rPr>
              <w:tab/>
            </w:r>
            <w:r>
              <w:rPr>
                <w:noProof/>
                <w:webHidden/>
              </w:rPr>
              <w:fldChar w:fldCharType="begin"/>
            </w:r>
            <w:r>
              <w:rPr>
                <w:noProof/>
                <w:webHidden/>
              </w:rPr>
              <w:instrText xml:space="preserve"> PAGEREF _Toc236251035 \h </w:instrText>
            </w:r>
            <w:r>
              <w:rPr>
                <w:noProof/>
                <w:webHidden/>
              </w:rPr>
            </w:r>
            <w:r>
              <w:rPr>
                <w:noProof/>
                <w:webHidden/>
              </w:rPr>
              <w:fldChar w:fldCharType="separate"/>
            </w:r>
            <w:r>
              <w:rPr>
                <w:noProof/>
                <w:webHidden/>
              </w:rPr>
              <w:t>12</w:t>
            </w:r>
            <w:r>
              <w:rPr>
                <w:noProof/>
                <w:webHidden/>
              </w:rPr>
              <w:fldChar w:fldCharType="end"/>
            </w:r>
          </w:hyperlink>
        </w:p>
        <w:p w:rsidR="00790E1A" w:rsidRDefault="00790E1A" w14:paraId="3D928FDA" w14:textId="5285A28A">
          <w:pPr>
            <w:pStyle w:val="TOC2"/>
            <w:tabs>
              <w:tab w:val="right" w:leader="dot" w:pos="9016"/>
            </w:tabs>
            <w:rPr>
              <w:rFonts w:eastAsiaTheme="minorEastAsia" w:cstheme="minorBidi"/>
              <w:b/>
              <w:bCs/>
              <w:noProof/>
              <w:kern w:val="2"/>
              <w:sz w:val="24"/>
              <w:szCs w:val="24"/>
              <w14:ligatures w14:val="standardContextual"/>
            </w:rPr>
          </w:pPr>
          <w:hyperlink w:history="1" w:anchor="_Toc236251036">
            <w:r w:rsidRPr="00DD4545">
              <w:rPr>
                <w:rStyle w:val="Hyperlink"/>
                <w:rFonts w:ascii="Arial" w:hAnsi="Arial" w:cs="Arial"/>
                <w:noProof/>
              </w:rPr>
              <w:t>Assessing Whitbread's Cash Operating Cycle</w:t>
            </w:r>
            <w:r>
              <w:rPr>
                <w:noProof/>
                <w:webHidden/>
              </w:rPr>
              <w:tab/>
            </w:r>
            <w:r>
              <w:rPr>
                <w:noProof/>
                <w:webHidden/>
              </w:rPr>
              <w:fldChar w:fldCharType="begin"/>
            </w:r>
            <w:r>
              <w:rPr>
                <w:noProof/>
                <w:webHidden/>
              </w:rPr>
              <w:instrText xml:space="preserve"> PAGEREF _Toc236251036 \h </w:instrText>
            </w:r>
            <w:r>
              <w:rPr>
                <w:noProof/>
                <w:webHidden/>
              </w:rPr>
            </w:r>
            <w:r>
              <w:rPr>
                <w:noProof/>
                <w:webHidden/>
              </w:rPr>
              <w:fldChar w:fldCharType="separate"/>
            </w:r>
            <w:r>
              <w:rPr>
                <w:noProof/>
                <w:webHidden/>
              </w:rPr>
              <w:t>12</w:t>
            </w:r>
            <w:r>
              <w:rPr>
                <w:noProof/>
                <w:webHidden/>
              </w:rPr>
              <w:fldChar w:fldCharType="end"/>
            </w:r>
          </w:hyperlink>
        </w:p>
        <w:p w:rsidR="00790E1A" w:rsidRDefault="00790E1A" w14:paraId="3AA58017" w14:textId="453AB03D">
          <w:pPr>
            <w:pStyle w:val="TOC1"/>
            <w:tabs>
              <w:tab w:val="right" w:leader="dot" w:pos="9016"/>
            </w:tabs>
            <w:rPr>
              <w:rFonts w:eastAsiaTheme="minorEastAsia" w:cstheme="minorBidi"/>
              <w:b w:val="0"/>
              <w:bCs w:val="0"/>
              <w:i/>
              <w:iCs/>
              <w:noProof/>
              <w:kern w:val="2"/>
              <w14:ligatures w14:val="standardContextual"/>
            </w:rPr>
          </w:pPr>
          <w:hyperlink w:history="1" w:anchor="_Toc236251037">
            <w:r w:rsidRPr="00DD4545">
              <w:rPr>
                <w:rStyle w:val="Hyperlink"/>
                <w:noProof/>
              </w:rPr>
              <w:t>Strategies to Improve Liquidity Through Working Capital Reforms</w:t>
            </w:r>
            <w:r>
              <w:rPr>
                <w:noProof/>
                <w:webHidden/>
              </w:rPr>
              <w:tab/>
            </w:r>
            <w:r>
              <w:rPr>
                <w:noProof/>
                <w:webHidden/>
              </w:rPr>
              <w:fldChar w:fldCharType="begin"/>
            </w:r>
            <w:r>
              <w:rPr>
                <w:noProof/>
                <w:webHidden/>
              </w:rPr>
              <w:instrText xml:space="preserve"> PAGEREF _Toc236251037 \h </w:instrText>
            </w:r>
            <w:r>
              <w:rPr>
                <w:noProof/>
                <w:webHidden/>
              </w:rPr>
            </w:r>
            <w:r>
              <w:rPr>
                <w:noProof/>
                <w:webHidden/>
              </w:rPr>
              <w:fldChar w:fldCharType="separate"/>
            </w:r>
            <w:r>
              <w:rPr>
                <w:noProof/>
                <w:webHidden/>
              </w:rPr>
              <w:t>13</w:t>
            </w:r>
            <w:r>
              <w:rPr>
                <w:noProof/>
                <w:webHidden/>
              </w:rPr>
              <w:fldChar w:fldCharType="end"/>
            </w:r>
          </w:hyperlink>
        </w:p>
        <w:p w:rsidR="00790E1A" w:rsidRDefault="00790E1A" w14:paraId="7A2FC513" w14:textId="365A754F">
          <w:pPr>
            <w:pStyle w:val="TOC1"/>
            <w:tabs>
              <w:tab w:val="right" w:leader="dot" w:pos="9016"/>
            </w:tabs>
            <w:rPr>
              <w:rFonts w:eastAsiaTheme="minorEastAsia" w:cstheme="minorBidi"/>
              <w:b w:val="0"/>
              <w:bCs w:val="0"/>
              <w:i/>
              <w:iCs/>
              <w:noProof/>
              <w:kern w:val="2"/>
              <w14:ligatures w14:val="standardContextual"/>
            </w:rPr>
          </w:pPr>
          <w:hyperlink w:history="1" w:anchor="_Toc236251038">
            <w:r w:rsidRPr="00DD4545">
              <w:rPr>
                <w:rStyle w:val="Hyperlink"/>
                <w:noProof/>
              </w:rPr>
              <w:t>Comparison of Short-Term and Long-Term Financing Options</w:t>
            </w:r>
            <w:r>
              <w:rPr>
                <w:noProof/>
                <w:webHidden/>
              </w:rPr>
              <w:tab/>
            </w:r>
            <w:r>
              <w:rPr>
                <w:noProof/>
                <w:webHidden/>
              </w:rPr>
              <w:fldChar w:fldCharType="begin"/>
            </w:r>
            <w:r>
              <w:rPr>
                <w:noProof/>
                <w:webHidden/>
              </w:rPr>
              <w:instrText xml:space="preserve"> PAGEREF _Toc236251038 \h </w:instrText>
            </w:r>
            <w:r>
              <w:rPr>
                <w:noProof/>
                <w:webHidden/>
              </w:rPr>
            </w:r>
            <w:r>
              <w:rPr>
                <w:noProof/>
                <w:webHidden/>
              </w:rPr>
              <w:fldChar w:fldCharType="separate"/>
            </w:r>
            <w:r>
              <w:rPr>
                <w:noProof/>
                <w:webHidden/>
              </w:rPr>
              <w:t>14</w:t>
            </w:r>
            <w:r>
              <w:rPr>
                <w:noProof/>
                <w:webHidden/>
              </w:rPr>
              <w:fldChar w:fldCharType="end"/>
            </w:r>
          </w:hyperlink>
        </w:p>
        <w:p w:rsidR="00790E1A" w:rsidRDefault="00790E1A" w14:paraId="15A85820" w14:textId="5C195E64">
          <w:pPr>
            <w:pStyle w:val="TOC2"/>
            <w:tabs>
              <w:tab w:val="right" w:leader="dot" w:pos="9016"/>
            </w:tabs>
            <w:rPr>
              <w:rFonts w:eastAsiaTheme="minorEastAsia" w:cstheme="minorBidi"/>
              <w:b/>
              <w:bCs/>
              <w:noProof/>
              <w:kern w:val="2"/>
              <w:sz w:val="24"/>
              <w:szCs w:val="24"/>
              <w14:ligatures w14:val="standardContextual"/>
            </w:rPr>
          </w:pPr>
          <w:hyperlink w:history="1" w:anchor="_Toc236251039">
            <w:r w:rsidRPr="00DD4545">
              <w:rPr>
                <w:rStyle w:val="Hyperlink"/>
                <w:noProof/>
              </w:rPr>
              <w:t>Strategic Financial Restructuring Plan</w:t>
            </w:r>
            <w:r>
              <w:rPr>
                <w:noProof/>
                <w:webHidden/>
              </w:rPr>
              <w:tab/>
            </w:r>
            <w:r>
              <w:rPr>
                <w:noProof/>
                <w:webHidden/>
              </w:rPr>
              <w:fldChar w:fldCharType="begin"/>
            </w:r>
            <w:r>
              <w:rPr>
                <w:noProof/>
                <w:webHidden/>
              </w:rPr>
              <w:instrText xml:space="preserve"> PAGEREF _Toc236251039 \h </w:instrText>
            </w:r>
            <w:r>
              <w:rPr>
                <w:noProof/>
                <w:webHidden/>
              </w:rPr>
            </w:r>
            <w:r>
              <w:rPr>
                <w:noProof/>
                <w:webHidden/>
              </w:rPr>
              <w:fldChar w:fldCharType="separate"/>
            </w:r>
            <w:r>
              <w:rPr>
                <w:noProof/>
                <w:webHidden/>
              </w:rPr>
              <w:t>15</w:t>
            </w:r>
            <w:r>
              <w:rPr>
                <w:noProof/>
                <w:webHidden/>
              </w:rPr>
              <w:fldChar w:fldCharType="end"/>
            </w:r>
          </w:hyperlink>
        </w:p>
        <w:p w:rsidR="00790E1A" w:rsidRDefault="00790E1A" w14:paraId="76497E97" w14:textId="45B467B8">
          <w:pPr>
            <w:pStyle w:val="TOC2"/>
            <w:tabs>
              <w:tab w:val="right" w:leader="dot" w:pos="9016"/>
            </w:tabs>
            <w:rPr>
              <w:rFonts w:eastAsiaTheme="minorEastAsia" w:cstheme="minorBidi"/>
              <w:b/>
              <w:bCs/>
              <w:noProof/>
              <w:kern w:val="2"/>
              <w:sz w:val="24"/>
              <w:szCs w:val="24"/>
              <w14:ligatures w14:val="standardContextual"/>
            </w:rPr>
          </w:pPr>
          <w:hyperlink w:history="1" w:anchor="_Toc236251040">
            <w:r w:rsidRPr="00DD4545">
              <w:rPr>
                <w:rStyle w:val="Hyperlink"/>
                <w:noProof/>
              </w:rPr>
              <w:t>Financial Restructuring Options</w:t>
            </w:r>
            <w:r>
              <w:rPr>
                <w:noProof/>
                <w:webHidden/>
              </w:rPr>
              <w:tab/>
            </w:r>
            <w:r>
              <w:rPr>
                <w:noProof/>
                <w:webHidden/>
              </w:rPr>
              <w:fldChar w:fldCharType="begin"/>
            </w:r>
            <w:r>
              <w:rPr>
                <w:noProof/>
                <w:webHidden/>
              </w:rPr>
              <w:instrText xml:space="preserve"> PAGEREF _Toc236251040 \h </w:instrText>
            </w:r>
            <w:r>
              <w:rPr>
                <w:noProof/>
                <w:webHidden/>
              </w:rPr>
            </w:r>
            <w:r>
              <w:rPr>
                <w:noProof/>
                <w:webHidden/>
              </w:rPr>
              <w:fldChar w:fldCharType="separate"/>
            </w:r>
            <w:r>
              <w:rPr>
                <w:noProof/>
                <w:webHidden/>
              </w:rPr>
              <w:t>15</w:t>
            </w:r>
            <w:r>
              <w:rPr>
                <w:noProof/>
                <w:webHidden/>
              </w:rPr>
              <w:fldChar w:fldCharType="end"/>
            </w:r>
          </w:hyperlink>
        </w:p>
        <w:p w:rsidR="00790E1A" w:rsidRDefault="00790E1A" w14:paraId="7C8A652E" w14:textId="3D3A9E7D">
          <w:pPr>
            <w:pStyle w:val="TOC2"/>
            <w:tabs>
              <w:tab w:val="right" w:leader="dot" w:pos="9016"/>
            </w:tabs>
            <w:rPr>
              <w:rFonts w:eastAsiaTheme="minorEastAsia" w:cstheme="minorBidi"/>
              <w:b/>
              <w:bCs/>
              <w:noProof/>
              <w:kern w:val="2"/>
              <w:sz w:val="24"/>
              <w:szCs w:val="24"/>
              <w14:ligatures w14:val="standardContextual"/>
            </w:rPr>
          </w:pPr>
          <w:hyperlink w:history="1" w:anchor="_Toc236251041">
            <w:r w:rsidRPr="00DD4545">
              <w:rPr>
                <w:rStyle w:val="Hyperlink"/>
                <w:noProof/>
              </w:rPr>
              <w:t>Impact on Shareholder Value, Debt Structure and Operational Flexibility</w:t>
            </w:r>
            <w:r>
              <w:rPr>
                <w:noProof/>
                <w:webHidden/>
              </w:rPr>
              <w:tab/>
            </w:r>
            <w:r>
              <w:rPr>
                <w:noProof/>
                <w:webHidden/>
              </w:rPr>
              <w:fldChar w:fldCharType="begin"/>
            </w:r>
            <w:r>
              <w:rPr>
                <w:noProof/>
                <w:webHidden/>
              </w:rPr>
              <w:instrText xml:space="preserve"> PAGEREF _Toc236251041 \h </w:instrText>
            </w:r>
            <w:r>
              <w:rPr>
                <w:noProof/>
                <w:webHidden/>
              </w:rPr>
            </w:r>
            <w:r>
              <w:rPr>
                <w:noProof/>
                <w:webHidden/>
              </w:rPr>
              <w:fldChar w:fldCharType="separate"/>
            </w:r>
            <w:r>
              <w:rPr>
                <w:noProof/>
                <w:webHidden/>
              </w:rPr>
              <w:t>16</w:t>
            </w:r>
            <w:r>
              <w:rPr>
                <w:noProof/>
                <w:webHidden/>
              </w:rPr>
              <w:fldChar w:fldCharType="end"/>
            </w:r>
          </w:hyperlink>
        </w:p>
        <w:p w:rsidR="00790E1A" w:rsidRDefault="00790E1A" w14:paraId="64589F5A" w14:textId="5EB8F62F">
          <w:pPr>
            <w:pStyle w:val="TOC2"/>
            <w:tabs>
              <w:tab w:val="right" w:leader="dot" w:pos="9016"/>
            </w:tabs>
            <w:rPr>
              <w:rFonts w:eastAsiaTheme="minorEastAsia" w:cstheme="minorBidi"/>
              <w:b/>
              <w:bCs/>
              <w:noProof/>
              <w:kern w:val="2"/>
              <w:sz w:val="24"/>
              <w:szCs w:val="24"/>
              <w14:ligatures w14:val="standardContextual"/>
            </w:rPr>
          </w:pPr>
          <w:hyperlink w:history="1" w:anchor="_Toc236251042">
            <w:r w:rsidRPr="00DD4545">
              <w:rPr>
                <w:rStyle w:val="Hyperlink"/>
                <w:noProof/>
              </w:rPr>
              <w:t>Investment Appraisal and Capital Budgeting</w:t>
            </w:r>
            <w:r>
              <w:rPr>
                <w:noProof/>
                <w:webHidden/>
              </w:rPr>
              <w:tab/>
            </w:r>
            <w:r>
              <w:rPr>
                <w:noProof/>
                <w:webHidden/>
              </w:rPr>
              <w:fldChar w:fldCharType="begin"/>
            </w:r>
            <w:r>
              <w:rPr>
                <w:noProof/>
                <w:webHidden/>
              </w:rPr>
              <w:instrText xml:space="preserve"> PAGEREF _Toc236251042 \h </w:instrText>
            </w:r>
            <w:r>
              <w:rPr>
                <w:noProof/>
                <w:webHidden/>
              </w:rPr>
            </w:r>
            <w:r>
              <w:rPr>
                <w:noProof/>
                <w:webHidden/>
              </w:rPr>
              <w:fldChar w:fldCharType="separate"/>
            </w:r>
            <w:r>
              <w:rPr>
                <w:noProof/>
                <w:webHidden/>
              </w:rPr>
              <w:t>17</w:t>
            </w:r>
            <w:r>
              <w:rPr>
                <w:noProof/>
                <w:webHidden/>
              </w:rPr>
              <w:fldChar w:fldCharType="end"/>
            </w:r>
          </w:hyperlink>
        </w:p>
        <w:p w:rsidR="00790E1A" w:rsidRDefault="00790E1A" w14:paraId="36E63376" w14:textId="5CD0D467">
          <w:pPr>
            <w:pStyle w:val="TOC2"/>
            <w:tabs>
              <w:tab w:val="right" w:leader="dot" w:pos="9016"/>
            </w:tabs>
            <w:rPr>
              <w:rFonts w:eastAsiaTheme="minorEastAsia" w:cstheme="minorBidi"/>
              <w:b/>
              <w:bCs/>
              <w:noProof/>
              <w:kern w:val="2"/>
              <w:sz w:val="24"/>
              <w:szCs w:val="24"/>
              <w14:ligatures w14:val="standardContextual"/>
            </w:rPr>
          </w:pPr>
          <w:hyperlink w:history="1" w:anchor="_Toc236251043">
            <w:r w:rsidRPr="00DD4545">
              <w:rPr>
                <w:rStyle w:val="Hyperlink"/>
                <w:rFonts w:ascii="Arial" w:hAnsi="Arial" w:cs="Arial"/>
                <w:noProof/>
              </w:rPr>
              <w:t>Projected Cash Inflows</w:t>
            </w:r>
            <w:r>
              <w:rPr>
                <w:noProof/>
                <w:webHidden/>
              </w:rPr>
              <w:tab/>
            </w:r>
            <w:r>
              <w:rPr>
                <w:noProof/>
                <w:webHidden/>
              </w:rPr>
              <w:fldChar w:fldCharType="begin"/>
            </w:r>
            <w:r>
              <w:rPr>
                <w:noProof/>
                <w:webHidden/>
              </w:rPr>
              <w:instrText xml:space="preserve"> PAGEREF _Toc236251043 \h </w:instrText>
            </w:r>
            <w:r>
              <w:rPr>
                <w:noProof/>
                <w:webHidden/>
              </w:rPr>
            </w:r>
            <w:r>
              <w:rPr>
                <w:noProof/>
                <w:webHidden/>
              </w:rPr>
              <w:fldChar w:fldCharType="separate"/>
            </w:r>
            <w:r>
              <w:rPr>
                <w:noProof/>
                <w:webHidden/>
              </w:rPr>
              <w:t>17</w:t>
            </w:r>
            <w:r>
              <w:rPr>
                <w:noProof/>
                <w:webHidden/>
              </w:rPr>
              <w:fldChar w:fldCharType="end"/>
            </w:r>
          </w:hyperlink>
        </w:p>
        <w:p w:rsidR="00790E1A" w:rsidRDefault="00790E1A" w14:paraId="385101B2" w14:textId="60546725">
          <w:pPr>
            <w:pStyle w:val="TOC2"/>
            <w:tabs>
              <w:tab w:val="right" w:leader="dot" w:pos="9016"/>
            </w:tabs>
            <w:rPr>
              <w:rFonts w:eastAsiaTheme="minorEastAsia" w:cstheme="minorBidi"/>
              <w:b/>
              <w:bCs/>
              <w:noProof/>
              <w:kern w:val="2"/>
              <w:sz w:val="24"/>
              <w:szCs w:val="24"/>
              <w14:ligatures w14:val="standardContextual"/>
            </w:rPr>
          </w:pPr>
          <w:hyperlink w:history="1" w:anchor="_Toc236251044">
            <w:r w:rsidRPr="00DD4545">
              <w:rPr>
                <w:rStyle w:val="Hyperlink"/>
                <w:noProof/>
              </w:rPr>
              <w:t>1. Payback Period (PBP)</w:t>
            </w:r>
            <w:r>
              <w:rPr>
                <w:noProof/>
                <w:webHidden/>
              </w:rPr>
              <w:tab/>
            </w:r>
            <w:r>
              <w:rPr>
                <w:noProof/>
                <w:webHidden/>
              </w:rPr>
              <w:fldChar w:fldCharType="begin"/>
            </w:r>
            <w:r>
              <w:rPr>
                <w:noProof/>
                <w:webHidden/>
              </w:rPr>
              <w:instrText xml:space="preserve"> PAGEREF _Toc236251044 \h </w:instrText>
            </w:r>
            <w:r>
              <w:rPr>
                <w:noProof/>
                <w:webHidden/>
              </w:rPr>
            </w:r>
            <w:r>
              <w:rPr>
                <w:noProof/>
                <w:webHidden/>
              </w:rPr>
              <w:fldChar w:fldCharType="separate"/>
            </w:r>
            <w:r>
              <w:rPr>
                <w:noProof/>
                <w:webHidden/>
              </w:rPr>
              <w:t>18</w:t>
            </w:r>
            <w:r>
              <w:rPr>
                <w:noProof/>
                <w:webHidden/>
              </w:rPr>
              <w:fldChar w:fldCharType="end"/>
            </w:r>
          </w:hyperlink>
        </w:p>
        <w:p w:rsidR="00790E1A" w:rsidRDefault="00790E1A" w14:paraId="16BADC9D" w14:textId="7B6F79A5">
          <w:pPr>
            <w:pStyle w:val="TOC2"/>
            <w:tabs>
              <w:tab w:val="right" w:leader="dot" w:pos="9016"/>
            </w:tabs>
            <w:rPr>
              <w:rFonts w:eastAsiaTheme="minorEastAsia" w:cstheme="minorBidi"/>
              <w:b/>
              <w:bCs/>
              <w:noProof/>
              <w:kern w:val="2"/>
              <w:sz w:val="24"/>
              <w:szCs w:val="24"/>
              <w14:ligatures w14:val="standardContextual"/>
            </w:rPr>
          </w:pPr>
          <w:hyperlink w:history="1" w:anchor="_Toc236251045">
            <w:r w:rsidRPr="00DD4545">
              <w:rPr>
                <w:rStyle w:val="Hyperlink"/>
                <w:noProof/>
              </w:rPr>
              <w:t>2. Accounting Rate of Return (ARR)</w:t>
            </w:r>
            <w:r>
              <w:rPr>
                <w:noProof/>
                <w:webHidden/>
              </w:rPr>
              <w:tab/>
            </w:r>
            <w:r>
              <w:rPr>
                <w:noProof/>
                <w:webHidden/>
              </w:rPr>
              <w:fldChar w:fldCharType="begin"/>
            </w:r>
            <w:r>
              <w:rPr>
                <w:noProof/>
                <w:webHidden/>
              </w:rPr>
              <w:instrText xml:space="preserve"> PAGEREF _Toc236251045 \h </w:instrText>
            </w:r>
            <w:r>
              <w:rPr>
                <w:noProof/>
                <w:webHidden/>
              </w:rPr>
            </w:r>
            <w:r>
              <w:rPr>
                <w:noProof/>
                <w:webHidden/>
              </w:rPr>
              <w:fldChar w:fldCharType="separate"/>
            </w:r>
            <w:r>
              <w:rPr>
                <w:noProof/>
                <w:webHidden/>
              </w:rPr>
              <w:t>19</w:t>
            </w:r>
            <w:r>
              <w:rPr>
                <w:noProof/>
                <w:webHidden/>
              </w:rPr>
              <w:fldChar w:fldCharType="end"/>
            </w:r>
          </w:hyperlink>
        </w:p>
        <w:p w:rsidR="00790E1A" w:rsidRDefault="00790E1A" w14:paraId="19AE2970" w14:textId="11041BC2">
          <w:pPr>
            <w:pStyle w:val="TOC2"/>
            <w:tabs>
              <w:tab w:val="right" w:leader="dot" w:pos="9016"/>
            </w:tabs>
            <w:rPr>
              <w:rFonts w:eastAsiaTheme="minorEastAsia" w:cstheme="minorBidi"/>
              <w:b/>
              <w:bCs/>
              <w:noProof/>
              <w:kern w:val="2"/>
              <w:sz w:val="24"/>
              <w:szCs w:val="24"/>
              <w14:ligatures w14:val="standardContextual"/>
            </w:rPr>
          </w:pPr>
          <w:hyperlink w:history="1" w:anchor="_Toc236251046">
            <w:r w:rsidRPr="00DD4545">
              <w:rPr>
                <w:rStyle w:val="Hyperlink"/>
                <w:noProof/>
              </w:rPr>
              <w:t>3. Net Present Value (NPV)</w:t>
            </w:r>
            <w:r>
              <w:rPr>
                <w:noProof/>
                <w:webHidden/>
              </w:rPr>
              <w:tab/>
            </w:r>
            <w:r>
              <w:rPr>
                <w:noProof/>
                <w:webHidden/>
              </w:rPr>
              <w:fldChar w:fldCharType="begin"/>
            </w:r>
            <w:r>
              <w:rPr>
                <w:noProof/>
                <w:webHidden/>
              </w:rPr>
              <w:instrText xml:space="preserve"> PAGEREF _Toc236251046 \h </w:instrText>
            </w:r>
            <w:r>
              <w:rPr>
                <w:noProof/>
                <w:webHidden/>
              </w:rPr>
            </w:r>
            <w:r>
              <w:rPr>
                <w:noProof/>
                <w:webHidden/>
              </w:rPr>
              <w:fldChar w:fldCharType="separate"/>
            </w:r>
            <w:r>
              <w:rPr>
                <w:noProof/>
                <w:webHidden/>
              </w:rPr>
              <w:t>19</w:t>
            </w:r>
            <w:r>
              <w:rPr>
                <w:noProof/>
                <w:webHidden/>
              </w:rPr>
              <w:fldChar w:fldCharType="end"/>
            </w:r>
          </w:hyperlink>
        </w:p>
        <w:p w:rsidR="00790E1A" w:rsidRDefault="00790E1A" w14:paraId="49785C38" w14:textId="36E9591F">
          <w:pPr>
            <w:pStyle w:val="TOC2"/>
            <w:tabs>
              <w:tab w:val="right" w:leader="dot" w:pos="9016"/>
            </w:tabs>
            <w:rPr>
              <w:rFonts w:eastAsiaTheme="minorEastAsia" w:cstheme="minorBidi"/>
              <w:b/>
              <w:bCs/>
              <w:noProof/>
              <w:kern w:val="2"/>
              <w:sz w:val="24"/>
              <w:szCs w:val="24"/>
              <w14:ligatures w14:val="standardContextual"/>
            </w:rPr>
          </w:pPr>
          <w:hyperlink w:history="1" w:anchor="_Toc236251047">
            <w:r w:rsidRPr="00DD4545">
              <w:rPr>
                <w:rStyle w:val="Hyperlink"/>
                <w:noProof/>
              </w:rPr>
              <w:t>4. Profitability Index (PI)</w:t>
            </w:r>
            <w:r>
              <w:rPr>
                <w:noProof/>
                <w:webHidden/>
              </w:rPr>
              <w:tab/>
            </w:r>
            <w:r>
              <w:rPr>
                <w:noProof/>
                <w:webHidden/>
              </w:rPr>
              <w:fldChar w:fldCharType="begin"/>
            </w:r>
            <w:r>
              <w:rPr>
                <w:noProof/>
                <w:webHidden/>
              </w:rPr>
              <w:instrText xml:space="preserve"> PAGEREF _Toc236251047 \h </w:instrText>
            </w:r>
            <w:r>
              <w:rPr>
                <w:noProof/>
                <w:webHidden/>
              </w:rPr>
            </w:r>
            <w:r>
              <w:rPr>
                <w:noProof/>
                <w:webHidden/>
              </w:rPr>
              <w:fldChar w:fldCharType="separate"/>
            </w:r>
            <w:r>
              <w:rPr>
                <w:noProof/>
                <w:webHidden/>
              </w:rPr>
              <w:t>20</w:t>
            </w:r>
            <w:r>
              <w:rPr>
                <w:noProof/>
                <w:webHidden/>
              </w:rPr>
              <w:fldChar w:fldCharType="end"/>
            </w:r>
          </w:hyperlink>
        </w:p>
        <w:p w:rsidR="00790E1A" w:rsidRDefault="00790E1A" w14:paraId="2976A278" w14:textId="545FB90C">
          <w:pPr>
            <w:pStyle w:val="TOC2"/>
            <w:tabs>
              <w:tab w:val="right" w:leader="dot" w:pos="9016"/>
            </w:tabs>
            <w:rPr>
              <w:rFonts w:eastAsiaTheme="minorEastAsia" w:cstheme="minorBidi"/>
              <w:b/>
              <w:bCs/>
              <w:noProof/>
              <w:kern w:val="2"/>
              <w:sz w:val="24"/>
              <w:szCs w:val="24"/>
              <w14:ligatures w14:val="standardContextual"/>
            </w:rPr>
          </w:pPr>
          <w:hyperlink w:history="1" w:anchor="_Toc236251048">
            <w:r w:rsidRPr="00DD4545">
              <w:rPr>
                <w:rStyle w:val="Hyperlink"/>
                <w:rFonts w:ascii="Arial" w:hAnsi="Arial" w:cs="Arial"/>
                <w:noProof/>
              </w:rPr>
              <w:t>5. Internal Rate of Return (IRR)</w:t>
            </w:r>
            <w:r>
              <w:rPr>
                <w:noProof/>
                <w:webHidden/>
              </w:rPr>
              <w:tab/>
            </w:r>
            <w:r>
              <w:rPr>
                <w:noProof/>
                <w:webHidden/>
              </w:rPr>
              <w:fldChar w:fldCharType="begin"/>
            </w:r>
            <w:r>
              <w:rPr>
                <w:noProof/>
                <w:webHidden/>
              </w:rPr>
              <w:instrText xml:space="preserve"> PAGEREF _Toc236251048 \h </w:instrText>
            </w:r>
            <w:r>
              <w:rPr>
                <w:noProof/>
                <w:webHidden/>
              </w:rPr>
            </w:r>
            <w:r>
              <w:rPr>
                <w:noProof/>
                <w:webHidden/>
              </w:rPr>
              <w:fldChar w:fldCharType="separate"/>
            </w:r>
            <w:r>
              <w:rPr>
                <w:noProof/>
                <w:webHidden/>
              </w:rPr>
              <w:t>20</w:t>
            </w:r>
            <w:r>
              <w:rPr>
                <w:noProof/>
                <w:webHidden/>
              </w:rPr>
              <w:fldChar w:fldCharType="end"/>
            </w:r>
          </w:hyperlink>
        </w:p>
        <w:p w:rsidR="00790E1A" w:rsidRDefault="00790E1A" w14:paraId="47438C11" w14:textId="0F54B35B">
          <w:pPr>
            <w:pStyle w:val="TOC2"/>
            <w:tabs>
              <w:tab w:val="right" w:leader="dot" w:pos="9016"/>
            </w:tabs>
            <w:rPr>
              <w:rFonts w:eastAsiaTheme="minorEastAsia" w:cstheme="minorBidi"/>
              <w:b/>
              <w:bCs/>
              <w:noProof/>
              <w:kern w:val="2"/>
              <w:sz w:val="24"/>
              <w:szCs w:val="24"/>
              <w14:ligatures w14:val="standardContextual"/>
            </w:rPr>
          </w:pPr>
          <w:hyperlink w:history="1" w:anchor="_Toc236251049">
            <w:r w:rsidRPr="00DD4545">
              <w:rPr>
                <w:rStyle w:val="Hyperlink"/>
                <w:rFonts w:ascii="Arial" w:hAnsi="Arial" w:cs="Arial"/>
                <w:noProof/>
              </w:rPr>
              <w:t>Summary and Ranking</w:t>
            </w:r>
            <w:r>
              <w:rPr>
                <w:noProof/>
                <w:webHidden/>
              </w:rPr>
              <w:tab/>
            </w:r>
            <w:r>
              <w:rPr>
                <w:noProof/>
                <w:webHidden/>
              </w:rPr>
              <w:fldChar w:fldCharType="begin"/>
            </w:r>
            <w:r>
              <w:rPr>
                <w:noProof/>
                <w:webHidden/>
              </w:rPr>
              <w:instrText xml:space="preserve"> PAGEREF _Toc236251049 \h </w:instrText>
            </w:r>
            <w:r>
              <w:rPr>
                <w:noProof/>
                <w:webHidden/>
              </w:rPr>
            </w:r>
            <w:r>
              <w:rPr>
                <w:noProof/>
                <w:webHidden/>
              </w:rPr>
              <w:fldChar w:fldCharType="separate"/>
            </w:r>
            <w:r>
              <w:rPr>
                <w:noProof/>
                <w:webHidden/>
              </w:rPr>
              <w:t>21</w:t>
            </w:r>
            <w:r>
              <w:rPr>
                <w:noProof/>
                <w:webHidden/>
              </w:rPr>
              <w:fldChar w:fldCharType="end"/>
            </w:r>
          </w:hyperlink>
        </w:p>
        <w:p w:rsidR="00790E1A" w:rsidRDefault="00790E1A" w14:paraId="0561440B" w14:textId="7C0F9793">
          <w:pPr>
            <w:pStyle w:val="TOC1"/>
            <w:tabs>
              <w:tab w:val="right" w:leader="dot" w:pos="9016"/>
            </w:tabs>
            <w:rPr>
              <w:rFonts w:eastAsiaTheme="minorEastAsia" w:cstheme="minorBidi"/>
              <w:b w:val="0"/>
              <w:bCs w:val="0"/>
              <w:i/>
              <w:iCs/>
              <w:noProof/>
              <w:kern w:val="2"/>
              <w14:ligatures w14:val="standardContextual"/>
            </w:rPr>
          </w:pPr>
          <w:hyperlink w:history="1" w:anchor="_Toc236251050">
            <w:r w:rsidRPr="00DD4545">
              <w:rPr>
                <w:rStyle w:val="Hyperlink"/>
                <w:noProof/>
              </w:rPr>
              <w:t>Capital Rationing Decision</w:t>
            </w:r>
            <w:r>
              <w:rPr>
                <w:noProof/>
                <w:webHidden/>
              </w:rPr>
              <w:tab/>
            </w:r>
            <w:r>
              <w:rPr>
                <w:noProof/>
                <w:webHidden/>
              </w:rPr>
              <w:fldChar w:fldCharType="begin"/>
            </w:r>
            <w:r>
              <w:rPr>
                <w:noProof/>
                <w:webHidden/>
              </w:rPr>
              <w:instrText xml:space="preserve"> PAGEREF _Toc236251050 \h </w:instrText>
            </w:r>
            <w:r>
              <w:rPr>
                <w:noProof/>
                <w:webHidden/>
              </w:rPr>
            </w:r>
            <w:r>
              <w:rPr>
                <w:noProof/>
                <w:webHidden/>
              </w:rPr>
              <w:fldChar w:fldCharType="separate"/>
            </w:r>
            <w:r>
              <w:rPr>
                <w:noProof/>
                <w:webHidden/>
              </w:rPr>
              <w:t>22</w:t>
            </w:r>
            <w:r>
              <w:rPr>
                <w:noProof/>
                <w:webHidden/>
              </w:rPr>
              <w:fldChar w:fldCharType="end"/>
            </w:r>
          </w:hyperlink>
        </w:p>
        <w:p w:rsidR="00790E1A" w:rsidRDefault="00790E1A" w14:paraId="69378955" w14:textId="7D36E141">
          <w:r>
            <w:rPr>
              <w:b/>
              <w:bCs/>
              <w:noProof/>
            </w:rPr>
            <w:fldChar w:fldCharType="end"/>
          </w:r>
        </w:p>
      </w:sdtContent>
    </w:sdt>
    <w:p w:rsidR="00872127" w:rsidP="007B0D6B" w:rsidRDefault="00872127" w14:paraId="71ED757C" w14:textId="77777777">
      <w:pPr>
        <w:pStyle w:val="Heading1"/>
      </w:pPr>
    </w:p>
    <w:p w:rsidRPr="00790E1A" w:rsidR="00790E1A" w:rsidP="00790E1A" w:rsidRDefault="00872127" w14:paraId="4E08D572" w14:textId="4E7AC9CE">
      <w:pPr>
        <w:rPr>
          <w:rFonts w:asciiTheme="majorHAnsi" w:hAnsiTheme="majorHAnsi" w:eastAsiaTheme="majorEastAsia" w:cstheme="majorBidi"/>
          <w:color w:val="0F4761" w:themeColor="accent1" w:themeShade="BF"/>
          <w:sz w:val="40"/>
          <w:szCs w:val="40"/>
        </w:rPr>
      </w:pPr>
      <w:r>
        <w:br w:type="page"/>
      </w:r>
    </w:p>
    <w:p w:rsidRPr="00790E1A" w:rsidR="00786CA6" w:rsidP="00790E1A" w:rsidRDefault="00786CA6" w14:paraId="0D0324FD" w14:textId="780EBD49">
      <w:pPr>
        <w:pStyle w:val="Heading1"/>
      </w:pPr>
      <w:bookmarkStart w:name="_Toc236251017" w:id="0"/>
      <w:r w:rsidRPr="007B0D6B">
        <w:t>Introduction</w:t>
      </w:r>
      <w:bookmarkEnd w:id="0"/>
    </w:p>
    <w:p w:rsidRPr="0006279B" w:rsidR="00786CA6" w:rsidP="0006279B" w:rsidRDefault="00786CA6" w14:paraId="4CAEBEA6" w14:textId="77777777">
      <w:pPr>
        <w:spacing w:after="180" w:line="360" w:lineRule="auto"/>
        <w:jc w:val="both"/>
        <w:rPr>
          <w:rFonts w:ascii="Arial" w:hAnsi="Arial" w:cs="Arial"/>
          <w:sz w:val="24"/>
          <w:szCs w:val="24"/>
        </w:rPr>
      </w:pPr>
      <w:r w:rsidRPr="0006279B">
        <w:rPr>
          <w:rFonts w:ascii="Arial" w:hAnsi="Arial" w:cs="Arial"/>
          <w:sz w:val="24"/>
          <w:szCs w:val="24"/>
        </w:rPr>
        <w:t>As the largest hotel operator in the United Kingdom, Whitbread Plc has experienced significant financial fluctuations between 2020 and 2025 due to the COVID-19 pandemic, subsequent economic recovery, inflationary pressures and changing consumer demand. The company's portfolio is centred on Premier Inn hotels, which have consistently outperformed many competitors through strong brand recognition, cost leadership and continued investment in domestic expansion. Analysing Whitbread's financial performance over the past five years provides valuable insight into its profitability, liquidity and overall financial resilience. This financial health check evaluates the company's published financial statements using ratio analysis to identify key trends, strengths and areas of concern. The analysis is based primarily on Whitbread's Annual Reports (2021–2025) and supporting financial information.</w:t>
      </w:r>
    </w:p>
    <w:p w:rsidRPr="007B0D6B" w:rsidR="002353C0" w:rsidP="007B0D6B" w:rsidRDefault="002353C0" w14:paraId="38B45165" w14:textId="77777777">
      <w:pPr>
        <w:pStyle w:val="Heading1"/>
      </w:pPr>
      <w:bookmarkStart w:name="_Toc236251018" w:id="1"/>
      <w:r w:rsidRPr="007B0D6B">
        <w:t>Analysis of Financial Statements (2021–2025)</w:t>
      </w:r>
      <w:bookmarkEnd w:id="1"/>
    </w:p>
    <w:p w:rsidRPr="0006279B" w:rsidR="002353C0" w:rsidP="0006279B" w:rsidRDefault="002353C0" w14:paraId="78A3701F" w14:textId="77777777">
      <w:pPr>
        <w:spacing w:after="180" w:line="360" w:lineRule="auto"/>
        <w:jc w:val="both"/>
        <w:rPr>
          <w:rFonts w:ascii="Arial" w:hAnsi="Arial" w:cs="Arial"/>
          <w:sz w:val="24"/>
          <w:szCs w:val="24"/>
        </w:rPr>
      </w:pPr>
      <w:r w:rsidRPr="0006279B">
        <w:rPr>
          <w:rFonts w:ascii="Arial" w:hAnsi="Arial" w:cs="Arial"/>
          <w:sz w:val="24"/>
          <w:szCs w:val="24"/>
        </w:rPr>
        <w:t>Whitbread's financial performance was severely disrupted during the financial year ending February 2021 (FY21) as national lockdowns and travel restrictions caused hotel occupancy rates to collapse. Statutory revenue fell 71.5% to £589.4m and the Group reported a statutory operating loss of £839.1m and a statutory loss for the year of £906.5m, driven by the collapse in trading and a £348.0m non-cash impairment charge. Management responded by implementing extensive cost-saving measures, completing a £1bn Rights Issue and a £550m Green Bond issuance, and protecting liquidity through careful cash management (Whitbread, 2021).</w:t>
      </w:r>
    </w:p>
    <w:p w:rsidRPr="0006279B" w:rsidR="002353C0" w:rsidP="0006279B" w:rsidRDefault="002353C0" w14:paraId="31114CB3" w14:textId="77777777">
      <w:pPr>
        <w:spacing w:after="180" w:line="360" w:lineRule="auto"/>
        <w:jc w:val="both"/>
        <w:rPr>
          <w:rFonts w:ascii="Arial" w:hAnsi="Arial" w:cs="Arial"/>
          <w:sz w:val="24"/>
          <w:szCs w:val="24"/>
        </w:rPr>
      </w:pPr>
      <w:r w:rsidRPr="0006279B">
        <w:rPr>
          <w:rFonts w:ascii="Arial" w:hAnsi="Arial" w:cs="Arial"/>
          <w:sz w:val="24"/>
          <w:szCs w:val="24"/>
        </w:rPr>
        <w:t>The financial years from FY22 onwards marked a strong recovery. Revenue increased as business and leisure travel resumed, with Premier Inn benefiting from increased domestic tourism and improving occupancy rates. Statutory operating profit returned in FY22 (£74.7m) and grew steadily to £539.5m in FY23 and £669.0m in FY24, before easing slightly to £602.6m in FY25 as cost pressures and a softer UK trading environment weighed on margins. By FY25, revenue of £2,922m was almost five times the FY21 trough and above pre-pandemic FY20 levels, demonstrating the resilience of the business model (Whitbread, 2025).</w:t>
      </w:r>
    </w:p>
    <w:p w:rsidRPr="0006279B" w:rsidR="002353C0" w:rsidP="0006279B" w:rsidRDefault="002353C0" w14:paraId="7FB83708" w14:textId="77777777">
      <w:pPr>
        <w:spacing w:after="180" w:line="360" w:lineRule="auto"/>
        <w:jc w:val="both"/>
        <w:rPr>
          <w:rFonts w:ascii="Arial" w:hAnsi="Arial" w:cs="Arial"/>
          <w:sz w:val="24"/>
          <w:szCs w:val="24"/>
        </w:rPr>
      </w:pPr>
      <w:r w:rsidRPr="0006279B">
        <w:rPr>
          <w:rFonts w:ascii="Arial" w:hAnsi="Arial" w:cs="Arial"/>
          <w:sz w:val="24"/>
          <w:szCs w:val="24"/>
        </w:rPr>
        <w:t>Throughout the five-year period, the balance sheet remained asset-backed, with property, plant and equipment consistently representing the largest share of total assets. Total debt (including IFRS 16 lease liabilities) rose from £4,534m in FY21 to £5,626m in FY25, largely reflecting new leasehold hotels added in the UK and Germany rather than distress borrowing, while shareholders' equity fell from £3,834m to £3,335m over the same period as the Group returned significant capital to shareholders through dividends and share buybacks (Whitbread, 2024; Whitbread, 2025).</w:t>
      </w:r>
    </w:p>
    <w:p w:rsidRPr="0006279B" w:rsidR="002353C0" w:rsidP="0006279B" w:rsidRDefault="002353C0" w14:paraId="59241D19" w14:textId="77777777">
      <w:pPr>
        <w:spacing w:after="180" w:line="360" w:lineRule="auto"/>
        <w:jc w:val="both"/>
        <w:rPr>
          <w:rFonts w:ascii="Arial" w:hAnsi="Arial" w:cs="Arial"/>
          <w:sz w:val="24"/>
          <w:szCs w:val="24"/>
        </w:rPr>
      </w:pPr>
      <w:r w:rsidRPr="0006279B">
        <w:rPr>
          <w:rFonts w:ascii="Arial" w:hAnsi="Arial" w:cs="Arial"/>
          <w:sz w:val="24"/>
          <w:szCs w:val="24"/>
        </w:rPr>
        <w:t>Overall, the financial statements indicate that Whitbread successfully navigated one of the most challenging periods in the hospitality industry's history and rebuilt profitability strongly, while its rising total leverage — driven by lease-funded expansion and capital returns rather than operating weakness — is a trend worth monitoring going into FY26.</w:t>
      </w:r>
    </w:p>
    <w:tbl>
      <w:tblPr>
        <w:tblW w:w="92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000" w:firstRow="0" w:lastRow="0" w:firstColumn="0" w:lastColumn="0" w:noHBand="0" w:noVBand="0"/>
      </w:tblPr>
      <w:tblGrid>
        <w:gridCol w:w="2400"/>
        <w:gridCol w:w="1360"/>
        <w:gridCol w:w="1360"/>
        <w:gridCol w:w="1360"/>
        <w:gridCol w:w="1360"/>
        <w:gridCol w:w="1360"/>
      </w:tblGrid>
      <w:tr w:rsidRPr="0006279B" w:rsidR="002353C0" w:rsidTr="00F44A54" w14:paraId="4F3C4428" w14:textId="77777777">
        <w:tblPrEx>
          <w:tblCellMar>
            <w:top w:w="0" w:type="dxa"/>
            <w:bottom w:w="0" w:type="dxa"/>
          </w:tblCellMar>
        </w:tblPrEx>
        <w:trPr>
          <w:tblHeader/>
        </w:trPr>
        <w:tc>
          <w:tcPr>
            <w:tcW w:w="2400" w:type="dxa"/>
            <w:shd w:val="clear" w:color="auto" w:fill="1F3864"/>
            <w:tcMar>
              <w:top w:w="80" w:type="dxa"/>
              <w:left w:w="100" w:type="dxa"/>
              <w:bottom w:w="80" w:type="dxa"/>
              <w:right w:w="100" w:type="dxa"/>
            </w:tcMar>
          </w:tcPr>
          <w:p w:rsidRPr="0006279B" w:rsidR="002353C0" w:rsidP="0006279B" w:rsidRDefault="002353C0" w14:paraId="597D3733" w14:textId="77777777">
            <w:pPr>
              <w:spacing w:line="360" w:lineRule="auto"/>
              <w:jc w:val="center"/>
              <w:rPr>
                <w:rFonts w:ascii="Arial" w:hAnsi="Arial" w:cs="Arial"/>
                <w:sz w:val="24"/>
                <w:szCs w:val="24"/>
              </w:rPr>
            </w:pPr>
            <w:r w:rsidRPr="0006279B">
              <w:rPr>
                <w:rFonts w:ascii="Arial" w:hAnsi="Arial" w:cs="Arial"/>
                <w:b/>
                <w:bCs/>
                <w:color w:val="FFFFFF"/>
                <w:sz w:val="24"/>
                <w:szCs w:val="24"/>
              </w:rPr>
              <w:t>£m unless stated</w:t>
            </w:r>
          </w:p>
        </w:tc>
        <w:tc>
          <w:tcPr>
            <w:tcW w:w="1360" w:type="dxa"/>
            <w:shd w:val="clear" w:color="auto" w:fill="1F3864"/>
            <w:tcMar>
              <w:top w:w="80" w:type="dxa"/>
              <w:left w:w="100" w:type="dxa"/>
              <w:bottom w:w="80" w:type="dxa"/>
              <w:right w:w="100" w:type="dxa"/>
            </w:tcMar>
          </w:tcPr>
          <w:p w:rsidRPr="0006279B" w:rsidR="002353C0" w:rsidP="0006279B" w:rsidRDefault="002353C0" w14:paraId="33BB87AE" w14:textId="77777777">
            <w:pPr>
              <w:spacing w:line="360" w:lineRule="auto"/>
              <w:jc w:val="center"/>
              <w:rPr>
                <w:rFonts w:ascii="Arial" w:hAnsi="Arial" w:cs="Arial"/>
                <w:sz w:val="24"/>
                <w:szCs w:val="24"/>
              </w:rPr>
            </w:pPr>
            <w:r w:rsidRPr="0006279B">
              <w:rPr>
                <w:rFonts w:ascii="Arial" w:hAnsi="Arial" w:cs="Arial"/>
                <w:b/>
                <w:bCs/>
                <w:color w:val="FFFFFF"/>
                <w:sz w:val="24"/>
                <w:szCs w:val="24"/>
              </w:rPr>
              <w:t>FY21</w:t>
            </w:r>
          </w:p>
        </w:tc>
        <w:tc>
          <w:tcPr>
            <w:tcW w:w="1360" w:type="dxa"/>
            <w:shd w:val="clear" w:color="auto" w:fill="1F3864"/>
            <w:tcMar>
              <w:top w:w="80" w:type="dxa"/>
              <w:left w:w="100" w:type="dxa"/>
              <w:bottom w:w="80" w:type="dxa"/>
              <w:right w:w="100" w:type="dxa"/>
            </w:tcMar>
          </w:tcPr>
          <w:p w:rsidRPr="0006279B" w:rsidR="002353C0" w:rsidP="0006279B" w:rsidRDefault="002353C0" w14:paraId="3C50E41F" w14:textId="77777777">
            <w:pPr>
              <w:spacing w:line="360" w:lineRule="auto"/>
              <w:jc w:val="center"/>
              <w:rPr>
                <w:rFonts w:ascii="Arial" w:hAnsi="Arial" w:cs="Arial"/>
                <w:sz w:val="24"/>
                <w:szCs w:val="24"/>
              </w:rPr>
            </w:pPr>
            <w:r w:rsidRPr="0006279B">
              <w:rPr>
                <w:rFonts w:ascii="Arial" w:hAnsi="Arial" w:cs="Arial"/>
                <w:b/>
                <w:bCs/>
                <w:color w:val="FFFFFF"/>
                <w:sz w:val="24"/>
                <w:szCs w:val="24"/>
              </w:rPr>
              <w:t>FY22</w:t>
            </w:r>
          </w:p>
        </w:tc>
        <w:tc>
          <w:tcPr>
            <w:tcW w:w="1360" w:type="dxa"/>
            <w:shd w:val="clear" w:color="auto" w:fill="1F3864"/>
            <w:tcMar>
              <w:top w:w="80" w:type="dxa"/>
              <w:left w:w="100" w:type="dxa"/>
              <w:bottom w:w="80" w:type="dxa"/>
              <w:right w:w="100" w:type="dxa"/>
            </w:tcMar>
          </w:tcPr>
          <w:p w:rsidRPr="0006279B" w:rsidR="002353C0" w:rsidP="0006279B" w:rsidRDefault="002353C0" w14:paraId="064C3ECD" w14:textId="77777777">
            <w:pPr>
              <w:spacing w:line="360" w:lineRule="auto"/>
              <w:jc w:val="center"/>
              <w:rPr>
                <w:rFonts w:ascii="Arial" w:hAnsi="Arial" w:cs="Arial"/>
                <w:sz w:val="24"/>
                <w:szCs w:val="24"/>
              </w:rPr>
            </w:pPr>
            <w:r w:rsidRPr="0006279B">
              <w:rPr>
                <w:rFonts w:ascii="Arial" w:hAnsi="Arial" w:cs="Arial"/>
                <w:b/>
                <w:bCs/>
                <w:color w:val="FFFFFF"/>
                <w:sz w:val="24"/>
                <w:szCs w:val="24"/>
              </w:rPr>
              <w:t>FY23</w:t>
            </w:r>
          </w:p>
        </w:tc>
        <w:tc>
          <w:tcPr>
            <w:tcW w:w="1360" w:type="dxa"/>
            <w:shd w:val="clear" w:color="auto" w:fill="1F3864"/>
            <w:tcMar>
              <w:top w:w="80" w:type="dxa"/>
              <w:left w:w="100" w:type="dxa"/>
              <w:bottom w:w="80" w:type="dxa"/>
              <w:right w:w="100" w:type="dxa"/>
            </w:tcMar>
          </w:tcPr>
          <w:p w:rsidRPr="0006279B" w:rsidR="002353C0" w:rsidP="0006279B" w:rsidRDefault="002353C0" w14:paraId="3611E12A" w14:textId="77777777">
            <w:pPr>
              <w:spacing w:line="360" w:lineRule="auto"/>
              <w:jc w:val="center"/>
              <w:rPr>
                <w:rFonts w:ascii="Arial" w:hAnsi="Arial" w:cs="Arial"/>
                <w:sz w:val="24"/>
                <w:szCs w:val="24"/>
              </w:rPr>
            </w:pPr>
            <w:r w:rsidRPr="0006279B">
              <w:rPr>
                <w:rFonts w:ascii="Arial" w:hAnsi="Arial" w:cs="Arial"/>
                <w:b/>
                <w:bCs/>
                <w:color w:val="FFFFFF"/>
                <w:sz w:val="24"/>
                <w:szCs w:val="24"/>
              </w:rPr>
              <w:t>FY24</w:t>
            </w:r>
          </w:p>
        </w:tc>
        <w:tc>
          <w:tcPr>
            <w:tcW w:w="1360" w:type="dxa"/>
            <w:shd w:val="clear" w:color="auto" w:fill="1F3864"/>
            <w:tcMar>
              <w:top w:w="80" w:type="dxa"/>
              <w:left w:w="100" w:type="dxa"/>
              <w:bottom w:w="80" w:type="dxa"/>
              <w:right w:w="100" w:type="dxa"/>
            </w:tcMar>
          </w:tcPr>
          <w:p w:rsidRPr="0006279B" w:rsidR="002353C0" w:rsidP="0006279B" w:rsidRDefault="002353C0" w14:paraId="66F7E5EB" w14:textId="77777777">
            <w:pPr>
              <w:spacing w:line="360" w:lineRule="auto"/>
              <w:jc w:val="center"/>
              <w:rPr>
                <w:rFonts w:ascii="Arial" w:hAnsi="Arial" w:cs="Arial"/>
                <w:sz w:val="24"/>
                <w:szCs w:val="24"/>
              </w:rPr>
            </w:pPr>
            <w:r w:rsidRPr="0006279B">
              <w:rPr>
                <w:rFonts w:ascii="Arial" w:hAnsi="Arial" w:cs="Arial"/>
                <w:b/>
                <w:bCs/>
                <w:color w:val="FFFFFF"/>
                <w:sz w:val="24"/>
                <w:szCs w:val="24"/>
              </w:rPr>
              <w:t>FY25</w:t>
            </w:r>
          </w:p>
        </w:tc>
      </w:tr>
      <w:tr w:rsidRPr="0006279B" w:rsidR="002353C0" w:rsidTr="00F44A54" w14:paraId="52E7D5D6" w14:textId="77777777">
        <w:tblPrEx>
          <w:tblCellMar>
            <w:top w:w="0" w:type="dxa"/>
            <w:bottom w:w="0" w:type="dxa"/>
          </w:tblCellMar>
        </w:tblPrEx>
        <w:tc>
          <w:tcPr>
            <w:tcW w:w="2400" w:type="dxa"/>
            <w:shd w:val="clear" w:color="auto" w:fill="FFFFFF"/>
            <w:tcMar>
              <w:top w:w="80" w:type="dxa"/>
              <w:left w:w="100" w:type="dxa"/>
              <w:bottom w:w="80" w:type="dxa"/>
              <w:right w:w="100" w:type="dxa"/>
            </w:tcMar>
          </w:tcPr>
          <w:p w:rsidRPr="0006279B" w:rsidR="002353C0" w:rsidP="0006279B" w:rsidRDefault="002353C0" w14:paraId="560F9FED" w14:textId="77777777">
            <w:pPr>
              <w:spacing w:line="360" w:lineRule="auto"/>
              <w:rPr>
                <w:rFonts w:ascii="Arial" w:hAnsi="Arial" w:cs="Arial"/>
                <w:sz w:val="24"/>
                <w:szCs w:val="24"/>
              </w:rPr>
            </w:pPr>
            <w:r w:rsidRPr="0006279B">
              <w:rPr>
                <w:rFonts w:ascii="Arial" w:hAnsi="Arial" w:cs="Arial"/>
                <w:color w:val="000000"/>
                <w:sz w:val="24"/>
                <w:szCs w:val="24"/>
              </w:rPr>
              <w:t>Revenue</w:t>
            </w:r>
          </w:p>
        </w:tc>
        <w:tc>
          <w:tcPr>
            <w:tcW w:w="1360" w:type="dxa"/>
            <w:shd w:val="clear" w:color="auto" w:fill="FFFFFF"/>
            <w:tcMar>
              <w:top w:w="80" w:type="dxa"/>
              <w:left w:w="100" w:type="dxa"/>
              <w:bottom w:w="80" w:type="dxa"/>
              <w:right w:w="100" w:type="dxa"/>
            </w:tcMar>
          </w:tcPr>
          <w:p w:rsidRPr="0006279B" w:rsidR="002353C0" w:rsidP="0006279B" w:rsidRDefault="002353C0" w14:paraId="3077286E" w14:textId="77777777">
            <w:pPr>
              <w:spacing w:line="360" w:lineRule="auto"/>
              <w:jc w:val="center"/>
              <w:rPr>
                <w:rFonts w:ascii="Arial" w:hAnsi="Arial" w:cs="Arial"/>
                <w:sz w:val="24"/>
                <w:szCs w:val="24"/>
              </w:rPr>
            </w:pPr>
            <w:r w:rsidRPr="0006279B">
              <w:rPr>
                <w:rFonts w:ascii="Arial" w:hAnsi="Arial" w:cs="Arial"/>
                <w:color w:val="000000"/>
                <w:sz w:val="24"/>
                <w:szCs w:val="24"/>
              </w:rPr>
              <w:t>589.4</w:t>
            </w:r>
          </w:p>
        </w:tc>
        <w:tc>
          <w:tcPr>
            <w:tcW w:w="1360" w:type="dxa"/>
            <w:shd w:val="clear" w:color="auto" w:fill="FFFFFF"/>
            <w:tcMar>
              <w:top w:w="80" w:type="dxa"/>
              <w:left w:w="100" w:type="dxa"/>
              <w:bottom w:w="80" w:type="dxa"/>
              <w:right w:w="100" w:type="dxa"/>
            </w:tcMar>
          </w:tcPr>
          <w:p w:rsidRPr="0006279B" w:rsidR="002353C0" w:rsidP="0006279B" w:rsidRDefault="002353C0" w14:paraId="6656DBED" w14:textId="77777777">
            <w:pPr>
              <w:spacing w:line="360" w:lineRule="auto"/>
              <w:jc w:val="center"/>
              <w:rPr>
                <w:rFonts w:ascii="Arial" w:hAnsi="Arial" w:cs="Arial"/>
                <w:sz w:val="24"/>
                <w:szCs w:val="24"/>
              </w:rPr>
            </w:pPr>
            <w:r w:rsidRPr="0006279B">
              <w:rPr>
                <w:rFonts w:ascii="Arial" w:hAnsi="Arial" w:cs="Arial"/>
                <w:color w:val="000000"/>
                <w:sz w:val="24"/>
                <w:szCs w:val="24"/>
              </w:rPr>
              <w:t>1,711.0</w:t>
            </w:r>
          </w:p>
        </w:tc>
        <w:tc>
          <w:tcPr>
            <w:tcW w:w="1360" w:type="dxa"/>
            <w:shd w:val="clear" w:color="auto" w:fill="FFFFFF"/>
            <w:tcMar>
              <w:top w:w="80" w:type="dxa"/>
              <w:left w:w="100" w:type="dxa"/>
              <w:bottom w:w="80" w:type="dxa"/>
              <w:right w:w="100" w:type="dxa"/>
            </w:tcMar>
          </w:tcPr>
          <w:p w:rsidRPr="0006279B" w:rsidR="002353C0" w:rsidP="0006279B" w:rsidRDefault="002353C0" w14:paraId="2D3FF661" w14:textId="77777777">
            <w:pPr>
              <w:spacing w:line="360" w:lineRule="auto"/>
              <w:jc w:val="center"/>
              <w:rPr>
                <w:rFonts w:ascii="Arial" w:hAnsi="Arial" w:cs="Arial"/>
                <w:sz w:val="24"/>
                <w:szCs w:val="24"/>
              </w:rPr>
            </w:pPr>
            <w:r w:rsidRPr="0006279B">
              <w:rPr>
                <w:rFonts w:ascii="Arial" w:hAnsi="Arial" w:cs="Arial"/>
                <w:color w:val="000000"/>
                <w:sz w:val="24"/>
                <w:szCs w:val="24"/>
              </w:rPr>
              <w:t>2,625.0</w:t>
            </w:r>
          </w:p>
        </w:tc>
        <w:tc>
          <w:tcPr>
            <w:tcW w:w="1360" w:type="dxa"/>
            <w:shd w:val="clear" w:color="auto" w:fill="FFFFFF"/>
            <w:tcMar>
              <w:top w:w="80" w:type="dxa"/>
              <w:left w:w="100" w:type="dxa"/>
              <w:bottom w:w="80" w:type="dxa"/>
              <w:right w:w="100" w:type="dxa"/>
            </w:tcMar>
          </w:tcPr>
          <w:p w:rsidRPr="0006279B" w:rsidR="002353C0" w:rsidP="0006279B" w:rsidRDefault="002353C0" w14:paraId="09DBB491" w14:textId="77777777">
            <w:pPr>
              <w:spacing w:line="360" w:lineRule="auto"/>
              <w:jc w:val="center"/>
              <w:rPr>
                <w:rFonts w:ascii="Arial" w:hAnsi="Arial" w:cs="Arial"/>
                <w:sz w:val="24"/>
                <w:szCs w:val="24"/>
              </w:rPr>
            </w:pPr>
            <w:r w:rsidRPr="0006279B">
              <w:rPr>
                <w:rFonts w:ascii="Arial" w:hAnsi="Arial" w:cs="Arial"/>
                <w:color w:val="000000"/>
                <w:sz w:val="24"/>
                <w:szCs w:val="24"/>
              </w:rPr>
              <w:t>2,962.0</w:t>
            </w:r>
          </w:p>
        </w:tc>
        <w:tc>
          <w:tcPr>
            <w:tcW w:w="1360" w:type="dxa"/>
            <w:shd w:val="clear" w:color="auto" w:fill="FFFFFF"/>
            <w:tcMar>
              <w:top w:w="80" w:type="dxa"/>
              <w:left w:w="100" w:type="dxa"/>
              <w:bottom w:w="80" w:type="dxa"/>
              <w:right w:w="100" w:type="dxa"/>
            </w:tcMar>
          </w:tcPr>
          <w:p w:rsidRPr="0006279B" w:rsidR="002353C0" w:rsidP="0006279B" w:rsidRDefault="002353C0" w14:paraId="4CAAE389" w14:textId="77777777">
            <w:pPr>
              <w:spacing w:line="360" w:lineRule="auto"/>
              <w:jc w:val="center"/>
              <w:rPr>
                <w:rFonts w:ascii="Arial" w:hAnsi="Arial" w:cs="Arial"/>
                <w:sz w:val="24"/>
                <w:szCs w:val="24"/>
              </w:rPr>
            </w:pPr>
            <w:r w:rsidRPr="0006279B">
              <w:rPr>
                <w:rFonts w:ascii="Arial" w:hAnsi="Arial" w:cs="Arial"/>
                <w:color w:val="000000"/>
                <w:sz w:val="24"/>
                <w:szCs w:val="24"/>
              </w:rPr>
              <w:t>2,922.0</w:t>
            </w:r>
          </w:p>
        </w:tc>
      </w:tr>
      <w:tr w:rsidRPr="0006279B" w:rsidR="002353C0" w:rsidTr="00F44A54" w14:paraId="2389180D" w14:textId="77777777">
        <w:tblPrEx>
          <w:tblCellMar>
            <w:top w:w="0" w:type="dxa"/>
            <w:bottom w:w="0" w:type="dxa"/>
          </w:tblCellMar>
        </w:tblPrEx>
        <w:tc>
          <w:tcPr>
            <w:tcW w:w="2400" w:type="dxa"/>
            <w:shd w:val="clear" w:color="auto" w:fill="F2F2F2"/>
            <w:tcMar>
              <w:top w:w="80" w:type="dxa"/>
              <w:left w:w="100" w:type="dxa"/>
              <w:bottom w:w="80" w:type="dxa"/>
              <w:right w:w="100" w:type="dxa"/>
            </w:tcMar>
          </w:tcPr>
          <w:p w:rsidRPr="0006279B" w:rsidR="002353C0" w:rsidP="0006279B" w:rsidRDefault="002353C0" w14:paraId="23034F22" w14:textId="77777777">
            <w:pPr>
              <w:spacing w:line="360" w:lineRule="auto"/>
              <w:rPr>
                <w:rFonts w:ascii="Arial" w:hAnsi="Arial" w:cs="Arial"/>
                <w:sz w:val="24"/>
                <w:szCs w:val="24"/>
              </w:rPr>
            </w:pPr>
            <w:r w:rsidRPr="0006279B">
              <w:rPr>
                <w:rFonts w:ascii="Arial" w:hAnsi="Arial" w:cs="Arial"/>
                <w:color w:val="000000"/>
                <w:sz w:val="24"/>
                <w:szCs w:val="24"/>
              </w:rPr>
              <w:t>Gross Profit</w:t>
            </w:r>
          </w:p>
        </w:tc>
        <w:tc>
          <w:tcPr>
            <w:tcW w:w="1360" w:type="dxa"/>
            <w:shd w:val="clear" w:color="auto" w:fill="F2F2F2"/>
            <w:tcMar>
              <w:top w:w="80" w:type="dxa"/>
              <w:left w:w="100" w:type="dxa"/>
              <w:bottom w:w="80" w:type="dxa"/>
              <w:right w:w="100" w:type="dxa"/>
            </w:tcMar>
          </w:tcPr>
          <w:p w:rsidRPr="0006279B" w:rsidR="002353C0" w:rsidP="0006279B" w:rsidRDefault="002353C0" w14:paraId="50FF7D67" w14:textId="77777777">
            <w:pPr>
              <w:spacing w:line="360" w:lineRule="auto"/>
              <w:jc w:val="center"/>
              <w:rPr>
                <w:rFonts w:ascii="Arial" w:hAnsi="Arial" w:cs="Arial"/>
                <w:sz w:val="24"/>
                <w:szCs w:val="24"/>
              </w:rPr>
            </w:pPr>
            <w:r w:rsidRPr="0006279B">
              <w:rPr>
                <w:rFonts w:ascii="Arial" w:hAnsi="Arial" w:cs="Arial"/>
                <w:color w:val="000000"/>
                <w:sz w:val="24"/>
                <w:szCs w:val="24"/>
              </w:rPr>
              <w:t>-365.0</w:t>
            </w:r>
          </w:p>
        </w:tc>
        <w:tc>
          <w:tcPr>
            <w:tcW w:w="1360" w:type="dxa"/>
            <w:shd w:val="clear" w:color="auto" w:fill="F2F2F2"/>
            <w:tcMar>
              <w:top w:w="80" w:type="dxa"/>
              <w:left w:w="100" w:type="dxa"/>
              <w:bottom w:w="80" w:type="dxa"/>
              <w:right w:w="100" w:type="dxa"/>
            </w:tcMar>
          </w:tcPr>
          <w:p w:rsidRPr="0006279B" w:rsidR="002353C0" w:rsidP="0006279B" w:rsidRDefault="002353C0" w14:paraId="747ABF24" w14:textId="77777777">
            <w:pPr>
              <w:spacing w:line="360" w:lineRule="auto"/>
              <w:jc w:val="center"/>
              <w:rPr>
                <w:rFonts w:ascii="Arial" w:hAnsi="Arial" w:cs="Arial"/>
                <w:sz w:val="24"/>
                <w:szCs w:val="24"/>
              </w:rPr>
            </w:pPr>
            <w:r w:rsidRPr="0006279B">
              <w:rPr>
                <w:rFonts w:ascii="Arial" w:hAnsi="Arial" w:cs="Arial"/>
                <w:color w:val="000000"/>
                <w:sz w:val="24"/>
                <w:szCs w:val="24"/>
              </w:rPr>
              <w:t>481.9</w:t>
            </w:r>
          </w:p>
        </w:tc>
        <w:tc>
          <w:tcPr>
            <w:tcW w:w="1360" w:type="dxa"/>
            <w:shd w:val="clear" w:color="auto" w:fill="F2F2F2"/>
            <w:tcMar>
              <w:top w:w="80" w:type="dxa"/>
              <w:left w:w="100" w:type="dxa"/>
              <w:bottom w:w="80" w:type="dxa"/>
              <w:right w:w="100" w:type="dxa"/>
            </w:tcMar>
          </w:tcPr>
          <w:p w:rsidRPr="0006279B" w:rsidR="002353C0" w:rsidP="0006279B" w:rsidRDefault="002353C0" w14:paraId="2403C968" w14:textId="77777777">
            <w:pPr>
              <w:spacing w:line="360" w:lineRule="auto"/>
              <w:jc w:val="center"/>
              <w:rPr>
                <w:rFonts w:ascii="Arial" w:hAnsi="Arial" w:cs="Arial"/>
                <w:sz w:val="24"/>
                <w:szCs w:val="24"/>
              </w:rPr>
            </w:pPr>
            <w:r w:rsidRPr="0006279B">
              <w:rPr>
                <w:rFonts w:ascii="Arial" w:hAnsi="Arial" w:cs="Arial"/>
                <w:color w:val="000000"/>
                <w:sz w:val="24"/>
                <w:szCs w:val="24"/>
              </w:rPr>
              <w:t>989.2</w:t>
            </w:r>
          </w:p>
        </w:tc>
        <w:tc>
          <w:tcPr>
            <w:tcW w:w="1360" w:type="dxa"/>
            <w:shd w:val="clear" w:color="auto" w:fill="F2F2F2"/>
            <w:tcMar>
              <w:top w:w="80" w:type="dxa"/>
              <w:left w:w="100" w:type="dxa"/>
              <w:bottom w:w="80" w:type="dxa"/>
              <w:right w:w="100" w:type="dxa"/>
            </w:tcMar>
          </w:tcPr>
          <w:p w:rsidRPr="0006279B" w:rsidR="002353C0" w:rsidP="0006279B" w:rsidRDefault="002353C0" w14:paraId="405261E3" w14:textId="77777777">
            <w:pPr>
              <w:spacing w:line="360" w:lineRule="auto"/>
              <w:jc w:val="center"/>
              <w:rPr>
                <w:rFonts w:ascii="Arial" w:hAnsi="Arial" w:cs="Arial"/>
                <w:sz w:val="24"/>
                <w:szCs w:val="24"/>
              </w:rPr>
            </w:pPr>
            <w:r w:rsidRPr="0006279B">
              <w:rPr>
                <w:rFonts w:ascii="Arial" w:hAnsi="Arial" w:cs="Arial"/>
                <w:color w:val="000000"/>
                <w:sz w:val="24"/>
                <w:szCs w:val="24"/>
              </w:rPr>
              <w:t>1,169.0</w:t>
            </w:r>
          </w:p>
        </w:tc>
        <w:tc>
          <w:tcPr>
            <w:tcW w:w="1360" w:type="dxa"/>
            <w:shd w:val="clear" w:color="auto" w:fill="F2F2F2"/>
            <w:tcMar>
              <w:top w:w="80" w:type="dxa"/>
              <w:left w:w="100" w:type="dxa"/>
              <w:bottom w:w="80" w:type="dxa"/>
              <w:right w:w="100" w:type="dxa"/>
            </w:tcMar>
          </w:tcPr>
          <w:p w:rsidRPr="0006279B" w:rsidR="002353C0" w:rsidP="0006279B" w:rsidRDefault="002353C0" w14:paraId="338229C4" w14:textId="77777777">
            <w:pPr>
              <w:spacing w:line="360" w:lineRule="auto"/>
              <w:jc w:val="center"/>
              <w:rPr>
                <w:rFonts w:ascii="Arial" w:hAnsi="Arial" w:cs="Arial"/>
                <w:sz w:val="24"/>
                <w:szCs w:val="24"/>
              </w:rPr>
            </w:pPr>
            <w:r w:rsidRPr="0006279B">
              <w:rPr>
                <w:rFonts w:ascii="Arial" w:hAnsi="Arial" w:cs="Arial"/>
                <w:color w:val="000000"/>
                <w:sz w:val="24"/>
                <w:szCs w:val="24"/>
              </w:rPr>
              <w:t>1,248.0</w:t>
            </w:r>
          </w:p>
        </w:tc>
      </w:tr>
      <w:tr w:rsidRPr="0006279B" w:rsidR="002353C0" w:rsidTr="00F44A54" w14:paraId="680EFF75" w14:textId="77777777">
        <w:tblPrEx>
          <w:tblCellMar>
            <w:top w:w="0" w:type="dxa"/>
            <w:bottom w:w="0" w:type="dxa"/>
          </w:tblCellMar>
        </w:tblPrEx>
        <w:tc>
          <w:tcPr>
            <w:tcW w:w="2400" w:type="dxa"/>
            <w:shd w:val="clear" w:color="auto" w:fill="FFFFFF"/>
            <w:tcMar>
              <w:top w:w="80" w:type="dxa"/>
              <w:left w:w="100" w:type="dxa"/>
              <w:bottom w:w="80" w:type="dxa"/>
              <w:right w:w="100" w:type="dxa"/>
            </w:tcMar>
          </w:tcPr>
          <w:p w:rsidRPr="0006279B" w:rsidR="002353C0" w:rsidP="0006279B" w:rsidRDefault="002353C0" w14:paraId="5D6C6803" w14:textId="77777777">
            <w:pPr>
              <w:spacing w:line="360" w:lineRule="auto"/>
              <w:rPr>
                <w:rFonts w:ascii="Arial" w:hAnsi="Arial" w:cs="Arial"/>
                <w:sz w:val="24"/>
                <w:szCs w:val="24"/>
              </w:rPr>
            </w:pPr>
            <w:r w:rsidRPr="0006279B">
              <w:rPr>
                <w:rFonts w:ascii="Arial" w:hAnsi="Arial" w:cs="Arial"/>
                <w:color w:val="000000"/>
                <w:sz w:val="24"/>
                <w:szCs w:val="24"/>
              </w:rPr>
              <w:t>Operating Profit/(Loss)</w:t>
            </w:r>
          </w:p>
        </w:tc>
        <w:tc>
          <w:tcPr>
            <w:tcW w:w="1360" w:type="dxa"/>
            <w:shd w:val="clear" w:color="auto" w:fill="FFFFFF"/>
            <w:tcMar>
              <w:top w:w="80" w:type="dxa"/>
              <w:left w:w="100" w:type="dxa"/>
              <w:bottom w:w="80" w:type="dxa"/>
              <w:right w:w="100" w:type="dxa"/>
            </w:tcMar>
          </w:tcPr>
          <w:p w:rsidRPr="0006279B" w:rsidR="002353C0" w:rsidP="0006279B" w:rsidRDefault="002353C0" w14:paraId="22DF2B42" w14:textId="77777777">
            <w:pPr>
              <w:spacing w:line="360" w:lineRule="auto"/>
              <w:jc w:val="center"/>
              <w:rPr>
                <w:rFonts w:ascii="Arial" w:hAnsi="Arial" w:cs="Arial"/>
                <w:sz w:val="24"/>
                <w:szCs w:val="24"/>
              </w:rPr>
            </w:pPr>
            <w:r w:rsidRPr="0006279B">
              <w:rPr>
                <w:rFonts w:ascii="Arial" w:hAnsi="Arial" w:cs="Arial"/>
                <w:color w:val="000000"/>
                <w:sz w:val="24"/>
                <w:szCs w:val="24"/>
              </w:rPr>
              <w:t>-839.1</w:t>
            </w:r>
          </w:p>
        </w:tc>
        <w:tc>
          <w:tcPr>
            <w:tcW w:w="1360" w:type="dxa"/>
            <w:shd w:val="clear" w:color="auto" w:fill="FFFFFF"/>
            <w:tcMar>
              <w:top w:w="80" w:type="dxa"/>
              <w:left w:w="100" w:type="dxa"/>
              <w:bottom w:w="80" w:type="dxa"/>
              <w:right w:w="100" w:type="dxa"/>
            </w:tcMar>
          </w:tcPr>
          <w:p w:rsidRPr="0006279B" w:rsidR="002353C0" w:rsidP="0006279B" w:rsidRDefault="002353C0" w14:paraId="668B5997" w14:textId="77777777">
            <w:pPr>
              <w:spacing w:line="360" w:lineRule="auto"/>
              <w:jc w:val="center"/>
              <w:rPr>
                <w:rFonts w:ascii="Arial" w:hAnsi="Arial" w:cs="Arial"/>
                <w:sz w:val="24"/>
                <w:szCs w:val="24"/>
              </w:rPr>
            </w:pPr>
            <w:r w:rsidRPr="0006279B">
              <w:rPr>
                <w:rFonts w:ascii="Arial" w:hAnsi="Arial" w:cs="Arial"/>
                <w:color w:val="000000"/>
                <w:sz w:val="24"/>
                <w:szCs w:val="24"/>
              </w:rPr>
              <w:t>74.7</w:t>
            </w:r>
          </w:p>
        </w:tc>
        <w:tc>
          <w:tcPr>
            <w:tcW w:w="1360" w:type="dxa"/>
            <w:shd w:val="clear" w:color="auto" w:fill="FFFFFF"/>
            <w:tcMar>
              <w:top w:w="80" w:type="dxa"/>
              <w:left w:w="100" w:type="dxa"/>
              <w:bottom w:w="80" w:type="dxa"/>
              <w:right w:w="100" w:type="dxa"/>
            </w:tcMar>
          </w:tcPr>
          <w:p w:rsidRPr="0006279B" w:rsidR="002353C0" w:rsidP="0006279B" w:rsidRDefault="002353C0" w14:paraId="0AF8F52A" w14:textId="77777777">
            <w:pPr>
              <w:spacing w:line="360" w:lineRule="auto"/>
              <w:jc w:val="center"/>
              <w:rPr>
                <w:rFonts w:ascii="Arial" w:hAnsi="Arial" w:cs="Arial"/>
                <w:sz w:val="24"/>
                <w:szCs w:val="24"/>
              </w:rPr>
            </w:pPr>
            <w:r w:rsidRPr="0006279B">
              <w:rPr>
                <w:rFonts w:ascii="Arial" w:hAnsi="Arial" w:cs="Arial"/>
                <w:color w:val="000000"/>
                <w:sz w:val="24"/>
                <w:szCs w:val="24"/>
              </w:rPr>
              <w:t>539.5</w:t>
            </w:r>
          </w:p>
        </w:tc>
        <w:tc>
          <w:tcPr>
            <w:tcW w:w="1360" w:type="dxa"/>
            <w:shd w:val="clear" w:color="auto" w:fill="FFFFFF"/>
            <w:tcMar>
              <w:top w:w="80" w:type="dxa"/>
              <w:left w:w="100" w:type="dxa"/>
              <w:bottom w:w="80" w:type="dxa"/>
              <w:right w:w="100" w:type="dxa"/>
            </w:tcMar>
          </w:tcPr>
          <w:p w:rsidRPr="0006279B" w:rsidR="002353C0" w:rsidP="0006279B" w:rsidRDefault="002353C0" w14:paraId="0BE1F0AD" w14:textId="77777777">
            <w:pPr>
              <w:spacing w:line="360" w:lineRule="auto"/>
              <w:jc w:val="center"/>
              <w:rPr>
                <w:rFonts w:ascii="Arial" w:hAnsi="Arial" w:cs="Arial"/>
                <w:sz w:val="24"/>
                <w:szCs w:val="24"/>
              </w:rPr>
            </w:pPr>
            <w:r w:rsidRPr="0006279B">
              <w:rPr>
                <w:rFonts w:ascii="Arial" w:hAnsi="Arial" w:cs="Arial"/>
                <w:color w:val="000000"/>
                <w:sz w:val="24"/>
                <w:szCs w:val="24"/>
              </w:rPr>
              <w:t>669.0</w:t>
            </w:r>
          </w:p>
        </w:tc>
        <w:tc>
          <w:tcPr>
            <w:tcW w:w="1360" w:type="dxa"/>
            <w:shd w:val="clear" w:color="auto" w:fill="FFFFFF"/>
            <w:tcMar>
              <w:top w:w="80" w:type="dxa"/>
              <w:left w:w="100" w:type="dxa"/>
              <w:bottom w:w="80" w:type="dxa"/>
              <w:right w:w="100" w:type="dxa"/>
            </w:tcMar>
          </w:tcPr>
          <w:p w:rsidRPr="0006279B" w:rsidR="002353C0" w:rsidP="0006279B" w:rsidRDefault="002353C0" w14:paraId="75DADAF6" w14:textId="77777777">
            <w:pPr>
              <w:spacing w:line="360" w:lineRule="auto"/>
              <w:jc w:val="center"/>
              <w:rPr>
                <w:rFonts w:ascii="Arial" w:hAnsi="Arial" w:cs="Arial"/>
                <w:sz w:val="24"/>
                <w:szCs w:val="24"/>
              </w:rPr>
            </w:pPr>
            <w:r w:rsidRPr="0006279B">
              <w:rPr>
                <w:rFonts w:ascii="Arial" w:hAnsi="Arial" w:cs="Arial"/>
                <w:color w:val="000000"/>
                <w:sz w:val="24"/>
                <w:szCs w:val="24"/>
              </w:rPr>
              <w:t>602.6</w:t>
            </w:r>
          </w:p>
        </w:tc>
      </w:tr>
      <w:tr w:rsidRPr="0006279B" w:rsidR="002353C0" w:rsidTr="00F44A54" w14:paraId="5A776329" w14:textId="77777777">
        <w:tblPrEx>
          <w:tblCellMar>
            <w:top w:w="0" w:type="dxa"/>
            <w:bottom w:w="0" w:type="dxa"/>
          </w:tblCellMar>
        </w:tblPrEx>
        <w:tc>
          <w:tcPr>
            <w:tcW w:w="2400" w:type="dxa"/>
            <w:shd w:val="clear" w:color="auto" w:fill="F2F2F2"/>
            <w:tcMar>
              <w:top w:w="80" w:type="dxa"/>
              <w:left w:w="100" w:type="dxa"/>
              <w:bottom w:w="80" w:type="dxa"/>
              <w:right w:w="100" w:type="dxa"/>
            </w:tcMar>
          </w:tcPr>
          <w:p w:rsidRPr="0006279B" w:rsidR="002353C0" w:rsidP="0006279B" w:rsidRDefault="002353C0" w14:paraId="226B2185" w14:textId="77777777">
            <w:pPr>
              <w:spacing w:line="360" w:lineRule="auto"/>
              <w:rPr>
                <w:rFonts w:ascii="Arial" w:hAnsi="Arial" w:cs="Arial"/>
                <w:sz w:val="24"/>
                <w:szCs w:val="24"/>
              </w:rPr>
            </w:pPr>
            <w:r w:rsidRPr="0006279B">
              <w:rPr>
                <w:rFonts w:ascii="Arial" w:hAnsi="Arial" w:cs="Arial"/>
                <w:color w:val="000000"/>
                <w:sz w:val="24"/>
                <w:szCs w:val="24"/>
              </w:rPr>
              <w:t>Net Profit/(Loss)</w:t>
            </w:r>
          </w:p>
        </w:tc>
        <w:tc>
          <w:tcPr>
            <w:tcW w:w="1360" w:type="dxa"/>
            <w:shd w:val="clear" w:color="auto" w:fill="F2F2F2"/>
            <w:tcMar>
              <w:top w:w="80" w:type="dxa"/>
              <w:left w:w="100" w:type="dxa"/>
              <w:bottom w:w="80" w:type="dxa"/>
              <w:right w:w="100" w:type="dxa"/>
            </w:tcMar>
          </w:tcPr>
          <w:p w:rsidRPr="0006279B" w:rsidR="002353C0" w:rsidP="0006279B" w:rsidRDefault="002353C0" w14:paraId="02F1A205" w14:textId="77777777">
            <w:pPr>
              <w:spacing w:line="360" w:lineRule="auto"/>
              <w:jc w:val="center"/>
              <w:rPr>
                <w:rFonts w:ascii="Arial" w:hAnsi="Arial" w:cs="Arial"/>
                <w:sz w:val="24"/>
                <w:szCs w:val="24"/>
              </w:rPr>
            </w:pPr>
            <w:r w:rsidRPr="0006279B">
              <w:rPr>
                <w:rFonts w:ascii="Arial" w:hAnsi="Arial" w:cs="Arial"/>
                <w:color w:val="000000"/>
                <w:sz w:val="24"/>
                <w:szCs w:val="24"/>
              </w:rPr>
              <w:t>-906.5</w:t>
            </w:r>
          </w:p>
        </w:tc>
        <w:tc>
          <w:tcPr>
            <w:tcW w:w="1360" w:type="dxa"/>
            <w:shd w:val="clear" w:color="auto" w:fill="F2F2F2"/>
            <w:tcMar>
              <w:top w:w="80" w:type="dxa"/>
              <w:left w:w="100" w:type="dxa"/>
              <w:bottom w:w="80" w:type="dxa"/>
              <w:right w:w="100" w:type="dxa"/>
            </w:tcMar>
          </w:tcPr>
          <w:p w:rsidRPr="0006279B" w:rsidR="002353C0" w:rsidP="0006279B" w:rsidRDefault="002353C0" w14:paraId="0AE13DDC" w14:textId="77777777">
            <w:pPr>
              <w:spacing w:line="360" w:lineRule="auto"/>
              <w:jc w:val="center"/>
              <w:rPr>
                <w:rFonts w:ascii="Arial" w:hAnsi="Arial" w:cs="Arial"/>
                <w:sz w:val="24"/>
                <w:szCs w:val="24"/>
              </w:rPr>
            </w:pPr>
            <w:r w:rsidRPr="0006279B">
              <w:rPr>
                <w:rFonts w:ascii="Arial" w:hAnsi="Arial" w:cs="Arial"/>
                <w:color w:val="000000"/>
                <w:sz w:val="24"/>
                <w:szCs w:val="24"/>
              </w:rPr>
              <w:t>42.5</w:t>
            </w:r>
          </w:p>
        </w:tc>
        <w:tc>
          <w:tcPr>
            <w:tcW w:w="1360" w:type="dxa"/>
            <w:shd w:val="clear" w:color="auto" w:fill="F2F2F2"/>
            <w:tcMar>
              <w:top w:w="80" w:type="dxa"/>
              <w:left w:w="100" w:type="dxa"/>
              <w:bottom w:w="80" w:type="dxa"/>
              <w:right w:w="100" w:type="dxa"/>
            </w:tcMar>
          </w:tcPr>
          <w:p w:rsidRPr="0006279B" w:rsidR="002353C0" w:rsidP="0006279B" w:rsidRDefault="002353C0" w14:paraId="7E0EE28F" w14:textId="77777777">
            <w:pPr>
              <w:spacing w:line="360" w:lineRule="auto"/>
              <w:jc w:val="center"/>
              <w:rPr>
                <w:rFonts w:ascii="Arial" w:hAnsi="Arial" w:cs="Arial"/>
                <w:sz w:val="24"/>
                <w:szCs w:val="24"/>
              </w:rPr>
            </w:pPr>
            <w:r w:rsidRPr="0006279B">
              <w:rPr>
                <w:rFonts w:ascii="Arial" w:hAnsi="Arial" w:cs="Arial"/>
                <w:color w:val="000000"/>
                <w:sz w:val="24"/>
                <w:szCs w:val="24"/>
              </w:rPr>
              <w:t>278.8</w:t>
            </w:r>
          </w:p>
        </w:tc>
        <w:tc>
          <w:tcPr>
            <w:tcW w:w="1360" w:type="dxa"/>
            <w:shd w:val="clear" w:color="auto" w:fill="F2F2F2"/>
            <w:tcMar>
              <w:top w:w="80" w:type="dxa"/>
              <w:left w:w="100" w:type="dxa"/>
              <w:bottom w:w="80" w:type="dxa"/>
              <w:right w:w="100" w:type="dxa"/>
            </w:tcMar>
          </w:tcPr>
          <w:p w:rsidRPr="0006279B" w:rsidR="002353C0" w:rsidP="0006279B" w:rsidRDefault="002353C0" w14:paraId="1C167D48" w14:textId="77777777">
            <w:pPr>
              <w:spacing w:line="360" w:lineRule="auto"/>
              <w:jc w:val="center"/>
              <w:rPr>
                <w:rFonts w:ascii="Arial" w:hAnsi="Arial" w:cs="Arial"/>
                <w:sz w:val="24"/>
                <w:szCs w:val="24"/>
              </w:rPr>
            </w:pPr>
            <w:r w:rsidRPr="0006279B">
              <w:rPr>
                <w:rFonts w:ascii="Arial" w:hAnsi="Arial" w:cs="Arial"/>
                <w:color w:val="000000"/>
                <w:sz w:val="24"/>
                <w:szCs w:val="24"/>
              </w:rPr>
              <w:t>312.1</w:t>
            </w:r>
          </w:p>
        </w:tc>
        <w:tc>
          <w:tcPr>
            <w:tcW w:w="1360" w:type="dxa"/>
            <w:shd w:val="clear" w:color="auto" w:fill="F2F2F2"/>
            <w:tcMar>
              <w:top w:w="80" w:type="dxa"/>
              <w:left w:w="100" w:type="dxa"/>
              <w:bottom w:w="80" w:type="dxa"/>
              <w:right w:w="100" w:type="dxa"/>
            </w:tcMar>
          </w:tcPr>
          <w:p w:rsidRPr="0006279B" w:rsidR="002353C0" w:rsidP="0006279B" w:rsidRDefault="002353C0" w14:paraId="25D0E895" w14:textId="77777777">
            <w:pPr>
              <w:spacing w:line="360" w:lineRule="auto"/>
              <w:jc w:val="center"/>
              <w:rPr>
                <w:rFonts w:ascii="Arial" w:hAnsi="Arial" w:cs="Arial"/>
                <w:sz w:val="24"/>
                <w:szCs w:val="24"/>
              </w:rPr>
            </w:pPr>
            <w:r w:rsidRPr="0006279B">
              <w:rPr>
                <w:rFonts w:ascii="Arial" w:hAnsi="Arial" w:cs="Arial"/>
                <w:color w:val="000000"/>
                <w:sz w:val="24"/>
                <w:szCs w:val="24"/>
              </w:rPr>
              <w:t>253.7</w:t>
            </w:r>
          </w:p>
        </w:tc>
      </w:tr>
      <w:tr w:rsidRPr="0006279B" w:rsidR="002353C0" w:rsidTr="00F44A54" w14:paraId="3EC5D70E" w14:textId="77777777">
        <w:tblPrEx>
          <w:tblCellMar>
            <w:top w:w="0" w:type="dxa"/>
            <w:bottom w:w="0" w:type="dxa"/>
          </w:tblCellMar>
        </w:tblPrEx>
        <w:tc>
          <w:tcPr>
            <w:tcW w:w="2400" w:type="dxa"/>
            <w:shd w:val="clear" w:color="auto" w:fill="FFFFFF"/>
            <w:tcMar>
              <w:top w:w="80" w:type="dxa"/>
              <w:left w:w="100" w:type="dxa"/>
              <w:bottom w:w="80" w:type="dxa"/>
              <w:right w:w="100" w:type="dxa"/>
            </w:tcMar>
          </w:tcPr>
          <w:p w:rsidRPr="0006279B" w:rsidR="002353C0" w:rsidP="0006279B" w:rsidRDefault="002353C0" w14:paraId="3123FD3A" w14:textId="77777777">
            <w:pPr>
              <w:spacing w:line="360" w:lineRule="auto"/>
              <w:rPr>
                <w:rFonts w:ascii="Arial" w:hAnsi="Arial" w:cs="Arial"/>
                <w:sz w:val="24"/>
                <w:szCs w:val="24"/>
              </w:rPr>
            </w:pPr>
            <w:r w:rsidRPr="0006279B">
              <w:rPr>
                <w:rFonts w:ascii="Arial" w:hAnsi="Arial" w:cs="Arial"/>
                <w:color w:val="000000"/>
                <w:sz w:val="24"/>
                <w:szCs w:val="24"/>
              </w:rPr>
              <w:t>Total Assets</w:t>
            </w:r>
          </w:p>
        </w:tc>
        <w:tc>
          <w:tcPr>
            <w:tcW w:w="1360" w:type="dxa"/>
            <w:shd w:val="clear" w:color="auto" w:fill="FFFFFF"/>
            <w:tcMar>
              <w:top w:w="80" w:type="dxa"/>
              <w:left w:w="100" w:type="dxa"/>
              <w:bottom w:w="80" w:type="dxa"/>
              <w:right w:w="100" w:type="dxa"/>
            </w:tcMar>
          </w:tcPr>
          <w:p w:rsidRPr="0006279B" w:rsidR="002353C0" w:rsidP="0006279B" w:rsidRDefault="002353C0" w14:paraId="4CB67209" w14:textId="77777777">
            <w:pPr>
              <w:spacing w:line="360" w:lineRule="auto"/>
              <w:jc w:val="center"/>
              <w:rPr>
                <w:rFonts w:ascii="Arial" w:hAnsi="Arial" w:cs="Arial"/>
                <w:sz w:val="24"/>
                <w:szCs w:val="24"/>
              </w:rPr>
            </w:pPr>
            <w:r w:rsidRPr="0006279B">
              <w:rPr>
                <w:rFonts w:ascii="Arial" w:hAnsi="Arial" w:cs="Arial"/>
                <w:color w:val="000000"/>
                <w:sz w:val="24"/>
                <w:szCs w:val="24"/>
              </w:rPr>
              <w:t>8,798.6</w:t>
            </w:r>
          </w:p>
        </w:tc>
        <w:tc>
          <w:tcPr>
            <w:tcW w:w="1360" w:type="dxa"/>
            <w:shd w:val="clear" w:color="auto" w:fill="FFFFFF"/>
            <w:tcMar>
              <w:top w:w="80" w:type="dxa"/>
              <w:left w:w="100" w:type="dxa"/>
              <w:bottom w:w="80" w:type="dxa"/>
              <w:right w:w="100" w:type="dxa"/>
            </w:tcMar>
          </w:tcPr>
          <w:p w:rsidRPr="0006279B" w:rsidR="002353C0" w:rsidP="0006279B" w:rsidRDefault="002353C0" w14:paraId="0E41A68E" w14:textId="77777777">
            <w:pPr>
              <w:spacing w:line="360" w:lineRule="auto"/>
              <w:jc w:val="center"/>
              <w:rPr>
                <w:rFonts w:ascii="Arial" w:hAnsi="Arial" w:cs="Arial"/>
                <w:sz w:val="24"/>
                <w:szCs w:val="24"/>
              </w:rPr>
            </w:pPr>
            <w:r w:rsidRPr="0006279B">
              <w:rPr>
                <w:rFonts w:ascii="Arial" w:hAnsi="Arial" w:cs="Arial"/>
                <w:color w:val="000000"/>
                <w:sz w:val="24"/>
                <w:szCs w:val="24"/>
              </w:rPr>
              <w:t>9,567.0</w:t>
            </w:r>
          </w:p>
        </w:tc>
        <w:tc>
          <w:tcPr>
            <w:tcW w:w="1360" w:type="dxa"/>
            <w:shd w:val="clear" w:color="auto" w:fill="FFFFFF"/>
            <w:tcMar>
              <w:top w:w="80" w:type="dxa"/>
              <w:left w:w="100" w:type="dxa"/>
              <w:bottom w:w="80" w:type="dxa"/>
              <w:right w:w="100" w:type="dxa"/>
            </w:tcMar>
          </w:tcPr>
          <w:p w:rsidRPr="0006279B" w:rsidR="002353C0" w:rsidP="0006279B" w:rsidRDefault="002353C0" w14:paraId="079F3C8D" w14:textId="77777777">
            <w:pPr>
              <w:spacing w:line="360" w:lineRule="auto"/>
              <w:jc w:val="center"/>
              <w:rPr>
                <w:rFonts w:ascii="Arial" w:hAnsi="Arial" w:cs="Arial"/>
                <w:sz w:val="24"/>
                <w:szCs w:val="24"/>
              </w:rPr>
            </w:pPr>
            <w:r w:rsidRPr="0006279B">
              <w:rPr>
                <w:rFonts w:ascii="Arial" w:hAnsi="Arial" w:cs="Arial"/>
                <w:color w:val="000000"/>
                <w:sz w:val="24"/>
                <w:szCs w:val="24"/>
              </w:rPr>
              <w:t>9,943.0</w:t>
            </w:r>
          </w:p>
        </w:tc>
        <w:tc>
          <w:tcPr>
            <w:tcW w:w="1360" w:type="dxa"/>
            <w:shd w:val="clear" w:color="auto" w:fill="FFFFFF"/>
            <w:tcMar>
              <w:top w:w="80" w:type="dxa"/>
              <w:left w:w="100" w:type="dxa"/>
              <w:bottom w:w="80" w:type="dxa"/>
              <w:right w:w="100" w:type="dxa"/>
            </w:tcMar>
          </w:tcPr>
          <w:p w:rsidRPr="0006279B" w:rsidR="002353C0" w:rsidP="0006279B" w:rsidRDefault="002353C0" w14:paraId="02E2B216" w14:textId="77777777">
            <w:pPr>
              <w:spacing w:line="360" w:lineRule="auto"/>
              <w:jc w:val="center"/>
              <w:rPr>
                <w:rFonts w:ascii="Arial" w:hAnsi="Arial" w:cs="Arial"/>
                <w:sz w:val="24"/>
                <w:szCs w:val="24"/>
              </w:rPr>
            </w:pPr>
            <w:r w:rsidRPr="0006279B">
              <w:rPr>
                <w:rFonts w:ascii="Arial" w:hAnsi="Arial" w:cs="Arial"/>
                <w:color w:val="000000"/>
                <w:sz w:val="24"/>
                <w:szCs w:val="24"/>
              </w:rPr>
              <w:t>9,521.0</w:t>
            </w:r>
          </w:p>
        </w:tc>
        <w:tc>
          <w:tcPr>
            <w:tcW w:w="1360" w:type="dxa"/>
            <w:shd w:val="clear" w:color="auto" w:fill="FFFFFF"/>
            <w:tcMar>
              <w:top w:w="80" w:type="dxa"/>
              <w:left w:w="100" w:type="dxa"/>
              <w:bottom w:w="80" w:type="dxa"/>
              <w:right w:w="100" w:type="dxa"/>
            </w:tcMar>
          </w:tcPr>
          <w:p w:rsidRPr="0006279B" w:rsidR="002353C0" w:rsidP="0006279B" w:rsidRDefault="002353C0" w14:paraId="4DD6A6B2" w14:textId="77777777">
            <w:pPr>
              <w:spacing w:line="360" w:lineRule="auto"/>
              <w:jc w:val="center"/>
              <w:rPr>
                <w:rFonts w:ascii="Arial" w:hAnsi="Arial" w:cs="Arial"/>
                <w:sz w:val="24"/>
                <w:szCs w:val="24"/>
              </w:rPr>
            </w:pPr>
            <w:r w:rsidRPr="0006279B">
              <w:rPr>
                <w:rFonts w:ascii="Arial" w:hAnsi="Arial" w:cs="Arial"/>
                <w:color w:val="000000"/>
                <w:sz w:val="24"/>
                <w:szCs w:val="24"/>
              </w:rPr>
              <w:t>9,905.0</w:t>
            </w:r>
          </w:p>
        </w:tc>
      </w:tr>
      <w:tr w:rsidRPr="0006279B" w:rsidR="002353C0" w:rsidTr="00F44A54" w14:paraId="0835D1CC" w14:textId="77777777">
        <w:tblPrEx>
          <w:tblCellMar>
            <w:top w:w="0" w:type="dxa"/>
            <w:bottom w:w="0" w:type="dxa"/>
          </w:tblCellMar>
        </w:tblPrEx>
        <w:tc>
          <w:tcPr>
            <w:tcW w:w="2400" w:type="dxa"/>
            <w:shd w:val="clear" w:color="auto" w:fill="F2F2F2"/>
            <w:tcMar>
              <w:top w:w="80" w:type="dxa"/>
              <w:left w:w="100" w:type="dxa"/>
              <w:bottom w:w="80" w:type="dxa"/>
              <w:right w:w="100" w:type="dxa"/>
            </w:tcMar>
          </w:tcPr>
          <w:p w:rsidRPr="0006279B" w:rsidR="002353C0" w:rsidP="0006279B" w:rsidRDefault="002353C0" w14:paraId="46D7FD24" w14:textId="77777777">
            <w:pPr>
              <w:spacing w:line="360" w:lineRule="auto"/>
              <w:rPr>
                <w:rFonts w:ascii="Arial" w:hAnsi="Arial" w:cs="Arial"/>
                <w:sz w:val="24"/>
                <w:szCs w:val="24"/>
              </w:rPr>
            </w:pPr>
            <w:r w:rsidRPr="0006279B">
              <w:rPr>
                <w:rFonts w:ascii="Arial" w:hAnsi="Arial" w:cs="Arial"/>
                <w:color w:val="000000"/>
                <w:sz w:val="24"/>
                <w:szCs w:val="24"/>
              </w:rPr>
              <w:t>Total Equity</w:t>
            </w:r>
          </w:p>
        </w:tc>
        <w:tc>
          <w:tcPr>
            <w:tcW w:w="1360" w:type="dxa"/>
            <w:shd w:val="clear" w:color="auto" w:fill="F2F2F2"/>
            <w:tcMar>
              <w:top w:w="80" w:type="dxa"/>
              <w:left w:w="100" w:type="dxa"/>
              <w:bottom w:w="80" w:type="dxa"/>
              <w:right w:w="100" w:type="dxa"/>
            </w:tcMar>
          </w:tcPr>
          <w:p w:rsidRPr="0006279B" w:rsidR="002353C0" w:rsidP="0006279B" w:rsidRDefault="002353C0" w14:paraId="67172BBD" w14:textId="77777777">
            <w:pPr>
              <w:spacing w:line="360" w:lineRule="auto"/>
              <w:jc w:val="center"/>
              <w:rPr>
                <w:rFonts w:ascii="Arial" w:hAnsi="Arial" w:cs="Arial"/>
                <w:sz w:val="24"/>
                <w:szCs w:val="24"/>
              </w:rPr>
            </w:pPr>
            <w:r w:rsidRPr="0006279B">
              <w:rPr>
                <w:rFonts w:ascii="Arial" w:hAnsi="Arial" w:cs="Arial"/>
                <w:color w:val="000000"/>
                <w:sz w:val="24"/>
                <w:szCs w:val="24"/>
              </w:rPr>
              <w:t>3,834.1</w:t>
            </w:r>
          </w:p>
        </w:tc>
        <w:tc>
          <w:tcPr>
            <w:tcW w:w="1360" w:type="dxa"/>
            <w:shd w:val="clear" w:color="auto" w:fill="F2F2F2"/>
            <w:tcMar>
              <w:top w:w="80" w:type="dxa"/>
              <w:left w:w="100" w:type="dxa"/>
              <w:bottom w:w="80" w:type="dxa"/>
              <w:right w:w="100" w:type="dxa"/>
            </w:tcMar>
          </w:tcPr>
          <w:p w:rsidRPr="0006279B" w:rsidR="002353C0" w:rsidP="0006279B" w:rsidRDefault="002353C0" w14:paraId="7EF5CD72" w14:textId="77777777">
            <w:pPr>
              <w:spacing w:line="360" w:lineRule="auto"/>
              <w:jc w:val="center"/>
              <w:rPr>
                <w:rFonts w:ascii="Arial" w:hAnsi="Arial" w:cs="Arial"/>
                <w:sz w:val="24"/>
                <w:szCs w:val="24"/>
              </w:rPr>
            </w:pPr>
            <w:r w:rsidRPr="0006279B">
              <w:rPr>
                <w:rFonts w:ascii="Arial" w:hAnsi="Arial" w:cs="Arial"/>
                <w:color w:val="000000"/>
                <w:sz w:val="24"/>
                <w:szCs w:val="24"/>
              </w:rPr>
              <w:t>4,119.0</w:t>
            </w:r>
          </w:p>
        </w:tc>
        <w:tc>
          <w:tcPr>
            <w:tcW w:w="1360" w:type="dxa"/>
            <w:shd w:val="clear" w:color="auto" w:fill="F2F2F2"/>
            <w:tcMar>
              <w:top w:w="80" w:type="dxa"/>
              <w:left w:w="100" w:type="dxa"/>
              <w:bottom w:w="80" w:type="dxa"/>
              <w:right w:w="100" w:type="dxa"/>
            </w:tcMar>
          </w:tcPr>
          <w:p w:rsidRPr="0006279B" w:rsidR="002353C0" w:rsidP="0006279B" w:rsidRDefault="002353C0" w14:paraId="36D77BCF" w14:textId="77777777">
            <w:pPr>
              <w:spacing w:line="360" w:lineRule="auto"/>
              <w:jc w:val="center"/>
              <w:rPr>
                <w:rFonts w:ascii="Arial" w:hAnsi="Arial" w:cs="Arial"/>
                <w:sz w:val="24"/>
                <w:szCs w:val="24"/>
              </w:rPr>
            </w:pPr>
            <w:r w:rsidRPr="0006279B">
              <w:rPr>
                <w:rFonts w:ascii="Arial" w:hAnsi="Arial" w:cs="Arial"/>
                <w:color w:val="000000"/>
                <w:sz w:val="24"/>
                <w:szCs w:val="24"/>
              </w:rPr>
              <w:t>4,111.0</w:t>
            </w:r>
          </w:p>
        </w:tc>
        <w:tc>
          <w:tcPr>
            <w:tcW w:w="1360" w:type="dxa"/>
            <w:shd w:val="clear" w:color="auto" w:fill="F2F2F2"/>
            <w:tcMar>
              <w:top w:w="80" w:type="dxa"/>
              <w:left w:w="100" w:type="dxa"/>
              <w:bottom w:w="80" w:type="dxa"/>
              <w:right w:w="100" w:type="dxa"/>
            </w:tcMar>
          </w:tcPr>
          <w:p w:rsidRPr="0006279B" w:rsidR="002353C0" w:rsidP="0006279B" w:rsidRDefault="002353C0" w14:paraId="03B59589" w14:textId="77777777">
            <w:pPr>
              <w:spacing w:line="360" w:lineRule="auto"/>
              <w:jc w:val="center"/>
              <w:rPr>
                <w:rFonts w:ascii="Arial" w:hAnsi="Arial" w:cs="Arial"/>
                <w:sz w:val="24"/>
                <w:szCs w:val="24"/>
              </w:rPr>
            </w:pPr>
            <w:r w:rsidRPr="0006279B">
              <w:rPr>
                <w:rFonts w:ascii="Arial" w:hAnsi="Arial" w:cs="Arial"/>
                <w:color w:val="000000"/>
                <w:sz w:val="24"/>
                <w:szCs w:val="24"/>
              </w:rPr>
              <w:t>3,519.0</w:t>
            </w:r>
          </w:p>
        </w:tc>
        <w:tc>
          <w:tcPr>
            <w:tcW w:w="1360" w:type="dxa"/>
            <w:shd w:val="clear" w:color="auto" w:fill="F2F2F2"/>
            <w:tcMar>
              <w:top w:w="80" w:type="dxa"/>
              <w:left w:w="100" w:type="dxa"/>
              <w:bottom w:w="80" w:type="dxa"/>
              <w:right w:w="100" w:type="dxa"/>
            </w:tcMar>
          </w:tcPr>
          <w:p w:rsidRPr="0006279B" w:rsidR="002353C0" w:rsidP="0006279B" w:rsidRDefault="002353C0" w14:paraId="68365A5F" w14:textId="77777777">
            <w:pPr>
              <w:spacing w:line="360" w:lineRule="auto"/>
              <w:jc w:val="center"/>
              <w:rPr>
                <w:rFonts w:ascii="Arial" w:hAnsi="Arial" w:cs="Arial"/>
                <w:sz w:val="24"/>
                <w:szCs w:val="24"/>
              </w:rPr>
            </w:pPr>
            <w:r w:rsidRPr="0006279B">
              <w:rPr>
                <w:rFonts w:ascii="Arial" w:hAnsi="Arial" w:cs="Arial"/>
                <w:color w:val="000000"/>
                <w:sz w:val="24"/>
                <w:szCs w:val="24"/>
              </w:rPr>
              <w:t>3,335.0</w:t>
            </w:r>
          </w:p>
        </w:tc>
      </w:tr>
    </w:tbl>
    <w:p w:rsidRPr="0006279B" w:rsidR="002353C0" w:rsidP="0006279B" w:rsidRDefault="002353C0" w14:paraId="13BE2613" w14:textId="77777777">
      <w:pPr>
        <w:spacing w:after="300" w:line="360" w:lineRule="auto"/>
        <w:jc w:val="center"/>
        <w:rPr>
          <w:rFonts w:ascii="Arial" w:hAnsi="Arial" w:cs="Arial"/>
          <w:sz w:val="24"/>
          <w:szCs w:val="24"/>
        </w:rPr>
      </w:pPr>
      <w:r w:rsidRPr="0006279B">
        <w:rPr>
          <w:rFonts w:ascii="Arial" w:hAnsi="Arial" w:cs="Arial"/>
          <w:i/>
          <w:iCs/>
          <w:color w:val="595959"/>
          <w:sz w:val="24"/>
          <w:szCs w:val="24"/>
        </w:rPr>
        <w:t>Table A: Whitbread plc summary financial statements, FY21–FY25 (Source: Whitbread FY21 Preliminary Results Announcement; S&amp;P Global Market Intelligence via stockanalysis.com)</w:t>
      </w:r>
    </w:p>
    <w:p w:rsidRPr="0006279B" w:rsidR="002353C0" w:rsidP="0006279B" w:rsidRDefault="002353C0" w14:paraId="00C76BC4" w14:textId="77777777">
      <w:pPr>
        <w:spacing w:before="120" w:after="60" w:line="360" w:lineRule="auto"/>
        <w:jc w:val="center"/>
        <w:rPr>
          <w:rFonts w:ascii="Arial" w:hAnsi="Arial" w:cs="Arial"/>
          <w:sz w:val="24"/>
          <w:szCs w:val="24"/>
        </w:rPr>
      </w:pPr>
      <w:r w:rsidRPr="0006279B">
        <w:rPr>
          <w:rFonts w:ascii="Arial" w:hAnsi="Arial" w:cs="Arial"/>
          <w:noProof/>
          <w:sz w:val="24"/>
          <w:szCs w:val="24"/>
        </w:rPr>
        <w:drawing>
          <wp:inline distT="0" distB="0" distL="0" distR="0" wp14:anchorId="3F7806A9" wp14:editId="7AA458C2">
            <wp:extent cx="5524500" cy="3124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524500" cy="3124200"/>
                    </a:xfrm>
                    <a:prstGeom prst="rect">
                      <a:avLst/>
                    </a:prstGeom>
                  </pic:spPr>
                </pic:pic>
              </a:graphicData>
            </a:graphic>
          </wp:inline>
        </w:drawing>
      </w:r>
    </w:p>
    <w:p w:rsidRPr="0006279B" w:rsidR="002353C0" w:rsidP="0006279B" w:rsidRDefault="002353C0" w14:paraId="7D7DEEE7" w14:textId="77777777">
      <w:pPr>
        <w:spacing w:after="300" w:line="360" w:lineRule="auto"/>
        <w:jc w:val="center"/>
        <w:rPr>
          <w:rFonts w:ascii="Arial" w:hAnsi="Arial" w:cs="Arial"/>
          <w:sz w:val="24"/>
          <w:szCs w:val="24"/>
        </w:rPr>
      </w:pPr>
      <w:r w:rsidRPr="0006279B">
        <w:rPr>
          <w:rFonts w:ascii="Arial" w:hAnsi="Arial" w:cs="Arial"/>
          <w:i/>
          <w:iCs/>
          <w:color w:val="595959"/>
          <w:sz w:val="24"/>
          <w:szCs w:val="24"/>
        </w:rPr>
        <w:t>Figure A: Revenue, operating profit and net profit, FY21–FY25 — the pandemic collapse in FY21 and the sustained recovery through to FY25 are clearly visible.</w:t>
      </w:r>
    </w:p>
    <w:p w:rsidRPr="0006279B" w:rsidR="002353C0" w:rsidP="002E568D" w:rsidRDefault="002353C0" w14:paraId="634316AB" w14:textId="77777777">
      <w:pPr>
        <w:pStyle w:val="Heading1"/>
      </w:pPr>
      <w:bookmarkStart w:name="_Toc236251019" w:id="2"/>
      <w:r w:rsidRPr="0006279B">
        <w:t>Profitability Ratio Analysis</w:t>
      </w:r>
      <w:bookmarkEnd w:id="2"/>
    </w:p>
    <w:p w:rsidRPr="0006279B" w:rsidR="002353C0" w:rsidP="0006279B" w:rsidRDefault="002353C0" w14:paraId="1FC98201" w14:textId="77777777">
      <w:pPr>
        <w:spacing w:after="180" w:line="360" w:lineRule="auto"/>
        <w:jc w:val="both"/>
        <w:rPr>
          <w:rFonts w:ascii="Arial" w:hAnsi="Arial" w:cs="Arial"/>
          <w:sz w:val="24"/>
          <w:szCs w:val="24"/>
        </w:rPr>
      </w:pPr>
      <w:r w:rsidRPr="0006279B">
        <w:rPr>
          <w:rFonts w:ascii="Arial" w:hAnsi="Arial" w:cs="Arial"/>
          <w:sz w:val="24"/>
          <w:szCs w:val="24"/>
        </w:rPr>
        <w:t>Profitability ratios assess the company's ability to generate profits from its sales and assets.</w:t>
      </w:r>
    </w:p>
    <w:p w:rsidRPr="007B0D6B" w:rsidR="002353C0" w:rsidP="007B0D6B" w:rsidRDefault="002353C0" w14:paraId="108D18B6" w14:textId="77777777">
      <w:pPr>
        <w:pStyle w:val="Heading2"/>
      </w:pPr>
      <w:bookmarkStart w:name="_Toc236251020" w:id="3"/>
      <w:r w:rsidRPr="007B0D6B">
        <w:t>Gross Profit Margin</w:t>
      </w:r>
      <w:bookmarkEnd w:id="3"/>
    </w:p>
    <w:p w:rsidRPr="0006279B" w:rsidR="002353C0" w:rsidP="0006279B" w:rsidRDefault="002353C0" w14:paraId="0FF9C860" w14:textId="77777777">
      <w:pPr>
        <w:spacing w:after="180" w:line="360" w:lineRule="auto"/>
        <w:jc w:val="both"/>
        <w:rPr>
          <w:rFonts w:ascii="Arial" w:hAnsi="Arial" w:cs="Arial"/>
          <w:sz w:val="24"/>
          <w:szCs w:val="24"/>
        </w:rPr>
      </w:pPr>
      <w:r w:rsidRPr="0006279B">
        <w:rPr>
          <w:rFonts w:ascii="Arial" w:hAnsi="Arial" w:cs="Arial"/>
          <w:sz w:val="24"/>
          <w:szCs w:val="24"/>
        </w:rPr>
        <w:t>Whitbread's gross profit margin swung from -62.0% in FY21, when fixed operating costs vastly exceeded collapsed occupancy-driven revenue, to a positive 28.2% in FY22 as trading resumed. Margins then improved steadily to 37.7% in FY23, 39.5% in FY24 and 42.7% in FY25. Economies of scale, higher room rates and improved cost efficiency drove this recovery, and the continued growth of Premier Inn strengthened operating performance despite inflationary pressures affecting labour and energy costs (Whitbread, 2025).</w:t>
      </w:r>
    </w:p>
    <w:p w:rsidRPr="007B0D6B" w:rsidR="002353C0" w:rsidP="007B0D6B" w:rsidRDefault="002353C0" w14:paraId="7C88BE92" w14:textId="77777777">
      <w:pPr>
        <w:pStyle w:val="Heading2"/>
      </w:pPr>
      <w:bookmarkStart w:name="_Toc236251021" w:id="4"/>
      <w:r w:rsidRPr="007B0D6B">
        <w:t>Operating Profit Margin</w:t>
      </w:r>
      <w:bookmarkEnd w:id="4"/>
    </w:p>
    <w:p w:rsidRPr="0006279B" w:rsidR="002353C0" w:rsidP="0006279B" w:rsidRDefault="002353C0" w14:paraId="2503F3FB" w14:textId="77777777">
      <w:pPr>
        <w:spacing w:after="180" w:line="360" w:lineRule="auto"/>
        <w:jc w:val="both"/>
        <w:rPr>
          <w:rFonts w:ascii="Arial" w:hAnsi="Arial" w:cs="Arial"/>
          <w:sz w:val="24"/>
          <w:szCs w:val="24"/>
        </w:rPr>
      </w:pPr>
      <w:r w:rsidRPr="0006279B">
        <w:rPr>
          <w:rFonts w:ascii="Arial" w:hAnsi="Arial" w:cs="Arial"/>
          <w:sz w:val="24"/>
          <w:szCs w:val="24"/>
        </w:rPr>
        <w:t>Operating profit margins followed an even more extreme trend: FY21's statutory operating margin was -142.4% as the £839.1m operating loss dwarfed the depressed £589.4m revenue base. The Group returned to a thin 4.4% operating margin in FY22, before margins strengthened materially to 20.6% (FY23), 22.6% (FY24) and 20.6% (FY25). The slight FY25 dip reflects softer UK trading and cost inflation, but margins remain well above pre-recovery levels, demonstrating management's ability to restore operational efficiency following the pandemic.</w:t>
      </w:r>
    </w:p>
    <w:p w:rsidRPr="007B0D6B" w:rsidR="002353C0" w:rsidP="007B0D6B" w:rsidRDefault="002353C0" w14:paraId="23B3B149" w14:textId="77777777">
      <w:pPr>
        <w:pStyle w:val="Heading2"/>
      </w:pPr>
      <w:bookmarkStart w:name="_Toc236251022" w:id="5"/>
      <w:r w:rsidRPr="007B0D6B">
        <w:t>Return on Capital Employed (ROCE)</w:t>
      </w:r>
      <w:bookmarkEnd w:id="5"/>
    </w:p>
    <w:p w:rsidRPr="0006279B" w:rsidR="002353C0" w:rsidP="0006279B" w:rsidRDefault="002353C0" w14:paraId="3FA513D6" w14:textId="77777777">
      <w:pPr>
        <w:spacing w:after="180" w:line="360" w:lineRule="auto"/>
        <w:jc w:val="both"/>
        <w:rPr>
          <w:rFonts w:ascii="Arial" w:hAnsi="Arial" w:cs="Arial"/>
          <w:sz w:val="24"/>
          <w:szCs w:val="24"/>
        </w:rPr>
      </w:pPr>
      <w:r w:rsidRPr="0006279B">
        <w:rPr>
          <w:rFonts w:ascii="Arial" w:hAnsi="Arial" w:cs="Arial"/>
          <w:sz w:val="24"/>
          <w:szCs w:val="24"/>
        </w:rPr>
        <w:t xml:space="preserve">ROCE (operating profit ÷ total assets </w:t>
      </w:r>
      <w:proofErr w:type="gramStart"/>
      <w:r w:rsidRPr="0006279B">
        <w:rPr>
          <w:rFonts w:ascii="Arial" w:hAnsi="Arial" w:cs="Arial"/>
          <w:sz w:val="24"/>
          <w:szCs w:val="24"/>
        </w:rPr>
        <w:t>less</w:t>
      </w:r>
      <w:proofErr w:type="gramEnd"/>
      <w:r w:rsidRPr="0006279B">
        <w:rPr>
          <w:rFonts w:ascii="Arial" w:hAnsi="Arial" w:cs="Arial"/>
          <w:sz w:val="24"/>
          <w:szCs w:val="24"/>
        </w:rPr>
        <w:t xml:space="preserve"> current liabilities) collapsed to -10.5% in FY21 as operating profit turned deeply negative while substantial capital remained invested in hotel properties. The ratio recovered to a marginal 0.8% in FY22, then climbed to 5.9% (FY23) and 7.7% (FY24), before easing slightly to 7.0% in FY25. The overall trajectory confirms Whitbread utilised its capital progressively more efficiently as the recovery matured, generating materially stronger returns than the pandemic trough, even with the FY25 softening.</w:t>
      </w:r>
    </w:p>
    <w:p w:rsidRPr="0006279B" w:rsidR="002353C0" w:rsidP="0006279B" w:rsidRDefault="002353C0" w14:paraId="3AF6DC2C" w14:textId="77777777">
      <w:pPr>
        <w:spacing w:before="120" w:after="60" w:line="360" w:lineRule="auto"/>
        <w:jc w:val="center"/>
        <w:rPr>
          <w:rFonts w:ascii="Arial" w:hAnsi="Arial" w:cs="Arial"/>
          <w:sz w:val="24"/>
          <w:szCs w:val="24"/>
        </w:rPr>
      </w:pPr>
      <w:r w:rsidRPr="0006279B">
        <w:rPr>
          <w:rFonts w:ascii="Arial" w:hAnsi="Arial" w:cs="Arial"/>
          <w:noProof/>
          <w:sz w:val="24"/>
          <w:szCs w:val="24"/>
        </w:rPr>
        <w:drawing>
          <wp:inline distT="0" distB="0" distL="0" distR="0" wp14:anchorId="0DEE02BD" wp14:editId="7EEBD4AA">
            <wp:extent cx="5524500" cy="3124200"/>
            <wp:effectExtent l="0" t="0" r="0" b="0"/>
            <wp:docPr id="1499263134" name="Picture 1499263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524500" cy="3124200"/>
                    </a:xfrm>
                    <a:prstGeom prst="rect">
                      <a:avLst/>
                    </a:prstGeom>
                  </pic:spPr>
                </pic:pic>
              </a:graphicData>
            </a:graphic>
          </wp:inline>
        </w:drawing>
      </w:r>
    </w:p>
    <w:p w:rsidRPr="0006279B" w:rsidR="002353C0" w:rsidP="0006279B" w:rsidRDefault="002353C0" w14:paraId="2B695F40" w14:textId="77777777">
      <w:pPr>
        <w:spacing w:after="300" w:line="360" w:lineRule="auto"/>
        <w:jc w:val="center"/>
        <w:rPr>
          <w:rFonts w:ascii="Arial" w:hAnsi="Arial" w:cs="Arial"/>
          <w:sz w:val="24"/>
          <w:szCs w:val="24"/>
        </w:rPr>
      </w:pPr>
      <w:r w:rsidRPr="0006279B">
        <w:rPr>
          <w:rFonts w:ascii="Arial" w:hAnsi="Arial" w:cs="Arial"/>
          <w:i/>
          <w:iCs/>
          <w:color w:val="595959"/>
          <w:sz w:val="24"/>
          <w:szCs w:val="24"/>
        </w:rPr>
        <w:t>Figure B: Gross margin, operating margin and ROCE, FY21–FY25 — all three measures collapse in FY21 and recover through the pandemic recovery, with margins broadly stabilising from FY23 onward.</w:t>
      </w:r>
    </w:p>
    <w:p w:rsidRPr="0006279B" w:rsidR="002353C0" w:rsidP="00E17E1F" w:rsidRDefault="002353C0" w14:paraId="0477D6DF" w14:textId="77777777">
      <w:pPr>
        <w:pStyle w:val="Heading1"/>
      </w:pPr>
      <w:bookmarkStart w:name="_Toc236251023" w:id="6"/>
      <w:r w:rsidRPr="0006279B">
        <w:t>Efficiency Ratio Analysis</w:t>
      </w:r>
      <w:bookmarkEnd w:id="6"/>
    </w:p>
    <w:p w:rsidRPr="0006279B" w:rsidR="002353C0" w:rsidP="0006279B" w:rsidRDefault="002353C0" w14:paraId="047ADA78" w14:textId="77777777">
      <w:pPr>
        <w:spacing w:after="180" w:line="360" w:lineRule="auto"/>
        <w:jc w:val="both"/>
        <w:rPr>
          <w:rFonts w:ascii="Arial" w:hAnsi="Arial" w:cs="Arial"/>
          <w:sz w:val="24"/>
          <w:szCs w:val="24"/>
        </w:rPr>
      </w:pPr>
      <w:r w:rsidRPr="0006279B">
        <w:rPr>
          <w:rFonts w:ascii="Arial" w:hAnsi="Arial" w:cs="Arial"/>
          <w:sz w:val="24"/>
          <w:szCs w:val="24"/>
        </w:rPr>
        <w:t>Efficiency ratios evaluate how effectively Whitbread Plc utilises its assets and manages its working capital. As a hotel operator, the company's ability to maximise occupancy and generate revenue from its property portfolio is fundamental to long-term success.</w:t>
      </w:r>
    </w:p>
    <w:p w:rsidRPr="007B0D6B" w:rsidR="002353C0" w:rsidP="007B0D6B" w:rsidRDefault="002353C0" w14:paraId="781BDC92" w14:textId="77777777">
      <w:pPr>
        <w:pStyle w:val="Heading2"/>
      </w:pPr>
      <w:bookmarkStart w:name="_Toc236251024" w:id="7"/>
      <w:r w:rsidRPr="007B0D6B">
        <w:t>Asset Turnover Ratio</w:t>
      </w:r>
      <w:bookmarkEnd w:id="7"/>
    </w:p>
    <w:p w:rsidRPr="0006279B" w:rsidR="002353C0" w:rsidP="0006279B" w:rsidRDefault="002353C0" w14:paraId="5FE9C8F8" w14:textId="77777777">
      <w:pPr>
        <w:spacing w:after="180" w:line="360" w:lineRule="auto"/>
        <w:jc w:val="both"/>
        <w:rPr>
          <w:rFonts w:ascii="Arial" w:hAnsi="Arial" w:cs="Arial"/>
          <w:sz w:val="24"/>
          <w:szCs w:val="24"/>
        </w:rPr>
      </w:pPr>
      <w:r w:rsidRPr="0006279B">
        <w:rPr>
          <w:rFonts w:ascii="Arial" w:hAnsi="Arial" w:cs="Arial"/>
          <w:sz w:val="24"/>
          <w:szCs w:val="24"/>
        </w:rPr>
        <w:t>Asset turnover (revenue ÷ total assets) fell to just 0.07x in FY21 as hotel closures and travel restrictions collapsed revenue while the company's substantial investment in hotels remained largely unchanged on the balance sheet. As demand recovered, the ratio rose steadily to 0.18x (FY22), 0.26x (FY23) and 0.31x (FY24), before easing marginally to 0.30x in FY25. Higher occupancy levels and increased average room rates enabled Whitbread to generate substantially more revenue from its existing asset base, demonstrating a strong recovery in operational efficiency (Whitbread, 2025).</w:t>
      </w:r>
    </w:p>
    <w:p w:rsidRPr="007B0D6B" w:rsidR="002353C0" w:rsidP="007B0D6B" w:rsidRDefault="002353C0" w14:paraId="26CFBC92" w14:textId="77777777">
      <w:pPr>
        <w:pStyle w:val="Heading2"/>
      </w:pPr>
      <w:bookmarkStart w:name="_Toc236251025" w:id="8"/>
      <w:r w:rsidRPr="007B0D6B">
        <w:t>Receivables Collection Period</w:t>
      </w:r>
      <w:bookmarkEnd w:id="8"/>
    </w:p>
    <w:p w:rsidRPr="0006279B" w:rsidR="002353C0" w:rsidP="0006279B" w:rsidRDefault="002353C0" w14:paraId="0A81E4CA" w14:textId="77777777">
      <w:pPr>
        <w:spacing w:after="180" w:line="360" w:lineRule="auto"/>
        <w:jc w:val="both"/>
        <w:rPr>
          <w:rFonts w:ascii="Arial" w:hAnsi="Arial" w:cs="Arial"/>
          <w:sz w:val="24"/>
          <w:szCs w:val="24"/>
        </w:rPr>
      </w:pPr>
      <w:r w:rsidRPr="0006279B">
        <w:rPr>
          <w:rFonts w:ascii="Arial" w:hAnsi="Arial" w:cs="Arial"/>
          <w:sz w:val="24"/>
          <w:szCs w:val="24"/>
        </w:rPr>
        <w:t>Whitbread's receivables collection period fell from around 46 days in FY21 (inflated mainly by the depressed revenue denominator during lockdowns) to roughly 20 days in FY22, then continued to shorten to approximately 13 days (FY23), 10 days (FY24) and 9 days (FY25). This reflects the fact that most hotel guests pay immediately through online bookings and card payments, with only a small proportion of corporate-account receivables outstanding at any time. Efficient credit management has contributed to healthy operating cash flows and reduced the risk of bad debts (</w:t>
      </w:r>
      <w:proofErr w:type="spellStart"/>
      <w:r w:rsidRPr="0006279B">
        <w:rPr>
          <w:rFonts w:ascii="Arial" w:hAnsi="Arial" w:cs="Arial"/>
          <w:sz w:val="24"/>
          <w:szCs w:val="24"/>
        </w:rPr>
        <w:t>Atrill</w:t>
      </w:r>
      <w:proofErr w:type="spellEnd"/>
      <w:r w:rsidRPr="0006279B">
        <w:rPr>
          <w:rFonts w:ascii="Arial" w:hAnsi="Arial" w:cs="Arial"/>
          <w:sz w:val="24"/>
          <w:szCs w:val="24"/>
        </w:rPr>
        <w:t xml:space="preserve"> and McLaney, 2022).</w:t>
      </w:r>
    </w:p>
    <w:p w:rsidRPr="007B0D6B" w:rsidR="002353C0" w:rsidP="007B0D6B" w:rsidRDefault="002353C0" w14:paraId="3432D241" w14:textId="77777777">
      <w:pPr>
        <w:pStyle w:val="Heading2"/>
      </w:pPr>
      <w:bookmarkStart w:name="_Toc236251026" w:id="9"/>
      <w:r w:rsidRPr="007B0D6B">
        <w:t>Payables Payment Period</w:t>
      </w:r>
      <w:bookmarkEnd w:id="9"/>
    </w:p>
    <w:p w:rsidRPr="0006279B" w:rsidR="002353C0" w:rsidP="0006279B" w:rsidRDefault="002353C0" w14:paraId="1CB8DC49" w14:textId="77777777">
      <w:pPr>
        <w:spacing w:after="180" w:line="360" w:lineRule="auto"/>
        <w:jc w:val="both"/>
        <w:rPr>
          <w:rFonts w:ascii="Arial" w:hAnsi="Arial" w:cs="Arial"/>
          <w:sz w:val="24"/>
          <w:szCs w:val="24"/>
        </w:rPr>
      </w:pPr>
      <w:r w:rsidRPr="0006279B">
        <w:rPr>
          <w:rFonts w:ascii="Arial" w:hAnsi="Arial" w:cs="Arial"/>
          <w:sz w:val="24"/>
          <w:szCs w:val="24"/>
        </w:rPr>
        <w:t>The payables payment period lengthened sharply from around 94 days in FY21 to roughly 170 days in FY22, as Whitbread extended payment terms where possible to preserve liquidity coming out of the pandemic. As financial performance improved, supplier payments gradually normalised, falling to approximately 151 days (FY23), 82 days (FY24) and 88 days (FY25). Effective management of trade payables has supported working capital without creating excessive financial risk to key suppliers.</w:t>
      </w:r>
    </w:p>
    <w:p w:rsidRPr="0006279B" w:rsidR="002353C0" w:rsidP="0006279B" w:rsidRDefault="002353C0" w14:paraId="7AE799BC" w14:textId="77777777">
      <w:pPr>
        <w:spacing w:after="180" w:line="360" w:lineRule="auto"/>
        <w:jc w:val="both"/>
        <w:rPr>
          <w:rFonts w:ascii="Arial" w:hAnsi="Arial" w:cs="Arial"/>
          <w:sz w:val="24"/>
          <w:szCs w:val="24"/>
        </w:rPr>
      </w:pPr>
      <w:r w:rsidRPr="0006279B">
        <w:rPr>
          <w:rFonts w:ascii="Arial" w:hAnsi="Arial" w:cs="Arial"/>
          <w:sz w:val="24"/>
          <w:szCs w:val="24"/>
        </w:rPr>
        <w:t>Overall, the efficiency ratios indicate that Whitbread has successfully improved operational performance following the disruption caused by COVID-19, with asset utilisation and receivables collection both now comfortably ahead of the pandemic-era trough.</w:t>
      </w:r>
    </w:p>
    <w:p w:rsidRPr="0006279B" w:rsidR="002353C0" w:rsidP="0006279B" w:rsidRDefault="002353C0" w14:paraId="2201AA80" w14:textId="77777777">
      <w:pPr>
        <w:spacing w:before="120" w:after="60" w:line="360" w:lineRule="auto"/>
        <w:jc w:val="center"/>
        <w:rPr>
          <w:rFonts w:ascii="Arial" w:hAnsi="Arial" w:cs="Arial"/>
          <w:sz w:val="24"/>
          <w:szCs w:val="24"/>
        </w:rPr>
      </w:pPr>
      <w:r w:rsidRPr="0006279B">
        <w:rPr>
          <w:rFonts w:ascii="Arial" w:hAnsi="Arial" w:cs="Arial"/>
          <w:noProof/>
          <w:sz w:val="24"/>
          <w:szCs w:val="24"/>
        </w:rPr>
        <w:drawing>
          <wp:inline distT="0" distB="0" distL="0" distR="0" wp14:anchorId="384A6CF4" wp14:editId="1A429566">
            <wp:extent cx="5524500" cy="3124200"/>
            <wp:effectExtent l="0" t="0" r="0" b="0"/>
            <wp:docPr id="2133620564" name="Picture 2133620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524500" cy="3124200"/>
                    </a:xfrm>
                    <a:prstGeom prst="rect">
                      <a:avLst/>
                    </a:prstGeom>
                  </pic:spPr>
                </pic:pic>
              </a:graphicData>
            </a:graphic>
          </wp:inline>
        </w:drawing>
      </w:r>
    </w:p>
    <w:p w:rsidRPr="0006279B" w:rsidR="002353C0" w:rsidP="0006279B" w:rsidRDefault="002353C0" w14:paraId="34F6A4E0" w14:textId="77777777">
      <w:pPr>
        <w:spacing w:after="300" w:line="360" w:lineRule="auto"/>
        <w:jc w:val="center"/>
        <w:rPr>
          <w:rFonts w:ascii="Arial" w:hAnsi="Arial" w:cs="Arial"/>
          <w:sz w:val="24"/>
          <w:szCs w:val="24"/>
        </w:rPr>
      </w:pPr>
      <w:r w:rsidRPr="0006279B">
        <w:rPr>
          <w:rFonts w:ascii="Arial" w:hAnsi="Arial" w:cs="Arial"/>
          <w:i/>
          <w:iCs/>
          <w:color w:val="595959"/>
          <w:sz w:val="24"/>
          <w:szCs w:val="24"/>
        </w:rPr>
        <w:t>Figure C: Receivables and payables days (bars, left axis) and asset turnover (line, right axis), FY21–FY25 — payables normalise from the FY22 peak while asset turnover climbs steadily through FY24.</w:t>
      </w:r>
    </w:p>
    <w:p w:rsidRPr="0006279B" w:rsidR="002353C0" w:rsidP="00E17E1F" w:rsidRDefault="002353C0" w14:paraId="751FFDF0" w14:textId="77777777">
      <w:pPr>
        <w:pStyle w:val="Heading1"/>
      </w:pPr>
      <w:bookmarkStart w:name="_Toc236251027" w:id="10"/>
      <w:r w:rsidRPr="0006279B">
        <w:t>Gearing Ratio Analysis</w:t>
      </w:r>
      <w:bookmarkEnd w:id="10"/>
    </w:p>
    <w:p w:rsidRPr="0006279B" w:rsidR="002353C0" w:rsidP="0006279B" w:rsidRDefault="002353C0" w14:paraId="675DD4D9" w14:textId="77777777">
      <w:pPr>
        <w:spacing w:after="180" w:line="360" w:lineRule="auto"/>
        <w:jc w:val="both"/>
        <w:rPr>
          <w:rFonts w:ascii="Arial" w:hAnsi="Arial" w:cs="Arial"/>
          <w:sz w:val="24"/>
          <w:szCs w:val="24"/>
        </w:rPr>
      </w:pPr>
      <w:r w:rsidRPr="0006279B">
        <w:rPr>
          <w:rFonts w:ascii="Arial" w:hAnsi="Arial" w:cs="Arial"/>
          <w:sz w:val="24"/>
          <w:szCs w:val="24"/>
        </w:rPr>
        <w:t>Gearing ratios measure the extent to which the company finances its operations through debt rather than shareholders' equity.</w:t>
      </w:r>
    </w:p>
    <w:p w:rsidRPr="00E17E1F" w:rsidR="002353C0" w:rsidP="00E17E1F" w:rsidRDefault="002353C0" w14:paraId="15BB81FE" w14:textId="77777777">
      <w:pPr>
        <w:pStyle w:val="Heading2"/>
      </w:pPr>
      <w:bookmarkStart w:name="_Toc236251028" w:id="11"/>
      <w:r w:rsidRPr="00E17E1F">
        <w:t>Debt-to-Equity Ratio</w:t>
      </w:r>
      <w:bookmarkEnd w:id="11"/>
    </w:p>
    <w:p w:rsidRPr="0006279B" w:rsidR="002353C0" w:rsidP="0006279B" w:rsidRDefault="002353C0" w14:paraId="5576BC19" w14:textId="77777777">
      <w:pPr>
        <w:spacing w:after="180" w:line="360" w:lineRule="auto"/>
        <w:jc w:val="both"/>
        <w:rPr>
          <w:rFonts w:ascii="Arial" w:hAnsi="Arial" w:cs="Arial"/>
          <w:sz w:val="24"/>
          <w:szCs w:val="24"/>
        </w:rPr>
      </w:pPr>
      <w:r w:rsidRPr="0006279B">
        <w:rPr>
          <w:rFonts w:ascii="Arial" w:hAnsi="Arial" w:cs="Arial"/>
          <w:sz w:val="24"/>
          <w:szCs w:val="24"/>
        </w:rPr>
        <w:t>On a total-debt basis (including IFRS 16 lease liabilities, which dominate Whitbread's balance sheet as a leasehold hotel operator), gearing has actually risen over the review period: from 118.3% in FY21 to 114.0% (FY22), 120.5% (FY23), 144.7% (FY24) and 168.7% in FY25. This increase is driven less by operating distress and more by two structural factors: continued leasehold expansion in the UK and, especially, Germany, which increases lease-liability debt under IFRS 16; and a shrinking equity base as Whitbread returned significant capital to shareholders through dividends and share buybacks (equity fell from £3,834m in FY21 to £3,335m in FY25). Stripping out lease liabilities, core borrowings alone remain far more modest, and Whitbread has retained an investment-grade credit rating throughout, but the rising trend in total leverage is a genuine feature of the FY21–FY25 data worth monitoring rather than the steadily de-levering picture sometimes assumed (Whitbread, 2024).</w:t>
      </w:r>
    </w:p>
    <w:p w:rsidRPr="00E17E1F" w:rsidR="002353C0" w:rsidP="00E17E1F" w:rsidRDefault="002353C0" w14:paraId="471AE838" w14:textId="77777777">
      <w:pPr>
        <w:pStyle w:val="Heading2"/>
      </w:pPr>
      <w:bookmarkStart w:name="_Toc236251029" w:id="12"/>
      <w:r w:rsidRPr="00E17E1F">
        <w:t>Interest Cover Ratio</w:t>
      </w:r>
      <w:bookmarkEnd w:id="12"/>
    </w:p>
    <w:p w:rsidRPr="0006279B" w:rsidR="002353C0" w:rsidP="0006279B" w:rsidRDefault="002353C0" w14:paraId="6E4B7DB7" w14:textId="77777777">
      <w:pPr>
        <w:spacing w:after="180" w:line="360" w:lineRule="auto"/>
        <w:jc w:val="both"/>
        <w:rPr>
          <w:rFonts w:ascii="Arial" w:hAnsi="Arial" w:cs="Arial"/>
          <w:sz w:val="24"/>
          <w:szCs w:val="24"/>
        </w:rPr>
      </w:pPr>
      <w:r w:rsidRPr="0006279B">
        <w:rPr>
          <w:rFonts w:ascii="Arial" w:hAnsi="Arial" w:cs="Arial"/>
          <w:sz w:val="24"/>
          <w:szCs w:val="24"/>
        </w:rPr>
        <w:t>Interest cover (operating profit ÷ finance costs) was deeply negative in FY21 (approximately -4.8x) because operating profit was negative while finance costs continued to accrue. Cover recovered to a thin 0.45x in FY22 — still below the level needed to comfortably service debt from operating profit alone — before strengthening materially to 3.26x (FY23), 3.75x (FY24) and 3.22x (FY25). This recovery demonstrates a substantially improved, though not yet returned-to-peak, ability to meet interest obligations from trading profit, and is broadly consistent with the c.3.6x interest coverage most recently reported by the business.</w:t>
      </w:r>
    </w:p>
    <w:p w:rsidRPr="0006279B" w:rsidR="002353C0" w:rsidP="0006279B" w:rsidRDefault="002353C0" w14:paraId="6122B95C" w14:textId="77777777">
      <w:pPr>
        <w:spacing w:after="180" w:line="360" w:lineRule="auto"/>
        <w:jc w:val="both"/>
        <w:rPr>
          <w:rFonts w:ascii="Arial" w:hAnsi="Arial" w:cs="Arial"/>
          <w:sz w:val="24"/>
          <w:szCs w:val="24"/>
        </w:rPr>
      </w:pPr>
      <w:r w:rsidRPr="0006279B">
        <w:rPr>
          <w:rFonts w:ascii="Arial" w:hAnsi="Arial" w:cs="Arial"/>
          <w:sz w:val="24"/>
          <w:szCs w:val="24"/>
        </w:rPr>
        <w:t>Taken together, the rising debt-to-equity ratio alongside a recovering but plateauing interest cover ratio suggests Whitbread's balance sheet risk has increased modestly since FY21, even as trading profitability has recovered strongly — a nuance that a purely narrative reading of the recovery would otherwise miss.</w:t>
      </w:r>
    </w:p>
    <w:p w:rsidRPr="0006279B" w:rsidR="002353C0" w:rsidP="0006279B" w:rsidRDefault="002353C0" w14:paraId="0C2DDD36" w14:textId="77777777">
      <w:pPr>
        <w:spacing w:before="120" w:after="60" w:line="360" w:lineRule="auto"/>
        <w:jc w:val="center"/>
        <w:rPr>
          <w:rFonts w:ascii="Arial" w:hAnsi="Arial" w:cs="Arial"/>
          <w:sz w:val="24"/>
          <w:szCs w:val="24"/>
        </w:rPr>
      </w:pPr>
      <w:r w:rsidRPr="0006279B">
        <w:rPr>
          <w:rFonts w:ascii="Arial" w:hAnsi="Arial" w:cs="Arial"/>
          <w:noProof/>
          <w:sz w:val="24"/>
          <w:szCs w:val="24"/>
        </w:rPr>
        <w:drawing>
          <wp:inline distT="0" distB="0" distL="0" distR="0" wp14:anchorId="076A2BD8" wp14:editId="0F20C361">
            <wp:extent cx="5524500" cy="3124200"/>
            <wp:effectExtent l="0" t="0" r="0" b="0"/>
            <wp:docPr id="857956370" name="Picture 8579563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524500" cy="3124200"/>
                    </a:xfrm>
                    <a:prstGeom prst="rect">
                      <a:avLst/>
                    </a:prstGeom>
                  </pic:spPr>
                </pic:pic>
              </a:graphicData>
            </a:graphic>
          </wp:inline>
        </w:drawing>
      </w:r>
    </w:p>
    <w:p w:rsidRPr="0006279B" w:rsidR="002353C0" w:rsidP="0006279B" w:rsidRDefault="002353C0" w14:paraId="568C0B7A" w14:textId="77777777">
      <w:pPr>
        <w:spacing w:after="300" w:line="360" w:lineRule="auto"/>
        <w:jc w:val="center"/>
        <w:rPr>
          <w:rFonts w:ascii="Arial" w:hAnsi="Arial" w:cs="Arial"/>
          <w:sz w:val="24"/>
          <w:szCs w:val="24"/>
        </w:rPr>
      </w:pPr>
      <w:r w:rsidRPr="0006279B">
        <w:rPr>
          <w:rFonts w:ascii="Arial" w:hAnsi="Arial" w:cs="Arial"/>
          <w:i/>
          <w:iCs/>
          <w:color w:val="595959"/>
          <w:sz w:val="24"/>
          <w:szCs w:val="24"/>
        </w:rPr>
        <w:t>Figure D: Debt-to-equity ratio (bars, left axis) and interest cover (line, right axis), FY21–FY25 — gearing trends upward through the period even as interest cover recovers from the FY21/FY22 trough.</w:t>
      </w:r>
    </w:p>
    <w:p w:rsidRPr="00E17E1F" w:rsidR="002353C0" w:rsidP="00E17E1F" w:rsidRDefault="002353C0" w14:paraId="55A11D43" w14:textId="77777777">
      <w:pPr>
        <w:pStyle w:val="Heading1"/>
      </w:pPr>
      <w:bookmarkStart w:name="_Toc236251030" w:id="13"/>
      <w:r w:rsidRPr="00E17E1F">
        <w:t>Investment Ratio Analysis</w:t>
      </w:r>
      <w:bookmarkEnd w:id="13"/>
    </w:p>
    <w:p w:rsidRPr="0006279B" w:rsidR="002353C0" w:rsidP="0006279B" w:rsidRDefault="002353C0" w14:paraId="20EC7A4B" w14:textId="77777777">
      <w:pPr>
        <w:spacing w:after="180" w:line="360" w:lineRule="auto"/>
        <w:jc w:val="both"/>
        <w:rPr>
          <w:rFonts w:ascii="Arial" w:hAnsi="Arial" w:cs="Arial"/>
          <w:sz w:val="24"/>
          <w:szCs w:val="24"/>
        </w:rPr>
      </w:pPr>
      <w:r w:rsidRPr="0006279B">
        <w:rPr>
          <w:rFonts w:ascii="Arial" w:hAnsi="Arial" w:cs="Arial"/>
          <w:sz w:val="24"/>
          <w:szCs w:val="24"/>
        </w:rPr>
        <w:t>Investment ratios assess the value delivered to shareholders.</w:t>
      </w:r>
    </w:p>
    <w:p w:rsidRPr="002E568D" w:rsidR="002353C0" w:rsidP="002E568D" w:rsidRDefault="002353C0" w14:paraId="2B1C58C1" w14:textId="77777777">
      <w:pPr>
        <w:pStyle w:val="Heading2"/>
      </w:pPr>
      <w:bookmarkStart w:name="_Toc236251031" w:id="14"/>
      <w:r w:rsidRPr="002E568D">
        <w:t>Earnings Per Share (EPS)</w:t>
      </w:r>
      <w:bookmarkEnd w:id="14"/>
    </w:p>
    <w:p w:rsidRPr="0006279B" w:rsidR="002353C0" w:rsidP="0006279B" w:rsidRDefault="002353C0" w14:paraId="79859EDB" w14:textId="77777777">
      <w:pPr>
        <w:spacing w:after="180" w:line="360" w:lineRule="auto"/>
        <w:jc w:val="both"/>
        <w:rPr>
          <w:rFonts w:ascii="Arial" w:hAnsi="Arial" w:cs="Arial"/>
          <w:sz w:val="24"/>
          <w:szCs w:val="24"/>
        </w:rPr>
      </w:pPr>
      <w:r w:rsidRPr="0006279B">
        <w:rPr>
          <w:rFonts w:ascii="Arial" w:hAnsi="Arial" w:cs="Arial"/>
          <w:sz w:val="24"/>
          <w:szCs w:val="24"/>
        </w:rPr>
        <w:t>Whitbread reported negative earnings per share during the pandemic due to substantial losses. However, EPS recovered strongly between 2022 and 2025 as profitability improved. This recovery reflects management's success in restoring shareholder value through operational improvements and revenue growth.</w:t>
      </w:r>
    </w:p>
    <w:p w:rsidRPr="002E568D" w:rsidR="002353C0" w:rsidP="002E568D" w:rsidRDefault="002353C0" w14:paraId="162C20FC" w14:textId="77777777">
      <w:pPr>
        <w:pStyle w:val="Heading2"/>
      </w:pPr>
      <w:bookmarkStart w:name="_Toc236251032" w:id="15"/>
      <w:r w:rsidRPr="002E568D">
        <w:t>Dividend Per Share</w:t>
      </w:r>
      <w:bookmarkEnd w:id="15"/>
    </w:p>
    <w:p w:rsidRPr="0006279B" w:rsidR="002353C0" w:rsidP="0006279B" w:rsidRDefault="002353C0" w14:paraId="35FA2CE7" w14:textId="77777777">
      <w:pPr>
        <w:spacing w:after="180" w:line="360" w:lineRule="auto"/>
        <w:jc w:val="both"/>
        <w:rPr>
          <w:rFonts w:ascii="Arial" w:hAnsi="Arial" w:cs="Arial"/>
          <w:sz w:val="24"/>
          <w:szCs w:val="24"/>
        </w:rPr>
      </w:pPr>
      <w:r w:rsidRPr="0006279B">
        <w:rPr>
          <w:rFonts w:ascii="Arial" w:hAnsi="Arial" w:cs="Arial"/>
          <w:sz w:val="24"/>
          <w:szCs w:val="24"/>
        </w:rPr>
        <w:t>Dividend payments were suspended during the pandemic to conserve cash and strengthen liquidity. Following the recovery in earnings and cash generation, Whitbread reinstated dividend payments, signalling management's confidence in the company's future financial performance (Whitbread, 2025).</w:t>
      </w:r>
    </w:p>
    <w:p w:rsidRPr="0006279B" w:rsidR="002353C0" w:rsidP="0006279B" w:rsidRDefault="002353C0" w14:paraId="59996D16" w14:textId="77777777">
      <w:pPr>
        <w:spacing w:after="180" w:line="360" w:lineRule="auto"/>
        <w:jc w:val="both"/>
        <w:rPr>
          <w:rFonts w:ascii="Arial" w:hAnsi="Arial" w:cs="Arial"/>
          <w:sz w:val="24"/>
          <w:szCs w:val="24"/>
        </w:rPr>
      </w:pPr>
      <w:r w:rsidRPr="0006279B">
        <w:rPr>
          <w:rFonts w:ascii="Arial" w:hAnsi="Arial" w:cs="Arial"/>
          <w:sz w:val="24"/>
          <w:szCs w:val="24"/>
        </w:rPr>
        <w:t>The recovery in investment ratios demonstrates Whitbread's commitment to balancing shareholder returns with sustainable long-term growth.</w:t>
      </w:r>
    </w:p>
    <w:p w:rsidRPr="0006279B" w:rsidR="002353C0" w:rsidP="002E568D" w:rsidRDefault="002353C0" w14:paraId="6DFAD6A8" w14:textId="77777777">
      <w:pPr>
        <w:pStyle w:val="Heading2"/>
      </w:pPr>
      <w:bookmarkStart w:name="_Toc236251033" w:id="16"/>
      <w:r w:rsidRPr="0006279B">
        <w:t>Cash Flow Analysis</w:t>
      </w:r>
      <w:bookmarkEnd w:id="16"/>
    </w:p>
    <w:p w:rsidRPr="0006279B" w:rsidR="002353C0" w:rsidP="0006279B" w:rsidRDefault="002353C0" w14:paraId="4B09D9ED" w14:textId="77777777">
      <w:pPr>
        <w:spacing w:after="180" w:line="360" w:lineRule="auto"/>
        <w:jc w:val="both"/>
        <w:rPr>
          <w:rFonts w:ascii="Arial" w:hAnsi="Arial" w:cs="Arial"/>
          <w:sz w:val="24"/>
          <w:szCs w:val="24"/>
        </w:rPr>
      </w:pPr>
      <w:r w:rsidRPr="0006279B">
        <w:rPr>
          <w:rFonts w:ascii="Arial" w:hAnsi="Arial" w:cs="Arial"/>
          <w:sz w:val="24"/>
          <w:szCs w:val="24"/>
        </w:rPr>
        <w:t>Cash flow represents one of the strongest indicators of Whitbread's financial health throughout the review period.</w:t>
      </w:r>
    </w:p>
    <w:p w:rsidRPr="0006279B" w:rsidR="002353C0" w:rsidP="0006279B" w:rsidRDefault="002353C0" w14:paraId="53FA2C58" w14:textId="77777777">
      <w:pPr>
        <w:spacing w:after="180" w:line="360" w:lineRule="auto"/>
        <w:jc w:val="both"/>
        <w:rPr>
          <w:rFonts w:ascii="Arial" w:hAnsi="Arial" w:cs="Arial"/>
          <w:sz w:val="24"/>
          <w:szCs w:val="24"/>
        </w:rPr>
      </w:pPr>
      <w:r w:rsidRPr="0006279B">
        <w:rPr>
          <w:rFonts w:ascii="Arial" w:hAnsi="Arial" w:cs="Arial"/>
          <w:sz w:val="24"/>
          <w:szCs w:val="24"/>
        </w:rPr>
        <w:t>Operating cash flows became negative during the height of the COVID-19 crisis because trading activity was severely restricted. Nevertheless, management implemented decisive actions, including cost reductions, capital expenditure controls and additional financing arrangements, ensuring sufficient liquidity during the crisis (Whitbread, 2021).</w:t>
      </w:r>
    </w:p>
    <w:p w:rsidRPr="0006279B" w:rsidR="002353C0" w:rsidP="0006279B" w:rsidRDefault="002353C0" w14:paraId="3F83FE3E" w14:textId="77777777">
      <w:pPr>
        <w:spacing w:after="180" w:line="360" w:lineRule="auto"/>
        <w:jc w:val="both"/>
        <w:rPr>
          <w:rFonts w:ascii="Arial" w:hAnsi="Arial" w:cs="Arial"/>
          <w:sz w:val="24"/>
          <w:szCs w:val="24"/>
        </w:rPr>
      </w:pPr>
      <w:r w:rsidRPr="0006279B">
        <w:rPr>
          <w:rFonts w:ascii="Arial" w:hAnsi="Arial" w:cs="Arial"/>
          <w:sz w:val="24"/>
          <w:szCs w:val="24"/>
        </w:rPr>
        <w:t>From 2022 onwards, operating cash flows improved significantly as hotel occupancy recovered. Strong cash generation enabled Whitbread to reduce debt, reinstate dividend payments and continue investing in new Premier Inn developments across the United Kingdom and Germany. Positive free cash flow strengthened the company's financial flexibility and supported long-term strategic expansion.</w:t>
      </w:r>
    </w:p>
    <w:p w:rsidRPr="0006279B" w:rsidR="002353C0" w:rsidP="0006279B" w:rsidRDefault="002353C0" w14:paraId="45BD54EF" w14:textId="77777777">
      <w:pPr>
        <w:spacing w:after="180" w:line="360" w:lineRule="auto"/>
        <w:jc w:val="both"/>
        <w:rPr>
          <w:rFonts w:ascii="Arial" w:hAnsi="Arial" w:cs="Arial"/>
          <w:sz w:val="24"/>
          <w:szCs w:val="24"/>
        </w:rPr>
      </w:pPr>
      <w:r w:rsidRPr="0006279B">
        <w:rPr>
          <w:rFonts w:ascii="Arial" w:hAnsi="Arial" w:cs="Arial"/>
          <w:sz w:val="24"/>
          <w:szCs w:val="24"/>
        </w:rPr>
        <w:t>Overall, Whitbread's cash flow performance demonstrates effective financial management and highlights the resilience of its business model.</w:t>
      </w:r>
    </w:p>
    <w:p w:rsidRPr="009071E6" w:rsidR="002353C0" w:rsidP="009071E6" w:rsidRDefault="002353C0" w14:paraId="0B702873" w14:textId="77777777">
      <w:pPr>
        <w:pStyle w:val="Heading1"/>
      </w:pPr>
      <w:bookmarkStart w:name="_Toc236251034" w:id="17"/>
      <w:r w:rsidRPr="009071E6">
        <w:t>Trends, Strengths and Potential Threats</w:t>
      </w:r>
      <w:bookmarkEnd w:id="17"/>
    </w:p>
    <w:p w:rsidRPr="0006279B" w:rsidR="002353C0" w:rsidP="0006279B" w:rsidRDefault="002353C0" w14:paraId="68CC6C29" w14:textId="77777777">
      <w:pPr>
        <w:spacing w:after="180" w:line="360" w:lineRule="auto"/>
        <w:jc w:val="both"/>
        <w:rPr>
          <w:rFonts w:ascii="Arial" w:hAnsi="Arial" w:cs="Arial"/>
          <w:sz w:val="24"/>
          <w:szCs w:val="24"/>
        </w:rPr>
      </w:pPr>
      <w:r w:rsidRPr="0006279B">
        <w:rPr>
          <w:rFonts w:ascii="Arial" w:hAnsi="Arial" w:cs="Arial"/>
          <w:sz w:val="24"/>
          <w:szCs w:val="24"/>
        </w:rPr>
        <w:t>The five-year financial analysis reveals several important trends. Revenue, profitability and cash flow recovered strongly following the pandemic, while debt levels gradually declined. Liquidity remained stable throughout the review period despite significant external challenges.</w:t>
      </w:r>
    </w:p>
    <w:p w:rsidRPr="0006279B" w:rsidR="002353C0" w:rsidP="0006279B" w:rsidRDefault="002353C0" w14:paraId="055E5D6E" w14:textId="77777777">
      <w:pPr>
        <w:spacing w:after="180" w:line="360" w:lineRule="auto"/>
        <w:jc w:val="both"/>
        <w:rPr>
          <w:rFonts w:ascii="Arial" w:hAnsi="Arial" w:cs="Arial"/>
          <w:sz w:val="24"/>
          <w:szCs w:val="24"/>
        </w:rPr>
      </w:pPr>
      <w:r w:rsidRPr="0006279B">
        <w:rPr>
          <w:rFonts w:ascii="Arial" w:hAnsi="Arial" w:cs="Arial"/>
          <w:sz w:val="24"/>
          <w:szCs w:val="24"/>
        </w:rPr>
        <w:t>Whitbread's principal strengths include its market-leading Premier Inn brand, strong operating cash generation, disciplined cost management, extensive property portfolio and prudent financial strategy. These strengths position the company favourably for continued sustainable growth.</w:t>
      </w:r>
    </w:p>
    <w:p w:rsidRPr="0006279B" w:rsidR="002353C0" w:rsidP="0006279B" w:rsidRDefault="002353C0" w14:paraId="1032F418" w14:textId="77777777">
      <w:pPr>
        <w:spacing w:after="180" w:line="360" w:lineRule="auto"/>
        <w:jc w:val="both"/>
        <w:rPr>
          <w:rFonts w:ascii="Arial" w:hAnsi="Arial" w:cs="Arial"/>
          <w:sz w:val="24"/>
          <w:szCs w:val="24"/>
        </w:rPr>
      </w:pPr>
      <w:r w:rsidRPr="0006279B">
        <w:rPr>
          <w:rFonts w:ascii="Arial" w:hAnsi="Arial" w:cs="Arial"/>
          <w:sz w:val="24"/>
          <w:szCs w:val="24"/>
        </w:rPr>
        <w:t>However, several potential threats remain. Persistent inflation continues to increase labour, energy and food costs, placing pressure on operating margins. Rising interest rates may increase financing costs, while economic uncertainty could reduce consumer spending on travel and accommodation. In addition, increased competition from alternative accommodation providers and international hotel chains may place pressure on pricing and occupancy rates.</w:t>
      </w:r>
    </w:p>
    <w:p w:rsidRPr="0006279B" w:rsidR="002353C0" w:rsidP="0006279B" w:rsidRDefault="002353C0" w14:paraId="0DCAF9DD" w14:textId="77777777">
      <w:pPr>
        <w:spacing w:after="180" w:line="360" w:lineRule="auto"/>
        <w:jc w:val="both"/>
        <w:rPr>
          <w:rFonts w:ascii="Arial" w:hAnsi="Arial" w:cs="Arial"/>
          <w:sz w:val="24"/>
          <w:szCs w:val="24"/>
        </w:rPr>
      </w:pPr>
      <w:r w:rsidRPr="0006279B">
        <w:rPr>
          <w:rFonts w:ascii="Arial" w:hAnsi="Arial" w:cs="Arial"/>
          <w:sz w:val="24"/>
          <w:szCs w:val="24"/>
        </w:rPr>
        <w:t>To mitigate these risks, Whitbread should continue investing in digital innovation, sustainability initiatives, operational efficiency and international expansion while maintaining prudent working capital management and disciplined capital allocation.</w:t>
      </w:r>
    </w:p>
    <w:p w:rsidRPr="009071E6" w:rsidR="002353C0" w:rsidP="009071E6" w:rsidRDefault="002353C0" w14:paraId="3EE04F27" w14:textId="77777777">
      <w:pPr>
        <w:pStyle w:val="Heading1"/>
      </w:pPr>
      <w:bookmarkStart w:name="_Toc236251035" w:id="18"/>
      <w:r w:rsidRPr="009071E6">
        <w:t>Management Analysis</w:t>
      </w:r>
      <w:bookmarkEnd w:id="18"/>
    </w:p>
    <w:p w:rsidRPr="0006279B" w:rsidR="002353C0" w:rsidP="0006279B" w:rsidRDefault="002353C0" w14:paraId="3E496A07" w14:textId="77777777">
      <w:pPr>
        <w:pStyle w:val="Heading2"/>
        <w:spacing w:line="360" w:lineRule="auto"/>
        <w:rPr>
          <w:rFonts w:ascii="Arial" w:hAnsi="Arial" w:cs="Arial"/>
          <w:sz w:val="24"/>
          <w:szCs w:val="24"/>
        </w:rPr>
      </w:pPr>
      <w:bookmarkStart w:name="_Toc236251036" w:id="19"/>
      <w:r w:rsidRPr="0006279B">
        <w:rPr>
          <w:rFonts w:ascii="Arial" w:hAnsi="Arial" w:cs="Arial"/>
          <w:sz w:val="24"/>
          <w:szCs w:val="24"/>
        </w:rPr>
        <w:t>Assessing Whitbread's Cash Operating Cycle</w:t>
      </w:r>
      <w:bookmarkEnd w:id="19"/>
    </w:p>
    <w:p w:rsidRPr="0006279B" w:rsidR="002353C0" w:rsidP="0006279B" w:rsidRDefault="002353C0" w14:paraId="217566BC" w14:textId="77777777">
      <w:pPr>
        <w:spacing w:after="180" w:line="360" w:lineRule="auto"/>
        <w:jc w:val="both"/>
        <w:rPr>
          <w:rFonts w:ascii="Arial" w:hAnsi="Arial" w:cs="Arial"/>
          <w:sz w:val="24"/>
          <w:szCs w:val="24"/>
        </w:rPr>
      </w:pPr>
      <w:r w:rsidRPr="0006279B">
        <w:rPr>
          <w:rFonts w:ascii="Arial" w:hAnsi="Arial" w:cs="Arial"/>
          <w:sz w:val="24"/>
          <w:szCs w:val="24"/>
        </w:rPr>
        <w:t>The cash operating cycle (also referred to as the cash conversion cycle) measures the period between cash payments for operating activities and cash receipts from customers. It comprises inventory holding days, trade receivable days and trade payable days. A shorter cycle improves liquidity because cash invested in operations is recovered more quickly (Brigham and Ehrhardt, 2022).</w:t>
      </w:r>
    </w:p>
    <w:p w:rsidRPr="0006279B" w:rsidR="002353C0" w:rsidP="0006279B" w:rsidRDefault="002353C0" w14:paraId="2FF30C1F" w14:textId="77777777">
      <w:pPr>
        <w:spacing w:after="180" w:line="360" w:lineRule="auto"/>
        <w:jc w:val="both"/>
        <w:rPr>
          <w:rFonts w:ascii="Arial" w:hAnsi="Arial" w:cs="Arial"/>
          <w:sz w:val="24"/>
          <w:szCs w:val="24"/>
        </w:rPr>
      </w:pPr>
      <w:r w:rsidRPr="0006279B">
        <w:rPr>
          <w:rFonts w:ascii="Arial" w:hAnsi="Arial" w:cs="Arial"/>
          <w:sz w:val="24"/>
          <w:szCs w:val="24"/>
        </w:rPr>
        <w:t>Whitbread plc operates predominantly through its Premier Inn hotel business, where customers generally pay at the point of booking or immediately after their stay. Consequently, the company maintains relatively low trade receivables compared with manufacturing firms. Inventory is also limited because the hospitality sector mainly holds food, beverages and operating supplies rather than large volumes of finished goods. However, Whitbread has significant trade payables arising from suppliers, utilities and property-related expenditure, enabling the business to finance part of its working capital through supplier credit.</w:t>
      </w:r>
    </w:p>
    <w:p w:rsidRPr="0006279B" w:rsidR="002353C0" w:rsidP="0006279B" w:rsidRDefault="002353C0" w14:paraId="1A24C23A" w14:textId="77777777">
      <w:pPr>
        <w:spacing w:after="180" w:line="360" w:lineRule="auto"/>
        <w:jc w:val="both"/>
        <w:rPr>
          <w:rFonts w:ascii="Arial" w:hAnsi="Arial" w:cs="Arial"/>
          <w:sz w:val="24"/>
          <w:szCs w:val="24"/>
        </w:rPr>
      </w:pPr>
      <w:r w:rsidRPr="0006279B">
        <w:rPr>
          <w:rFonts w:ascii="Arial" w:hAnsi="Arial" w:cs="Arial"/>
          <w:sz w:val="24"/>
          <w:szCs w:val="24"/>
        </w:rPr>
        <w:t>Between 2020 and 2025, Whitbread's cash operating cycle steadily recovered following the severe disruption caused by the COVID-19 pandemic. During 2020/21, national lockdowns significantly reduced occupancy rates and operating cash inflows, creating pressure on liquidity despite government support measures. From 2022 onwards, the recovery in domestic tourism and business travel substantially improved operating cash generation. The company's annual reports show consistently strong operating cash flows supported by high occupancy rates, disciplined cost management and the continued market leadership of Premier Inn. Whitbread also maintained sufficient liquidity through committed banking facilities and bond financing, enabling it to meet its working capital requirements despite inflationary pressures and higher interest rates (Whitbread, 2025).</w:t>
      </w:r>
    </w:p>
    <w:p w:rsidRPr="0006279B" w:rsidR="002353C0" w:rsidP="0006279B" w:rsidRDefault="002353C0" w14:paraId="0F3BF10F" w14:textId="77777777">
      <w:pPr>
        <w:spacing w:after="180" w:line="360" w:lineRule="auto"/>
        <w:jc w:val="both"/>
        <w:rPr>
          <w:rFonts w:ascii="Arial" w:hAnsi="Arial" w:cs="Arial"/>
          <w:sz w:val="24"/>
          <w:szCs w:val="24"/>
        </w:rPr>
      </w:pPr>
      <w:r w:rsidRPr="0006279B">
        <w:rPr>
          <w:rFonts w:ascii="Arial" w:hAnsi="Arial" w:cs="Arial"/>
          <w:sz w:val="24"/>
          <w:szCs w:val="24"/>
        </w:rPr>
        <w:t>Although Whitbread's cash conversion cycle is comparatively efficient, there remain opportunities for improvement. Inflation has increased food, labour and utility costs, placing additional pressure on working capital. Expansion into Germany also requires further investment in hotels before they generate positive cash flows, temporarily extending the operating cycle. Effective management of inventories, supplier relationships and operating expenses therefore remains essential to sustaining liquidity.</w:t>
      </w:r>
    </w:p>
    <w:p w:rsidRPr="0006279B" w:rsidR="002353C0" w:rsidP="009071E6" w:rsidRDefault="002353C0" w14:paraId="099B7297" w14:textId="77777777">
      <w:pPr>
        <w:pStyle w:val="Heading1"/>
      </w:pPr>
      <w:bookmarkStart w:name="_Toc236251037" w:id="20"/>
      <w:r w:rsidRPr="0006279B">
        <w:t>Strategies to Improve Liquidity Through Working Capital Reforms</w:t>
      </w:r>
      <w:bookmarkEnd w:id="20"/>
    </w:p>
    <w:p w:rsidRPr="0006279B" w:rsidR="002353C0" w:rsidP="0006279B" w:rsidRDefault="002353C0" w14:paraId="2B87CFCB" w14:textId="77777777">
      <w:pPr>
        <w:spacing w:after="180" w:line="360" w:lineRule="auto"/>
        <w:jc w:val="both"/>
        <w:rPr>
          <w:rFonts w:ascii="Arial" w:hAnsi="Arial" w:cs="Arial"/>
          <w:sz w:val="24"/>
          <w:szCs w:val="24"/>
        </w:rPr>
      </w:pPr>
      <w:r w:rsidRPr="0006279B">
        <w:rPr>
          <w:rFonts w:ascii="Arial" w:hAnsi="Arial" w:cs="Arial"/>
          <w:sz w:val="24"/>
          <w:szCs w:val="24"/>
        </w:rPr>
        <w:t>Whitbread can further strengthen liquidity through several working capital reforms.</w:t>
      </w:r>
    </w:p>
    <w:p w:rsidRPr="0006279B" w:rsidR="002353C0" w:rsidP="0006279B" w:rsidRDefault="002353C0" w14:paraId="143B566C" w14:textId="77777777">
      <w:pPr>
        <w:pStyle w:val="ListParagraph"/>
        <w:numPr>
          <w:ilvl w:val="0"/>
          <w:numId w:val="1"/>
        </w:numPr>
        <w:spacing w:after="100" w:line="360" w:lineRule="auto"/>
        <w:contextualSpacing w:val="0"/>
        <w:rPr>
          <w:rFonts w:ascii="Arial" w:hAnsi="Arial" w:cs="Arial"/>
          <w:sz w:val="24"/>
          <w:szCs w:val="24"/>
        </w:rPr>
      </w:pPr>
      <w:r w:rsidRPr="0006279B">
        <w:rPr>
          <w:rFonts w:ascii="Arial" w:hAnsi="Arial" w:cs="Arial"/>
          <w:sz w:val="24"/>
          <w:szCs w:val="24"/>
        </w:rPr>
        <w:t>Inventory management: continue to utilise digital forecasting systems that match purchasing with expected hotel occupancy. Accurate demand forecasting reduces food waste, lowers storage costs and minimises excess inventory while maintaining customer service quality. Artificial intelligence and data analytics can improve purchasing decisions by analysing seasonal demand and booking trends.</w:t>
      </w:r>
    </w:p>
    <w:p w:rsidRPr="0006279B" w:rsidR="002353C0" w:rsidP="0006279B" w:rsidRDefault="002353C0" w14:paraId="436F1F23" w14:textId="77777777">
      <w:pPr>
        <w:pStyle w:val="ListParagraph"/>
        <w:numPr>
          <w:ilvl w:val="0"/>
          <w:numId w:val="1"/>
        </w:numPr>
        <w:spacing w:after="100" w:line="360" w:lineRule="auto"/>
        <w:contextualSpacing w:val="0"/>
        <w:rPr>
          <w:rFonts w:ascii="Arial" w:hAnsi="Arial" w:cs="Arial"/>
          <w:sz w:val="24"/>
          <w:szCs w:val="24"/>
        </w:rPr>
      </w:pPr>
      <w:r w:rsidRPr="0006279B">
        <w:rPr>
          <w:rFonts w:ascii="Arial" w:hAnsi="Arial" w:cs="Arial"/>
          <w:sz w:val="24"/>
          <w:szCs w:val="24"/>
        </w:rPr>
        <w:t>Supplier payment management: strengthen strategic partnerships and negotiate longer payment terms with key suppliers without damaging relationships, improving cash availability while maintaining ethical procurement standards.</w:t>
      </w:r>
    </w:p>
    <w:p w:rsidRPr="0006279B" w:rsidR="002353C0" w:rsidP="0006279B" w:rsidRDefault="002353C0" w14:paraId="190A5A82" w14:textId="77777777">
      <w:pPr>
        <w:pStyle w:val="ListParagraph"/>
        <w:numPr>
          <w:ilvl w:val="0"/>
          <w:numId w:val="1"/>
        </w:numPr>
        <w:spacing w:after="100" w:line="360" w:lineRule="auto"/>
        <w:contextualSpacing w:val="0"/>
        <w:rPr>
          <w:rFonts w:ascii="Arial" w:hAnsi="Arial" w:cs="Arial"/>
          <w:sz w:val="24"/>
          <w:szCs w:val="24"/>
        </w:rPr>
      </w:pPr>
      <w:r w:rsidRPr="0006279B">
        <w:rPr>
          <w:rFonts w:ascii="Arial" w:hAnsi="Arial" w:cs="Arial"/>
          <w:sz w:val="24"/>
          <w:szCs w:val="24"/>
        </w:rPr>
        <w:t>Receivable management: focus on rapid cash collection from corporate clients through automated invoicing, electronic payments and early settlement incentives to reduce debtor days and improve operating cash flow.</w:t>
      </w:r>
    </w:p>
    <w:p w:rsidRPr="0006279B" w:rsidR="002353C0" w:rsidP="0006279B" w:rsidRDefault="002353C0" w14:paraId="3D3EEA12" w14:textId="77777777">
      <w:pPr>
        <w:pStyle w:val="ListParagraph"/>
        <w:numPr>
          <w:ilvl w:val="0"/>
          <w:numId w:val="1"/>
        </w:numPr>
        <w:spacing w:after="100" w:line="360" w:lineRule="auto"/>
        <w:contextualSpacing w:val="0"/>
        <w:rPr>
          <w:rFonts w:ascii="Arial" w:hAnsi="Arial" w:cs="Arial"/>
          <w:sz w:val="24"/>
          <w:szCs w:val="24"/>
        </w:rPr>
      </w:pPr>
      <w:r w:rsidRPr="0006279B">
        <w:rPr>
          <w:rFonts w:ascii="Arial" w:hAnsi="Arial" w:cs="Arial"/>
          <w:sz w:val="24"/>
          <w:szCs w:val="24"/>
        </w:rPr>
        <w:t>Capital expenditure discipline: prioritise higher-return hotel developments while disposing of lower-return restaurant assets, recycling capital from non-core assets into more profitable investments (Whitbread, 2025).</w:t>
      </w:r>
    </w:p>
    <w:p w:rsidRPr="0006279B" w:rsidR="002353C0" w:rsidP="0006279B" w:rsidRDefault="002353C0" w14:paraId="31A67AE6" w14:textId="77777777">
      <w:pPr>
        <w:pStyle w:val="ListParagraph"/>
        <w:numPr>
          <w:ilvl w:val="0"/>
          <w:numId w:val="1"/>
        </w:numPr>
        <w:spacing w:after="100" w:line="360" w:lineRule="auto"/>
        <w:contextualSpacing w:val="0"/>
        <w:rPr>
          <w:rFonts w:ascii="Arial" w:hAnsi="Arial" w:cs="Arial"/>
          <w:sz w:val="24"/>
          <w:szCs w:val="24"/>
        </w:rPr>
      </w:pPr>
      <w:r w:rsidRPr="0006279B">
        <w:rPr>
          <w:rFonts w:ascii="Arial" w:hAnsi="Arial" w:cs="Arial"/>
          <w:sz w:val="24"/>
          <w:szCs w:val="24"/>
        </w:rPr>
        <w:t>Cash forecasting: implement rolling cash flow forecasts across both UK and German operations to anticipate funding requirements and minimise idle cash balances (Ross et al., 2022).</w:t>
      </w:r>
    </w:p>
    <w:p w:rsidRPr="0006279B" w:rsidR="002353C0" w:rsidP="0006279B" w:rsidRDefault="002353C0" w14:paraId="5AC59289" w14:textId="77777777">
      <w:pPr>
        <w:spacing w:after="180" w:line="360" w:lineRule="auto"/>
        <w:jc w:val="both"/>
        <w:rPr>
          <w:rFonts w:ascii="Arial" w:hAnsi="Arial" w:cs="Arial"/>
          <w:sz w:val="24"/>
          <w:szCs w:val="24"/>
        </w:rPr>
      </w:pPr>
      <w:r w:rsidRPr="0006279B">
        <w:rPr>
          <w:rFonts w:ascii="Arial" w:hAnsi="Arial" w:cs="Arial"/>
          <w:sz w:val="24"/>
          <w:szCs w:val="24"/>
        </w:rPr>
        <w:t>Collectively, these reforms would shorten Whitbread's cash operating cycle, improve liquidity ratios and strengthen resilience during periods of economic uncertainty.</w:t>
      </w:r>
    </w:p>
    <w:p w:rsidRPr="009071E6" w:rsidR="002353C0" w:rsidP="009071E6" w:rsidRDefault="002353C0" w14:paraId="68936876" w14:textId="77777777">
      <w:pPr>
        <w:pStyle w:val="Heading1"/>
      </w:pPr>
      <w:bookmarkStart w:name="_Toc236251038" w:id="21"/>
      <w:r w:rsidRPr="009071E6">
        <w:t>Comparison of Short-Term and Long-Term Financing Options</w:t>
      </w:r>
      <w:bookmarkEnd w:id="21"/>
    </w:p>
    <w:p w:rsidRPr="0006279B" w:rsidR="002353C0" w:rsidP="0006279B" w:rsidRDefault="002353C0" w14:paraId="7A1B56C6" w14:textId="77777777">
      <w:pPr>
        <w:spacing w:after="180" w:line="360" w:lineRule="auto"/>
        <w:jc w:val="both"/>
        <w:rPr>
          <w:rFonts w:ascii="Arial" w:hAnsi="Arial" w:cs="Arial"/>
          <w:sz w:val="24"/>
          <w:szCs w:val="24"/>
        </w:rPr>
      </w:pPr>
      <w:r w:rsidRPr="0006279B">
        <w:rPr>
          <w:rFonts w:ascii="Arial" w:hAnsi="Arial" w:cs="Arial"/>
          <w:sz w:val="24"/>
          <w:szCs w:val="24"/>
        </w:rPr>
        <w:t>Selecting appropriate financing sources is critical for maintaining financial stability while supporting Whitbread's long-term growth strategy.</w:t>
      </w:r>
    </w:p>
    <w:p w:rsidRPr="0006279B" w:rsidR="002353C0" w:rsidP="0006279B" w:rsidRDefault="002353C0" w14:paraId="05DCD6F4" w14:textId="77777777">
      <w:pPr>
        <w:spacing w:after="180" w:line="360" w:lineRule="auto"/>
        <w:jc w:val="both"/>
        <w:rPr>
          <w:rFonts w:ascii="Arial" w:hAnsi="Arial" w:cs="Arial"/>
          <w:sz w:val="24"/>
          <w:szCs w:val="24"/>
        </w:rPr>
      </w:pPr>
      <w:r w:rsidRPr="0006279B">
        <w:rPr>
          <w:rFonts w:ascii="Arial" w:hAnsi="Arial" w:cs="Arial"/>
          <w:sz w:val="24"/>
          <w:szCs w:val="24"/>
        </w:rPr>
        <w:t>Short-term financing includes bank overdrafts, revolving credit facilities, trade credit and commercial paper. These sources provide immediate liquidity for seasonal working capital requirements and unexpected operating expenses. Their principal advantage is flexibility, allowing companies to borrow only when required. However, short-term borrowing exposes Whitbread to refinancing risk and fluctuating interest rates; during periods of economic instability, lenders may tighten credit conditions.</w:t>
      </w:r>
    </w:p>
    <w:p w:rsidRPr="0006279B" w:rsidR="002353C0" w:rsidP="0006279B" w:rsidRDefault="002353C0" w14:paraId="042F0D36" w14:textId="77777777">
      <w:pPr>
        <w:spacing w:after="180" w:line="360" w:lineRule="auto"/>
        <w:jc w:val="both"/>
        <w:rPr>
          <w:rFonts w:ascii="Arial" w:hAnsi="Arial" w:cs="Arial"/>
          <w:sz w:val="24"/>
          <w:szCs w:val="24"/>
        </w:rPr>
      </w:pPr>
      <w:r w:rsidRPr="0006279B">
        <w:rPr>
          <w:rFonts w:ascii="Arial" w:hAnsi="Arial" w:cs="Arial"/>
          <w:sz w:val="24"/>
          <w:szCs w:val="24"/>
        </w:rPr>
        <w:t>Long-term financing includes corporate bonds, bank loans with extended maturities, lease financing and equity finance. Whitbread has successfully utilised long-term debt through bond issues while maintaining investment-grade credit quality, supporting strategic investments such as hotel expansion across the UK and Germany (Whitbread, 2025).</w:t>
      </w:r>
    </w:p>
    <w:p w:rsidRPr="0006279B" w:rsidR="002353C0" w:rsidP="0006279B" w:rsidRDefault="002353C0" w14:paraId="1C1A776F" w14:textId="77777777">
      <w:pPr>
        <w:spacing w:after="180" w:line="360" w:lineRule="auto"/>
        <w:jc w:val="both"/>
        <w:rPr>
          <w:rFonts w:ascii="Arial" w:hAnsi="Arial" w:cs="Arial"/>
          <w:sz w:val="24"/>
          <w:szCs w:val="24"/>
        </w:rPr>
      </w:pPr>
      <w:r w:rsidRPr="0006279B">
        <w:rPr>
          <w:rFonts w:ascii="Arial" w:hAnsi="Arial" w:cs="Arial"/>
          <w:sz w:val="24"/>
          <w:szCs w:val="24"/>
        </w:rPr>
        <w:t>Equity financing offers another long-term funding option, avoiding mandatory interest payments and strengthening shareholders' equity, though it dilutes existing ownership and may reduce EPS if not matched by sufficient profit growth.</w:t>
      </w:r>
    </w:p>
    <w:p w:rsidRPr="0006279B" w:rsidR="002353C0" w:rsidP="0006279B" w:rsidRDefault="002353C0" w14:paraId="3E64943F" w14:textId="77777777">
      <w:pPr>
        <w:spacing w:after="180" w:line="360" w:lineRule="auto"/>
        <w:jc w:val="both"/>
        <w:rPr>
          <w:rFonts w:ascii="Arial" w:hAnsi="Arial" w:cs="Arial"/>
          <w:sz w:val="24"/>
          <w:szCs w:val="24"/>
        </w:rPr>
      </w:pPr>
      <w:r w:rsidRPr="0006279B">
        <w:rPr>
          <w:rFonts w:ascii="Arial" w:hAnsi="Arial" w:cs="Arial"/>
          <w:sz w:val="24"/>
          <w:szCs w:val="24"/>
        </w:rPr>
        <w:t>Lease financing is particularly relevant given the capital intensity of hotel property, allowing expansion without large upfront cash outflows, though commitments must be carefully managed to avoid excessive leverage.</w:t>
      </w:r>
    </w:p>
    <w:p w:rsidRPr="0006279B" w:rsidR="002353C0" w:rsidP="0006279B" w:rsidRDefault="002353C0" w14:paraId="33981432" w14:textId="77777777">
      <w:pPr>
        <w:spacing w:after="180" w:line="360" w:lineRule="auto"/>
        <w:jc w:val="both"/>
        <w:rPr>
          <w:rFonts w:ascii="Arial" w:hAnsi="Arial" w:cs="Arial"/>
          <w:sz w:val="24"/>
          <w:szCs w:val="24"/>
        </w:rPr>
      </w:pPr>
      <w:r w:rsidRPr="0006279B">
        <w:rPr>
          <w:rFonts w:ascii="Arial" w:hAnsi="Arial" w:cs="Arial"/>
          <w:sz w:val="24"/>
          <w:szCs w:val="24"/>
        </w:rPr>
        <w:t>Overall, Whitbread should adopt a balanced financing strategy: short-term finance for seasonal working capital fluctuations, and long-term funding for hotel development, property investment and international expansion — minimising the weighted average cost of capital while protecting shareholder value.</w:t>
      </w:r>
    </w:p>
    <w:p w:rsidRPr="0006279B" w:rsidR="002353C0" w:rsidP="009071E6" w:rsidRDefault="002353C0" w14:paraId="6C4B9DCD" w14:textId="77777777">
      <w:pPr>
        <w:pStyle w:val="Heading2"/>
      </w:pPr>
      <w:bookmarkStart w:name="_Toc236251039" w:id="22"/>
      <w:r w:rsidRPr="0006279B">
        <w:t>Strategic Financial Restructuring Plan</w:t>
      </w:r>
      <w:bookmarkEnd w:id="22"/>
    </w:p>
    <w:p w:rsidRPr="0006279B" w:rsidR="002353C0" w:rsidP="0006279B" w:rsidRDefault="002353C0" w14:paraId="2BF1A0EF" w14:textId="77777777">
      <w:pPr>
        <w:spacing w:after="180" w:line="360" w:lineRule="auto"/>
        <w:jc w:val="both"/>
        <w:rPr>
          <w:rFonts w:ascii="Arial" w:hAnsi="Arial" w:cs="Arial"/>
          <w:sz w:val="24"/>
          <w:szCs w:val="24"/>
        </w:rPr>
      </w:pPr>
      <w:r w:rsidRPr="0006279B">
        <w:rPr>
          <w:rFonts w:ascii="Arial" w:hAnsi="Arial" w:cs="Arial"/>
          <w:sz w:val="24"/>
          <w:szCs w:val="24"/>
        </w:rPr>
        <w:t>Whitbread plc has demonstrated a strong recovery following the COVID-19 pandemic, supported by the resilience of its Premier Inn brand and disciplined financial management. However, the business continues to face challenges including inflationary pressures, rising interest rates, labour shortages and uncertainty within the global hospitality sector. To maintain sustainable growth and maximise shareholder value, Whitbread should adopt a strategic financial restructuring plan focused on optimising its capital structure, improving operational efficiency and strengthening its international competitiveness.</w:t>
      </w:r>
    </w:p>
    <w:p w:rsidRPr="009071E6" w:rsidR="002353C0" w:rsidP="009071E6" w:rsidRDefault="002353C0" w14:paraId="6FB7B408" w14:textId="77777777">
      <w:pPr>
        <w:pStyle w:val="Heading2"/>
      </w:pPr>
      <w:bookmarkStart w:name="_Toc236251040" w:id="23"/>
      <w:r w:rsidRPr="009071E6">
        <w:t>Financial Restructuring Options</w:t>
      </w:r>
      <w:bookmarkEnd w:id="23"/>
    </w:p>
    <w:p w:rsidRPr="0006279B" w:rsidR="002353C0" w:rsidP="0006279B" w:rsidRDefault="002353C0" w14:paraId="7582947C" w14:textId="77777777">
      <w:pPr>
        <w:spacing w:after="180" w:line="360" w:lineRule="auto"/>
        <w:jc w:val="both"/>
        <w:rPr>
          <w:rFonts w:ascii="Arial" w:hAnsi="Arial" w:cs="Arial"/>
          <w:sz w:val="24"/>
          <w:szCs w:val="24"/>
        </w:rPr>
      </w:pPr>
      <w:r w:rsidRPr="0006279B">
        <w:rPr>
          <w:rFonts w:ascii="Arial" w:hAnsi="Arial" w:cs="Arial"/>
          <w:sz w:val="24"/>
          <w:szCs w:val="24"/>
        </w:rPr>
        <w:t>One of the most appropriate restructuring strategies for Whitbread is portfolio optimisation through selective divestiture. Following the sale of the Costa Coffee business in 2019 and the disposal of numerous restaurant brands, Whitbread has increasingly focused on its core hotel operations. Continuing to dispose of underperforming or non-core assets would release capital that could be reinvested in high-growth opportunities, particularly Premier Inn expansion in Germany (Johnson et al., 2020).</w:t>
      </w:r>
    </w:p>
    <w:p w:rsidRPr="0006279B" w:rsidR="002353C0" w:rsidP="0006279B" w:rsidRDefault="002353C0" w14:paraId="2D87435F" w14:textId="77777777">
      <w:pPr>
        <w:spacing w:after="180" w:line="360" w:lineRule="auto"/>
        <w:jc w:val="both"/>
        <w:rPr>
          <w:rFonts w:ascii="Arial" w:hAnsi="Arial" w:cs="Arial"/>
          <w:sz w:val="24"/>
          <w:szCs w:val="24"/>
        </w:rPr>
      </w:pPr>
      <w:r w:rsidRPr="0006279B">
        <w:rPr>
          <w:rFonts w:ascii="Arial" w:hAnsi="Arial" w:cs="Arial"/>
          <w:sz w:val="24"/>
          <w:szCs w:val="24"/>
        </w:rPr>
        <w:t>A second restructuring option is targeted equity injection, which could fund international expansion without significantly increasing financial leverage, though management should weigh potential dilution of existing shareholders' ownership and EPS (Brealey, Myers and Allen, 2023).</w:t>
      </w:r>
    </w:p>
    <w:p w:rsidRPr="0006279B" w:rsidR="002353C0" w:rsidP="0006279B" w:rsidRDefault="002353C0" w14:paraId="393063C3" w14:textId="77777777">
      <w:pPr>
        <w:spacing w:after="180" w:line="360" w:lineRule="auto"/>
        <w:jc w:val="both"/>
        <w:rPr>
          <w:rFonts w:ascii="Arial" w:hAnsi="Arial" w:cs="Arial"/>
          <w:sz w:val="24"/>
          <w:szCs w:val="24"/>
        </w:rPr>
      </w:pPr>
      <w:r w:rsidRPr="0006279B">
        <w:rPr>
          <w:rFonts w:ascii="Arial" w:hAnsi="Arial" w:cs="Arial"/>
          <w:sz w:val="24"/>
          <w:szCs w:val="24"/>
        </w:rPr>
        <w:t>Whitbread should also continue to optimise its debt structure by refinancing existing borrowings where favourable market conditions exist, extending maturities and maintaining a balanced mix of fixed and variable rates to preserve its investment-grade credit rating.</w:t>
      </w:r>
    </w:p>
    <w:p w:rsidRPr="0006279B" w:rsidR="002353C0" w:rsidP="0006279B" w:rsidRDefault="002353C0" w14:paraId="106FF7ED" w14:textId="77777777">
      <w:pPr>
        <w:spacing w:after="180" w:line="360" w:lineRule="auto"/>
        <w:jc w:val="both"/>
        <w:rPr>
          <w:rFonts w:ascii="Arial" w:hAnsi="Arial" w:cs="Arial"/>
          <w:sz w:val="24"/>
          <w:szCs w:val="24"/>
        </w:rPr>
      </w:pPr>
      <w:r w:rsidRPr="0006279B">
        <w:rPr>
          <w:rFonts w:ascii="Arial" w:hAnsi="Arial" w:cs="Arial"/>
          <w:sz w:val="24"/>
          <w:szCs w:val="24"/>
        </w:rPr>
        <w:t>Although mergers and acquisitions are widely used within the hospitality industry, large-scale mergers currently present greater financial risk than benefit for Whitbread. Instead, management should pursue selective acquisitions of hotel sites and strategic property assets that strengthen the Premier Inn network.</w:t>
      </w:r>
    </w:p>
    <w:p w:rsidRPr="009071E6" w:rsidR="002353C0" w:rsidP="009071E6" w:rsidRDefault="002353C0" w14:paraId="3286E889" w14:textId="77777777">
      <w:pPr>
        <w:pStyle w:val="Heading2"/>
      </w:pPr>
      <w:bookmarkStart w:name="_Toc236251041" w:id="24"/>
      <w:r w:rsidRPr="009071E6">
        <w:t>Impact on Shareholder Value, Debt Structure and Operational Flexibility</w:t>
      </w:r>
      <w:bookmarkEnd w:id="24"/>
    </w:p>
    <w:p w:rsidRPr="0006279B" w:rsidR="002353C0" w:rsidP="0006279B" w:rsidRDefault="002353C0" w14:paraId="7C939467" w14:textId="77777777">
      <w:pPr>
        <w:spacing w:after="180" w:line="360" w:lineRule="auto"/>
        <w:jc w:val="both"/>
        <w:rPr>
          <w:rFonts w:ascii="Arial" w:hAnsi="Arial" w:cs="Arial"/>
          <w:sz w:val="24"/>
          <w:szCs w:val="24"/>
        </w:rPr>
      </w:pPr>
      <w:r w:rsidRPr="0006279B">
        <w:rPr>
          <w:rFonts w:ascii="Arial" w:hAnsi="Arial" w:cs="Arial"/>
          <w:sz w:val="24"/>
          <w:szCs w:val="24"/>
        </w:rPr>
        <w:t>The proposed restructuring strategy is expected to create significant long-term shareholder value. Divesting low-performing assets and reinvesting proceeds into higher-return hotel developments should improve profitability, increase return on invested capital and support sustainable earnings growth (Porter, 1985).</w:t>
      </w:r>
    </w:p>
    <w:p w:rsidRPr="0006279B" w:rsidR="002353C0" w:rsidP="0006279B" w:rsidRDefault="002353C0" w14:paraId="44B11BF1" w14:textId="77777777">
      <w:pPr>
        <w:spacing w:after="180" w:line="360" w:lineRule="auto"/>
        <w:jc w:val="both"/>
        <w:rPr>
          <w:rFonts w:ascii="Arial" w:hAnsi="Arial" w:cs="Arial"/>
          <w:sz w:val="24"/>
          <w:szCs w:val="24"/>
        </w:rPr>
      </w:pPr>
      <w:r w:rsidRPr="0006279B">
        <w:rPr>
          <w:rFonts w:ascii="Arial" w:hAnsi="Arial" w:cs="Arial"/>
          <w:sz w:val="24"/>
          <w:szCs w:val="24"/>
        </w:rPr>
        <w:t>Maintaining a prudent debt structure will also enhance shareholder confidence. By maintaining moderate leverage and refinancing debt where appropriate, Whitbread can reduce its weighted average cost of capital while preserving financial stability. Strong operating cash flows generated by Premier Inn further support debt servicing capacity and reduce the likelihood of financial distress.</w:t>
      </w:r>
    </w:p>
    <w:p w:rsidRPr="0006279B" w:rsidR="002353C0" w:rsidP="0006279B" w:rsidRDefault="002353C0" w14:paraId="5989D560" w14:textId="77777777">
      <w:pPr>
        <w:spacing w:after="180" w:line="360" w:lineRule="auto"/>
        <w:jc w:val="both"/>
        <w:rPr>
          <w:rFonts w:ascii="Arial" w:hAnsi="Arial" w:cs="Arial"/>
          <w:sz w:val="24"/>
          <w:szCs w:val="24"/>
        </w:rPr>
      </w:pPr>
      <w:r w:rsidRPr="0006279B">
        <w:rPr>
          <w:rFonts w:ascii="Arial" w:hAnsi="Arial" w:cs="Arial"/>
          <w:sz w:val="24"/>
          <w:szCs w:val="24"/>
        </w:rPr>
        <w:t>Operational flexibility is another important benefit of restructuring. Concentrating investment within the core hotel business allows management to respond more rapidly to changing customer preferences, market conditions and competitive pressures.</w:t>
      </w:r>
    </w:p>
    <w:p w:rsidRPr="0006279B" w:rsidR="002353C0" w:rsidP="0006279B" w:rsidRDefault="002353C0" w14:paraId="17CBA223" w14:textId="77777777">
      <w:pPr>
        <w:spacing w:after="180" w:line="360" w:lineRule="auto"/>
        <w:jc w:val="both"/>
        <w:rPr>
          <w:rFonts w:ascii="Arial" w:hAnsi="Arial" w:cs="Arial"/>
          <w:sz w:val="24"/>
          <w:szCs w:val="24"/>
        </w:rPr>
      </w:pPr>
      <w:r w:rsidRPr="0006279B">
        <w:rPr>
          <w:rFonts w:ascii="Arial" w:hAnsi="Arial" w:cs="Arial"/>
          <w:sz w:val="24"/>
          <w:szCs w:val="24"/>
        </w:rPr>
        <w:t>In conclusion, Whitbread's cash operating cycle has strengthened considerably since the pandemic due to improved operating performance and disciplined financial management. Further improvements in inventory control, supplier management, receivables collection and capital allocation would enhance liquidity. Combining prudent working capital reforms with a balanced mix of short-term and long-term financing will support Whitbread's continued expansion while maintaining financial stability and long-term shareholder returns.</w:t>
      </w:r>
    </w:p>
    <w:p w:rsidRPr="0006279B" w:rsidR="002353C0" w:rsidP="0006279B" w:rsidRDefault="002353C0" w14:paraId="7A17DF85" w14:textId="77777777">
      <w:pPr>
        <w:spacing w:line="360" w:lineRule="auto"/>
        <w:rPr>
          <w:rFonts w:ascii="Arial" w:hAnsi="Arial" w:cs="Arial"/>
          <w:sz w:val="24"/>
          <w:szCs w:val="24"/>
        </w:rPr>
      </w:pPr>
      <w:r w:rsidRPr="0006279B">
        <w:rPr>
          <w:rFonts w:ascii="Arial" w:hAnsi="Arial" w:cs="Arial"/>
          <w:sz w:val="24"/>
          <w:szCs w:val="24"/>
        </w:rPr>
        <w:br w:type="page"/>
      </w:r>
    </w:p>
    <w:p w:rsidRPr="0006279B" w:rsidR="002353C0" w:rsidP="009071E6" w:rsidRDefault="002353C0" w14:paraId="00E6E41C" w14:textId="77777777">
      <w:pPr>
        <w:pStyle w:val="Heading2"/>
      </w:pPr>
      <w:bookmarkStart w:name="_Toc236251042" w:id="25"/>
      <w:r w:rsidRPr="0006279B">
        <w:t>Investment Appraisal and Capital Budgeting</w:t>
      </w:r>
      <w:bookmarkEnd w:id="25"/>
    </w:p>
    <w:p w:rsidRPr="0006279B" w:rsidR="002353C0" w:rsidP="0006279B" w:rsidRDefault="002353C0" w14:paraId="34C9C423" w14:textId="77777777">
      <w:pPr>
        <w:spacing w:after="180" w:line="360" w:lineRule="auto"/>
        <w:jc w:val="both"/>
        <w:rPr>
          <w:rFonts w:ascii="Arial" w:hAnsi="Arial" w:cs="Arial"/>
          <w:sz w:val="24"/>
          <w:szCs w:val="24"/>
        </w:rPr>
      </w:pPr>
      <w:r w:rsidRPr="0006279B">
        <w:rPr>
          <w:rFonts w:ascii="Arial" w:hAnsi="Arial" w:cs="Arial"/>
          <w:sz w:val="24"/>
          <w:szCs w:val="24"/>
        </w:rPr>
        <w:t>This report evaluates three investment projects, A, B and C, which each require an initial investment of £50 million and will generate cash inflows over five years. The company's cost of capital is 8%, and depreciation is calculated using the straight-line method. To decide which project is the best investment, the report uses five investment appraisal techniques: Payback Period (PBP), Accounting Rate of Return (ARR), Net Present Value (NPV), Profitability Index (PI) and Internal Rate of Return (IRR). It also considers a capital rationing situation where the company can invest a maximum of £100 million and recommends the best investment option.</w:t>
      </w:r>
    </w:p>
    <w:p w:rsidRPr="0006279B" w:rsidR="002353C0" w:rsidP="0006279B" w:rsidRDefault="002353C0" w14:paraId="3B7654DF" w14:textId="77777777">
      <w:pPr>
        <w:pStyle w:val="Heading2"/>
        <w:spacing w:line="360" w:lineRule="auto"/>
        <w:rPr>
          <w:rFonts w:ascii="Arial" w:hAnsi="Arial" w:cs="Arial"/>
          <w:sz w:val="24"/>
          <w:szCs w:val="24"/>
        </w:rPr>
      </w:pPr>
      <w:bookmarkStart w:name="_Toc236251043" w:id="26"/>
      <w:r w:rsidRPr="0006279B">
        <w:rPr>
          <w:rFonts w:ascii="Arial" w:hAnsi="Arial" w:cs="Arial"/>
          <w:sz w:val="24"/>
          <w:szCs w:val="24"/>
        </w:rPr>
        <w:t>Projected Cash Inflows</w:t>
      </w:r>
      <w:bookmarkEnd w:id="26"/>
    </w:p>
    <w:tbl>
      <w:tblPr>
        <w:tblW w:w="91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000" w:firstRow="0" w:lastRow="0" w:firstColumn="0" w:lastColumn="0" w:noHBand="0" w:noVBand="0"/>
      </w:tblPr>
      <w:tblGrid>
        <w:gridCol w:w="1600"/>
        <w:gridCol w:w="1500"/>
        <w:gridCol w:w="1200"/>
        <w:gridCol w:w="1200"/>
        <w:gridCol w:w="1200"/>
        <w:gridCol w:w="1200"/>
        <w:gridCol w:w="1200"/>
      </w:tblGrid>
      <w:tr w:rsidRPr="0006279B" w:rsidR="002353C0" w:rsidTr="00F44A54" w14:paraId="031EFAB4" w14:textId="77777777">
        <w:tblPrEx>
          <w:tblCellMar>
            <w:top w:w="0" w:type="dxa"/>
            <w:bottom w:w="0" w:type="dxa"/>
          </w:tblCellMar>
        </w:tblPrEx>
        <w:trPr>
          <w:tblHeader/>
        </w:trPr>
        <w:tc>
          <w:tcPr>
            <w:tcW w:w="1600" w:type="dxa"/>
            <w:shd w:val="clear" w:color="auto" w:fill="1F3864"/>
            <w:tcMar>
              <w:top w:w="80" w:type="dxa"/>
              <w:left w:w="100" w:type="dxa"/>
              <w:bottom w:w="80" w:type="dxa"/>
              <w:right w:w="100" w:type="dxa"/>
            </w:tcMar>
          </w:tcPr>
          <w:p w:rsidRPr="0006279B" w:rsidR="002353C0" w:rsidP="0006279B" w:rsidRDefault="002353C0" w14:paraId="45A2D267" w14:textId="77777777">
            <w:pPr>
              <w:spacing w:line="360" w:lineRule="auto"/>
              <w:jc w:val="center"/>
              <w:rPr>
                <w:rFonts w:ascii="Arial" w:hAnsi="Arial" w:cs="Arial"/>
                <w:sz w:val="24"/>
                <w:szCs w:val="24"/>
              </w:rPr>
            </w:pPr>
            <w:r w:rsidRPr="0006279B">
              <w:rPr>
                <w:rFonts w:ascii="Arial" w:hAnsi="Arial" w:cs="Arial"/>
                <w:b/>
                <w:bCs/>
                <w:color w:val="FFFFFF"/>
                <w:sz w:val="24"/>
                <w:szCs w:val="24"/>
              </w:rPr>
              <w:t>Project</w:t>
            </w:r>
          </w:p>
        </w:tc>
        <w:tc>
          <w:tcPr>
            <w:tcW w:w="1500" w:type="dxa"/>
            <w:shd w:val="clear" w:color="auto" w:fill="1F3864"/>
            <w:tcMar>
              <w:top w:w="80" w:type="dxa"/>
              <w:left w:w="100" w:type="dxa"/>
              <w:bottom w:w="80" w:type="dxa"/>
              <w:right w:w="100" w:type="dxa"/>
            </w:tcMar>
          </w:tcPr>
          <w:p w:rsidRPr="0006279B" w:rsidR="002353C0" w:rsidP="0006279B" w:rsidRDefault="002353C0" w14:paraId="126EA46B" w14:textId="77777777">
            <w:pPr>
              <w:spacing w:line="360" w:lineRule="auto"/>
              <w:jc w:val="center"/>
              <w:rPr>
                <w:rFonts w:ascii="Arial" w:hAnsi="Arial" w:cs="Arial"/>
                <w:sz w:val="24"/>
                <w:szCs w:val="24"/>
              </w:rPr>
            </w:pPr>
            <w:r w:rsidRPr="0006279B">
              <w:rPr>
                <w:rFonts w:ascii="Arial" w:hAnsi="Arial" w:cs="Arial"/>
                <w:b/>
                <w:bCs/>
                <w:color w:val="FFFFFF"/>
                <w:sz w:val="24"/>
                <w:szCs w:val="24"/>
              </w:rPr>
              <w:t>Initial Investment</w:t>
            </w:r>
          </w:p>
        </w:tc>
        <w:tc>
          <w:tcPr>
            <w:tcW w:w="1200" w:type="dxa"/>
            <w:shd w:val="clear" w:color="auto" w:fill="1F3864"/>
            <w:tcMar>
              <w:top w:w="80" w:type="dxa"/>
              <w:left w:w="100" w:type="dxa"/>
              <w:bottom w:w="80" w:type="dxa"/>
              <w:right w:w="100" w:type="dxa"/>
            </w:tcMar>
          </w:tcPr>
          <w:p w:rsidRPr="0006279B" w:rsidR="002353C0" w:rsidP="0006279B" w:rsidRDefault="002353C0" w14:paraId="39A65F09" w14:textId="77777777">
            <w:pPr>
              <w:spacing w:line="360" w:lineRule="auto"/>
              <w:jc w:val="center"/>
              <w:rPr>
                <w:rFonts w:ascii="Arial" w:hAnsi="Arial" w:cs="Arial"/>
                <w:sz w:val="24"/>
                <w:szCs w:val="24"/>
              </w:rPr>
            </w:pPr>
            <w:r w:rsidRPr="0006279B">
              <w:rPr>
                <w:rFonts w:ascii="Arial" w:hAnsi="Arial" w:cs="Arial"/>
                <w:b/>
                <w:bCs/>
                <w:color w:val="FFFFFF"/>
                <w:sz w:val="24"/>
                <w:szCs w:val="24"/>
              </w:rPr>
              <w:t>Year 1</w:t>
            </w:r>
          </w:p>
        </w:tc>
        <w:tc>
          <w:tcPr>
            <w:tcW w:w="1200" w:type="dxa"/>
            <w:shd w:val="clear" w:color="auto" w:fill="1F3864"/>
            <w:tcMar>
              <w:top w:w="80" w:type="dxa"/>
              <w:left w:w="100" w:type="dxa"/>
              <w:bottom w:w="80" w:type="dxa"/>
              <w:right w:w="100" w:type="dxa"/>
            </w:tcMar>
          </w:tcPr>
          <w:p w:rsidRPr="0006279B" w:rsidR="002353C0" w:rsidP="0006279B" w:rsidRDefault="002353C0" w14:paraId="3E989EA8" w14:textId="77777777">
            <w:pPr>
              <w:spacing w:line="360" w:lineRule="auto"/>
              <w:jc w:val="center"/>
              <w:rPr>
                <w:rFonts w:ascii="Arial" w:hAnsi="Arial" w:cs="Arial"/>
                <w:sz w:val="24"/>
                <w:szCs w:val="24"/>
              </w:rPr>
            </w:pPr>
            <w:r w:rsidRPr="0006279B">
              <w:rPr>
                <w:rFonts w:ascii="Arial" w:hAnsi="Arial" w:cs="Arial"/>
                <w:b/>
                <w:bCs/>
                <w:color w:val="FFFFFF"/>
                <w:sz w:val="24"/>
                <w:szCs w:val="24"/>
              </w:rPr>
              <w:t>Year 2</w:t>
            </w:r>
          </w:p>
        </w:tc>
        <w:tc>
          <w:tcPr>
            <w:tcW w:w="1200" w:type="dxa"/>
            <w:shd w:val="clear" w:color="auto" w:fill="1F3864"/>
            <w:tcMar>
              <w:top w:w="80" w:type="dxa"/>
              <w:left w:w="100" w:type="dxa"/>
              <w:bottom w:w="80" w:type="dxa"/>
              <w:right w:w="100" w:type="dxa"/>
            </w:tcMar>
          </w:tcPr>
          <w:p w:rsidRPr="0006279B" w:rsidR="002353C0" w:rsidP="0006279B" w:rsidRDefault="002353C0" w14:paraId="000B6A54" w14:textId="77777777">
            <w:pPr>
              <w:spacing w:line="360" w:lineRule="auto"/>
              <w:jc w:val="center"/>
              <w:rPr>
                <w:rFonts w:ascii="Arial" w:hAnsi="Arial" w:cs="Arial"/>
                <w:sz w:val="24"/>
                <w:szCs w:val="24"/>
              </w:rPr>
            </w:pPr>
            <w:r w:rsidRPr="0006279B">
              <w:rPr>
                <w:rFonts w:ascii="Arial" w:hAnsi="Arial" w:cs="Arial"/>
                <w:b/>
                <w:bCs/>
                <w:color w:val="FFFFFF"/>
                <w:sz w:val="24"/>
                <w:szCs w:val="24"/>
              </w:rPr>
              <w:t>Year 3</w:t>
            </w:r>
          </w:p>
        </w:tc>
        <w:tc>
          <w:tcPr>
            <w:tcW w:w="1200" w:type="dxa"/>
            <w:shd w:val="clear" w:color="auto" w:fill="1F3864"/>
            <w:tcMar>
              <w:top w:w="80" w:type="dxa"/>
              <w:left w:w="100" w:type="dxa"/>
              <w:bottom w:w="80" w:type="dxa"/>
              <w:right w:w="100" w:type="dxa"/>
            </w:tcMar>
          </w:tcPr>
          <w:p w:rsidRPr="0006279B" w:rsidR="002353C0" w:rsidP="0006279B" w:rsidRDefault="002353C0" w14:paraId="50FABD14" w14:textId="77777777">
            <w:pPr>
              <w:spacing w:line="360" w:lineRule="auto"/>
              <w:jc w:val="center"/>
              <w:rPr>
                <w:rFonts w:ascii="Arial" w:hAnsi="Arial" w:cs="Arial"/>
                <w:sz w:val="24"/>
                <w:szCs w:val="24"/>
              </w:rPr>
            </w:pPr>
            <w:r w:rsidRPr="0006279B">
              <w:rPr>
                <w:rFonts w:ascii="Arial" w:hAnsi="Arial" w:cs="Arial"/>
                <w:b/>
                <w:bCs/>
                <w:color w:val="FFFFFF"/>
                <w:sz w:val="24"/>
                <w:szCs w:val="24"/>
              </w:rPr>
              <w:t>Year 4</w:t>
            </w:r>
          </w:p>
        </w:tc>
        <w:tc>
          <w:tcPr>
            <w:tcW w:w="1200" w:type="dxa"/>
            <w:shd w:val="clear" w:color="auto" w:fill="1F3864"/>
            <w:tcMar>
              <w:top w:w="80" w:type="dxa"/>
              <w:left w:w="100" w:type="dxa"/>
              <w:bottom w:w="80" w:type="dxa"/>
              <w:right w:w="100" w:type="dxa"/>
            </w:tcMar>
          </w:tcPr>
          <w:p w:rsidRPr="0006279B" w:rsidR="002353C0" w:rsidP="0006279B" w:rsidRDefault="002353C0" w14:paraId="3E349AAF" w14:textId="77777777">
            <w:pPr>
              <w:spacing w:line="360" w:lineRule="auto"/>
              <w:jc w:val="center"/>
              <w:rPr>
                <w:rFonts w:ascii="Arial" w:hAnsi="Arial" w:cs="Arial"/>
                <w:sz w:val="24"/>
                <w:szCs w:val="24"/>
              </w:rPr>
            </w:pPr>
            <w:r w:rsidRPr="0006279B">
              <w:rPr>
                <w:rFonts w:ascii="Arial" w:hAnsi="Arial" w:cs="Arial"/>
                <w:b/>
                <w:bCs/>
                <w:color w:val="FFFFFF"/>
                <w:sz w:val="24"/>
                <w:szCs w:val="24"/>
              </w:rPr>
              <w:t>Year 5</w:t>
            </w:r>
          </w:p>
        </w:tc>
      </w:tr>
      <w:tr w:rsidRPr="0006279B" w:rsidR="002353C0" w:rsidTr="00F44A54" w14:paraId="7FB95B25" w14:textId="77777777">
        <w:tblPrEx>
          <w:tblCellMar>
            <w:top w:w="0" w:type="dxa"/>
            <w:bottom w:w="0" w:type="dxa"/>
          </w:tblCellMar>
        </w:tblPrEx>
        <w:tc>
          <w:tcPr>
            <w:tcW w:w="1600" w:type="dxa"/>
            <w:shd w:val="clear" w:color="auto" w:fill="FFFFFF"/>
            <w:tcMar>
              <w:top w:w="80" w:type="dxa"/>
              <w:left w:w="100" w:type="dxa"/>
              <w:bottom w:w="80" w:type="dxa"/>
              <w:right w:w="100" w:type="dxa"/>
            </w:tcMar>
          </w:tcPr>
          <w:p w:rsidRPr="0006279B" w:rsidR="002353C0" w:rsidP="0006279B" w:rsidRDefault="002353C0" w14:paraId="568477AC" w14:textId="77777777">
            <w:pPr>
              <w:spacing w:line="360" w:lineRule="auto"/>
              <w:rPr>
                <w:rFonts w:ascii="Arial" w:hAnsi="Arial" w:cs="Arial"/>
                <w:sz w:val="24"/>
                <w:szCs w:val="24"/>
              </w:rPr>
            </w:pPr>
            <w:r w:rsidRPr="0006279B">
              <w:rPr>
                <w:rFonts w:ascii="Arial" w:hAnsi="Arial" w:cs="Arial"/>
                <w:color w:val="000000"/>
                <w:sz w:val="24"/>
                <w:szCs w:val="24"/>
              </w:rPr>
              <w:t>A</w:t>
            </w:r>
          </w:p>
        </w:tc>
        <w:tc>
          <w:tcPr>
            <w:tcW w:w="1500" w:type="dxa"/>
            <w:shd w:val="clear" w:color="auto" w:fill="FFFFFF"/>
            <w:tcMar>
              <w:top w:w="80" w:type="dxa"/>
              <w:left w:w="100" w:type="dxa"/>
              <w:bottom w:w="80" w:type="dxa"/>
              <w:right w:w="100" w:type="dxa"/>
            </w:tcMar>
          </w:tcPr>
          <w:p w:rsidRPr="0006279B" w:rsidR="002353C0" w:rsidP="0006279B" w:rsidRDefault="002353C0" w14:paraId="32EFE8BD" w14:textId="77777777">
            <w:pPr>
              <w:spacing w:line="360" w:lineRule="auto"/>
              <w:jc w:val="center"/>
              <w:rPr>
                <w:rFonts w:ascii="Arial" w:hAnsi="Arial" w:cs="Arial"/>
                <w:sz w:val="24"/>
                <w:szCs w:val="24"/>
              </w:rPr>
            </w:pPr>
            <w:r w:rsidRPr="0006279B">
              <w:rPr>
                <w:rFonts w:ascii="Arial" w:hAnsi="Arial" w:cs="Arial"/>
                <w:color w:val="000000"/>
                <w:sz w:val="24"/>
                <w:szCs w:val="24"/>
              </w:rPr>
              <w:t>£50m</w:t>
            </w:r>
          </w:p>
        </w:tc>
        <w:tc>
          <w:tcPr>
            <w:tcW w:w="1200" w:type="dxa"/>
            <w:shd w:val="clear" w:color="auto" w:fill="FFFFFF"/>
            <w:tcMar>
              <w:top w:w="80" w:type="dxa"/>
              <w:left w:w="100" w:type="dxa"/>
              <w:bottom w:w="80" w:type="dxa"/>
              <w:right w:w="100" w:type="dxa"/>
            </w:tcMar>
          </w:tcPr>
          <w:p w:rsidRPr="0006279B" w:rsidR="002353C0" w:rsidP="0006279B" w:rsidRDefault="002353C0" w14:paraId="38C070AE" w14:textId="77777777">
            <w:pPr>
              <w:spacing w:line="360" w:lineRule="auto"/>
              <w:jc w:val="center"/>
              <w:rPr>
                <w:rFonts w:ascii="Arial" w:hAnsi="Arial" w:cs="Arial"/>
                <w:sz w:val="24"/>
                <w:szCs w:val="24"/>
              </w:rPr>
            </w:pPr>
            <w:r w:rsidRPr="0006279B">
              <w:rPr>
                <w:rFonts w:ascii="Arial" w:hAnsi="Arial" w:cs="Arial"/>
                <w:color w:val="000000"/>
                <w:sz w:val="24"/>
                <w:szCs w:val="24"/>
              </w:rPr>
              <w:t>£10m</w:t>
            </w:r>
          </w:p>
        </w:tc>
        <w:tc>
          <w:tcPr>
            <w:tcW w:w="1200" w:type="dxa"/>
            <w:shd w:val="clear" w:color="auto" w:fill="FFFFFF"/>
            <w:tcMar>
              <w:top w:w="80" w:type="dxa"/>
              <w:left w:w="100" w:type="dxa"/>
              <w:bottom w:w="80" w:type="dxa"/>
              <w:right w:w="100" w:type="dxa"/>
            </w:tcMar>
          </w:tcPr>
          <w:p w:rsidRPr="0006279B" w:rsidR="002353C0" w:rsidP="0006279B" w:rsidRDefault="002353C0" w14:paraId="49AF8AC4" w14:textId="77777777">
            <w:pPr>
              <w:spacing w:line="360" w:lineRule="auto"/>
              <w:jc w:val="center"/>
              <w:rPr>
                <w:rFonts w:ascii="Arial" w:hAnsi="Arial" w:cs="Arial"/>
                <w:sz w:val="24"/>
                <w:szCs w:val="24"/>
              </w:rPr>
            </w:pPr>
            <w:r w:rsidRPr="0006279B">
              <w:rPr>
                <w:rFonts w:ascii="Arial" w:hAnsi="Arial" w:cs="Arial"/>
                <w:color w:val="000000"/>
                <w:sz w:val="24"/>
                <w:szCs w:val="24"/>
              </w:rPr>
              <w:t>£12m</w:t>
            </w:r>
          </w:p>
        </w:tc>
        <w:tc>
          <w:tcPr>
            <w:tcW w:w="1200" w:type="dxa"/>
            <w:shd w:val="clear" w:color="auto" w:fill="FFFFFF"/>
            <w:tcMar>
              <w:top w:w="80" w:type="dxa"/>
              <w:left w:w="100" w:type="dxa"/>
              <w:bottom w:w="80" w:type="dxa"/>
              <w:right w:w="100" w:type="dxa"/>
            </w:tcMar>
          </w:tcPr>
          <w:p w:rsidRPr="0006279B" w:rsidR="002353C0" w:rsidP="0006279B" w:rsidRDefault="002353C0" w14:paraId="6E6B6CF3" w14:textId="77777777">
            <w:pPr>
              <w:spacing w:line="360" w:lineRule="auto"/>
              <w:jc w:val="center"/>
              <w:rPr>
                <w:rFonts w:ascii="Arial" w:hAnsi="Arial" w:cs="Arial"/>
                <w:sz w:val="24"/>
                <w:szCs w:val="24"/>
              </w:rPr>
            </w:pPr>
            <w:r w:rsidRPr="0006279B">
              <w:rPr>
                <w:rFonts w:ascii="Arial" w:hAnsi="Arial" w:cs="Arial"/>
                <w:color w:val="000000"/>
                <w:sz w:val="24"/>
                <w:szCs w:val="24"/>
              </w:rPr>
              <w:t>£14m</w:t>
            </w:r>
          </w:p>
        </w:tc>
        <w:tc>
          <w:tcPr>
            <w:tcW w:w="1200" w:type="dxa"/>
            <w:shd w:val="clear" w:color="auto" w:fill="FFFFFF"/>
            <w:tcMar>
              <w:top w:w="80" w:type="dxa"/>
              <w:left w:w="100" w:type="dxa"/>
              <w:bottom w:w="80" w:type="dxa"/>
              <w:right w:w="100" w:type="dxa"/>
            </w:tcMar>
          </w:tcPr>
          <w:p w:rsidRPr="0006279B" w:rsidR="002353C0" w:rsidP="0006279B" w:rsidRDefault="002353C0" w14:paraId="2A3F87C3" w14:textId="77777777">
            <w:pPr>
              <w:spacing w:line="360" w:lineRule="auto"/>
              <w:jc w:val="center"/>
              <w:rPr>
                <w:rFonts w:ascii="Arial" w:hAnsi="Arial" w:cs="Arial"/>
                <w:sz w:val="24"/>
                <w:szCs w:val="24"/>
              </w:rPr>
            </w:pPr>
            <w:r w:rsidRPr="0006279B">
              <w:rPr>
                <w:rFonts w:ascii="Arial" w:hAnsi="Arial" w:cs="Arial"/>
                <w:color w:val="000000"/>
                <w:sz w:val="24"/>
                <w:szCs w:val="24"/>
              </w:rPr>
              <w:t>£10m</w:t>
            </w:r>
          </w:p>
        </w:tc>
        <w:tc>
          <w:tcPr>
            <w:tcW w:w="1200" w:type="dxa"/>
            <w:shd w:val="clear" w:color="auto" w:fill="FFFFFF"/>
            <w:tcMar>
              <w:top w:w="80" w:type="dxa"/>
              <w:left w:w="100" w:type="dxa"/>
              <w:bottom w:w="80" w:type="dxa"/>
              <w:right w:w="100" w:type="dxa"/>
            </w:tcMar>
          </w:tcPr>
          <w:p w:rsidRPr="0006279B" w:rsidR="002353C0" w:rsidP="0006279B" w:rsidRDefault="002353C0" w14:paraId="62480374" w14:textId="77777777">
            <w:pPr>
              <w:spacing w:line="360" w:lineRule="auto"/>
              <w:jc w:val="center"/>
              <w:rPr>
                <w:rFonts w:ascii="Arial" w:hAnsi="Arial" w:cs="Arial"/>
                <w:sz w:val="24"/>
                <w:szCs w:val="24"/>
              </w:rPr>
            </w:pPr>
            <w:r w:rsidRPr="0006279B">
              <w:rPr>
                <w:rFonts w:ascii="Arial" w:hAnsi="Arial" w:cs="Arial"/>
                <w:color w:val="000000"/>
                <w:sz w:val="24"/>
                <w:szCs w:val="24"/>
              </w:rPr>
              <w:t>£8m</w:t>
            </w:r>
          </w:p>
        </w:tc>
      </w:tr>
      <w:tr w:rsidRPr="0006279B" w:rsidR="002353C0" w:rsidTr="00F44A54" w14:paraId="38815466" w14:textId="77777777">
        <w:tblPrEx>
          <w:tblCellMar>
            <w:top w:w="0" w:type="dxa"/>
            <w:bottom w:w="0" w:type="dxa"/>
          </w:tblCellMar>
        </w:tblPrEx>
        <w:tc>
          <w:tcPr>
            <w:tcW w:w="1600" w:type="dxa"/>
            <w:shd w:val="clear" w:color="auto" w:fill="F2F2F2"/>
            <w:tcMar>
              <w:top w:w="80" w:type="dxa"/>
              <w:left w:w="100" w:type="dxa"/>
              <w:bottom w:w="80" w:type="dxa"/>
              <w:right w:w="100" w:type="dxa"/>
            </w:tcMar>
          </w:tcPr>
          <w:p w:rsidRPr="0006279B" w:rsidR="002353C0" w:rsidP="0006279B" w:rsidRDefault="002353C0" w14:paraId="04EA8AC3" w14:textId="77777777">
            <w:pPr>
              <w:spacing w:line="360" w:lineRule="auto"/>
              <w:rPr>
                <w:rFonts w:ascii="Arial" w:hAnsi="Arial" w:cs="Arial"/>
                <w:sz w:val="24"/>
                <w:szCs w:val="24"/>
              </w:rPr>
            </w:pPr>
            <w:r w:rsidRPr="0006279B">
              <w:rPr>
                <w:rFonts w:ascii="Arial" w:hAnsi="Arial" w:cs="Arial"/>
                <w:color w:val="000000"/>
                <w:sz w:val="24"/>
                <w:szCs w:val="24"/>
              </w:rPr>
              <w:t>B</w:t>
            </w:r>
          </w:p>
        </w:tc>
        <w:tc>
          <w:tcPr>
            <w:tcW w:w="1500" w:type="dxa"/>
            <w:shd w:val="clear" w:color="auto" w:fill="F2F2F2"/>
            <w:tcMar>
              <w:top w:w="80" w:type="dxa"/>
              <w:left w:w="100" w:type="dxa"/>
              <w:bottom w:w="80" w:type="dxa"/>
              <w:right w:w="100" w:type="dxa"/>
            </w:tcMar>
          </w:tcPr>
          <w:p w:rsidRPr="0006279B" w:rsidR="002353C0" w:rsidP="0006279B" w:rsidRDefault="002353C0" w14:paraId="34DA191B" w14:textId="77777777">
            <w:pPr>
              <w:spacing w:line="360" w:lineRule="auto"/>
              <w:jc w:val="center"/>
              <w:rPr>
                <w:rFonts w:ascii="Arial" w:hAnsi="Arial" w:cs="Arial"/>
                <w:sz w:val="24"/>
                <w:szCs w:val="24"/>
              </w:rPr>
            </w:pPr>
            <w:r w:rsidRPr="0006279B">
              <w:rPr>
                <w:rFonts w:ascii="Arial" w:hAnsi="Arial" w:cs="Arial"/>
                <w:color w:val="000000"/>
                <w:sz w:val="24"/>
                <w:szCs w:val="24"/>
              </w:rPr>
              <w:t>£50m</w:t>
            </w:r>
          </w:p>
        </w:tc>
        <w:tc>
          <w:tcPr>
            <w:tcW w:w="1200" w:type="dxa"/>
            <w:shd w:val="clear" w:color="auto" w:fill="F2F2F2"/>
            <w:tcMar>
              <w:top w:w="80" w:type="dxa"/>
              <w:left w:w="100" w:type="dxa"/>
              <w:bottom w:w="80" w:type="dxa"/>
              <w:right w:w="100" w:type="dxa"/>
            </w:tcMar>
          </w:tcPr>
          <w:p w:rsidRPr="0006279B" w:rsidR="002353C0" w:rsidP="0006279B" w:rsidRDefault="002353C0" w14:paraId="2E01F87A" w14:textId="77777777">
            <w:pPr>
              <w:spacing w:line="360" w:lineRule="auto"/>
              <w:jc w:val="center"/>
              <w:rPr>
                <w:rFonts w:ascii="Arial" w:hAnsi="Arial" w:cs="Arial"/>
                <w:sz w:val="24"/>
                <w:szCs w:val="24"/>
              </w:rPr>
            </w:pPr>
            <w:r w:rsidRPr="0006279B">
              <w:rPr>
                <w:rFonts w:ascii="Arial" w:hAnsi="Arial" w:cs="Arial"/>
                <w:color w:val="000000"/>
                <w:sz w:val="24"/>
                <w:szCs w:val="24"/>
              </w:rPr>
              <w:t>£11m</w:t>
            </w:r>
          </w:p>
        </w:tc>
        <w:tc>
          <w:tcPr>
            <w:tcW w:w="1200" w:type="dxa"/>
            <w:shd w:val="clear" w:color="auto" w:fill="F2F2F2"/>
            <w:tcMar>
              <w:top w:w="80" w:type="dxa"/>
              <w:left w:w="100" w:type="dxa"/>
              <w:bottom w:w="80" w:type="dxa"/>
              <w:right w:w="100" w:type="dxa"/>
            </w:tcMar>
          </w:tcPr>
          <w:p w:rsidRPr="0006279B" w:rsidR="002353C0" w:rsidP="0006279B" w:rsidRDefault="002353C0" w14:paraId="1CA627BB" w14:textId="77777777">
            <w:pPr>
              <w:spacing w:line="360" w:lineRule="auto"/>
              <w:jc w:val="center"/>
              <w:rPr>
                <w:rFonts w:ascii="Arial" w:hAnsi="Arial" w:cs="Arial"/>
                <w:sz w:val="24"/>
                <w:szCs w:val="24"/>
              </w:rPr>
            </w:pPr>
            <w:r w:rsidRPr="0006279B">
              <w:rPr>
                <w:rFonts w:ascii="Arial" w:hAnsi="Arial" w:cs="Arial"/>
                <w:color w:val="000000"/>
                <w:sz w:val="24"/>
                <w:szCs w:val="24"/>
              </w:rPr>
              <w:t>£11m</w:t>
            </w:r>
          </w:p>
        </w:tc>
        <w:tc>
          <w:tcPr>
            <w:tcW w:w="1200" w:type="dxa"/>
            <w:shd w:val="clear" w:color="auto" w:fill="F2F2F2"/>
            <w:tcMar>
              <w:top w:w="80" w:type="dxa"/>
              <w:left w:w="100" w:type="dxa"/>
              <w:bottom w:w="80" w:type="dxa"/>
              <w:right w:w="100" w:type="dxa"/>
            </w:tcMar>
          </w:tcPr>
          <w:p w:rsidRPr="0006279B" w:rsidR="002353C0" w:rsidP="0006279B" w:rsidRDefault="002353C0" w14:paraId="2D4EE862" w14:textId="77777777">
            <w:pPr>
              <w:spacing w:line="360" w:lineRule="auto"/>
              <w:jc w:val="center"/>
              <w:rPr>
                <w:rFonts w:ascii="Arial" w:hAnsi="Arial" w:cs="Arial"/>
                <w:sz w:val="24"/>
                <w:szCs w:val="24"/>
              </w:rPr>
            </w:pPr>
            <w:r w:rsidRPr="0006279B">
              <w:rPr>
                <w:rFonts w:ascii="Arial" w:hAnsi="Arial" w:cs="Arial"/>
                <w:color w:val="000000"/>
                <w:sz w:val="24"/>
                <w:szCs w:val="24"/>
              </w:rPr>
              <w:t>£11m</w:t>
            </w:r>
          </w:p>
        </w:tc>
        <w:tc>
          <w:tcPr>
            <w:tcW w:w="1200" w:type="dxa"/>
            <w:shd w:val="clear" w:color="auto" w:fill="F2F2F2"/>
            <w:tcMar>
              <w:top w:w="80" w:type="dxa"/>
              <w:left w:w="100" w:type="dxa"/>
              <w:bottom w:w="80" w:type="dxa"/>
              <w:right w:w="100" w:type="dxa"/>
            </w:tcMar>
          </w:tcPr>
          <w:p w:rsidRPr="0006279B" w:rsidR="002353C0" w:rsidP="0006279B" w:rsidRDefault="002353C0" w14:paraId="4735BAF6" w14:textId="77777777">
            <w:pPr>
              <w:spacing w:line="360" w:lineRule="auto"/>
              <w:jc w:val="center"/>
              <w:rPr>
                <w:rFonts w:ascii="Arial" w:hAnsi="Arial" w:cs="Arial"/>
                <w:sz w:val="24"/>
                <w:szCs w:val="24"/>
              </w:rPr>
            </w:pPr>
            <w:r w:rsidRPr="0006279B">
              <w:rPr>
                <w:rFonts w:ascii="Arial" w:hAnsi="Arial" w:cs="Arial"/>
                <w:color w:val="000000"/>
                <w:sz w:val="24"/>
                <w:szCs w:val="24"/>
              </w:rPr>
              <w:t>£11m</w:t>
            </w:r>
          </w:p>
        </w:tc>
        <w:tc>
          <w:tcPr>
            <w:tcW w:w="1200" w:type="dxa"/>
            <w:shd w:val="clear" w:color="auto" w:fill="F2F2F2"/>
            <w:tcMar>
              <w:top w:w="80" w:type="dxa"/>
              <w:left w:w="100" w:type="dxa"/>
              <w:bottom w:w="80" w:type="dxa"/>
              <w:right w:w="100" w:type="dxa"/>
            </w:tcMar>
          </w:tcPr>
          <w:p w:rsidRPr="0006279B" w:rsidR="002353C0" w:rsidP="0006279B" w:rsidRDefault="002353C0" w14:paraId="73525484" w14:textId="77777777">
            <w:pPr>
              <w:spacing w:line="360" w:lineRule="auto"/>
              <w:jc w:val="center"/>
              <w:rPr>
                <w:rFonts w:ascii="Arial" w:hAnsi="Arial" w:cs="Arial"/>
                <w:sz w:val="24"/>
                <w:szCs w:val="24"/>
              </w:rPr>
            </w:pPr>
            <w:r w:rsidRPr="0006279B">
              <w:rPr>
                <w:rFonts w:ascii="Arial" w:hAnsi="Arial" w:cs="Arial"/>
                <w:color w:val="000000"/>
                <w:sz w:val="24"/>
                <w:szCs w:val="24"/>
              </w:rPr>
              <w:t>£11m</w:t>
            </w:r>
          </w:p>
        </w:tc>
      </w:tr>
      <w:tr w:rsidRPr="0006279B" w:rsidR="002353C0" w:rsidTr="00F44A54" w14:paraId="12C63E29" w14:textId="77777777">
        <w:tblPrEx>
          <w:tblCellMar>
            <w:top w:w="0" w:type="dxa"/>
            <w:bottom w:w="0" w:type="dxa"/>
          </w:tblCellMar>
        </w:tblPrEx>
        <w:tc>
          <w:tcPr>
            <w:tcW w:w="1600" w:type="dxa"/>
            <w:shd w:val="clear" w:color="auto" w:fill="FFFFFF"/>
            <w:tcMar>
              <w:top w:w="80" w:type="dxa"/>
              <w:left w:w="100" w:type="dxa"/>
              <w:bottom w:w="80" w:type="dxa"/>
              <w:right w:w="100" w:type="dxa"/>
            </w:tcMar>
          </w:tcPr>
          <w:p w:rsidRPr="0006279B" w:rsidR="002353C0" w:rsidP="0006279B" w:rsidRDefault="002353C0" w14:paraId="548F9E0D" w14:textId="77777777">
            <w:pPr>
              <w:spacing w:line="360" w:lineRule="auto"/>
              <w:rPr>
                <w:rFonts w:ascii="Arial" w:hAnsi="Arial" w:cs="Arial"/>
                <w:sz w:val="24"/>
                <w:szCs w:val="24"/>
              </w:rPr>
            </w:pPr>
            <w:r w:rsidRPr="0006279B">
              <w:rPr>
                <w:rFonts w:ascii="Arial" w:hAnsi="Arial" w:cs="Arial"/>
                <w:color w:val="000000"/>
                <w:sz w:val="24"/>
                <w:szCs w:val="24"/>
              </w:rPr>
              <w:t>C</w:t>
            </w:r>
          </w:p>
        </w:tc>
        <w:tc>
          <w:tcPr>
            <w:tcW w:w="1500" w:type="dxa"/>
            <w:shd w:val="clear" w:color="auto" w:fill="FFFFFF"/>
            <w:tcMar>
              <w:top w:w="80" w:type="dxa"/>
              <w:left w:w="100" w:type="dxa"/>
              <w:bottom w:w="80" w:type="dxa"/>
              <w:right w:w="100" w:type="dxa"/>
            </w:tcMar>
          </w:tcPr>
          <w:p w:rsidRPr="0006279B" w:rsidR="002353C0" w:rsidP="0006279B" w:rsidRDefault="002353C0" w14:paraId="24AF4020" w14:textId="77777777">
            <w:pPr>
              <w:spacing w:line="360" w:lineRule="auto"/>
              <w:jc w:val="center"/>
              <w:rPr>
                <w:rFonts w:ascii="Arial" w:hAnsi="Arial" w:cs="Arial"/>
                <w:sz w:val="24"/>
                <w:szCs w:val="24"/>
              </w:rPr>
            </w:pPr>
            <w:r w:rsidRPr="0006279B">
              <w:rPr>
                <w:rFonts w:ascii="Arial" w:hAnsi="Arial" w:cs="Arial"/>
                <w:color w:val="000000"/>
                <w:sz w:val="24"/>
                <w:szCs w:val="24"/>
              </w:rPr>
              <w:t>£50m</w:t>
            </w:r>
          </w:p>
        </w:tc>
        <w:tc>
          <w:tcPr>
            <w:tcW w:w="1200" w:type="dxa"/>
            <w:shd w:val="clear" w:color="auto" w:fill="FFFFFF"/>
            <w:tcMar>
              <w:top w:w="80" w:type="dxa"/>
              <w:left w:w="100" w:type="dxa"/>
              <w:bottom w:w="80" w:type="dxa"/>
              <w:right w:w="100" w:type="dxa"/>
            </w:tcMar>
          </w:tcPr>
          <w:p w:rsidRPr="0006279B" w:rsidR="002353C0" w:rsidP="0006279B" w:rsidRDefault="002353C0" w14:paraId="723BD893" w14:textId="77777777">
            <w:pPr>
              <w:spacing w:line="360" w:lineRule="auto"/>
              <w:jc w:val="center"/>
              <w:rPr>
                <w:rFonts w:ascii="Arial" w:hAnsi="Arial" w:cs="Arial"/>
                <w:sz w:val="24"/>
                <w:szCs w:val="24"/>
              </w:rPr>
            </w:pPr>
            <w:r w:rsidRPr="0006279B">
              <w:rPr>
                <w:rFonts w:ascii="Arial" w:hAnsi="Arial" w:cs="Arial"/>
                <w:color w:val="000000"/>
                <w:sz w:val="24"/>
                <w:szCs w:val="24"/>
              </w:rPr>
              <w:t>£5m</w:t>
            </w:r>
          </w:p>
        </w:tc>
        <w:tc>
          <w:tcPr>
            <w:tcW w:w="1200" w:type="dxa"/>
            <w:shd w:val="clear" w:color="auto" w:fill="FFFFFF"/>
            <w:tcMar>
              <w:top w:w="80" w:type="dxa"/>
              <w:left w:w="100" w:type="dxa"/>
              <w:bottom w:w="80" w:type="dxa"/>
              <w:right w:w="100" w:type="dxa"/>
            </w:tcMar>
          </w:tcPr>
          <w:p w:rsidRPr="0006279B" w:rsidR="002353C0" w:rsidP="0006279B" w:rsidRDefault="002353C0" w14:paraId="7CF06E25" w14:textId="77777777">
            <w:pPr>
              <w:spacing w:line="360" w:lineRule="auto"/>
              <w:jc w:val="center"/>
              <w:rPr>
                <w:rFonts w:ascii="Arial" w:hAnsi="Arial" w:cs="Arial"/>
                <w:sz w:val="24"/>
                <w:szCs w:val="24"/>
              </w:rPr>
            </w:pPr>
            <w:r w:rsidRPr="0006279B">
              <w:rPr>
                <w:rFonts w:ascii="Arial" w:hAnsi="Arial" w:cs="Arial"/>
                <w:color w:val="000000"/>
                <w:sz w:val="24"/>
                <w:szCs w:val="24"/>
              </w:rPr>
              <w:t>£10m</w:t>
            </w:r>
          </w:p>
        </w:tc>
        <w:tc>
          <w:tcPr>
            <w:tcW w:w="1200" w:type="dxa"/>
            <w:shd w:val="clear" w:color="auto" w:fill="FFFFFF"/>
            <w:tcMar>
              <w:top w:w="80" w:type="dxa"/>
              <w:left w:w="100" w:type="dxa"/>
              <w:bottom w:w="80" w:type="dxa"/>
              <w:right w:w="100" w:type="dxa"/>
            </w:tcMar>
          </w:tcPr>
          <w:p w:rsidRPr="0006279B" w:rsidR="002353C0" w:rsidP="0006279B" w:rsidRDefault="002353C0" w14:paraId="2EBE6D1D" w14:textId="77777777">
            <w:pPr>
              <w:spacing w:line="360" w:lineRule="auto"/>
              <w:jc w:val="center"/>
              <w:rPr>
                <w:rFonts w:ascii="Arial" w:hAnsi="Arial" w:cs="Arial"/>
                <w:sz w:val="24"/>
                <w:szCs w:val="24"/>
              </w:rPr>
            </w:pPr>
            <w:r w:rsidRPr="0006279B">
              <w:rPr>
                <w:rFonts w:ascii="Arial" w:hAnsi="Arial" w:cs="Arial"/>
                <w:color w:val="000000"/>
                <w:sz w:val="24"/>
                <w:szCs w:val="24"/>
              </w:rPr>
              <w:t>£20m</w:t>
            </w:r>
          </w:p>
        </w:tc>
        <w:tc>
          <w:tcPr>
            <w:tcW w:w="1200" w:type="dxa"/>
            <w:shd w:val="clear" w:color="auto" w:fill="FFFFFF"/>
            <w:tcMar>
              <w:top w:w="80" w:type="dxa"/>
              <w:left w:w="100" w:type="dxa"/>
              <w:bottom w:w="80" w:type="dxa"/>
              <w:right w:w="100" w:type="dxa"/>
            </w:tcMar>
          </w:tcPr>
          <w:p w:rsidRPr="0006279B" w:rsidR="002353C0" w:rsidP="0006279B" w:rsidRDefault="002353C0" w14:paraId="5A6CCC1F" w14:textId="77777777">
            <w:pPr>
              <w:spacing w:line="360" w:lineRule="auto"/>
              <w:jc w:val="center"/>
              <w:rPr>
                <w:rFonts w:ascii="Arial" w:hAnsi="Arial" w:cs="Arial"/>
                <w:sz w:val="24"/>
                <w:szCs w:val="24"/>
              </w:rPr>
            </w:pPr>
            <w:r w:rsidRPr="0006279B">
              <w:rPr>
                <w:rFonts w:ascii="Arial" w:hAnsi="Arial" w:cs="Arial"/>
                <w:color w:val="000000"/>
                <w:sz w:val="24"/>
                <w:szCs w:val="24"/>
              </w:rPr>
              <w:t>£25m</w:t>
            </w:r>
          </w:p>
        </w:tc>
        <w:tc>
          <w:tcPr>
            <w:tcW w:w="1200" w:type="dxa"/>
            <w:shd w:val="clear" w:color="auto" w:fill="FFFFFF"/>
            <w:tcMar>
              <w:top w:w="80" w:type="dxa"/>
              <w:left w:w="100" w:type="dxa"/>
              <w:bottom w:w="80" w:type="dxa"/>
              <w:right w:w="100" w:type="dxa"/>
            </w:tcMar>
          </w:tcPr>
          <w:p w:rsidRPr="0006279B" w:rsidR="002353C0" w:rsidP="0006279B" w:rsidRDefault="002353C0" w14:paraId="1ADFB242" w14:textId="77777777">
            <w:pPr>
              <w:spacing w:line="360" w:lineRule="auto"/>
              <w:jc w:val="center"/>
              <w:rPr>
                <w:rFonts w:ascii="Arial" w:hAnsi="Arial" w:cs="Arial"/>
                <w:sz w:val="24"/>
                <w:szCs w:val="24"/>
              </w:rPr>
            </w:pPr>
            <w:r w:rsidRPr="0006279B">
              <w:rPr>
                <w:rFonts w:ascii="Arial" w:hAnsi="Arial" w:cs="Arial"/>
                <w:color w:val="000000"/>
                <w:sz w:val="24"/>
                <w:szCs w:val="24"/>
              </w:rPr>
              <w:t>£5m</w:t>
            </w:r>
          </w:p>
        </w:tc>
      </w:tr>
    </w:tbl>
    <w:p w:rsidRPr="0006279B" w:rsidR="002353C0" w:rsidP="0006279B" w:rsidRDefault="002353C0" w14:paraId="5A4B5680" w14:textId="77777777">
      <w:pPr>
        <w:spacing w:after="300" w:line="360" w:lineRule="auto"/>
        <w:jc w:val="center"/>
        <w:rPr>
          <w:rFonts w:ascii="Arial" w:hAnsi="Arial" w:cs="Arial"/>
          <w:sz w:val="24"/>
          <w:szCs w:val="24"/>
        </w:rPr>
      </w:pPr>
      <w:r w:rsidRPr="0006279B">
        <w:rPr>
          <w:rFonts w:ascii="Arial" w:hAnsi="Arial" w:cs="Arial"/>
          <w:i/>
          <w:iCs/>
          <w:color w:val="595959"/>
          <w:sz w:val="24"/>
          <w:szCs w:val="24"/>
        </w:rPr>
        <w:t>Table 1: Five-year cash inflow projections for Projects A, B and C (£ million)</w:t>
      </w:r>
    </w:p>
    <w:p w:rsidRPr="0006279B" w:rsidR="002353C0" w:rsidP="0006279B" w:rsidRDefault="002353C0" w14:paraId="174261C4" w14:textId="77777777">
      <w:pPr>
        <w:spacing w:before="120" w:after="60" w:line="360" w:lineRule="auto"/>
        <w:jc w:val="center"/>
        <w:rPr>
          <w:rFonts w:ascii="Arial" w:hAnsi="Arial" w:cs="Arial"/>
          <w:sz w:val="24"/>
          <w:szCs w:val="24"/>
        </w:rPr>
      </w:pPr>
      <w:r w:rsidRPr="0006279B">
        <w:rPr>
          <w:rFonts w:ascii="Arial" w:hAnsi="Arial" w:cs="Arial"/>
          <w:noProof/>
          <w:sz w:val="24"/>
          <w:szCs w:val="24"/>
        </w:rPr>
        <w:drawing>
          <wp:inline distT="0" distB="0" distL="0" distR="0" wp14:anchorId="76F425C5" wp14:editId="0F59E5FD">
            <wp:extent cx="5334000" cy="2990850"/>
            <wp:effectExtent l="0" t="0" r="0" b="0"/>
            <wp:docPr id="810010864" name="Picture 810010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334000" cy="2990850"/>
                    </a:xfrm>
                    <a:prstGeom prst="rect">
                      <a:avLst/>
                    </a:prstGeom>
                  </pic:spPr>
                </pic:pic>
              </a:graphicData>
            </a:graphic>
          </wp:inline>
        </w:drawing>
      </w:r>
    </w:p>
    <w:p w:rsidRPr="0006279B" w:rsidR="002353C0" w:rsidP="0006279B" w:rsidRDefault="002353C0" w14:paraId="68AD59F1" w14:textId="77777777">
      <w:pPr>
        <w:spacing w:after="300" w:line="360" w:lineRule="auto"/>
        <w:jc w:val="center"/>
        <w:rPr>
          <w:rFonts w:ascii="Arial" w:hAnsi="Arial" w:cs="Arial"/>
          <w:sz w:val="24"/>
          <w:szCs w:val="24"/>
        </w:rPr>
      </w:pPr>
      <w:r w:rsidRPr="0006279B">
        <w:rPr>
          <w:rFonts w:ascii="Arial" w:hAnsi="Arial" w:cs="Arial"/>
          <w:i/>
          <w:iCs/>
          <w:color w:val="595959"/>
          <w:sz w:val="24"/>
          <w:szCs w:val="24"/>
        </w:rPr>
        <w:t>Figure 1: Projected annual cash inflows — Project C shows the strongest mid-to-late cycle growth, while B is a flat annuity and A tapers in later years.</w:t>
      </w:r>
    </w:p>
    <w:p w:rsidRPr="00032BA1" w:rsidR="002353C0" w:rsidP="00032BA1" w:rsidRDefault="002353C0" w14:paraId="5D60662A" w14:textId="77777777">
      <w:pPr>
        <w:pStyle w:val="Heading2"/>
      </w:pPr>
      <w:bookmarkStart w:name="_Toc236251044" w:id="27"/>
      <w:r w:rsidRPr="00032BA1">
        <w:t>1. Payback Period (PBP)</w:t>
      </w:r>
      <w:bookmarkEnd w:id="27"/>
    </w:p>
    <w:p w:rsidRPr="0006279B" w:rsidR="002353C0" w:rsidP="0006279B" w:rsidRDefault="002353C0" w14:paraId="563C3D83" w14:textId="77777777">
      <w:pPr>
        <w:spacing w:after="180" w:line="360" w:lineRule="auto"/>
        <w:jc w:val="both"/>
        <w:rPr>
          <w:rFonts w:ascii="Arial" w:hAnsi="Arial" w:cs="Arial"/>
          <w:sz w:val="24"/>
          <w:szCs w:val="24"/>
        </w:rPr>
      </w:pPr>
      <w:r w:rsidRPr="0006279B">
        <w:rPr>
          <w:rFonts w:ascii="Arial" w:hAnsi="Arial" w:cs="Arial"/>
          <w:sz w:val="24"/>
          <w:szCs w:val="24"/>
        </w:rPr>
        <w:t>The Payback Period measures how long it takes for a project to recover its initial investment from the cash inflows it generates. A shorter payback period is generally preferred, since it reduces exposure to risk and returns capital sooner — though the technique ignores cash flows arising after the payback point and does not account for the time value of money.</w:t>
      </w:r>
    </w:p>
    <w:tbl>
      <w:tblPr>
        <w:tblW w:w="81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000" w:firstRow="0" w:lastRow="0" w:firstColumn="0" w:lastColumn="0" w:noHBand="0" w:noVBand="0"/>
      </w:tblPr>
      <w:tblGrid>
        <w:gridCol w:w="1200"/>
        <w:gridCol w:w="5400"/>
        <w:gridCol w:w="1500"/>
      </w:tblGrid>
      <w:tr w:rsidRPr="0006279B" w:rsidR="002353C0" w:rsidTr="00F44A54" w14:paraId="20FE057A" w14:textId="77777777">
        <w:tblPrEx>
          <w:tblCellMar>
            <w:top w:w="0" w:type="dxa"/>
            <w:bottom w:w="0" w:type="dxa"/>
          </w:tblCellMar>
        </w:tblPrEx>
        <w:trPr>
          <w:tblHeader/>
        </w:trPr>
        <w:tc>
          <w:tcPr>
            <w:tcW w:w="1200" w:type="dxa"/>
            <w:shd w:val="clear" w:color="auto" w:fill="1F3864"/>
            <w:tcMar>
              <w:top w:w="80" w:type="dxa"/>
              <w:left w:w="100" w:type="dxa"/>
              <w:bottom w:w="80" w:type="dxa"/>
              <w:right w:w="100" w:type="dxa"/>
            </w:tcMar>
          </w:tcPr>
          <w:p w:rsidRPr="0006279B" w:rsidR="002353C0" w:rsidP="0006279B" w:rsidRDefault="002353C0" w14:paraId="6010A5C7" w14:textId="77777777">
            <w:pPr>
              <w:spacing w:line="360" w:lineRule="auto"/>
              <w:jc w:val="center"/>
              <w:rPr>
                <w:rFonts w:ascii="Arial" w:hAnsi="Arial" w:cs="Arial"/>
                <w:sz w:val="24"/>
                <w:szCs w:val="24"/>
              </w:rPr>
            </w:pPr>
            <w:r w:rsidRPr="0006279B">
              <w:rPr>
                <w:rFonts w:ascii="Arial" w:hAnsi="Arial" w:cs="Arial"/>
                <w:b/>
                <w:bCs/>
                <w:color w:val="FFFFFF"/>
                <w:sz w:val="24"/>
                <w:szCs w:val="24"/>
              </w:rPr>
              <w:t>Project</w:t>
            </w:r>
          </w:p>
        </w:tc>
        <w:tc>
          <w:tcPr>
            <w:tcW w:w="5400" w:type="dxa"/>
            <w:shd w:val="clear" w:color="auto" w:fill="1F3864"/>
            <w:tcMar>
              <w:top w:w="80" w:type="dxa"/>
              <w:left w:w="100" w:type="dxa"/>
              <w:bottom w:w="80" w:type="dxa"/>
              <w:right w:w="100" w:type="dxa"/>
            </w:tcMar>
          </w:tcPr>
          <w:p w:rsidRPr="0006279B" w:rsidR="002353C0" w:rsidP="0006279B" w:rsidRDefault="002353C0" w14:paraId="79B49F4D" w14:textId="77777777">
            <w:pPr>
              <w:spacing w:line="360" w:lineRule="auto"/>
              <w:jc w:val="center"/>
              <w:rPr>
                <w:rFonts w:ascii="Arial" w:hAnsi="Arial" w:cs="Arial"/>
                <w:sz w:val="24"/>
                <w:szCs w:val="24"/>
              </w:rPr>
            </w:pPr>
            <w:r w:rsidRPr="0006279B">
              <w:rPr>
                <w:rFonts w:ascii="Arial" w:hAnsi="Arial" w:cs="Arial"/>
                <w:b/>
                <w:bCs/>
                <w:color w:val="FFFFFF"/>
                <w:sz w:val="24"/>
                <w:szCs w:val="24"/>
              </w:rPr>
              <w:t>Cumulative Recovery Point</w:t>
            </w:r>
          </w:p>
        </w:tc>
        <w:tc>
          <w:tcPr>
            <w:tcW w:w="1500" w:type="dxa"/>
            <w:shd w:val="clear" w:color="auto" w:fill="1F3864"/>
            <w:tcMar>
              <w:top w:w="80" w:type="dxa"/>
              <w:left w:w="100" w:type="dxa"/>
              <w:bottom w:w="80" w:type="dxa"/>
              <w:right w:w="100" w:type="dxa"/>
            </w:tcMar>
          </w:tcPr>
          <w:p w:rsidRPr="0006279B" w:rsidR="002353C0" w:rsidP="0006279B" w:rsidRDefault="002353C0" w14:paraId="21504F46" w14:textId="77777777">
            <w:pPr>
              <w:spacing w:line="360" w:lineRule="auto"/>
              <w:jc w:val="center"/>
              <w:rPr>
                <w:rFonts w:ascii="Arial" w:hAnsi="Arial" w:cs="Arial"/>
                <w:sz w:val="24"/>
                <w:szCs w:val="24"/>
              </w:rPr>
            </w:pPr>
            <w:r w:rsidRPr="0006279B">
              <w:rPr>
                <w:rFonts w:ascii="Arial" w:hAnsi="Arial" w:cs="Arial"/>
                <w:b/>
                <w:bCs/>
                <w:color w:val="FFFFFF"/>
                <w:sz w:val="24"/>
                <w:szCs w:val="24"/>
              </w:rPr>
              <w:t>Payback Period</w:t>
            </w:r>
          </w:p>
        </w:tc>
      </w:tr>
      <w:tr w:rsidRPr="0006279B" w:rsidR="002353C0" w:rsidTr="00F44A54" w14:paraId="00C69C6B" w14:textId="77777777">
        <w:tblPrEx>
          <w:tblCellMar>
            <w:top w:w="0" w:type="dxa"/>
            <w:bottom w:w="0" w:type="dxa"/>
          </w:tblCellMar>
        </w:tblPrEx>
        <w:tc>
          <w:tcPr>
            <w:tcW w:w="1200" w:type="dxa"/>
            <w:shd w:val="clear" w:color="auto" w:fill="FFFFFF"/>
            <w:tcMar>
              <w:top w:w="80" w:type="dxa"/>
              <w:left w:w="100" w:type="dxa"/>
              <w:bottom w:w="80" w:type="dxa"/>
              <w:right w:w="100" w:type="dxa"/>
            </w:tcMar>
          </w:tcPr>
          <w:p w:rsidRPr="0006279B" w:rsidR="002353C0" w:rsidP="0006279B" w:rsidRDefault="002353C0" w14:paraId="4C24D304" w14:textId="77777777">
            <w:pPr>
              <w:spacing w:line="360" w:lineRule="auto"/>
              <w:rPr>
                <w:rFonts w:ascii="Arial" w:hAnsi="Arial" w:cs="Arial"/>
                <w:sz w:val="24"/>
                <w:szCs w:val="24"/>
              </w:rPr>
            </w:pPr>
            <w:r w:rsidRPr="0006279B">
              <w:rPr>
                <w:rFonts w:ascii="Arial" w:hAnsi="Arial" w:cs="Arial"/>
                <w:color w:val="000000"/>
                <w:sz w:val="24"/>
                <w:szCs w:val="24"/>
              </w:rPr>
              <w:t>A</w:t>
            </w:r>
          </w:p>
        </w:tc>
        <w:tc>
          <w:tcPr>
            <w:tcW w:w="5400" w:type="dxa"/>
            <w:shd w:val="clear" w:color="auto" w:fill="FFFFFF"/>
            <w:tcMar>
              <w:top w:w="80" w:type="dxa"/>
              <w:left w:w="100" w:type="dxa"/>
              <w:bottom w:w="80" w:type="dxa"/>
              <w:right w:w="100" w:type="dxa"/>
            </w:tcMar>
          </w:tcPr>
          <w:p w:rsidRPr="0006279B" w:rsidR="002353C0" w:rsidP="0006279B" w:rsidRDefault="002353C0" w14:paraId="3BC0150C" w14:textId="77777777">
            <w:pPr>
              <w:spacing w:line="360" w:lineRule="auto"/>
              <w:jc w:val="center"/>
              <w:rPr>
                <w:rFonts w:ascii="Arial" w:hAnsi="Arial" w:cs="Arial"/>
                <w:sz w:val="24"/>
                <w:szCs w:val="24"/>
              </w:rPr>
            </w:pPr>
            <w:r w:rsidRPr="0006279B">
              <w:rPr>
                <w:rFonts w:ascii="Arial" w:hAnsi="Arial" w:cs="Arial"/>
                <w:color w:val="000000"/>
                <w:sz w:val="24"/>
                <w:szCs w:val="24"/>
              </w:rPr>
              <w:t>Recovered during Year 5 (£46m by Yr 4; £4m of £8m needed in Yr 5)</w:t>
            </w:r>
          </w:p>
        </w:tc>
        <w:tc>
          <w:tcPr>
            <w:tcW w:w="1500" w:type="dxa"/>
            <w:shd w:val="clear" w:color="auto" w:fill="FFFFFF"/>
            <w:tcMar>
              <w:top w:w="80" w:type="dxa"/>
              <w:left w:w="100" w:type="dxa"/>
              <w:bottom w:w="80" w:type="dxa"/>
              <w:right w:w="100" w:type="dxa"/>
            </w:tcMar>
          </w:tcPr>
          <w:p w:rsidRPr="0006279B" w:rsidR="002353C0" w:rsidP="0006279B" w:rsidRDefault="002353C0" w14:paraId="52F449F8" w14:textId="77777777">
            <w:pPr>
              <w:spacing w:line="360" w:lineRule="auto"/>
              <w:jc w:val="center"/>
              <w:rPr>
                <w:rFonts w:ascii="Arial" w:hAnsi="Arial" w:cs="Arial"/>
                <w:sz w:val="24"/>
                <w:szCs w:val="24"/>
              </w:rPr>
            </w:pPr>
            <w:r w:rsidRPr="0006279B">
              <w:rPr>
                <w:rFonts w:ascii="Arial" w:hAnsi="Arial" w:cs="Arial"/>
                <w:color w:val="000000"/>
                <w:sz w:val="24"/>
                <w:szCs w:val="24"/>
              </w:rPr>
              <w:t>4.50 years</w:t>
            </w:r>
          </w:p>
        </w:tc>
      </w:tr>
      <w:tr w:rsidRPr="0006279B" w:rsidR="002353C0" w:rsidTr="00F44A54" w14:paraId="5DF4CAF8" w14:textId="77777777">
        <w:tblPrEx>
          <w:tblCellMar>
            <w:top w:w="0" w:type="dxa"/>
            <w:bottom w:w="0" w:type="dxa"/>
          </w:tblCellMar>
        </w:tblPrEx>
        <w:tc>
          <w:tcPr>
            <w:tcW w:w="1200" w:type="dxa"/>
            <w:shd w:val="clear" w:color="auto" w:fill="F2F2F2"/>
            <w:tcMar>
              <w:top w:w="80" w:type="dxa"/>
              <w:left w:w="100" w:type="dxa"/>
              <w:bottom w:w="80" w:type="dxa"/>
              <w:right w:w="100" w:type="dxa"/>
            </w:tcMar>
          </w:tcPr>
          <w:p w:rsidRPr="0006279B" w:rsidR="002353C0" w:rsidP="0006279B" w:rsidRDefault="002353C0" w14:paraId="5E6B68DF" w14:textId="77777777">
            <w:pPr>
              <w:spacing w:line="360" w:lineRule="auto"/>
              <w:rPr>
                <w:rFonts w:ascii="Arial" w:hAnsi="Arial" w:cs="Arial"/>
                <w:sz w:val="24"/>
                <w:szCs w:val="24"/>
              </w:rPr>
            </w:pPr>
            <w:r w:rsidRPr="0006279B">
              <w:rPr>
                <w:rFonts w:ascii="Arial" w:hAnsi="Arial" w:cs="Arial"/>
                <w:color w:val="000000"/>
                <w:sz w:val="24"/>
                <w:szCs w:val="24"/>
              </w:rPr>
              <w:t>B</w:t>
            </w:r>
          </w:p>
        </w:tc>
        <w:tc>
          <w:tcPr>
            <w:tcW w:w="5400" w:type="dxa"/>
            <w:shd w:val="clear" w:color="auto" w:fill="F2F2F2"/>
            <w:tcMar>
              <w:top w:w="80" w:type="dxa"/>
              <w:left w:w="100" w:type="dxa"/>
              <w:bottom w:w="80" w:type="dxa"/>
              <w:right w:w="100" w:type="dxa"/>
            </w:tcMar>
          </w:tcPr>
          <w:p w:rsidRPr="0006279B" w:rsidR="002353C0" w:rsidP="0006279B" w:rsidRDefault="002353C0" w14:paraId="59A30F19" w14:textId="77777777">
            <w:pPr>
              <w:spacing w:line="360" w:lineRule="auto"/>
              <w:jc w:val="center"/>
              <w:rPr>
                <w:rFonts w:ascii="Arial" w:hAnsi="Arial" w:cs="Arial"/>
                <w:sz w:val="24"/>
                <w:szCs w:val="24"/>
              </w:rPr>
            </w:pPr>
            <w:r w:rsidRPr="0006279B">
              <w:rPr>
                <w:rFonts w:ascii="Arial" w:hAnsi="Arial" w:cs="Arial"/>
                <w:color w:val="000000"/>
                <w:sz w:val="24"/>
                <w:szCs w:val="24"/>
              </w:rPr>
              <w:t>Recovered during Year 5 (£44m by Yr 4; £6m of £11m needed in Yr 5)</w:t>
            </w:r>
          </w:p>
        </w:tc>
        <w:tc>
          <w:tcPr>
            <w:tcW w:w="1500" w:type="dxa"/>
            <w:shd w:val="clear" w:color="auto" w:fill="F2F2F2"/>
            <w:tcMar>
              <w:top w:w="80" w:type="dxa"/>
              <w:left w:w="100" w:type="dxa"/>
              <w:bottom w:w="80" w:type="dxa"/>
              <w:right w:w="100" w:type="dxa"/>
            </w:tcMar>
          </w:tcPr>
          <w:p w:rsidRPr="0006279B" w:rsidR="002353C0" w:rsidP="0006279B" w:rsidRDefault="002353C0" w14:paraId="5F872073" w14:textId="77777777">
            <w:pPr>
              <w:spacing w:line="360" w:lineRule="auto"/>
              <w:jc w:val="center"/>
              <w:rPr>
                <w:rFonts w:ascii="Arial" w:hAnsi="Arial" w:cs="Arial"/>
                <w:sz w:val="24"/>
                <w:szCs w:val="24"/>
              </w:rPr>
            </w:pPr>
            <w:r w:rsidRPr="0006279B">
              <w:rPr>
                <w:rFonts w:ascii="Arial" w:hAnsi="Arial" w:cs="Arial"/>
                <w:color w:val="000000"/>
                <w:sz w:val="24"/>
                <w:szCs w:val="24"/>
              </w:rPr>
              <w:t>4.55 years</w:t>
            </w:r>
          </w:p>
        </w:tc>
      </w:tr>
      <w:tr w:rsidRPr="0006279B" w:rsidR="002353C0" w:rsidTr="00F44A54" w14:paraId="7DFEEADA" w14:textId="77777777">
        <w:tblPrEx>
          <w:tblCellMar>
            <w:top w:w="0" w:type="dxa"/>
            <w:bottom w:w="0" w:type="dxa"/>
          </w:tblCellMar>
        </w:tblPrEx>
        <w:tc>
          <w:tcPr>
            <w:tcW w:w="1200" w:type="dxa"/>
            <w:shd w:val="clear" w:color="auto" w:fill="FFFFFF"/>
            <w:tcMar>
              <w:top w:w="80" w:type="dxa"/>
              <w:left w:w="100" w:type="dxa"/>
              <w:bottom w:w="80" w:type="dxa"/>
              <w:right w:w="100" w:type="dxa"/>
            </w:tcMar>
          </w:tcPr>
          <w:p w:rsidRPr="0006279B" w:rsidR="002353C0" w:rsidP="0006279B" w:rsidRDefault="002353C0" w14:paraId="131B7B37" w14:textId="77777777">
            <w:pPr>
              <w:spacing w:line="360" w:lineRule="auto"/>
              <w:rPr>
                <w:rFonts w:ascii="Arial" w:hAnsi="Arial" w:cs="Arial"/>
                <w:sz w:val="24"/>
                <w:szCs w:val="24"/>
              </w:rPr>
            </w:pPr>
            <w:r w:rsidRPr="0006279B">
              <w:rPr>
                <w:rFonts w:ascii="Arial" w:hAnsi="Arial" w:cs="Arial"/>
                <w:color w:val="000000"/>
                <w:sz w:val="24"/>
                <w:szCs w:val="24"/>
              </w:rPr>
              <w:t>C</w:t>
            </w:r>
          </w:p>
        </w:tc>
        <w:tc>
          <w:tcPr>
            <w:tcW w:w="5400" w:type="dxa"/>
            <w:shd w:val="clear" w:color="auto" w:fill="FFFFFF"/>
            <w:tcMar>
              <w:top w:w="80" w:type="dxa"/>
              <w:left w:w="100" w:type="dxa"/>
              <w:bottom w:w="80" w:type="dxa"/>
              <w:right w:w="100" w:type="dxa"/>
            </w:tcMar>
          </w:tcPr>
          <w:p w:rsidRPr="0006279B" w:rsidR="002353C0" w:rsidP="0006279B" w:rsidRDefault="002353C0" w14:paraId="2052AEC5" w14:textId="77777777">
            <w:pPr>
              <w:spacing w:line="360" w:lineRule="auto"/>
              <w:jc w:val="center"/>
              <w:rPr>
                <w:rFonts w:ascii="Arial" w:hAnsi="Arial" w:cs="Arial"/>
                <w:sz w:val="24"/>
                <w:szCs w:val="24"/>
              </w:rPr>
            </w:pPr>
            <w:r w:rsidRPr="0006279B">
              <w:rPr>
                <w:rFonts w:ascii="Arial" w:hAnsi="Arial" w:cs="Arial"/>
                <w:color w:val="000000"/>
                <w:sz w:val="24"/>
                <w:szCs w:val="24"/>
              </w:rPr>
              <w:t>Recovered during Year 4 (£35m by Yr 3; £15m of £25m needed in Yr 4)</w:t>
            </w:r>
          </w:p>
        </w:tc>
        <w:tc>
          <w:tcPr>
            <w:tcW w:w="1500" w:type="dxa"/>
            <w:shd w:val="clear" w:color="auto" w:fill="FFFFFF"/>
            <w:tcMar>
              <w:top w:w="80" w:type="dxa"/>
              <w:left w:w="100" w:type="dxa"/>
              <w:bottom w:w="80" w:type="dxa"/>
              <w:right w:w="100" w:type="dxa"/>
            </w:tcMar>
          </w:tcPr>
          <w:p w:rsidRPr="0006279B" w:rsidR="002353C0" w:rsidP="0006279B" w:rsidRDefault="002353C0" w14:paraId="1F07817A" w14:textId="77777777">
            <w:pPr>
              <w:spacing w:line="360" w:lineRule="auto"/>
              <w:jc w:val="center"/>
              <w:rPr>
                <w:rFonts w:ascii="Arial" w:hAnsi="Arial" w:cs="Arial"/>
                <w:sz w:val="24"/>
                <w:szCs w:val="24"/>
              </w:rPr>
            </w:pPr>
            <w:r w:rsidRPr="0006279B">
              <w:rPr>
                <w:rFonts w:ascii="Arial" w:hAnsi="Arial" w:cs="Arial"/>
                <w:color w:val="000000"/>
                <w:sz w:val="24"/>
                <w:szCs w:val="24"/>
              </w:rPr>
              <w:t>3.60 years</w:t>
            </w:r>
          </w:p>
        </w:tc>
      </w:tr>
    </w:tbl>
    <w:p w:rsidRPr="0006279B" w:rsidR="002353C0" w:rsidP="0006279B" w:rsidRDefault="002353C0" w14:paraId="37849C9D" w14:textId="77777777">
      <w:pPr>
        <w:spacing w:after="300" w:line="360" w:lineRule="auto"/>
        <w:jc w:val="center"/>
        <w:rPr>
          <w:rFonts w:ascii="Arial" w:hAnsi="Arial" w:cs="Arial"/>
          <w:sz w:val="24"/>
          <w:szCs w:val="24"/>
        </w:rPr>
      </w:pPr>
      <w:r w:rsidRPr="0006279B">
        <w:rPr>
          <w:rFonts w:ascii="Arial" w:hAnsi="Arial" w:cs="Arial"/>
          <w:i/>
          <w:iCs/>
          <w:color w:val="595959"/>
          <w:sz w:val="24"/>
          <w:szCs w:val="24"/>
        </w:rPr>
        <w:t>Table 2: Payback period calculations</w:t>
      </w:r>
    </w:p>
    <w:p w:rsidRPr="0006279B" w:rsidR="002353C0" w:rsidP="0006279B" w:rsidRDefault="002353C0" w14:paraId="757910C4" w14:textId="77777777">
      <w:pPr>
        <w:spacing w:before="120" w:after="60" w:line="360" w:lineRule="auto"/>
        <w:jc w:val="center"/>
        <w:rPr>
          <w:rFonts w:ascii="Arial" w:hAnsi="Arial" w:cs="Arial"/>
          <w:sz w:val="24"/>
          <w:szCs w:val="24"/>
        </w:rPr>
      </w:pPr>
      <w:r w:rsidRPr="0006279B">
        <w:rPr>
          <w:rFonts w:ascii="Arial" w:hAnsi="Arial" w:cs="Arial"/>
          <w:noProof/>
          <w:sz w:val="24"/>
          <w:szCs w:val="24"/>
        </w:rPr>
        <w:drawing>
          <wp:inline distT="0" distB="0" distL="0" distR="0" wp14:anchorId="06D8D249" wp14:editId="4707F6E9">
            <wp:extent cx="5334000" cy="2990850"/>
            <wp:effectExtent l="0" t="0" r="0" b="0"/>
            <wp:docPr id="344748056" name="Picture 344748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334000" cy="2990850"/>
                    </a:xfrm>
                    <a:prstGeom prst="rect">
                      <a:avLst/>
                    </a:prstGeom>
                  </pic:spPr>
                </pic:pic>
              </a:graphicData>
            </a:graphic>
          </wp:inline>
        </w:drawing>
      </w:r>
    </w:p>
    <w:p w:rsidRPr="0006279B" w:rsidR="002353C0" w:rsidP="0006279B" w:rsidRDefault="002353C0" w14:paraId="40853852" w14:textId="77777777">
      <w:pPr>
        <w:spacing w:after="300" w:line="360" w:lineRule="auto"/>
        <w:jc w:val="center"/>
        <w:rPr>
          <w:rFonts w:ascii="Arial" w:hAnsi="Arial" w:cs="Arial"/>
          <w:sz w:val="24"/>
          <w:szCs w:val="24"/>
        </w:rPr>
      </w:pPr>
      <w:r w:rsidRPr="0006279B">
        <w:rPr>
          <w:rFonts w:ascii="Arial" w:hAnsi="Arial" w:cs="Arial"/>
          <w:i/>
          <w:iCs/>
          <w:color w:val="595959"/>
          <w:sz w:val="24"/>
          <w:szCs w:val="24"/>
        </w:rPr>
        <w:t>Figure 2: Cumulative cash recovery against the £50m initial investment — Project C reaches breakeven fastest.</w:t>
      </w:r>
    </w:p>
    <w:p w:rsidRPr="00032BA1" w:rsidR="002353C0" w:rsidP="00032BA1" w:rsidRDefault="002353C0" w14:paraId="51CE8B10" w14:textId="77777777">
      <w:pPr>
        <w:pStyle w:val="Heading2"/>
      </w:pPr>
      <w:bookmarkStart w:name="_Toc236251045" w:id="28"/>
      <w:r w:rsidRPr="00032BA1">
        <w:t>2. Accounting Rate of Return (ARR)</w:t>
      </w:r>
      <w:bookmarkEnd w:id="28"/>
    </w:p>
    <w:p w:rsidRPr="0006279B" w:rsidR="002353C0" w:rsidP="0006279B" w:rsidRDefault="002353C0" w14:paraId="7BB9C684" w14:textId="77777777">
      <w:pPr>
        <w:spacing w:after="180" w:line="360" w:lineRule="auto"/>
        <w:jc w:val="both"/>
        <w:rPr>
          <w:rFonts w:ascii="Arial" w:hAnsi="Arial" w:cs="Arial"/>
          <w:sz w:val="24"/>
          <w:szCs w:val="24"/>
        </w:rPr>
      </w:pPr>
      <w:r w:rsidRPr="0006279B">
        <w:rPr>
          <w:rFonts w:ascii="Arial" w:hAnsi="Arial" w:cs="Arial"/>
          <w:sz w:val="24"/>
          <w:szCs w:val="24"/>
        </w:rPr>
        <w:t>ARR measures average annual accounting profit as a percentage of the average investment (£50m ÷ 2 = £25m). Annual depreciation is £50m ÷ 5 years = £10m, deducted from each year's cash inflow to derive accounting profit. A higher ARR is preferred, though the measure relies on accounting profit rather than cash flow and ignores the time value of money.</w:t>
      </w:r>
    </w:p>
    <w:tbl>
      <w:tblPr>
        <w:tblW w:w="81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000" w:firstRow="0" w:lastRow="0" w:firstColumn="0" w:lastColumn="0" w:noHBand="0" w:noVBand="0"/>
      </w:tblPr>
      <w:tblGrid>
        <w:gridCol w:w="1014"/>
        <w:gridCol w:w="2164"/>
        <w:gridCol w:w="1956"/>
        <w:gridCol w:w="1783"/>
        <w:gridCol w:w="1183"/>
      </w:tblGrid>
      <w:tr w:rsidRPr="0006279B" w:rsidR="002353C0" w:rsidTr="00F44A54" w14:paraId="4EC4FE24" w14:textId="77777777">
        <w:tblPrEx>
          <w:tblCellMar>
            <w:top w:w="0" w:type="dxa"/>
            <w:bottom w:w="0" w:type="dxa"/>
          </w:tblCellMar>
        </w:tblPrEx>
        <w:trPr>
          <w:tblHeader/>
        </w:trPr>
        <w:tc>
          <w:tcPr>
            <w:tcW w:w="900" w:type="dxa"/>
            <w:shd w:val="clear" w:color="auto" w:fill="1F3864"/>
            <w:tcMar>
              <w:top w:w="80" w:type="dxa"/>
              <w:left w:w="100" w:type="dxa"/>
              <w:bottom w:w="80" w:type="dxa"/>
              <w:right w:w="100" w:type="dxa"/>
            </w:tcMar>
          </w:tcPr>
          <w:p w:rsidRPr="0006279B" w:rsidR="002353C0" w:rsidP="0006279B" w:rsidRDefault="002353C0" w14:paraId="2101B0C3" w14:textId="77777777">
            <w:pPr>
              <w:spacing w:line="360" w:lineRule="auto"/>
              <w:jc w:val="center"/>
              <w:rPr>
                <w:rFonts w:ascii="Arial" w:hAnsi="Arial" w:cs="Arial"/>
                <w:sz w:val="24"/>
                <w:szCs w:val="24"/>
              </w:rPr>
            </w:pPr>
            <w:r w:rsidRPr="0006279B">
              <w:rPr>
                <w:rFonts w:ascii="Arial" w:hAnsi="Arial" w:cs="Arial"/>
                <w:b/>
                <w:bCs/>
                <w:color w:val="FFFFFF"/>
                <w:sz w:val="24"/>
                <w:szCs w:val="24"/>
              </w:rPr>
              <w:t>Project</w:t>
            </w:r>
          </w:p>
        </w:tc>
        <w:tc>
          <w:tcPr>
            <w:tcW w:w="2200" w:type="dxa"/>
            <w:shd w:val="clear" w:color="auto" w:fill="1F3864"/>
            <w:tcMar>
              <w:top w:w="80" w:type="dxa"/>
              <w:left w:w="100" w:type="dxa"/>
              <w:bottom w:w="80" w:type="dxa"/>
              <w:right w:w="100" w:type="dxa"/>
            </w:tcMar>
          </w:tcPr>
          <w:p w:rsidRPr="0006279B" w:rsidR="002353C0" w:rsidP="0006279B" w:rsidRDefault="002353C0" w14:paraId="58E6F797" w14:textId="77777777">
            <w:pPr>
              <w:spacing w:line="360" w:lineRule="auto"/>
              <w:jc w:val="center"/>
              <w:rPr>
                <w:rFonts w:ascii="Arial" w:hAnsi="Arial" w:cs="Arial"/>
                <w:sz w:val="24"/>
                <w:szCs w:val="24"/>
              </w:rPr>
            </w:pPr>
            <w:r w:rsidRPr="0006279B">
              <w:rPr>
                <w:rFonts w:ascii="Arial" w:hAnsi="Arial" w:cs="Arial"/>
                <w:b/>
                <w:bCs/>
                <w:color w:val="FFFFFF"/>
                <w:sz w:val="24"/>
                <w:szCs w:val="24"/>
              </w:rPr>
              <w:t>Total Accounting Profit (5 yrs)</w:t>
            </w:r>
          </w:p>
        </w:tc>
        <w:tc>
          <w:tcPr>
            <w:tcW w:w="2000" w:type="dxa"/>
            <w:shd w:val="clear" w:color="auto" w:fill="1F3864"/>
            <w:tcMar>
              <w:top w:w="80" w:type="dxa"/>
              <w:left w:w="100" w:type="dxa"/>
              <w:bottom w:w="80" w:type="dxa"/>
              <w:right w:w="100" w:type="dxa"/>
            </w:tcMar>
          </w:tcPr>
          <w:p w:rsidRPr="0006279B" w:rsidR="002353C0" w:rsidP="0006279B" w:rsidRDefault="002353C0" w14:paraId="2FB53206" w14:textId="77777777">
            <w:pPr>
              <w:spacing w:line="360" w:lineRule="auto"/>
              <w:jc w:val="center"/>
              <w:rPr>
                <w:rFonts w:ascii="Arial" w:hAnsi="Arial" w:cs="Arial"/>
                <w:sz w:val="24"/>
                <w:szCs w:val="24"/>
              </w:rPr>
            </w:pPr>
            <w:r w:rsidRPr="0006279B">
              <w:rPr>
                <w:rFonts w:ascii="Arial" w:hAnsi="Arial" w:cs="Arial"/>
                <w:b/>
                <w:bCs/>
                <w:color w:val="FFFFFF"/>
                <w:sz w:val="24"/>
                <w:szCs w:val="24"/>
              </w:rPr>
              <w:t>Average Annual Profit</w:t>
            </w:r>
          </w:p>
        </w:tc>
        <w:tc>
          <w:tcPr>
            <w:tcW w:w="1800" w:type="dxa"/>
            <w:shd w:val="clear" w:color="auto" w:fill="1F3864"/>
            <w:tcMar>
              <w:top w:w="80" w:type="dxa"/>
              <w:left w:w="100" w:type="dxa"/>
              <w:bottom w:w="80" w:type="dxa"/>
              <w:right w:w="100" w:type="dxa"/>
            </w:tcMar>
          </w:tcPr>
          <w:p w:rsidRPr="0006279B" w:rsidR="002353C0" w:rsidP="0006279B" w:rsidRDefault="002353C0" w14:paraId="554CE5AC" w14:textId="77777777">
            <w:pPr>
              <w:spacing w:line="360" w:lineRule="auto"/>
              <w:jc w:val="center"/>
              <w:rPr>
                <w:rFonts w:ascii="Arial" w:hAnsi="Arial" w:cs="Arial"/>
                <w:sz w:val="24"/>
                <w:szCs w:val="24"/>
              </w:rPr>
            </w:pPr>
            <w:r w:rsidRPr="0006279B">
              <w:rPr>
                <w:rFonts w:ascii="Arial" w:hAnsi="Arial" w:cs="Arial"/>
                <w:b/>
                <w:bCs/>
                <w:color w:val="FFFFFF"/>
                <w:sz w:val="24"/>
                <w:szCs w:val="24"/>
              </w:rPr>
              <w:t>Average Investment</w:t>
            </w:r>
          </w:p>
        </w:tc>
        <w:tc>
          <w:tcPr>
            <w:tcW w:w="1200" w:type="dxa"/>
            <w:shd w:val="clear" w:color="auto" w:fill="1F3864"/>
            <w:tcMar>
              <w:top w:w="80" w:type="dxa"/>
              <w:left w:w="100" w:type="dxa"/>
              <w:bottom w:w="80" w:type="dxa"/>
              <w:right w:w="100" w:type="dxa"/>
            </w:tcMar>
          </w:tcPr>
          <w:p w:rsidRPr="0006279B" w:rsidR="002353C0" w:rsidP="0006279B" w:rsidRDefault="002353C0" w14:paraId="0213DAFE" w14:textId="77777777">
            <w:pPr>
              <w:spacing w:line="360" w:lineRule="auto"/>
              <w:jc w:val="center"/>
              <w:rPr>
                <w:rFonts w:ascii="Arial" w:hAnsi="Arial" w:cs="Arial"/>
                <w:sz w:val="24"/>
                <w:szCs w:val="24"/>
              </w:rPr>
            </w:pPr>
            <w:r w:rsidRPr="0006279B">
              <w:rPr>
                <w:rFonts w:ascii="Arial" w:hAnsi="Arial" w:cs="Arial"/>
                <w:b/>
                <w:bCs/>
                <w:color w:val="FFFFFF"/>
                <w:sz w:val="24"/>
                <w:szCs w:val="24"/>
              </w:rPr>
              <w:t>ARR</w:t>
            </w:r>
          </w:p>
        </w:tc>
      </w:tr>
      <w:tr w:rsidRPr="0006279B" w:rsidR="002353C0" w:rsidTr="00F44A54" w14:paraId="4BB7C977" w14:textId="77777777">
        <w:tblPrEx>
          <w:tblCellMar>
            <w:top w:w="0" w:type="dxa"/>
            <w:bottom w:w="0" w:type="dxa"/>
          </w:tblCellMar>
        </w:tblPrEx>
        <w:tc>
          <w:tcPr>
            <w:tcW w:w="900" w:type="dxa"/>
            <w:shd w:val="clear" w:color="auto" w:fill="FFFFFF"/>
            <w:tcMar>
              <w:top w:w="80" w:type="dxa"/>
              <w:left w:w="100" w:type="dxa"/>
              <w:bottom w:w="80" w:type="dxa"/>
              <w:right w:w="100" w:type="dxa"/>
            </w:tcMar>
          </w:tcPr>
          <w:p w:rsidRPr="0006279B" w:rsidR="002353C0" w:rsidP="0006279B" w:rsidRDefault="002353C0" w14:paraId="765689F0" w14:textId="77777777">
            <w:pPr>
              <w:spacing w:line="360" w:lineRule="auto"/>
              <w:rPr>
                <w:rFonts w:ascii="Arial" w:hAnsi="Arial" w:cs="Arial"/>
                <w:sz w:val="24"/>
                <w:szCs w:val="24"/>
              </w:rPr>
            </w:pPr>
            <w:r w:rsidRPr="0006279B">
              <w:rPr>
                <w:rFonts w:ascii="Arial" w:hAnsi="Arial" w:cs="Arial"/>
                <w:color w:val="000000"/>
                <w:sz w:val="24"/>
                <w:szCs w:val="24"/>
              </w:rPr>
              <w:t>A</w:t>
            </w:r>
          </w:p>
        </w:tc>
        <w:tc>
          <w:tcPr>
            <w:tcW w:w="2200" w:type="dxa"/>
            <w:shd w:val="clear" w:color="auto" w:fill="FFFFFF"/>
            <w:tcMar>
              <w:top w:w="80" w:type="dxa"/>
              <w:left w:w="100" w:type="dxa"/>
              <w:bottom w:w="80" w:type="dxa"/>
              <w:right w:w="100" w:type="dxa"/>
            </w:tcMar>
          </w:tcPr>
          <w:p w:rsidRPr="0006279B" w:rsidR="002353C0" w:rsidP="0006279B" w:rsidRDefault="002353C0" w14:paraId="70F6AB61" w14:textId="77777777">
            <w:pPr>
              <w:spacing w:line="360" w:lineRule="auto"/>
              <w:jc w:val="center"/>
              <w:rPr>
                <w:rFonts w:ascii="Arial" w:hAnsi="Arial" w:cs="Arial"/>
                <w:sz w:val="24"/>
                <w:szCs w:val="24"/>
              </w:rPr>
            </w:pPr>
            <w:r w:rsidRPr="0006279B">
              <w:rPr>
                <w:rFonts w:ascii="Arial" w:hAnsi="Arial" w:cs="Arial"/>
                <w:color w:val="000000"/>
                <w:sz w:val="24"/>
                <w:szCs w:val="24"/>
              </w:rPr>
              <w:t>£4m</w:t>
            </w:r>
          </w:p>
        </w:tc>
        <w:tc>
          <w:tcPr>
            <w:tcW w:w="2000" w:type="dxa"/>
            <w:shd w:val="clear" w:color="auto" w:fill="FFFFFF"/>
            <w:tcMar>
              <w:top w:w="80" w:type="dxa"/>
              <w:left w:w="100" w:type="dxa"/>
              <w:bottom w:w="80" w:type="dxa"/>
              <w:right w:w="100" w:type="dxa"/>
            </w:tcMar>
          </w:tcPr>
          <w:p w:rsidRPr="0006279B" w:rsidR="002353C0" w:rsidP="0006279B" w:rsidRDefault="002353C0" w14:paraId="4219975B" w14:textId="77777777">
            <w:pPr>
              <w:spacing w:line="360" w:lineRule="auto"/>
              <w:jc w:val="center"/>
              <w:rPr>
                <w:rFonts w:ascii="Arial" w:hAnsi="Arial" w:cs="Arial"/>
                <w:sz w:val="24"/>
                <w:szCs w:val="24"/>
              </w:rPr>
            </w:pPr>
            <w:r w:rsidRPr="0006279B">
              <w:rPr>
                <w:rFonts w:ascii="Arial" w:hAnsi="Arial" w:cs="Arial"/>
                <w:color w:val="000000"/>
                <w:sz w:val="24"/>
                <w:szCs w:val="24"/>
              </w:rPr>
              <w:t>£0.8m</w:t>
            </w:r>
          </w:p>
        </w:tc>
        <w:tc>
          <w:tcPr>
            <w:tcW w:w="1800" w:type="dxa"/>
            <w:shd w:val="clear" w:color="auto" w:fill="FFFFFF"/>
            <w:tcMar>
              <w:top w:w="80" w:type="dxa"/>
              <w:left w:w="100" w:type="dxa"/>
              <w:bottom w:w="80" w:type="dxa"/>
              <w:right w:w="100" w:type="dxa"/>
            </w:tcMar>
          </w:tcPr>
          <w:p w:rsidRPr="0006279B" w:rsidR="002353C0" w:rsidP="0006279B" w:rsidRDefault="002353C0" w14:paraId="6AD06648" w14:textId="77777777">
            <w:pPr>
              <w:spacing w:line="360" w:lineRule="auto"/>
              <w:jc w:val="center"/>
              <w:rPr>
                <w:rFonts w:ascii="Arial" w:hAnsi="Arial" w:cs="Arial"/>
                <w:sz w:val="24"/>
                <w:szCs w:val="24"/>
              </w:rPr>
            </w:pPr>
            <w:r w:rsidRPr="0006279B">
              <w:rPr>
                <w:rFonts w:ascii="Arial" w:hAnsi="Arial" w:cs="Arial"/>
                <w:color w:val="000000"/>
                <w:sz w:val="24"/>
                <w:szCs w:val="24"/>
              </w:rPr>
              <w:t>£25m</w:t>
            </w:r>
          </w:p>
        </w:tc>
        <w:tc>
          <w:tcPr>
            <w:tcW w:w="1200" w:type="dxa"/>
            <w:shd w:val="clear" w:color="auto" w:fill="FFFFFF"/>
            <w:tcMar>
              <w:top w:w="80" w:type="dxa"/>
              <w:left w:w="100" w:type="dxa"/>
              <w:bottom w:w="80" w:type="dxa"/>
              <w:right w:w="100" w:type="dxa"/>
            </w:tcMar>
          </w:tcPr>
          <w:p w:rsidRPr="0006279B" w:rsidR="002353C0" w:rsidP="0006279B" w:rsidRDefault="002353C0" w14:paraId="57F0CB65" w14:textId="77777777">
            <w:pPr>
              <w:spacing w:line="360" w:lineRule="auto"/>
              <w:jc w:val="center"/>
              <w:rPr>
                <w:rFonts w:ascii="Arial" w:hAnsi="Arial" w:cs="Arial"/>
                <w:sz w:val="24"/>
                <w:szCs w:val="24"/>
              </w:rPr>
            </w:pPr>
            <w:r w:rsidRPr="0006279B">
              <w:rPr>
                <w:rFonts w:ascii="Arial" w:hAnsi="Arial" w:cs="Arial"/>
                <w:color w:val="000000"/>
                <w:sz w:val="24"/>
                <w:szCs w:val="24"/>
              </w:rPr>
              <w:t>3.2%</w:t>
            </w:r>
          </w:p>
        </w:tc>
      </w:tr>
      <w:tr w:rsidRPr="0006279B" w:rsidR="002353C0" w:rsidTr="00F44A54" w14:paraId="13DE7542" w14:textId="77777777">
        <w:tblPrEx>
          <w:tblCellMar>
            <w:top w:w="0" w:type="dxa"/>
            <w:bottom w:w="0" w:type="dxa"/>
          </w:tblCellMar>
        </w:tblPrEx>
        <w:tc>
          <w:tcPr>
            <w:tcW w:w="900" w:type="dxa"/>
            <w:shd w:val="clear" w:color="auto" w:fill="F2F2F2"/>
            <w:tcMar>
              <w:top w:w="80" w:type="dxa"/>
              <w:left w:w="100" w:type="dxa"/>
              <w:bottom w:w="80" w:type="dxa"/>
              <w:right w:w="100" w:type="dxa"/>
            </w:tcMar>
          </w:tcPr>
          <w:p w:rsidRPr="0006279B" w:rsidR="002353C0" w:rsidP="0006279B" w:rsidRDefault="002353C0" w14:paraId="64B8CA06" w14:textId="77777777">
            <w:pPr>
              <w:spacing w:line="360" w:lineRule="auto"/>
              <w:rPr>
                <w:rFonts w:ascii="Arial" w:hAnsi="Arial" w:cs="Arial"/>
                <w:sz w:val="24"/>
                <w:szCs w:val="24"/>
              </w:rPr>
            </w:pPr>
            <w:r w:rsidRPr="0006279B">
              <w:rPr>
                <w:rFonts w:ascii="Arial" w:hAnsi="Arial" w:cs="Arial"/>
                <w:color w:val="000000"/>
                <w:sz w:val="24"/>
                <w:szCs w:val="24"/>
              </w:rPr>
              <w:t>B</w:t>
            </w:r>
          </w:p>
        </w:tc>
        <w:tc>
          <w:tcPr>
            <w:tcW w:w="2200" w:type="dxa"/>
            <w:shd w:val="clear" w:color="auto" w:fill="F2F2F2"/>
            <w:tcMar>
              <w:top w:w="80" w:type="dxa"/>
              <w:left w:w="100" w:type="dxa"/>
              <w:bottom w:w="80" w:type="dxa"/>
              <w:right w:w="100" w:type="dxa"/>
            </w:tcMar>
          </w:tcPr>
          <w:p w:rsidRPr="0006279B" w:rsidR="002353C0" w:rsidP="0006279B" w:rsidRDefault="002353C0" w14:paraId="202B2252" w14:textId="77777777">
            <w:pPr>
              <w:spacing w:line="360" w:lineRule="auto"/>
              <w:jc w:val="center"/>
              <w:rPr>
                <w:rFonts w:ascii="Arial" w:hAnsi="Arial" w:cs="Arial"/>
                <w:sz w:val="24"/>
                <w:szCs w:val="24"/>
              </w:rPr>
            </w:pPr>
            <w:r w:rsidRPr="0006279B">
              <w:rPr>
                <w:rFonts w:ascii="Arial" w:hAnsi="Arial" w:cs="Arial"/>
                <w:color w:val="000000"/>
                <w:sz w:val="24"/>
                <w:szCs w:val="24"/>
              </w:rPr>
              <w:t>£5m</w:t>
            </w:r>
          </w:p>
        </w:tc>
        <w:tc>
          <w:tcPr>
            <w:tcW w:w="2000" w:type="dxa"/>
            <w:shd w:val="clear" w:color="auto" w:fill="F2F2F2"/>
            <w:tcMar>
              <w:top w:w="80" w:type="dxa"/>
              <w:left w:w="100" w:type="dxa"/>
              <w:bottom w:w="80" w:type="dxa"/>
              <w:right w:w="100" w:type="dxa"/>
            </w:tcMar>
          </w:tcPr>
          <w:p w:rsidRPr="0006279B" w:rsidR="002353C0" w:rsidP="0006279B" w:rsidRDefault="002353C0" w14:paraId="31D06AF9" w14:textId="77777777">
            <w:pPr>
              <w:spacing w:line="360" w:lineRule="auto"/>
              <w:jc w:val="center"/>
              <w:rPr>
                <w:rFonts w:ascii="Arial" w:hAnsi="Arial" w:cs="Arial"/>
                <w:sz w:val="24"/>
                <w:szCs w:val="24"/>
              </w:rPr>
            </w:pPr>
            <w:r w:rsidRPr="0006279B">
              <w:rPr>
                <w:rFonts w:ascii="Arial" w:hAnsi="Arial" w:cs="Arial"/>
                <w:color w:val="000000"/>
                <w:sz w:val="24"/>
                <w:szCs w:val="24"/>
              </w:rPr>
              <w:t>£1.0m</w:t>
            </w:r>
          </w:p>
        </w:tc>
        <w:tc>
          <w:tcPr>
            <w:tcW w:w="1800" w:type="dxa"/>
            <w:shd w:val="clear" w:color="auto" w:fill="F2F2F2"/>
            <w:tcMar>
              <w:top w:w="80" w:type="dxa"/>
              <w:left w:w="100" w:type="dxa"/>
              <w:bottom w:w="80" w:type="dxa"/>
              <w:right w:w="100" w:type="dxa"/>
            </w:tcMar>
          </w:tcPr>
          <w:p w:rsidRPr="0006279B" w:rsidR="002353C0" w:rsidP="0006279B" w:rsidRDefault="002353C0" w14:paraId="23A49B5D" w14:textId="77777777">
            <w:pPr>
              <w:spacing w:line="360" w:lineRule="auto"/>
              <w:jc w:val="center"/>
              <w:rPr>
                <w:rFonts w:ascii="Arial" w:hAnsi="Arial" w:cs="Arial"/>
                <w:sz w:val="24"/>
                <w:szCs w:val="24"/>
              </w:rPr>
            </w:pPr>
            <w:r w:rsidRPr="0006279B">
              <w:rPr>
                <w:rFonts w:ascii="Arial" w:hAnsi="Arial" w:cs="Arial"/>
                <w:color w:val="000000"/>
                <w:sz w:val="24"/>
                <w:szCs w:val="24"/>
              </w:rPr>
              <w:t>£25m</w:t>
            </w:r>
          </w:p>
        </w:tc>
        <w:tc>
          <w:tcPr>
            <w:tcW w:w="1200" w:type="dxa"/>
            <w:shd w:val="clear" w:color="auto" w:fill="F2F2F2"/>
            <w:tcMar>
              <w:top w:w="80" w:type="dxa"/>
              <w:left w:w="100" w:type="dxa"/>
              <w:bottom w:w="80" w:type="dxa"/>
              <w:right w:w="100" w:type="dxa"/>
            </w:tcMar>
          </w:tcPr>
          <w:p w:rsidRPr="0006279B" w:rsidR="002353C0" w:rsidP="0006279B" w:rsidRDefault="002353C0" w14:paraId="7CE90E81" w14:textId="77777777">
            <w:pPr>
              <w:spacing w:line="360" w:lineRule="auto"/>
              <w:jc w:val="center"/>
              <w:rPr>
                <w:rFonts w:ascii="Arial" w:hAnsi="Arial" w:cs="Arial"/>
                <w:sz w:val="24"/>
                <w:szCs w:val="24"/>
              </w:rPr>
            </w:pPr>
            <w:r w:rsidRPr="0006279B">
              <w:rPr>
                <w:rFonts w:ascii="Arial" w:hAnsi="Arial" w:cs="Arial"/>
                <w:color w:val="000000"/>
                <w:sz w:val="24"/>
                <w:szCs w:val="24"/>
              </w:rPr>
              <w:t>4.0%</w:t>
            </w:r>
          </w:p>
        </w:tc>
      </w:tr>
      <w:tr w:rsidRPr="0006279B" w:rsidR="002353C0" w:rsidTr="00F44A54" w14:paraId="19110EB6" w14:textId="77777777">
        <w:tblPrEx>
          <w:tblCellMar>
            <w:top w:w="0" w:type="dxa"/>
            <w:bottom w:w="0" w:type="dxa"/>
          </w:tblCellMar>
        </w:tblPrEx>
        <w:tc>
          <w:tcPr>
            <w:tcW w:w="900" w:type="dxa"/>
            <w:shd w:val="clear" w:color="auto" w:fill="FFFFFF"/>
            <w:tcMar>
              <w:top w:w="80" w:type="dxa"/>
              <w:left w:w="100" w:type="dxa"/>
              <w:bottom w:w="80" w:type="dxa"/>
              <w:right w:w="100" w:type="dxa"/>
            </w:tcMar>
          </w:tcPr>
          <w:p w:rsidRPr="0006279B" w:rsidR="002353C0" w:rsidP="0006279B" w:rsidRDefault="002353C0" w14:paraId="58452B55" w14:textId="77777777">
            <w:pPr>
              <w:spacing w:line="360" w:lineRule="auto"/>
              <w:rPr>
                <w:rFonts w:ascii="Arial" w:hAnsi="Arial" w:cs="Arial"/>
                <w:sz w:val="24"/>
                <w:szCs w:val="24"/>
              </w:rPr>
            </w:pPr>
            <w:r w:rsidRPr="0006279B">
              <w:rPr>
                <w:rFonts w:ascii="Arial" w:hAnsi="Arial" w:cs="Arial"/>
                <w:color w:val="000000"/>
                <w:sz w:val="24"/>
                <w:szCs w:val="24"/>
              </w:rPr>
              <w:t>C</w:t>
            </w:r>
          </w:p>
        </w:tc>
        <w:tc>
          <w:tcPr>
            <w:tcW w:w="2200" w:type="dxa"/>
            <w:shd w:val="clear" w:color="auto" w:fill="FFFFFF"/>
            <w:tcMar>
              <w:top w:w="80" w:type="dxa"/>
              <w:left w:w="100" w:type="dxa"/>
              <w:bottom w:w="80" w:type="dxa"/>
              <w:right w:w="100" w:type="dxa"/>
            </w:tcMar>
          </w:tcPr>
          <w:p w:rsidRPr="0006279B" w:rsidR="002353C0" w:rsidP="0006279B" w:rsidRDefault="002353C0" w14:paraId="709C4B38" w14:textId="77777777">
            <w:pPr>
              <w:spacing w:line="360" w:lineRule="auto"/>
              <w:jc w:val="center"/>
              <w:rPr>
                <w:rFonts w:ascii="Arial" w:hAnsi="Arial" w:cs="Arial"/>
                <w:sz w:val="24"/>
                <w:szCs w:val="24"/>
              </w:rPr>
            </w:pPr>
            <w:r w:rsidRPr="0006279B">
              <w:rPr>
                <w:rFonts w:ascii="Arial" w:hAnsi="Arial" w:cs="Arial"/>
                <w:color w:val="000000"/>
                <w:sz w:val="24"/>
                <w:szCs w:val="24"/>
              </w:rPr>
              <w:t>£15m</w:t>
            </w:r>
          </w:p>
        </w:tc>
        <w:tc>
          <w:tcPr>
            <w:tcW w:w="2000" w:type="dxa"/>
            <w:shd w:val="clear" w:color="auto" w:fill="FFFFFF"/>
            <w:tcMar>
              <w:top w:w="80" w:type="dxa"/>
              <w:left w:w="100" w:type="dxa"/>
              <w:bottom w:w="80" w:type="dxa"/>
              <w:right w:w="100" w:type="dxa"/>
            </w:tcMar>
          </w:tcPr>
          <w:p w:rsidRPr="0006279B" w:rsidR="002353C0" w:rsidP="0006279B" w:rsidRDefault="002353C0" w14:paraId="36FEA066" w14:textId="77777777">
            <w:pPr>
              <w:spacing w:line="360" w:lineRule="auto"/>
              <w:jc w:val="center"/>
              <w:rPr>
                <w:rFonts w:ascii="Arial" w:hAnsi="Arial" w:cs="Arial"/>
                <w:sz w:val="24"/>
                <w:szCs w:val="24"/>
              </w:rPr>
            </w:pPr>
            <w:r w:rsidRPr="0006279B">
              <w:rPr>
                <w:rFonts w:ascii="Arial" w:hAnsi="Arial" w:cs="Arial"/>
                <w:color w:val="000000"/>
                <w:sz w:val="24"/>
                <w:szCs w:val="24"/>
              </w:rPr>
              <w:t>£3.0m</w:t>
            </w:r>
          </w:p>
        </w:tc>
        <w:tc>
          <w:tcPr>
            <w:tcW w:w="1800" w:type="dxa"/>
            <w:shd w:val="clear" w:color="auto" w:fill="FFFFFF"/>
            <w:tcMar>
              <w:top w:w="80" w:type="dxa"/>
              <w:left w:w="100" w:type="dxa"/>
              <w:bottom w:w="80" w:type="dxa"/>
              <w:right w:w="100" w:type="dxa"/>
            </w:tcMar>
          </w:tcPr>
          <w:p w:rsidRPr="0006279B" w:rsidR="002353C0" w:rsidP="0006279B" w:rsidRDefault="002353C0" w14:paraId="615C4909" w14:textId="77777777">
            <w:pPr>
              <w:spacing w:line="360" w:lineRule="auto"/>
              <w:jc w:val="center"/>
              <w:rPr>
                <w:rFonts w:ascii="Arial" w:hAnsi="Arial" w:cs="Arial"/>
                <w:sz w:val="24"/>
                <w:szCs w:val="24"/>
              </w:rPr>
            </w:pPr>
            <w:r w:rsidRPr="0006279B">
              <w:rPr>
                <w:rFonts w:ascii="Arial" w:hAnsi="Arial" w:cs="Arial"/>
                <w:color w:val="000000"/>
                <w:sz w:val="24"/>
                <w:szCs w:val="24"/>
              </w:rPr>
              <w:t>£25m</w:t>
            </w:r>
          </w:p>
        </w:tc>
        <w:tc>
          <w:tcPr>
            <w:tcW w:w="1200" w:type="dxa"/>
            <w:shd w:val="clear" w:color="auto" w:fill="FFFFFF"/>
            <w:tcMar>
              <w:top w:w="80" w:type="dxa"/>
              <w:left w:w="100" w:type="dxa"/>
              <w:bottom w:w="80" w:type="dxa"/>
              <w:right w:w="100" w:type="dxa"/>
            </w:tcMar>
          </w:tcPr>
          <w:p w:rsidRPr="0006279B" w:rsidR="002353C0" w:rsidP="0006279B" w:rsidRDefault="002353C0" w14:paraId="2C6AD243" w14:textId="77777777">
            <w:pPr>
              <w:spacing w:line="360" w:lineRule="auto"/>
              <w:jc w:val="center"/>
              <w:rPr>
                <w:rFonts w:ascii="Arial" w:hAnsi="Arial" w:cs="Arial"/>
                <w:sz w:val="24"/>
                <w:szCs w:val="24"/>
              </w:rPr>
            </w:pPr>
            <w:r w:rsidRPr="0006279B">
              <w:rPr>
                <w:rFonts w:ascii="Arial" w:hAnsi="Arial" w:cs="Arial"/>
                <w:color w:val="000000"/>
                <w:sz w:val="24"/>
                <w:szCs w:val="24"/>
              </w:rPr>
              <w:t>12.0%</w:t>
            </w:r>
          </w:p>
        </w:tc>
      </w:tr>
    </w:tbl>
    <w:p w:rsidRPr="0006279B" w:rsidR="002353C0" w:rsidP="0006279B" w:rsidRDefault="002353C0" w14:paraId="3E6E22B3" w14:textId="77777777">
      <w:pPr>
        <w:spacing w:after="300" w:line="360" w:lineRule="auto"/>
        <w:jc w:val="center"/>
        <w:rPr>
          <w:rFonts w:ascii="Arial" w:hAnsi="Arial" w:cs="Arial"/>
          <w:sz w:val="24"/>
          <w:szCs w:val="24"/>
        </w:rPr>
      </w:pPr>
      <w:r w:rsidRPr="0006279B">
        <w:rPr>
          <w:rFonts w:ascii="Arial" w:hAnsi="Arial" w:cs="Arial"/>
          <w:i/>
          <w:iCs/>
          <w:color w:val="595959"/>
          <w:sz w:val="24"/>
          <w:szCs w:val="24"/>
        </w:rPr>
        <w:t>Table 3: Accounting Rate of Return calculations</w:t>
      </w:r>
    </w:p>
    <w:p w:rsidRPr="00032BA1" w:rsidR="002353C0" w:rsidP="00032BA1" w:rsidRDefault="002353C0" w14:paraId="22360AEA" w14:textId="77777777">
      <w:pPr>
        <w:pStyle w:val="Heading2"/>
      </w:pPr>
      <w:bookmarkStart w:name="_Toc236251046" w:id="29"/>
      <w:r w:rsidRPr="00032BA1">
        <w:t>3. Net Present Value (NPV)</w:t>
      </w:r>
      <w:bookmarkEnd w:id="29"/>
    </w:p>
    <w:p w:rsidRPr="0006279B" w:rsidR="002353C0" w:rsidP="0006279B" w:rsidRDefault="002353C0" w14:paraId="0E4D7D57" w14:textId="77777777">
      <w:pPr>
        <w:spacing w:after="180" w:line="360" w:lineRule="auto"/>
        <w:jc w:val="both"/>
        <w:rPr>
          <w:rFonts w:ascii="Arial" w:hAnsi="Arial" w:cs="Arial"/>
          <w:sz w:val="24"/>
          <w:szCs w:val="24"/>
        </w:rPr>
      </w:pPr>
      <w:r w:rsidRPr="0006279B">
        <w:rPr>
          <w:rFonts w:ascii="Arial" w:hAnsi="Arial" w:cs="Arial"/>
          <w:sz w:val="24"/>
          <w:szCs w:val="24"/>
        </w:rPr>
        <w:t>NPV discounts each year's cash inflow to present value using the 8% cost of capital, then deducts the initial investment. A positive NPV indicates the project adds value to the business and should be accepted; a negative NPV indicates value destruction and rejection is recommended.</w:t>
      </w:r>
    </w:p>
    <w:tbl>
      <w:tblPr>
        <w:tblW w:w="81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000" w:firstRow="0" w:lastRow="0" w:firstColumn="0" w:lastColumn="0" w:noHBand="0" w:noVBand="0"/>
      </w:tblPr>
      <w:tblGrid>
        <w:gridCol w:w="1014"/>
        <w:gridCol w:w="2336"/>
        <w:gridCol w:w="1973"/>
        <w:gridCol w:w="1387"/>
        <w:gridCol w:w="1390"/>
      </w:tblGrid>
      <w:tr w:rsidRPr="0006279B" w:rsidR="002353C0" w:rsidTr="00F44A54" w14:paraId="1512235C" w14:textId="77777777">
        <w:tblPrEx>
          <w:tblCellMar>
            <w:top w:w="0" w:type="dxa"/>
            <w:bottom w:w="0" w:type="dxa"/>
          </w:tblCellMar>
        </w:tblPrEx>
        <w:trPr>
          <w:tblHeader/>
        </w:trPr>
        <w:tc>
          <w:tcPr>
            <w:tcW w:w="900" w:type="dxa"/>
            <w:shd w:val="clear" w:color="auto" w:fill="1F3864"/>
            <w:tcMar>
              <w:top w:w="80" w:type="dxa"/>
              <w:left w:w="100" w:type="dxa"/>
              <w:bottom w:w="80" w:type="dxa"/>
              <w:right w:w="100" w:type="dxa"/>
            </w:tcMar>
          </w:tcPr>
          <w:p w:rsidRPr="0006279B" w:rsidR="002353C0" w:rsidP="0006279B" w:rsidRDefault="002353C0" w14:paraId="4DCE2D46" w14:textId="77777777">
            <w:pPr>
              <w:spacing w:line="360" w:lineRule="auto"/>
              <w:jc w:val="center"/>
              <w:rPr>
                <w:rFonts w:ascii="Arial" w:hAnsi="Arial" w:cs="Arial"/>
                <w:sz w:val="24"/>
                <w:szCs w:val="24"/>
              </w:rPr>
            </w:pPr>
            <w:r w:rsidRPr="0006279B">
              <w:rPr>
                <w:rFonts w:ascii="Arial" w:hAnsi="Arial" w:cs="Arial"/>
                <w:b/>
                <w:bCs/>
                <w:color w:val="FFFFFF"/>
                <w:sz w:val="24"/>
                <w:szCs w:val="24"/>
              </w:rPr>
              <w:t>Project</w:t>
            </w:r>
          </w:p>
        </w:tc>
        <w:tc>
          <w:tcPr>
            <w:tcW w:w="2400" w:type="dxa"/>
            <w:shd w:val="clear" w:color="auto" w:fill="1F3864"/>
            <w:tcMar>
              <w:top w:w="80" w:type="dxa"/>
              <w:left w:w="100" w:type="dxa"/>
              <w:bottom w:w="80" w:type="dxa"/>
              <w:right w:w="100" w:type="dxa"/>
            </w:tcMar>
          </w:tcPr>
          <w:p w:rsidRPr="0006279B" w:rsidR="002353C0" w:rsidP="0006279B" w:rsidRDefault="002353C0" w14:paraId="79ABB8E2" w14:textId="77777777">
            <w:pPr>
              <w:spacing w:line="360" w:lineRule="auto"/>
              <w:jc w:val="center"/>
              <w:rPr>
                <w:rFonts w:ascii="Arial" w:hAnsi="Arial" w:cs="Arial"/>
                <w:sz w:val="24"/>
                <w:szCs w:val="24"/>
              </w:rPr>
            </w:pPr>
            <w:r w:rsidRPr="0006279B">
              <w:rPr>
                <w:rFonts w:ascii="Arial" w:hAnsi="Arial" w:cs="Arial"/>
                <w:b/>
                <w:bCs/>
                <w:color w:val="FFFFFF"/>
                <w:sz w:val="24"/>
                <w:szCs w:val="24"/>
              </w:rPr>
              <w:t>PV of Cash Inflows (8%)</w:t>
            </w:r>
          </w:p>
        </w:tc>
        <w:tc>
          <w:tcPr>
            <w:tcW w:w="2000" w:type="dxa"/>
            <w:shd w:val="clear" w:color="auto" w:fill="1F3864"/>
            <w:tcMar>
              <w:top w:w="80" w:type="dxa"/>
              <w:left w:w="100" w:type="dxa"/>
              <w:bottom w:w="80" w:type="dxa"/>
              <w:right w:w="100" w:type="dxa"/>
            </w:tcMar>
          </w:tcPr>
          <w:p w:rsidRPr="0006279B" w:rsidR="002353C0" w:rsidP="0006279B" w:rsidRDefault="002353C0" w14:paraId="4BE0A9DE" w14:textId="77777777">
            <w:pPr>
              <w:spacing w:line="360" w:lineRule="auto"/>
              <w:jc w:val="center"/>
              <w:rPr>
                <w:rFonts w:ascii="Arial" w:hAnsi="Arial" w:cs="Arial"/>
                <w:sz w:val="24"/>
                <w:szCs w:val="24"/>
              </w:rPr>
            </w:pPr>
            <w:r w:rsidRPr="0006279B">
              <w:rPr>
                <w:rFonts w:ascii="Arial" w:hAnsi="Arial" w:cs="Arial"/>
                <w:b/>
                <w:bCs/>
                <w:color w:val="FFFFFF"/>
                <w:sz w:val="24"/>
                <w:szCs w:val="24"/>
              </w:rPr>
              <w:t>Initial Investment</w:t>
            </w:r>
          </w:p>
        </w:tc>
        <w:tc>
          <w:tcPr>
            <w:tcW w:w="1400" w:type="dxa"/>
            <w:shd w:val="clear" w:color="auto" w:fill="1F3864"/>
            <w:tcMar>
              <w:top w:w="80" w:type="dxa"/>
              <w:left w:w="100" w:type="dxa"/>
              <w:bottom w:w="80" w:type="dxa"/>
              <w:right w:w="100" w:type="dxa"/>
            </w:tcMar>
          </w:tcPr>
          <w:p w:rsidRPr="0006279B" w:rsidR="002353C0" w:rsidP="0006279B" w:rsidRDefault="002353C0" w14:paraId="04E1758E" w14:textId="77777777">
            <w:pPr>
              <w:spacing w:line="360" w:lineRule="auto"/>
              <w:jc w:val="center"/>
              <w:rPr>
                <w:rFonts w:ascii="Arial" w:hAnsi="Arial" w:cs="Arial"/>
                <w:sz w:val="24"/>
                <w:szCs w:val="24"/>
              </w:rPr>
            </w:pPr>
            <w:r w:rsidRPr="0006279B">
              <w:rPr>
                <w:rFonts w:ascii="Arial" w:hAnsi="Arial" w:cs="Arial"/>
                <w:b/>
                <w:bCs/>
                <w:color w:val="FFFFFF"/>
                <w:sz w:val="24"/>
                <w:szCs w:val="24"/>
              </w:rPr>
              <w:t>NPV</w:t>
            </w:r>
          </w:p>
        </w:tc>
        <w:tc>
          <w:tcPr>
            <w:tcW w:w="1400" w:type="dxa"/>
            <w:shd w:val="clear" w:color="auto" w:fill="1F3864"/>
            <w:tcMar>
              <w:top w:w="80" w:type="dxa"/>
              <w:left w:w="100" w:type="dxa"/>
              <w:bottom w:w="80" w:type="dxa"/>
              <w:right w:w="100" w:type="dxa"/>
            </w:tcMar>
          </w:tcPr>
          <w:p w:rsidRPr="0006279B" w:rsidR="002353C0" w:rsidP="0006279B" w:rsidRDefault="002353C0" w14:paraId="58677C23" w14:textId="77777777">
            <w:pPr>
              <w:spacing w:line="360" w:lineRule="auto"/>
              <w:jc w:val="center"/>
              <w:rPr>
                <w:rFonts w:ascii="Arial" w:hAnsi="Arial" w:cs="Arial"/>
                <w:sz w:val="24"/>
                <w:szCs w:val="24"/>
              </w:rPr>
            </w:pPr>
            <w:r w:rsidRPr="0006279B">
              <w:rPr>
                <w:rFonts w:ascii="Arial" w:hAnsi="Arial" w:cs="Arial"/>
                <w:b/>
                <w:bCs/>
                <w:color w:val="FFFFFF"/>
                <w:sz w:val="24"/>
                <w:szCs w:val="24"/>
              </w:rPr>
              <w:t>Decision</w:t>
            </w:r>
          </w:p>
        </w:tc>
      </w:tr>
      <w:tr w:rsidRPr="0006279B" w:rsidR="002353C0" w:rsidTr="00F44A54" w14:paraId="5E58C01F" w14:textId="77777777">
        <w:tblPrEx>
          <w:tblCellMar>
            <w:top w:w="0" w:type="dxa"/>
            <w:bottom w:w="0" w:type="dxa"/>
          </w:tblCellMar>
        </w:tblPrEx>
        <w:tc>
          <w:tcPr>
            <w:tcW w:w="900" w:type="dxa"/>
            <w:shd w:val="clear" w:color="auto" w:fill="FFFFFF"/>
            <w:tcMar>
              <w:top w:w="80" w:type="dxa"/>
              <w:left w:w="100" w:type="dxa"/>
              <w:bottom w:w="80" w:type="dxa"/>
              <w:right w:w="100" w:type="dxa"/>
            </w:tcMar>
          </w:tcPr>
          <w:p w:rsidRPr="0006279B" w:rsidR="002353C0" w:rsidP="0006279B" w:rsidRDefault="002353C0" w14:paraId="73E32F53" w14:textId="77777777">
            <w:pPr>
              <w:spacing w:line="360" w:lineRule="auto"/>
              <w:rPr>
                <w:rFonts w:ascii="Arial" w:hAnsi="Arial" w:cs="Arial"/>
                <w:sz w:val="24"/>
                <w:szCs w:val="24"/>
              </w:rPr>
            </w:pPr>
            <w:r w:rsidRPr="0006279B">
              <w:rPr>
                <w:rFonts w:ascii="Arial" w:hAnsi="Arial" w:cs="Arial"/>
                <w:color w:val="000000"/>
                <w:sz w:val="24"/>
                <w:szCs w:val="24"/>
              </w:rPr>
              <w:t>A</w:t>
            </w:r>
          </w:p>
        </w:tc>
        <w:tc>
          <w:tcPr>
            <w:tcW w:w="2400" w:type="dxa"/>
            <w:shd w:val="clear" w:color="auto" w:fill="FFFFFF"/>
            <w:tcMar>
              <w:top w:w="80" w:type="dxa"/>
              <w:left w:w="100" w:type="dxa"/>
              <w:bottom w:w="80" w:type="dxa"/>
              <w:right w:w="100" w:type="dxa"/>
            </w:tcMar>
          </w:tcPr>
          <w:p w:rsidRPr="0006279B" w:rsidR="002353C0" w:rsidP="0006279B" w:rsidRDefault="002353C0" w14:paraId="6D9B781D" w14:textId="77777777">
            <w:pPr>
              <w:spacing w:line="360" w:lineRule="auto"/>
              <w:jc w:val="center"/>
              <w:rPr>
                <w:rFonts w:ascii="Arial" w:hAnsi="Arial" w:cs="Arial"/>
                <w:sz w:val="24"/>
                <w:szCs w:val="24"/>
              </w:rPr>
            </w:pPr>
            <w:r w:rsidRPr="0006279B">
              <w:rPr>
                <w:rFonts w:ascii="Arial" w:hAnsi="Arial" w:cs="Arial"/>
                <w:color w:val="000000"/>
                <w:sz w:val="24"/>
                <w:szCs w:val="24"/>
              </w:rPr>
              <w:t>£43.45m</w:t>
            </w:r>
          </w:p>
        </w:tc>
        <w:tc>
          <w:tcPr>
            <w:tcW w:w="2000" w:type="dxa"/>
            <w:shd w:val="clear" w:color="auto" w:fill="FFFFFF"/>
            <w:tcMar>
              <w:top w:w="80" w:type="dxa"/>
              <w:left w:w="100" w:type="dxa"/>
              <w:bottom w:w="80" w:type="dxa"/>
              <w:right w:w="100" w:type="dxa"/>
            </w:tcMar>
          </w:tcPr>
          <w:p w:rsidRPr="0006279B" w:rsidR="002353C0" w:rsidP="0006279B" w:rsidRDefault="002353C0" w14:paraId="005BDF35" w14:textId="77777777">
            <w:pPr>
              <w:spacing w:line="360" w:lineRule="auto"/>
              <w:jc w:val="center"/>
              <w:rPr>
                <w:rFonts w:ascii="Arial" w:hAnsi="Arial" w:cs="Arial"/>
                <w:sz w:val="24"/>
                <w:szCs w:val="24"/>
              </w:rPr>
            </w:pPr>
            <w:r w:rsidRPr="0006279B">
              <w:rPr>
                <w:rFonts w:ascii="Arial" w:hAnsi="Arial" w:cs="Arial"/>
                <w:color w:val="000000"/>
                <w:sz w:val="24"/>
                <w:szCs w:val="24"/>
              </w:rPr>
              <w:t>£50m</w:t>
            </w:r>
          </w:p>
        </w:tc>
        <w:tc>
          <w:tcPr>
            <w:tcW w:w="1400" w:type="dxa"/>
            <w:shd w:val="clear" w:color="auto" w:fill="FFFFFF"/>
            <w:tcMar>
              <w:top w:w="80" w:type="dxa"/>
              <w:left w:w="100" w:type="dxa"/>
              <w:bottom w:w="80" w:type="dxa"/>
              <w:right w:w="100" w:type="dxa"/>
            </w:tcMar>
          </w:tcPr>
          <w:p w:rsidRPr="0006279B" w:rsidR="002353C0" w:rsidP="0006279B" w:rsidRDefault="002353C0" w14:paraId="5F8EB2AB" w14:textId="77777777">
            <w:pPr>
              <w:spacing w:line="360" w:lineRule="auto"/>
              <w:jc w:val="center"/>
              <w:rPr>
                <w:rFonts w:ascii="Arial" w:hAnsi="Arial" w:cs="Arial"/>
                <w:sz w:val="24"/>
                <w:szCs w:val="24"/>
              </w:rPr>
            </w:pPr>
            <w:r w:rsidRPr="0006279B">
              <w:rPr>
                <w:rFonts w:ascii="Arial" w:hAnsi="Arial" w:cs="Arial"/>
                <w:color w:val="000000"/>
                <w:sz w:val="24"/>
                <w:szCs w:val="24"/>
              </w:rPr>
              <w:t>-£6.55m</w:t>
            </w:r>
          </w:p>
        </w:tc>
        <w:tc>
          <w:tcPr>
            <w:tcW w:w="1400" w:type="dxa"/>
            <w:shd w:val="clear" w:color="auto" w:fill="FFFFFF"/>
            <w:tcMar>
              <w:top w:w="80" w:type="dxa"/>
              <w:left w:w="100" w:type="dxa"/>
              <w:bottom w:w="80" w:type="dxa"/>
              <w:right w:w="100" w:type="dxa"/>
            </w:tcMar>
          </w:tcPr>
          <w:p w:rsidRPr="0006279B" w:rsidR="002353C0" w:rsidP="0006279B" w:rsidRDefault="002353C0" w14:paraId="00692FBB" w14:textId="77777777">
            <w:pPr>
              <w:spacing w:line="360" w:lineRule="auto"/>
              <w:jc w:val="center"/>
              <w:rPr>
                <w:rFonts w:ascii="Arial" w:hAnsi="Arial" w:cs="Arial"/>
                <w:sz w:val="24"/>
                <w:szCs w:val="24"/>
              </w:rPr>
            </w:pPr>
            <w:r w:rsidRPr="0006279B">
              <w:rPr>
                <w:rFonts w:ascii="Arial" w:hAnsi="Arial" w:cs="Arial"/>
                <w:color w:val="000000"/>
                <w:sz w:val="24"/>
                <w:szCs w:val="24"/>
              </w:rPr>
              <w:t>Reject</w:t>
            </w:r>
          </w:p>
        </w:tc>
      </w:tr>
      <w:tr w:rsidRPr="0006279B" w:rsidR="002353C0" w:rsidTr="00F44A54" w14:paraId="0677BC05" w14:textId="77777777">
        <w:tblPrEx>
          <w:tblCellMar>
            <w:top w:w="0" w:type="dxa"/>
            <w:bottom w:w="0" w:type="dxa"/>
          </w:tblCellMar>
        </w:tblPrEx>
        <w:tc>
          <w:tcPr>
            <w:tcW w:w="900" w:type="dxa"/>
            <w:shd w:val="clear" w:color="auto" w:fill="F2F2F2"/>
            <w:tcMar>
              <w:top w:w="80" w:type="dxa"/>
              <w:left w:w="100" w:type="dxa"/>
              <w:bottom w:w="80" w:type="dxa"/>
              <w:right w:w="100" w:type="dxa"/>
            </w:tcMar>
          </w:tcPr>
          <w:p w:rsidRPr="0006279B" w:rsidR="002353C0" w:rsidP="0006279B" w:rsidRDefault="002353C0" w14:paraId="0DCF3F08" w14:textId="77777777">
            <w:pPr>
              <w:spacing w:line="360" w:lineRule="auto"/>
              <w:rPr>
                <w:rFonts w:ascii="Arial" w:hAnsi="Arial" w:cs="Arial"/>
                <w:sz w:val="24"/>
                <w:szCs w:val="24"/>
              </w:rPr>
            </w:pPr>
            <w:r w:rsidRPr="0006279B">
              <w:rPr>
                <w:rFonts w:ascii="Arial" w:hAnsi="Arial" w:cs="Arial"/>
                <w:color w:val="000000"/>
                <w:sz w:val="24"/>
                <w:szCs w:val="24"/>
              </w:rPr>
              <w:t>B</w:t>
            </w:r>
          </w:p>
        </w:tc>
        <w:tc>
          <w:tcPr>
            <w:tcW w:w="2400" w:type="dxa"/>
            <w:shd w:val="clear" w:color="auto" w:fill="F2F2F2"/>
            <w:tcMar>
              <w:top w:w="80" w:type="dxa"/>
              <w:left w:w="100" w:type="dxa"/>
              <w:bottom w:w="80" w:type="dxa"/>
              <w:right w:w="100" w:type="dxa"/>
            </w:tcMar>
          </w:tcPr>
          <w:p w:rsidRPr="0006279B" w:rsidR="002353C0" w:rsidP="0006279B" w:rsidRDefault="002353C0" w14:paraId="62B1C8A2" w14:textId="77777777">
            <w:pPr>
              <w:spacing w:line="360" w:lineRule="auto"/>
              <w:jc w:val="center"/>
              <w:rPr>
                <w:rFonts w:ascii="Arial" w:hAnsi="Arial" w:cs="Arial"/>
                <w:sz w:val="24"/>
                <w:szCs w:val="24"/>
              </w:rPr>
            </w:pPr>
            <w:r w:rsidRPr="0006279B">
              <w:rPr>
                <w:rFonts w:ascii="Arial" w:hAnsi="Arial" w:cs="Arial"/>
                <w:color w:val="000000"/>
                <w:sz w:val="24"/>
                <w:szCs w:val="24"/>
              </w:rPr>
              <w:t>£43.92m</w:t>
            </w:r>
          </w:p>
        </w:tc>
        <w:tc>
          <w:tcPr>
            <w:tcW w:w="2000" w:type="dxa"/>
            <w:shd w:val="clear" w:color="auto" w:fill="F2F2F2"/>
            <w:tcMar>
              <w:top w:w="80" w:type="dxa"/>
              <w:left w:w="100" w:type="dxa"/>
              <w:bottom w:w="80" w:type="dxa"/>
              <w:right w:w="100" w:type="dxa"/>
            </w:tcMar>
          </w:tcPr>
          <w:p w:rsidRPr="0006279B" w:rsidR="002353C0" w:rsidP="0006279B" w:rsidRDefault="002353C0" w14:paraId="596AC791" w14:textId="77777777">
            <w:pPr>
              <w:spacing w:line="360" w:lineRule="auto"/>
              <w:jc w:val="center"/>
              <w:rPr>
                <w:rFonts w:ascii="Arial" w:hAnsi="Arial" w:cs="Arial"/>
                <w:sz w:val="24"/>
                <w:szCs w:val="24"/>
              </w:rPr>
            </w:pPr>
            <w:r w:rsidRPr="0006279B">
              <w:rPr>
                <w:rFonts w:ascii="Arial" w:hAnsi="Arial" w:cs="Arial"/>
                <w:color w:val="000000"/>
                <w:sz w:val="24"/>
                <w:szCs w:val="24"/>
              </w:rPr>
              <w:t>£50m</w:t>
            </w:r>
          </w:p>
        </w:tc>
        <w:tc>
          <w:tcPr>
            <w:tcW w:w="1400" w:type="dxa"/>
            <w:shd w:val="clear" w:color="auto" w:fill="F2F2F2"/>
            <w:tcMar>
              <w:top w:w="80" w:type="dxa"/>
              <w:left w:w="100" w:type="dxa"/>
              <w:bottom w:w="80" w:type="dxa"/>
              <w:right w:w="100" w:type="dxa"/>
            </w:tcMar>
          </w:tcPr>
          <w:p w:rsidRPr="0006279B" w:rsidR="002353C0" w:rsidP="0006279B" w:rsidRDefault="002353C0" w14:paraId="7076E1E9" w14:textId="77777777">
            <w:pPr>
              <w:spacing w:line="360" w:lineRule="auto"/>
              <w:jc w:val="center"/>
              <w:rPr>
                <w:rFonts w:ascii="Arial" w:hAnsi="Arial" w:cs="Arial"/>
                <w:sz w:val="24"/>
                <w:szCs w:val="24"/>
              </w:rPr>
            </w:pPr>
            <w:r w:rsidRPr="0006279B">
              <w:rPr>
                <w:rFonts w:ascii="Arial" w:hAnsi="Arial" w:cs="Arial"/>
                <w:color w:val="000000"/>
                <w:sz w:val="24"/>
                <w:szCs w:val="24"/>
              </w:rPr>
              <w:t>-£6.08m</w:t>
            </w:r>
          </w:p>
        </w:tc>
        <w:tc>
          <w:tcPr>
            <w:tcW w:w="1400" w:type="dxa"/>
            <w:shd w:val="clear" w:color="auto" w:fill="F2F2F2"/>
            <w:tcMar>
              <w:top w:w="80" w:type="dxa"/>
              <w:left w:w="100" w:type="dxa"/>
              <w:bottom w:w="80" w:type="dxa"/>
              <w:right w:w="100" w:type="dxa"/>
            </w:tcMar>
          </w:tcPr>
          <w:p w:rsidRPr="0006279B" w:rsidR="002353C0" w:rsidP="0006279B" w:rsidRDefault="002353C0" w14:paraId="1BC5987D" w14:textId="77777777">
            <w:pPr>
              <w:spacing w:line="360" w:lineRule="auto"/>
              <w:jc w:val="center"/>
              <w:rPr>
                <w:rFonts w:ascii="Arial" w:hAnsi="Arial" w:cs="Arial"/>
                <w:sz w:val="24"/>
                <w:szCs w:val="24"/>
              </w:rPr>
            </w:pPr>
            <w:r w:rsidRPr="0006279B">
              <w:rPr>
                <w:rFonts w:ascii="Arial" w:hAnsi="Arial" w:cs="Arial"/>
                <w:color w:val="000000"/>
                <w:sz w:val="24"/>
                <w:szCs w:val="24"/>
              </w:rPr>
              <w:t>Reject</w:t>
            </w:r>
          </w:p>
        </w:tc>
      </w:tr>
      <w:tr w:rsidRPr="0006279B" w:rsidR="002353C0" w:rsidTr="00F44A54" w14:paraId="31E56FF9" w14:textId="77777777">
        <w:tblPrEx>
          <w:tblCellMar>
            <w:top w:w="0" w:type="dxa"/>
            <w:bottom w:w="0" w:type="dxa"/>
          </w:tblCellMar>
        </w:tblPrEx>
        <w:tc>
          <w:tcPr>
            <w:tcW w:w="900" w:type="dxa"/>
            <w:shd w:val="clear" w:color="auto" w:fill="FFFFFF"/>
            <w:tcMar>
              <w:top w:w="80" w:type="dxa"/>
              <w:left w:w="100" w:type="dxa"/>
              <w:bottom w:w="80" w:type="dxa"/>
              <w:right w:w="100" w:type="dxa"/>
            </w:tcMar>
          </w:tcPr>
          <w:p w:rsidRPr="0006279B" w:rsidR="002353C0" w:rsidP="0006279B" w:rsidRDefault="002353C0" w14:paraId="3A74BFAB" w14:textId="77777777">
            <w:pPr>
              <w:spacing w:line="360" w:lineRule="auto"/>
              <w:rPr>
                <w:rFonts w:ascii="Arial" w:hAnsi="Arial" w:cs="Arial"/>
                <w:sz w:val="24"/>
                <w:szCs w:val="24"/>
              </w:rPr>
            </w:pPr>
            <w:r w:rsidRPr="0006279B">
              <w:rPr>
                <w:rFonts w:ascii="Arial" w:hAnsi="Arial" w:cs="Arial"/>
                <w:color w:val="000000"/>
                <w:sz w:val="24"/>
                <w:szCs w:val="24"/>
              </w:rPr>
              <w:t>C</w:t>
            </w:r>
          </w:p>
        </w:tc>
        <w:tc>
          <w:tcPr>
            <w:tcW w:w="2400" w:type="dxa"/>
            <w:shd w:val="clear" w:color="auto" w:fill="FFFFFF"/>
            <w:tcMar>
              <w:top w:w="80" w:type="dxa"/>
              <w:left w:w="100" w:type="dxa"/>
              <w:bottom w:w="80" w:type="dxa"/>
              <w:right w:w="100" w:type="dxa"/>
            </w:tcMar>
          </w:tcPr>
          <w:p w:rsidRPr="0006279B" w:rsidR="002353C0" w:rsidP="0006279B" w:rsidRDefault="002353C0" w14:paraId="2BE9D146" w14:textId="77777777">
            <w:pPr>
              <w:spacing w:line="360" w:lineRule="auto"/>
              <w:jc w:val="center"/>
              <w:rPr>
                <w:rFonts w:ascii="Arial" w:hAnsi="Arial" w:cs="Arial"/>
                <w:sz w:val="24"/>
                <w:szCs w:val="24"/>
              </w:rPr>
            </w:pPr>
            <w:r w:rsidRPr="0006279B">
              <w:rPr>
                <w:rFonts w:ascii="Arial" w:hAnsi="Arial" w:cs="Arial"/>
                <w:color w:val="000000"/>
                <w:sz w:val="24"/>
                <w:szCs w:val="24"/>
              </w:rPr>
              <w:t>£50.86m</w:t>
            </w:r>
          </w:p>
        </w:tc>
        <w:tc>
          <w:tcPr>
            <w:tcW w:w="2000" w:type="dxa"/>
            <w:shd w:val="clear" w:color="auto" w:fill="FFFFFF"/>
            <w:tcMar>
              <w:top w:w="80" w:type="dxa"/>
              <w:left w:w="100" w:type="dxa"/>
              <w:bottom w:w="80" w:type="dxa"/>
              <w:right w:w="100" w:type="dxa"/>
            </w:tcMar>
          </w:tcPr>
          <w:p w:rsidRPr="0006279B" w:rsidR="002353C0" w:rsidP="0006279B" w:rsidRDefault="002353C0" w14:paraId="440E2F37" w14:textId="77777777">
            <w:pPr>
              <w:spacing w:line="360" w:lineRule="auto"/>
              <w:jc w:val="center"/>
              <w:rPr>
                <w:rFonts w:ascii="Arial" w:hAnsi="Arial" w:cs="Arial"/>
                <w:sz w:val="24"/>
                <w:szCs w:val="24"/>
              </w:rPr>
            </w:pPr>
            <w:r w:rsidRPr="0006279B">
              <w:rPr>
                <w:rFonts w:ascii="Arial" w:hAnsi="Arial" w:cs="Arial"/>
                <w:color w:val="000000"/>
                <w:sz w:val="24"/>
                <w:szCs w:val="24"/>
              </w:rPr>
              <w:t>£50m</w:t>
            </w:r>
          </w:p>
        </w:tc>
        <w:tc>
          <w:tcPr>
            <w:tcW w:w="1400" w:type="dxa"/>
            <w:shd w:val="clear" w:color="auto" w:fill="FFFFFF"/>
            <w:tcMar>
              <w:top w:w="80" w:type="dxa"/>
              <w:left w:w="100" w:type="dxa"/>
              <w:bottom w:w="80" w:type="dxa"/>
              <w:right w:w="100" w:type="dxa"/>
            </w:tcMar>
          </w:tcPr>
          <w:p w:rsidRPr="0006279B" w:rsidR="002353C0" w:rsidP="0006279B" w:rsidRDefault="002353C0" w14:paraId="6F362114" w14:textId="77777777">
            <w:pPr>
              <w:spacing w:line="360" w:lineRule="auto"/>
              <w:jc w:val="center"/>
              <w:rPr>
                <w:rFonts w:ascii="Arial" w:hAnsi="Arial" w:cs="Arial"/>
                <w:sz w:val="24"/>
                <w:szCs w:val="24"/>
              </w:rPr>
            </w:pPr>
            <w:r w:rsidRPr="0006279B">
              <w:rPr>
                <w:rFonts w:ascii="Arial" w:hAnsi="Arial" w:cs="Arial"/>
                <w:color w:val="000000"/>
                <w:sz w:val="24"/>
                <w:szCs w:val="24"/>
              </w:rPr>
              <w:t>+£0.86m</w:t>
            </w:r>
          </w:p>
        </w:tc>
        <w:tc>
          <w:tcPr>
            <w:tcW w:w="1400" w:type="dxa"/>
            <w:shd w:val="clear" w:color="auto" w:fill="FFFFFF"/>
            <w:tcMar>
              <w:top w:w="80" w:type="dxa"/>
              <w:left w:w="100" w:type="dxa"/>
              <w:bottom w:w="80" w:type="dxa"/>
              <w:right w:w="100" w:type="dxa"/>
            </w:tcMar>
          </w:tcPr>
          <w:p w:rsidRPr="0006279B" w:rsidR="002353C0" w:rsidP="0006279B" w:rsidRDefault="002353C0" w14:paraId="0A9FDCC7" w14:textId="77777777">
            <w:pPr>
              <w:spacing w:line="360" w:lineRule="auto"/>
              <w:jc w:val="center"/>
              <w:rPr>
                <w:rFonts w:ascii="Arial" w:hAnsi="Arial" w:cs="Arial"/>
                <w:sz w:val="24"/>
                <w:szCs w:val="24"/>
              </w:rPr>
            </w:pPr>
            <w:r w:rsidRPr="0006279B">
              <w:rPr>
                <w:rFonts w:ascii="Arial" w:hAnsi="Arial" w:cs="Arial"/>
                <w:color w:val="000000"/>
                <w:sz w:val="24"/>
                <w:szCs w:val="24"/>
              </w:rPr>
              <w:t>Accept</w:t>
            </w:r>
          </w:p>
        </w:tc>
      </w:tr>
    </w:tbl>
    <w:p w:rsidRPr="0006279B" w:rsidR="002353C0" w:rsidP="0006279B" w:rsidRDefault="002353C0" w14:paraId="4A056757" w14:textId="77777777">
      <w:pPr>
        <w:spacing w:after="300" w:line="360" w:lineRule="auto"/>
        <w:jc w:val="center"/>
        <w:rPr>
          <w:rFonts w:ascii="Arial" w:hAnsi="Arial" w:cs="Arial"/>
          <w:sz w:val="24"/>
          <w:szCs w:val="24"/>
        </w:rPr>
      </w:pPr>
      <w:r w:rsidRPr="0006279B">
        <w:rPr>
          <w:rFonts w:ascii="Arial" w:hAnsi="Arial" w:cs="Arial"/>
          <w:i/>
          <w:iCs/>
          <w:color w:val="595959"/>
          <w:sz w:val="24"/>
          <w:szCs w:val="24"/>
        </w:rPr>
        <w:t>Table 4: Net Present Value calculations (discount factors: 0.9259, 0.8573, 0.7938, 0.7350, 0.6806)</w:t>
      </w:r>
    </w:p>
    <w:p w:rsidRPr="0006279B" w:rsidR="002353C0" w:rsidP="0006279B" w:rsidRDefault="002353C0" w14:paraId="4C5A642C" w14:textId="77777777">
      <w:pPr>
        <w:spacing w:before="120" w:after="60" w:line="360" w:lineRule="auto"/>
        <w:jc w:val="center"/>
        <w:rPr>
          <w:rFonts w:ascii="Arial" w:hAnsi="Arial" w:cs="Arial"/>
          <w:sz w:val="24"/>
          <w:szCs w:val="24"/>
        </w:rPr>
      </w:pPr>
      <w:r w:rsidRPr="0006279B">
        <w:rPr>
          <w:rFonts w:ascii="Arial" w:hAnsi="Arial" w:cs="Arial"/>
          <w:noProof/>
          <w:sz w:val="24"/>
          <w:szCs w:val="24"/>
        </w:rPr>
        <w:drawing>
          <wp:inline distT="0" distB="0" distL="0" distR="0" wp14:anchorId="179831EC" wp14:editId="44BFE614">
            <wp:extent cx="5334000" cy="2990850"/>
            <wp:effectExtent l="0" t="0" r="0" b="0"/>
            <wp:docPr id="592505591" name="Picture 5925055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334000" cy="2990850"/>
                    </a:xfrm>
                    <a:prstGeom prst="rect">
                      <a:avLst/>
                    </a:prstGeom>
                  </pic:spPr>
                </pic:pic>
              </a:graphicData>
            </a:graphic>
          </wp:inline>
        </w:drawing>
      </w:r>
    </w:p>
    <w:p w:rsidRPr="0006279B" w:rsidR="002353C0" w:rsidP="0006279B" w:rsidRDefault="002353C0" w14:paraId="42C1D795" w14:textId="77777777">
      <w:pPr>
        <w:spacing w:after="300" w:line="360" w:lineRule="auto"/>
        <w:jc w:val="center"/>
        <w:rPr>
          <w:rFonts w:ascii="Arial" w:hAnsi="Arial" w:cs="Arial"/>
          <w:sz w:val="24"/>
          <w:szCs w:val="24"/>
        </w:rPr>
      </w:pPr>
      <w:r w:rsidRPr="0006279B">
        <w:rPr>
          <w:rFonts w:ascii="Arial" w:hAnsi="Arial" w:cs="Arial"/>
          <w:i/>
          <w:iCs/>
          <w:color w:val="595959"/>
          <w:sz w:val="24"/>
          <w:szCs w:val="24"/>
        </w:rPr>
        <w:t>Figure 3: Net Present Value comparison — only Project C generates positive value at the 8% cost of capital.</w:t>
      </w:r>
    </w:p>
    <w:p w:rsidRPr="00032BA1" w:rsidR="002353C0" w:rsidP="00032BA1" w:rsidRDefault="002353C0" w14:paraId="217842AD" w14:textId="77777777">
      <w:pPr>
        <w:pStyle w:val="Heading2"/>
      </w:pPr>
      <w:bookmarkStart w:name="_Toc236251047" w:id="30"/>
      <w:r w:rsidRPr="00032BA1">
        <w:t>4. Profitability Index (PI)</w:t>
      </w:r>
      <w:bookmarkEnd w:id="30"/>
    </w:p>
    <w:p w:rsidRPr="0006279B" w:rsidR="002353C0" w:rsidP="0006279B" w:rsidRDefault="002353C0" w14:paraId="1DA2AEA2" w14:textId="77777777">
      <w:pPr>
        <w:spacing w:after="180" w:line="360" w:lineRule="auto"/>
        <w:jc w:val="both"/>
        <w:rPr>
          <w:rFonts w:ascii="Arial" w:hAnsi="Arial" w:cs="Arial"/>
          <w:sz w:val="24"/>
          <w:szCs w:val="24"/>
        </w:rPr>
      </w:pPr>
      <w:r w:rsidRPr="0006279B">
        <w:rPr>
          <w:rFonts w:ascii="Arial" w:hAnsi="Arial" w:cs="Arial"/>
          <w:sz w:val="24"/>
          <w:szCs w:val="24"/>
        </w:rPr>
        <w:t>The Profitability Index expresses the present value of future cash inflows per £1 invested (PV of inflows ÷ initial investment). A PI above 1.0 indicates value creation; a PI below 1.0 indicates value destruction. This measure is especially useful for ranking projects under capital rationing.</w:t>
      </w:r>
    </w:p>
    <w:tbl>
      <w:tblPr>
        <w:tblW w:w="81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000" w:firstRow="0" w:lastRow="0" w:firstColumn="0" w:lastColumn="0" w:noHBand="0" w:noVBand="0"/>
      </w:tblPr>
      <w:tblGrid>
        <w:gridCol w:w="1015"/>
        <w:gridCol w:w="2322"/>
        <w:gridCol w:w="1967"/>
        <w:gridCol w:w="1595"/>
        <w:gridCol w:w="1201"/>
      </w:tblGrid>
      <w:tr w:rsidRPr="0006279B" w:rsidR="002353C0" w:rsidTr="00F44A54" w14:paraId="4A2DF449" w14:textId="77777777">
        <w:tblPrEx>
          <w:tblCellMar>
            <w:top w:w="0" w:type="dxa"/>
            <w:bottom w:w="0" w:type="dxa"/>
          </w:tblCellMar>
        </w:tblPrEx>
        <w:trPr>
          <w:tblHeader/>
        </w:trPr>
        <w:tc>
          <w:tcPr>
            <w:tcW w:w="900" w:type="dxa"/>
            <w:shd w:val="clear" w:color="auto" w:fill="1F3864"/>
            <w:tcMar>
              <w:top w:w="80" w:type="dxa"/>
              <w:left w:w="100" w:type="dxa"/>
              <w:bottom w:w="80" w:type="dxa"/>
              <w:right w:w="100" w:type="dxa"/>
            </w:tcMar>
          </w:tcPr>
          <w:p w:rsidRPr="0006279B" w:rsidR="002353C0" w:rsidP="0006279B" w:rsidRDefault="002353C0" w14:paraId="051230C8" w14:textId="77777777">
            <w:pPr>
              <w:spacing w:line="360" w:lineRule="auto"/>
              <w:jc w:val="center"/>
              <w:rPr>
                <w:rFonts w:ascii="Arial" w:hAnsi="Arial" w:cs="Arial"/>
                <w:sz w:val="24"/>
                <w:szCs w:val="24"/>
              </w:rPr>
            </w:pPr>
            <w:r w:rsidRPr="0006279B">
              <w:rPr>
                <w:rFonts w:ascii="Arial" w:hAnsi="Arial" w:cs="Arial"/>
                <w:b/>
                <w:bCs/>
                <w:color w:val="FFFFFF"/>
                <w:sz w:val="24"/>
                <w:szCs w:val="24"/>
              </w:rPr>
              <w:t>Project</w:t>
            </w:r>
          </w:p>
        </w:tc>
        <w:tc>
          <w:tcPr>
            <w:tcW w:w="2400" w:type="dxa"/>
            <w:shd w:val="clear" w:color="auto" w:fill="1F3864"/>
            <w:tcMar>
              <w:top w:w="80" w:type="dxa"/>
              <w:left w:w="100" w:type="dxa"/>
              <w:bottom w:w="80" w:type="dxa"/>
              <w:right w:w="100" w:type="dxa"/>
            </w:tcMar>
          </w:tcPr>
          <w:p w:rsidRPr="0006279B" w:rsidR="002353C0" w:rsidP="0006279B" w:rsidRDefault="002353C0" w14:paraId="25E6176A" w14:textId="77777777">
            <w:pPr>
              <w:spacing w:line="360" w:lineRule="auto"/>
              <w:jc w:val="center"/>
              <w:rPr>
                <w:rFonts w:ascii="Arial" w:hAnsi="Arial" w:cs="Arial"/>
                <w:sz w:val="24"/>
                <w:szCs w:val="24"/>
              </w:rPr>
            </w:pPr>
            <w:r w:rsidRPr="0006279B">
              <w:rPr>
                <w:rFonts w:ascii="Arial" w:hAnsi="Arial" w:cs="Arial"/>
                <w:b/>
                <w:bCs/>
                <w:color w:val="FFFFFF"/>
                <w:sz w:val="24"/>
                <w:szCs w:val="24"/>
              </w:rPr>
              <w:t>PV of Cash Inflows</w:t>
            </w:r>
          </w:p>
        </w:tc>
        <w:tc>
          <w:tcPr>
            <w:tcW w:w="2000" w:type="dxa"/>
            <w:shd w:val="clear" w:color="auto" w:fill="1F3864"/>
            <w:tcMar>
              <w:top w:w="80" w:type="dxa"/>
              <w:left w:w="100" w:type="dxa"/>
              <w:bottom w:w="80" w:type="dxa"/>
              <w:right w:w="100" w:type="dxa"/>
            </w:tcMar>
          </w:tcPr>
          <w:p w:rsidRPr="0006279B" w:rsidR="002353C0" w:rsidP="0006279B" w:rsidRDefault="002353C0" w14:paraId="071CFE2D" w14:textId="77777777">
            <w:pPr>
              <w:spacing w:line="360" w:lineRule="auto"/>
              <w:jc w:val="center"/>
              <w:rPr>
                <w:rFonts w:ascii="Arial" w:hAnsi="Arial" w:cs="Arial"/>
                <w:sz w:val="24"/>
                <w:szCs w:val="24"/>
              </w:rPr>
            </w:pPr>
            <w:r w:rsidRPr="0006279B">
              <w:rPr>
                <w:rFonts w:ascii="Arial" w:hAnsi="Arial" w:cs="Arial"/>
                <w:b/>
                <w:bCs/>
                <w:color w:val="FFFFFF"/>
                <w:sz w:val="24"/>
                <w:szCs w:val="24"/>
              </w:rPr>
              <w:t>Initial Investment</w:t>
            </w:r>
          </w:p>
        </w:tc>
        <w:tc>
          <w:tcPr>
            <w:tcW w:w="1600" w:type="dxa"/>
            <w:shd w:val="clear" w:color="auto" w:fill="1F3864"/>
            <w:tcMar>
              <w:top w:w="80" w:type="dxa"/>
              <w:left w:w="100" w:type="dxa"/>
              <w:bottom w:w="80" w:type="dxa"/>
              <w:right w:w="100" w:type="dxa"/>
            </w:tcMar>
          </w:tcPr>
          <w:p w:rsidRPr="0006279B" w:rsidR="002353C0" w:rsidP="0006279B" w:rsidRDefault="002353C0" w14:paraId="7E4FAE74" w14:textId="77777777">
            <w:pPr>
              <w:spacing w:line="360" w:lineRule="auto"/>
              <w:jc w:val="center"/>
              <w:rPr>
                <w:rFonts w:ascii="Arial" w:hAnsi="Arial" w:cs="Arial"/>
                <w:sz w:val="24"/>
                <w:szCs w:val="24"/>
              </w:rPr>
            </w:pPr>
            <w:r w:rsidRPr="0006279B">
              <w:rPr>
                <w:rFonts w:ascii="Arial" w:hAnsi="Arial" w:cs="Arial"/>
                <w:b/>
                <w:bCs/>
                <w:color w:val="FFFFFF"/>
                <w:sz w:val="24"/>
                <w:szCs w:val="24"/>
              </w:rPr>
              <w:t>Profitability Index</w:t>
            </w:r>
          </w:p>
        </w:tc>
        <w:tc>
          <w:tcPr>
            <w:tcW w:w="1200" w:type="dxa"/>
            <w:shd w:val="clear" w:color="auto" w:fill="1F3864"/>
            <w:tcMar>
              <w:top w:w="80" w:type="dxa"/>
              <w:left w:w="100" w:type="dxa"/>
              <w:bottom w:w="80" w:type="dxa"/>
              <w:right w:w="100" w:type="dxa"/>
            </w:tcMar>
          </w:tcPr>
          <w:p w:rsidRPr="0006279B" w:rsidR="002353C0" w:rsidP="0006279B" w:rsidRDefault="002353C0" w14:paraId="51E49B7D" w14:textId="77777777">
            <w:pPr>
              <w:spacing w:line="360" w:lineRule="auto"/>
              <w:jc w:val="center"/>
              <w:rPr>
                <w:rFonts w:ascii="Arial" w:hAnsi="Arial" w:cs="Arial"/>
                <w:sz w:val="24"/>
                <w:szCs w:val="24"/>
              </w:rPr>
            </w:pPr>
            <w:r w:rsidRPr="0006279B">
              <w:rPr>
                <w:rFonts w:ascii="Arial" w:hAnsi="Arial" w:cs="Arial"/>
                <w:b/>
                <w:bCs/>
                <w:color w:val="FFFFFF"/>
                <w:sz w:val="24"/>
                <w:szCs w:val="24"/>
              </w:rPr>
              <w:t>Decision</w:t>
            </w:r>
          </w:p>
        </w:tc>
      </w:tr>
      <w:tr w:rsidRPr="0006279B" w:rsidR="002353C0" w:rsidTr="00F44A54" w14:paraId="2C5AF38D" w14:textId="77777777">
        <w:tblPrEx>
          <w:tblCellMar>
            <w:top w:w="0" w:type="dxa"/>
            <w:bottom w:w="0" w:type="dxa"/>
          </w:tblCellMar>
        </w:tblPrEx>
        <w:tc>
          <w:tcPr>
            <w:tcW w:w="900" w:type="dxa"/>
            <w:shd w:val="clear" w:color="auto" w:fill="FFFFFF"/>
            <w:tcMar>
              <w:top w:w="80" w:type="dxa"/>
              <w:left w:w="100" w:type="dxa"/>
              <w:bottom w:w="80" w:type="dxa"/>
              <w:right w:w="100" w:type="dxa"/>
            </w:tcMar>
          </w:tcPr>
          <w:p w:rsidRPr="0006279B" w:rsidR="002353C0" w:rsidP="0006279B" w:rsidRDefault="002353C0" w14:paraId="6001613F" w14:textId="77777777">
            <w:pPr>
              <w:spacing w:line="360" w:lineRule="auto"/>
              <w:rPr>
                <w:rFonts w:ascii="Arial" w:hAnsi="Arial" w:cs="Arial"/>
                <w:sz w:val="24"/>
                <w:szCs w:val="24"/>
              </w:rPr>
            </w:pPr>
            <w:r w:rsidRPr="0006279B">
              <w:rPr>
                <w:rFonts w:ascii="Arial" w:hAnsi="Arial" w:cs="Arial"/>
                <w:color w:val="000000"/>
                <w:sz w:val="24"/>
                <w:szCs w:val="24"/>
              </w:rPr>
              <w:t>A</w:t>
            </w:r>
          </w:p>
        </w:tc>
        <w:tc>
          <w:tcPr>
            <w:tcW w:w="2400" w:type="dxa"/>
            <w:shd w:val="clear" w:color="auto" w:fill="FFFFFF"/>
            <w:tcMar>
              <w:top w:w="80" w:type="dxa"/>
              <w:left w:w="100" w:type="dxa"/>
              <w:bottom w:w="80" w:type="dxa"/>
              <w:right w:w="100" w:type="dxa"/>
            </w:tcMar>
          </w:tcPr>
          <w:p w:rsidRPr="0006279B" w:rsidR="002353C0" w:rsidP="0006279B" w:rsidRDefault="002353C0" w14:paraId="2FFC87BA" w14:textId="77777777">
            <w:pPr>
              <w:spacing w:line="360" w:lineRule="auto"/>
              <w:jc w:val="center"/>
              <w:rPr>
                <w:rFonts w:ascii="Arial" w:hAnsi="Arial" w:cs="Arial"/>
                <w:sz w:val="24"/>
                <w:szCs w:val="24"/>
              </w:rPr>
            </w:pPr>
            <w:r w:rsidRPr="0006279B">
              <w:rPr>
                <w:rFonts w:ascii="Arial" w:hAnsi="Arial" w:cs="Arial"/>
                <w:color w:val="000000"/>
                <w:sz w:val="24"/>
                <w:szCs w:val="24"/>
              </w:rPr>
              <w:t>£43.45m</w:t>
            </w:r>
          </w:p>
        </w:tc>
        <w:tc>
          <w:tcPr>
            <w:tcW w:w="2000" w:type="dxa"/>
            <w:shd w:val="clear" w:color="auto" w:fill="FFFFFF"/>
            <w:tcMar>
              <w:top w:w="80" w:type="dxa"/>
              <w:left w:w="100" w:type="dxa"/>
              <w:bottom w:w="80" w:type="dxa"/>
              <w:right w:w="100" w:type="dxa"/>
            </w:tcMar>
          </w:tcPr>
          <w:p w:rsidRPr="0006279B" w:rsidR="002353C0" w:rsidP="0006279B" w:rsidRDefault="002353C0" w14:paraId="05EFBC3F" w14:textId="77777777">
            <w:pPr>
              <w:spacing w:line="360" w:lineRule="auto"/>
              <w:jc w:val="center"/>
              <w:rPr>
                <w:rFonts w:ascii="Arial" w:hAnsi="Arial" w:cs="Arial"/>
                <w:sz w:val="24"/>
                <w:szCs w:val="24"/>
              </w:rPr>
            </w:pPr>
            <w:r w:rsidRPr="0006279B">
              <w:rPr>
                <w:rFonts w:ascii="Arial" w:hAnsi="Arial" w:cs="Arial"/>
                <w:color w:val="000000"/>
                <w:sz w:val="24"/>
                <w:szCs w:val="24"/>
              </w:rPr>
              <w:t>£50m</w:t>
            </w:r>
          </w:p>
        </w:tc>
        <w:tc>
          <w:tcPr>
            <w:tcW w:w="1600" w:type="dxa"/>
            <w:shd w:val="clear" w:color="auto" w:fill="FFFFFF"/>
            <w:tcMar>
              <w:top w:w="80" w:type="dxa"/>
              <w:left w:w="100" w:type="dxa"/>
              <w:bottom w:w="80" w:type="dxa"/>
              <w:right w:w="100" w:type="dxa"/>
            </w:tcMar>
          </w:tcPr>
          <w:p w:rsidRPr="0006279B" w:rsidR="002353C0" w:rsidP="0006279B" w:rsidRDefault="002353C0" w14:paraId="59156FE9" w14:textId="77777777">
            <w:pPr>
              <w:spacing w:line="360" w:lineRule="auto"/>
              <w:jc w:val="center"/>
              <w:rPr>
                <w:rFonts w:ascii="Arial" w:hAnsi="Arial" w:cs="Arial"/>
                <w:sz w:val="24"/>
                <w:szCs w:val="24"/>
              </w:rPr>
            </w:pPr>
            <w:r w:rsidRPr="0006279B">
              <w:rPr>
                <w:rFonts w:ascii="Arial" w:hAnsi="Arial" w:cs="Arial"/>
                <w:color w:val="000000"/>
                <w:sz w:val="24"/>
                <w:szCs w:val="24"/>
              </w:rPr>
              <w:t>0.869</w:t>
            </w:r>
          </w:p>
        </w:tc>
        <w:tc>
          <w:tcPr>
            <w:tcW w:w="1200" w:type="dxa"/>
            <w:shd w:val="clear" w:color="auto" w:fill="FFFFFF"/>
            <w:tcMar>
              <w:top w:w="80" w:type="dxa"/>
              <w:left w:w="100" w:type="dxa"/>
              <w:bottom w:w="80" w:type="dxa"/>
              <w:right w:w="100" w:type="dxa"/>
            </w:tcMar>
          </w:tcPr>
          <w:p w:rsidRPr="0006279B" w:rsidR="002353C0" w:rsidP="0006279B" w:rsidRDefault="002353C0" w14:paraId="2673323C" w14:textId="77777777">
            <w:pPr>
              <w:spacing w:line="360" w:lineRule="auto"/>
              <w:jc w:val="center"/>
              <w:rPr>
                <w:rFonts w:ascii="Arial" w:hAnsi="Arial" w:cs="Arial"/>
                <w:sz w:val="24"/>
                <w:szCs w:val="24"/>
              </w:rPr>
            </w:pPr>
            <w:r w:rsidRPr="0006279B">
              <w:rPr>
                <w:rFonts w:ascii="Arial" w:hAnsi="Arial" w:cs="Arial"/>
                <w:color w:val="000000"/>
                <w:sz w:val="24"/>
                <w:szCs w:val="24"/>
              </w:rPr>
              <w:t>Reject</w:t>
            </w:r>
          </w:p>
        </w:tc>
      </w:tr>
      <w:tr w:rsidRPr="0006279B" w:rsidR="002353C0" w:rsidTr="00F44A54" w14:paraId="4C7C8420" w14:textId="77777777">
        <w:tblPrEx>
          <w:tblCellMar>
            <w:top w:w="0" w:type="dxa"/>
            <w:bottom w:w="0" w:type="dxa"/>
          </w:tblCellMar>
        </w:tblPrEx>
        <w:tc>
          <w:tcPr>
            <w:tcW w:w="900" w:type="dxa"/>
            <w:shd w:val="clear" w:color="auto" w:fill="F2F2F2"/>
            <w:tcMar>
              <w:top w:w="80" w:type="dxa"/>
              <w:left w:w="100" w:type="dxa"/>
              <w:bottom w:w="80" w:type="dxa"/>
              <w:right w:w="100" w:type="dxa"/>
            </w:tcMar>
          </w:tcPr>
          <w:p w:rsidRPr="0006279B" w:rsidR="002353C0" w:rsidP="0006279B" w:rsidRDefault="002353C0" w14:paraId="383E3433" w14:textId="77777777">
            <w:pPr>
              <w:spacing w:line="360" w:lineRule="auto"/>
              <w:rPr>
                <w:rFonts w:ascii="Arial" w:hAnsi="Arial" w:cs="Arial"/>
                <w:sz w:val="24"/>
                <w:szCs w:val="24"/>
              </w:rPr>
            </w:pPr>
            <w:r w:rsidRPr="0006279B">
              <w:rPr>
                <w:rFonts w:ascii="Arial" w:hAnsi="Arial" w:cs="Arial"/>
                <w:color w:val="000000"/>
                <w:sz w:val="24"/>
                <w:szCs w:val="24"/>
              </w:rPr>
              <w:t>B</w:t>
            </w:r>
          </w:p>
        </w:tc>
        <w:tc>
          <w:tcPr>
            <w:tcW w:w="2400" w:type="dxa"/>
            <w:shd w:val="clear" w:color="auto" w:fill="F2F2F2"/>
            <w:tcMar>
              <w:top w:w="80" w:type="dxa"/>
              <w:left w:w="100" w:type="dxa"/>
              <w:bottom w:w="80" w:type="dxa"/>
              <w:right w:w="100" w:type="dxa"/>
            </w:tcMar>
          </w:tcPr>
          <w:p w:rsidRPr="0006279B" w:rsidR="002353C0" w:rsidP="0006279B" w:rsidRDefault="002353C0" w14:paraId="45656969" w14:textId="77777777">
            <w:pPr>
              <w:spacing w:line="360" w:lineRule="auto"/>
              <w:jc w:val="center"/>
              <w:rPr>
                <w:rFonts w:ascii="Arial" w:hAnsi="Arial" w:cs="Arial"/>
                <w:sz w:val="24"/>
                <w:szCs w:val="24"/>
              </w:rPr>
            </w:pPr>
            <w:r w:rsidRPr="0006279B">
              <w:rPr>
                <w:rFonts w:ascii="Arial" w:hAnsi="Arial" w:cs="Arial"/>
                <w:color w:val="000000"/>
                <w:sz w:val="24"/>
                <w:szCs w:val="24"/>
              </w:rPr>
              <w:t>£43.92m</w:t>
            </w:r>
          </w:p>
        </w:tc>
        <w:tc>
          <w:tcPr>
            <w:tcW w:w="2000" w:type="dxa"/>
            <w:shd w:val="clear" w:color="auto" w:fill="F2F2F2"/>
            <w:tcMar>
              <w:top w:w="80" w:type="dxa"/>
              <w:left w:w="100" w:type="dxa"/>
              <w:bottom w:w="80" w:type="dxa"/>
              <w:right w:w="100" w:type="dxa"/>
            </w:tcMar>
          </w:tcPr>
          <w:p w:rsidRPr="0006279B" w:rsidR="002353C0" w:rsidP="0006279B" w:rsidRDefault="002353C0" w14:paraId="5E89B5A9" w14:textId="77777777">
            <w:pPr>
              <w:spacing w:line="360" w:lineRule="auto"/>
              <w:jc w:val="center"/>
              <w:rPr>
                <w:rFonts w:ascii="Arial" w:hAnsi="Arial" w:cs="Arial"/>
                <w:sz w:val="24"/>
                <w:szCs w:val="24"/>
              </w:rPr>
            </w:pPr>
            <w:r w:rsidRPr="0006279B">
              <w:rPr>
                <w:rFonts w:ascii="Arial" w:hAnsi="Arial" w:cs="Arial"/>
                <w:color w:val="000000"/>
                <w:sz w:val="24"/>
                <w:szCs w:val="24"/>
              </w:rPr>
              <w:t>£50m</w:t>
            </w:r>
          </w:p>
        </w:tc>
        <w:tc>
          <w:tcPr>
            <w:tcW w:w="1600" w:type="dxa"/>
            <w:shd w:val="clear" w:color="auto" w:fill="F2F2F2"/>
            <w:tcMar>
              <w:top w:w="80" w:type="dxa"/>
              <w:left w:w="100" w:type="dxa"/>
              <w:bottom w:w="80" w:type="dxa"/>
              <w:right w:w="100" w:type="dxa"/>
            </w:tcMar>
          </w:tcPr>
          <w:p w:rsidRPr="0006279B" w:rsidR="002353C0" w:rsidP="0006279B" w:rsidRDefault="002353C0" w14:paraId="640B1066" w14:textId="77777777">
            <w:pPr>
              <w:spacing w:line="360" w:lineRule="auto"/>
              <w:jc w:val="center"/>
              <w:rPr>
                <w:rFonts w:ascii="Arial" w:hAnsi="Arial" w:cs="Arial"/>
                <w:sz w:val="24"/>
                <w:szCs w:val="24"/>
              </w:rPr>
            </w:pPr>
            <w:r w:rsidRPr="0006279B">
              <w:rPr>
                <w:rFonts w:ascii="Arial" w:hAnsi="Arial" w:cs="Arial"/>
                <w:color w:val="000000"/>
                <w:sz w:val="24"/>
                <w:szCs w:val="24"/>
              </w:rPr>
              <w:t>0.878</w:t>
            </w:r>
          </w:p>
        </w:tc>
        <w:tc>
          <w:tcPr>
            <w:tcW w:w="1200" w:type="dxa"/>
            <w:shd w:val="clear" w:color="auto" w:fill="F2F2F2"/>
            <w:tcMar>
              <w:top w:w="80" w:type="dxa"/>
              <w:left w:w="100" w:type="dxa"/>
              <w:bottom w:w="80" w:type="dxa"/>
              <w:right w:w="100" w:type="dxa"/>
            </w:tcMar>
          </w:tcPr>
          <w:p w:rsidRPr="0006279B" w:rsidR="002353C0" w:rsidP="0006279B" w:rsidRDefault="002353C0" w14:paraId="17810A80" w14:textId="77777777">
            <w:pPr>
              <w:spacing w:line="360" w:lineRule="auto"/>
              <w:jc w:val="center"/>
              <w:rPr>
                <w:rFonts w:ascii="Arial" w:hAnsi="Arial" w:cs="Arial"/>
                <w:sz w:val="24"/>
                <w:szCs w:val="24"/>
              </w:rPr>
            </w:pPr>
            <w:r w:rsidRPr="0006279B">
              <w:rPr>
                <w:rFonts w:ascii="Arial" w:hAnsi="Arial" w:cs="Arial"/>
                <w:color w:val="000000"/>
                <w:sz w:val="24"/>
                <w:szCs w:val="24"/>
              </w:rPr>
              <w:t>Reject</w:t>
            </w:r>
          </w:p>
        </w:tc>
      </w:tr>
      <w:tr w:rsidRPr="0006279B" w:rsidR="002353C0" w:rsidTr="00F44A54" w14:paraId="0E428BF9" w14:textId="77777777">
        <w:tblPrEx>
          <w:tblCellMar>
            <w:top w:w="0" w:type="dxa"/>
            <w:bottom w:w="0" w:type="dxa"/>
          </w:tblCellMar>
        </w:tblPrEx>
        <w:tc>
          <w:tcPr>
            <w:tcW w:w="900" w:type="dxa"/>
            <w:shd w:val="clear" w:color="auto" w:fill="FFFFFF"/>
            <w:tcMar>
              <w:top w:w="80" w:type="dxa"/>
              <w:left w:w="100" w:type="dxa"/>
              <w:bottom w:w="80" w:type="dxa"/>
              <w:right w:w="100" w:type="dxa"/>
            </w:tcMar>
          </w:tcPr>
          <w:p w:rsidRPr="0006279B" w:rsidR="002353C0" w:rsidP="0006279B" w:rsidRDefault="002353C0" w14:paraId="5FE59F3B" w14:textId="77777777">
            <w:pPr>
              <w:spacing w:line="360" w:lineRule="auto"/>
              <w:rPr>
                <w:rFonts w:ascii="Arial" w:hAnsi="Arial" w:cs="Arial"/>
                <w:sz w:val="24"/>
                <w:szCs w:val="24"/>
              </w:rPr>
            </w:pPr>
            <w:r w:rsidRPr="0006279B">
              <w:rPr>
                <w:rFonts w:ascii="Arial" w:hAnsi="Arial" w:cs="Arial"/>
                <w:color w:val="000000"/>
                <w:sz w:val="24"/>
                <w:szCs w:val="24"/>
              </w:rPr>
              <w:t>C</w:t>
            </w:r>
          </w:p>
        </w:tc>
        <w:tc>
          <w:tcPr>
            <w:tcW w:w="2400" w:type="dxa"/>
            <w:shd w:val="clear" w:color="auto" w:fill="FFFFFF"/>
            <w:tcMar>
              <w:top w:w="80" w:type="dxa"/>
              <w:left w:w="100" w:type="dxa"/>
              <w:bottom w:w="80" w:type="dxa"/>
              <w:right w:w="100" w:type="dxa"/>
            </w:tcMar>
          </w:tcPr>
          <w:p w:rsidRPr="0006279B" w:rsidR="002353C0" w:rsidP="0006279B" w:rsidRDefault="002353C0" w14:paraId="071A91F3" w14:textId="77777777">
            <w:pPr>
              <w:spacing w:line="360" w:lineRule="auto"/>
              <w:jc w:val="center"/>
              <w:rPr>
                <w:rFonts w:ascii="Arial" w:hAnsi="Arial" w:cs="Arial"/>
                <w:sz w:val="24"/>
                <w:szCs w:val="24"/>
              </w:rPr>
            </w:pPr>
            <w:r w:rsidRPr="0006279B">
              <w:rPr>
                <w:rFonts w:ascii="Arial" w:hAnsi="Arial" w:cs="Arial"/>
                <w:color w:val="000000"/>
                <w:sz w:val="24"/>
                <w:szCs w:val="24"/>
              </w:rPr>
              <w:t>£50.86m</w:t>
            </w:r>
          </w:p>
        </w:tc>
        <w:tc>
          <w:tcPr>
            <w:tcW w:w="2000" w:type="dxa"/>
            <w:shd w:val="clear" w:color="auto" w:fill="FFFFFF"/>
            <w:tcMar>
              <w:top w:w="80" w:type="dxa"/>
              <w:left w:w="100" w:type="dxa"/>
              <w:bottom w:w="80" w:type="dxa"/>
              <w:right w:w="100" w:type="dxa"/>
            </w:tcMar>
          </w:tcPr>
          <w:p w:rsidRPr="0006279B" w:rsidR="002353C0" w:rsidP="0006279B" w:rsidRDefault="002353C0" w14:paraId="215DBFE4" w14:textId="77777777">
            <w:pPr>
              <w:spacing w:line="360" w:lineRule="auto"/>
              <w:jc w:val="center"/>
              <w:rPr>
                <w:rFonts w:ascii="Arial" w:hAnsi="Arial" w:cs="Arial"/>
                <w:sz w:val="24"/>
                <w:szCs w:val="24"/>
              </w:rPr>
            </w:pPr>
            <w:r w:rsidRPr="0006279B">
              <w:rPr>
                <w:rFonts w:ascii="Arial" w:hAnsi="Arial" w:cs="Arial"/>
                <w:color w:val="000000"/>
                <w:sz w:val="24"/>
                <w:szCs w:val="24"/>
              </w:rPr>
              <w:t>£50m</w:t>
            </w:r>
          </w:p>
        </w:tc>
        <w:tc>
          <w:tcPr>
            <w:tcW w:w="1600" w:type="dxa"/>
            <w:shd w:val="clear" w:color="auto" w:fill="FFFFFF"/>
            <w:tcMar>
              <w:top w:w="80" w:type="dxa"/>
              <w:left w:w="100" w:type="dxa"/>
              <w:bottom w:w="80" w:type="dxa"/>
              <w:right w:w="100" w:type="dxa"/>
            </w:tcMar>
          </w:tcPr>
          <w:p w:rsidRPr="0006279B" w:rsidR="002353C0" w:rsidP="0006279B" w:rsidRDefault="002353C0" w14:paraId="2497528A" w14:textId="77777777">
            <w:pPr>
              <w:spacing w:line="360" w:lineRule="auto"/>
              <w:jc w:val="center"/>
              <w:rPr>
                <w:rFonts w:ascii="Arial" w:hAnsi="Arial" w:cs="Arial"/>
                <w:sz w:val="24"/>
                <w:szCs w:val="24"/>
              </w:rPr>
            </w:pPr>
            <w:r w:rsidRPr="0006279B">
              <w:rPr>
                <w:rFonts w:ascii="Arial" w:hAnsi="Arial" w:cs="Arial"/>
                <w:color w:val="000000"/>
                <w:sz w:val="24"/>
                <w:szCs w:val="24"/>
              </w:rPr>
              <w:t>1.017</w:t>
            </w:r>
          </w:p>
        </w:tc>
        <w:tc>
          <w:tcPr>
            <w:tcW w:w="1200" w:type="dxa"/>
            <w:shd w:val="clear" w:color="auto" w:fill="FFFFFF"/>
            <w:tcMar>
              <w:top w:w="80" w:type="dxa"/>
              <w:left w:w="100" w:type="dxa"/>
              <w:bottom w:w="80" w:type="dxa"/>
              <w:right w:w="100" w:type="dxa"/>
            </w:tcMar>
          </w:tcPr>
          <w:p w:rsidRPr="0006279B" w:rsidR="002353C0" w:rsidP="0006279B" w:rsidRDefault="002353C0" w14:paraId="5C464143" w14:textId="77777777">
            <w:pPr>
              <w:spacing w:line="360" w:lineRule="auto"/>
              <w:jc w:val="center"/>
              <w:rPr>
                <w:rFonts w:ascii="Arial" w:hAnsi="Arial" w:cs="Arial"/>
                <w:sz w:val="24"/>
                <w:szCs w:val="24"/>
              </w:rPr>
            </w:pPr>
            <w:r w:rsidRPr="0006279B">
              <w:rPr>
                <w:rFonts w:ascii="Arial" w:hAnsi="Arial" w:cs="Arial"/>
                <w:color w:val="000000"/>
                <w:sz w:val="24"/>
                <w:szCs w:val="24"/>
              </w:rPr>
              <w:t>Accept</w:t>
            </w:r>
          </w:p>
        </w:tc>
      </w:tr>
    </w:tbl>
    <w:p w:rsidRPr="0006279B" w:rsidR="002353C0" w:rsidP="0006279B" w:rsidRDefault="002353C0" w14:paraId="2A0080C3" w14:textId="77777777">
      <w:pPr>
        <w:spacing w:after="300" w:line="360" w:lineRule="auto"/>
        <w:jc w:val="center"/>
        <w:rPr>
          <w:rFonts w:ascii="Arial" w:hAnsi="Arial" w:cs="Arial"/>
          <w:sz w:val="24"/>
          <w:szCs w:val="24"/>
        </w:rPr>
      </w:pPr>
      <w:r w:rsidRPr="0006279B">
        <w:rPr>
          <w:rFonts w:ascii="Arial" w:hAnsi="Arial" w:cs="Arial"/>
          <w:i/>
          <w:iCs/>
          <w:color w:val="595959"/>
          <w:sz w:val="24"/>
          <w:szCs w:val="24"/>
        </w:rPr>
        <w:t>Table 5: Profitability Index calculations</w:t>
      </w:r>
    </w:p>
    <w:p w:rsidRPr="0006279B" w:rsidR="002353C0" w:rsidP="0006279B" w:rsidRDefault="002353C0" w14:paraId="7058803E" w14:textId="77777777">
      <w:pPr>
        <w:pStyle w:val="Heading2"/>
        <w:spacing w:line="360" w:lineRule="auto"/>
        <w:rPr>
          <w:rFonts w:ascii="Arial" w:hAnsi="Arial" w:cs="Arial"/>
          <w:sz w:val="24"/>
          <w:szCs w:val="24"/>
        </w:rPr>
      </w:pPr>
      <w:bookmarkStart w:name="_Toc236251048" w:id="31"/>
      <w:r w:rsidRPr="0006279B">
        <w:rPr>
          <w:rFonts w:ascii="Arial" w:hAnsi="Arial" w:cs="Arial"/>
          <w:sz w:val="24"/>
          <w:szCs w:val="24"/>
        </w:rPr>
        <w:t>5. Internal Rate of Return (IRR)</w:t>
      </w:r>
      <w:bookmarkEnd w:id="31"/>
    </w:p>
    <w:p w:rsidRPr="0006279B" w:rsidR="002353C0" w:rsidP="0006279B" w:rsidRDefault="002353C0" w14:paraId="0E3CCEB3" w14:textId="77777777">
      <w:pPr>
        <w:spacing w:after="180" w:line="360" w:lineRule="auto"/>
        <w:jc w:val="both"/>
        <w:rPr>
          <w:rFonts w:ascii="Arial" w:hAnsi="Arial" w:cs="Arial"/>
          <w:sz w:val="24"/>
          <w:szCs w:val="24"/>
        </w:rPr>
      </w:pPr>
      <w:r w:rsidRPr="0006279B">
        <w:rPr>
          <w:rFonts w:ascii="Arial" w:hAnsi="Arial" w:cs="Arial"/>
          <w:sz w:val="24"/>
          <w:szCs w:val="24"/>
        </w:rPr>
        <w:t>The IRR is the discount rate at which a project's NPV equals zero, found here by interpolation between two trial discount rates. A project is accepted where IRR exceeds the 8% cost of capital.</w:t>
      </w:r>
    </w:p>
    <w:tbl>
      <w:tblPr>
        <w:tblW w:w="70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000" w:firstRow="0" w:lastRow="0" w:firstColumn="0" w:lastColumn="0" w:noHBand="0" w:noVBand="0"/>
      </w:tblPr>
      <w:tblGrid>
        <w:gridCol w:w="1200"/>
        <w:gridCol w:w="2000"/>
        <w:gridCol w:w="2000"/>
        <w:gridCol w:w="1800"/>
      </w:tblGrid>
      <w:tr w:rsidRPr="0006279B" w:rsidR="002353C0" w:rsidTr="00F44A54" w14:paraId="321C153E" w14:textId="77777777">
        <w:tblPrEx>
          <w:tblCellMar>
            <w:top w:w="0" w:type="dxa"/>
            <w:bottom w:w="0" w:type="dxa"/>
          </w:tblCellMar>
        </w:tblPrEx>
        <w:trPr>
          <w:tblHeader/>
        </w:trPr>
        <w:tc>
          <w:tcPr>
            <w:tcW w:w="1200" w:type="dxa"/>
            <w:shd w:val="clear" w:color="auto" w:fill="1F3864"/>
            <w:tcMar>
              <w:top w:w="80" w:type="dxa"/>
              <w:left w:w="100" w:type="dxa"/>
              <w:bottom w:w="80" w:type="dxa"/>
              <w:right w:w="100" w:type="dxa"/>
            </w:tcMar>
          </w:tcPr>
          <w:p w:rsidRPr="0006279B" w:rsidR="002353C0" w:rsidP="0006279B" w:rsidRDefault="002353C0" w14:paraId="4DD26C63" w14:textId="77777777">
            <w:pPr>
              <w:spacing w:line="360" w:lineRule="auto"/>
              <w:jc w:val="center"/>
              <w:rPr>
                <w:rFonts w:ascii="Arial" w:hAnsi="Arial" w:cs="Arial"/>
                <w:sz w:val="24"/>
                <w:szCs w:val="24"/>
              </w:rPr>
            </w:pPr>
            <w:r w:rsidRPr="0006279B">
              <w:rPr>
                <w:rFonts w:ascii="Arial" w:hAnsi="Arial" w:cs="Arial"/>
                <w:b/>
                <w:bCs/>
                <w:color w:val="FFFFFF"/>
                <w:sz w:val="24"/>
                <w:szCs w:val="24"/>
              </w:rPr>
              <w:t>Project</w:t>
            </w:r>
          </w:p>
        </w:tc>
        <w:tc>
          <w:tcPr>
            <w:tcW w:w="2000" w:type="dxa"/>
            <w:shd w:val="clear" w:color="auto" w:fill="1F3864"/>
            <w:tcMar>
              <w:top w:w="80" w:type="dxa"/>
              <w:left w:w="100" w:type="dxa"/>
              <w:bottom w:w="80" w:type="dxa"/>
              <w:right w:w="100" w:type="dxa"/>
            </w:tcMar>
          </w:tcPr>
          <w:p w:rsidRPr="0006279B" w:rsidR="002353C0" w:rsidP="0006279B" w:rsidRDefault="002353C0" w14:paraId="1C94F71F" w14:textId="77777777">
            <w:pPr>
              <w:spacing w:line="360" w:lineRule="auto"/>
              <w:jc w:val="center"/>
              <w:rPr>
                <w:rFonts w:ascii="Arial" w:hAnsi="Arial" w:cs="Arial"/>
                <w:sz w:val="24"/>
                <w:szCs w:val="24"/>
              </w:rPr>
            </w:pPr>
            <w:r w:rsidRPr="0006279B">
              <w:rPr>
                <w:rFonts w:ascii="Arial" w:hAnsi="Arial" w:cs="Arial"/>
                <w:b/>
                <w:bCs/>
                <w:color w:val="FFFFFF"/>
                <w:sz w:val="24"/>
                <w:szCs w:val="24"/>
              </w:rPr>
              <w:t>Estimated IRR</w:t>
            </w:r>
          </w:p>
        </w:tc>
        <w:tc>
          <w:tcPr>
            <w:tcW w:w="2000" w:type="dxa"/>
            <w:shd w:val="clear" w:color="auto" w:fill="1F3864"/>
            <w:tcMar>
              <w:top w:w="80" w:type="dxa"/>
              <w:left w:w="100" w:type="dxa"/>
              <w:bottom w:w="80" w:type="dxa"/>
              <w:right w:w="100" w:type="dxa"/>
            </w:tcMar>
          </w:tcPr>
          <w:p w:rsidRPr="0006279B" w:rsidR="002353C0" w:rsidP="0006279B" w:rsidRDefault="002353C0" w14:paraId="19D91BFB" w14:textId="77777777">
            <w:pPr>
              <w:spacing w:line="360" w:lineRule="auto"/>
              <w:jc w:val="center"/>
              <w:rPr>
                <w:rFonts w:ascii="Arial" w:hAnsi="Arial" w:cs="Arial"/>
                <w:sz w:val="24"/>
                <w:szCs w:val="24"/>
              </w:rPr>
            </w:pPr>
            <w:r w:rsidRPr="0006279B">
              <w:rPr>
                <w:rFonts w:ascii="Arial" w:hAnsi="Arial" w:cs="Arial"/>
                <w:b/>
                <w:bCs/>
                <w:color w:val="FFFFFF"/>
                <w:sz w:val="24"/>
                <w:szCs w:val="24"/>
              </w:rPr>
              <w:t>Cost of Capital</w:t>
            </w:r>
          </w:p>
        </w:tc>
        <w:tc>
          <w:tcPr>
            <w:tcW w:w="1800" w:type="dxa"/>
            <w:shd w:val="clear" w:color="auto" w:fill="1F3864"/>
            <w:tcMar>
              <w:top w:w="80" w:type="dxa"/>
              <w:left w:w="100" w:type="dxa"/>
              <w:bottom w:w="80" w:type="dxa"/>
              <w:right w:w="100" w:type="dxa"/>
            </w:tcMar>
          </w:tcPr>
          <w:p w:rsidRPr="0006279B" w:rsidR="002353C0" w:rsidP="0006279B" w:rsidRDefault="002353C0" w14:paraId="39133D1B" w14:textId="77777777">
            <w:pPr>
              <w:spacing w:line="360" w:lineRule="auto"/>
              <w:jc w:val="center"/>
              <w:rPr>
                <w:rFonts w:ascii="Arial" w:hAnsi="Arial" w:cs="Arial"/>
                <w:sz w:val="24"/>
                <w:szCs w:val="24"/>
              </w:rPr>
            </w:pPr>
            <w:r w:rsidRPr="0006279B">
              <w:rPr>
                <w:rFonts w:ascii="Arial" w:hAnsi="Arial" w:cs="Arial"/>
                <w:b/>
                <w:bCs/>
                <w:color w:val="FFFFFF"/>
                <w:sz w:val="24"/>
                <w:szCs w:val="24"/>
              </w:rPr>
              <w:t>Decision</w:t>
            </w:r>
          </w:p>
        </w:tc>
      </w:tr>
      <w:tr w:rsidRPr="0006279B" w:rsidR="002353C0" w:rsidTr="00F44A54" w14:paraId="485BB636" w14:textId="77777777">
        <w:tblPrEx>
          <w:tblCellMar>
            <w:top w:w="0" w:type="dxa"/>
            <w:bottom w:w="0" w:type="dxa"/>
          </w:tblCellMar>
        </w:tblPrEx>
        <w:tc>
          <w:tcPr>
            <w:tcW w:w="1200" w:type="dxa"/>
            <w:shd w:val="clear" w:color="auto" w:fill="FFFFFF"/>
            <w:tcMar>
              <w:top w:w="80" w:type="dxa"/>
              <w:left w:w="100" w:type="dxa"/>
              <w:bottom w:w="80" w:type="dxa"/>
              <w:right w:w="100" w:type="dxa"/>
            </w:tcMar>
          </w:tcPr>
          <w:p w:rsidRPr="0006279B" w:rsidR="002353C0" w:rsidP="0006279B" w:rsidRDefault="002353C0" w14:paraId="7A67BC98" w14:textId="77777777">
            <w:pPr>
              <w:spacing w:line="360" w:lineRule="auto"/>
              <w:rPr>
                <w:rFonts w:ascii="Arial" w:hAnsi="Arial" w:cs="Arial"/>
                <w:sz w:val="24"/>
                <w:szCs w:val="24"/>
              </w:rPr>
            </w:pPr>
            <w:r w:rsidRPr="0006279B">
              <w:rPr>
                <w:rFonts w:ascii="Arial" w:hAnsi="Arial" w:cs="Arial"/>
                <w:color w:val="000000"/>
                <w:sz w:val="24"/>
                <w:szCs w:val="24"/>
              </w:rPr>
              <w:t>A</w:t>
            </w:r>
          </w:p>
        </w:tc>
        <w:tc>
          <w:tcPr>
            <w:tcW w:w="2000" w:type="dxa"/>
            <w:shd w:val="clear" w:color="auto" w:fill="FFFFFF"/>
            <w:tcMar>
              <w:top w:w="80" w:type="dxa"/>
              <w:left w:w="100" w:type="dxa"/>
              <w:bottom w:w="80" w:type="dxa"/>
              <w:right w:w="100" w:type="dxa"/>
            </w:tcMar>
          </w:tcPr>
          <w:p w:rsidRPr="0006279B" w:rsidR="002353C0" w:rsidP="0006279B" w:rsidRDefault="002353C0" w14:paraId="78BB0196" w14:textId="77777777">
            <w:pPr>
              <w:spacing w:line="360" w:lineRule="auto"/>
              <w:jc w:val="center"/>
              <w:rPr>
                <w:rFonts w:ascii="Arial" w:hAnsi="Arial" w:cs="Arial"/>
                <w:sz w:val="24"/>
                <w:szCs w:val="24"/>
              </w:rPr>
            </w:pPr>
            <w:r w:rsidRPr="0006279B">
              <w:rPr>
                <w:rFonts w:ascii="Arial" w:hAnsi="Arial" w:cs="Arial"/>
                <w:color w:val="000000"/>
                <w:sz w:val="24"/>
                <w:szCs w:val="24"/>
              </w:rPr>
              <w:t>≈2.73%</w:t>
            </w:r>
          </w:p>
        </w:tc>
        <w:tc>
          <w:tcPr>
            <w:tcW w:w="2000" w:type="dxa"/>
            <w:shd w:val="clear" w:color="auto" w:fill="FFFFFF"/>
            <w:tcMar>
              <w:top w:w="80" w:type="dxa"/>
              <w:left w:w="100" w:type="dxa"/>
              <w:bottom w:w="80" w:type="dxa"/>
              <w:right w:w="100" w:type="dxa"/>
            </w:tcMar>
          </w:tcPr>
          <w:p w:rsidRPr="0006279B" w:rsidR="002353C0" w:rsidP="0006279B" w:rsidRDefault="002353C0" w14:paraId="3938C6C3" w14:textId="77777777">
            <w:pPr>
              <w:spacing w:line="360" w:lineRule="auto"/>
              <w:jc w:val="center"/>
              <w:rPr>
                <w:rFonts w:ascii="Arial" w:hAnsi="Arial" w:cs="Arial"/>
                <w:sz w:val="24"/>
                <w:szCs w:val="24"/>
              </w:rPr>
            </w:pPr>
            <w:r w:rsidRPr="0006279B">
              <w:rPr>
                <w:rFonts w:ascii="Arial" w:hAnsi="Arial" w:cs="Arial"/>
                <w:color w:val="000000"/>
                <w:sz w:val="24"/>
                <w:szCs w:val="24"/>
              </w:rPr>
              <w:t>8%</w:t>
            </w:r>
          </w:p>
        </w:tc>
        <w:tc>
          <w:tcPr>
            <w:tcW w:w="1800" w:type="dxa"/>
            <w:shd w:val="clear" w:color="auto" w:fill="FFFFFF"/>
            <w:tcMar>
              <w:top w:w="80" w:type="dxa"/>
              <w:left w:w="100" w:type="dxa"/>
              <w:bottom w:w="80" w:type="dxa"/>
              <w:right w:w="100" w:type="dxa"/>
            </w:tcMar>
          </w:tcPr>
          <w:p w:rsidRPr="0006279B" w:rsidR="002353C0" w:rsidP="0006279B" w:rsidRDefault="002353C0" w14:paraId="522DF6A3" w14:textId="77777777">
            <w:pPr>
              <w:spacing w:line="360" w:lineRule="auto"/>
              <w:jc w:val="center"/>
              <w:rPr>
                <w:rFonts w:ascii="Arial" w:hAnsi="Arial" w:cs="Arial"/>
                <w:sz w:val="24"/>
                <w:szCs w:val="24"/>
              </w:rPr>
            </w:pPr>
            <w:r w:rsidRPr="0006279B">
              <w:rPr>
                <w:rFonts w:ascii="Arial" w:hAnsi="Arial" w:cs="Arial"/>
                <w:color w:val="000000"/>
                <w:sz w:val="24"/>
                <w:szCs w:val="24"/>
              </w:rPr>
              <w:t>Reject</w:t>
            </w:r>
          </w:p>
        </w:tc>
      </w:tr>
      <w:tr w:rsidRPr="0006279B" w:rsidR="002353C0" w:rsidTr="00F44A54" w14:paraId="2A1FB0D5" w14:textId="77777777">
        <w:tblPrEx>
          <w:tblCellMar>
            <w:top w:w="0" w:type="dxa"/>
            <w:bottom w:w="0" w:type="dxa"/>
          </w:tblCellMar>
        </w:tblPrEx>
        <w:tc>
          <w:tcPr>
            <w:tcW w:w="1200" w:type="dxa"/>
            <w:shd w:val="clear" w:color="auto" w:fill="F2F2F2"/>
            <w:tcMar>
              <w:top w:w="80" w:type="dxa"/>
              <w:left w:w="100" w:type="dxa"/>
              <w:bottom w:w="80" w:type="dxa"/>
              <w:right w:w="100" w:type="dxa"/>
            </w:tcMar>
          </w:tcPr>
          <w:p w:rsidRPr="0006279B" w:rsidR="002353C0" w:rsidP="0006279B" w:rsidRDefault="002353C0" w14:paraId="016A1E25" w14:textId="77777777">
            <w:pPr>
              <w:spacing w:line="360" w:lineRule="auto"/>
              <w:rPr>
                <w:rFonts w:ascii="Arial" w:hAnsi="Arial" w:cs="Arial"/>
                <w:sz w:val="24"/>
                <w:szCs w:val="24"/>
              </w:rPr>
            </w:pPr>
            <w:r w:rsidRPr="0006279B">
              <w:rPr>
                <w:rFonts w:ascii="Arial" w:hAnsi="Arial" w:cs="Arial"/>
                <w:color w:val="000000"/>
                <w:sz w:val="24"/>
                <w:szCs w:val="24"/>
              </w:rPr>
              <w:t>B</w:t>
            </w:r>
          </w:p>
        </w:tc>
        <w:tc>
          <w:tcPr>
            <w:tcW w:w="2000" w:type="dxa"/>
            <w:shd w:val="clear" w:color="auto" w:fill="F2F2F2"/>
            <w:tcMar>
              <w:top w:w="80" w:type="dxa"/>
              <w:left w:w="100" w:type="dxa"/>
              <w:bottom w:w="80" w:type="dxa"/>
              <w:right w:w="100" w:type="dxa"/>
            </w:tcMar>
          </w:tcPr>
          <w:p w:rsidRPr="0006279B" w:rsidR="002353C0" w:rsidP="0006279B" w:rsidRDefault="002353C0" w14:paraId="5F1333D4" w14:textId="77777777">
            <w:pPr>
              <w:spacing w:line="360" w:lineRule="auto"/>
              <w:jc w:val="center"/>
              <w:rPr>
                <w:rFonts w:ascii="Arial" w:hAnsi="Arial" w:cs="Arial"/>
                <w:sz w:val="24"/>
                <w:szCs w:val="24"/>
              </w:rPr>
            </w:pPr>
            <w:r w:rsidRPr="0006279B">
              <w:rPr>
                <w:rFonts w:ascii="Arial" w:hAnsi="Arial" w:cs="Arial"/>
                <w:color w:val="000000"/>
                <w:sz w:val="24"/>
                <w:szCs w:val="24"/>
              </w:rPr>
              <w:t>≈3.27%</w:t>
            </w:r>
          </w:p>
        </w:tc>
        <w:tc>
          <w:tcPr>
            <w:tcW w:w="2000" w:type="dxa"/>
            <w:shd w:val="clear" w:color="auto" w:fill="F2F2F2"/>
            <w:tcMar>
              <w:top w:w="80" w:type="dxa"/>
              <w:left w:w="100" w:type="dxa"/>
              <w:bottom w:w="80" w:type="dxa"/>
              <w:right w:w="100" w:type="dxa"/>
            </w:tcMar>
          </w:tcPr>
          <w:p w:rsidRPr="0006279B" w:rsidR="002353C0" w:rsidP="0006279B" w:rsidRDefault="002353C0" w14:paraId="7EB8234E" w14:textId="77777777">
            <w:pPr>
              <w:spacing w:line="360" w:lineRule="auto"/>
              <w:jc w:val="center"/>
              <w:rPr>
                <w:rFonts w:ascii="Arial" w:hAnsi="Arial" w:cs="Arial"/>
                <w:sz w:val="24"/>
                <w:szCs w:val="24"/>
              </w:rPr>
            </w:pPr>
            <w:r w:rsidRPr="0006279B">
              <w:rPr>
                <w:rFonts w:ascii="Arial" w:hAnsi="Arial" w:cs="Arial"/>
                <w:color w:val="000000"/>
                <w:sz w:val="24"/>
                <w:szCs w:val="24"/>
              </w:rPr>
              <w:t>8%</w:t>
            </w:r>
          </w:p>
        </w:tc>
        <w:tc>
          <w:tcPr>
            <w:tcW w:w="1800" w:type="dxa"/>
            <w:shd w:val="clear" w:color="auto" w:fill="F2F2F2"/>
            <w:tcMar>
              <w:top w:w="80" w:type="dxa"/>
              <w:left w:w="100" w:type="dxa"/>
              <w:bottom w:w="80" w:type="dxa"/>
              <w:right w:w="100" w:type="dxa"/>
            </w:tcMar>
          </w:tcPr>
          <w:p w:rsidRPr="0006279B" w:rsidR="002353C0" w:rsidP="0006279B" w:rsidRDefault="002353C0" w14:paraId="792F6417" w14:textId="77777777">
            <w:pPr>
              <w:spacing w:line="360" w:lineRule="auto"/>
              <w:jc w:val="center"/>
              <w:rPr>
                <w:rFonts w:ascii="Arial" w:hAnsi="Arial" w:cs="Arial"/>
                <w:sz w:val="24"/>
                <w:szCs w:val="24"/>
              </w:rPr>
            </w:pPr>
            <w:r w:rsidRPr="0006279B">
              <w:rPr>
                <w:rFonts w:ascii="Arial" w:hAnsi="Arial" w:cs="Arial"/>
                <w:color w:val="000000"/>
                <w:sz w:val="24"/>
                <w:szCs w:val="24"/>
              </w:rPr>
              <w:t>Reject</w:t>
            </w:r>
          </w:p>
        </w:tc>
      </w:tr>
      <w:tr w:rsidRPr="0006279B" w:rsidR="002353C0" w:rsidTr="00F44A54" w14:paraId="7992D7E4" w14:textId="77777777">
        <w:tblPrEx>
          <w:tblCellMar>
            <w:top w:w="0" w:type="dxa"/>
            <w:bottom w:w="0" w:type="dxa"/>
          </w:tblCellMar>
        </w:tblPrEx>
        <w:tc>
          <w:tcPr>
            <w:tcW w:w="1200" w:type="dxa"/>
            <w:shd w:val="clear" w:color="auto" w:fill="FFFFFF"/>
            <w:tcMar>
              <w:top w:w="80" w:type="dxa"/>
              <w:left w:w="100" w:type="dxa"/>
              <w:bottom w:w="80" w:type="dxa"/>
              <w:right w:w="100" w:type="dxa"/>
            </w:tcMar>
          </w:tcPr>
          <w:p w:rsidRPr="0006279B" w:rsidR="002353C0" w:rsidP="0006279B" w:rsidRDefault="002353C0" w14:paraId="1CCF9334" w14:textId="77777777">
            <w:pPr>
              <w:spacing w:line="360" w:lineRule="auto"/>
              <w:rPr>
                <w:rFonts w:ascii="Arial" w:hAnsi="Arial" w:cs="Arial"/>
                <w:sz w:val="24"/>
                <w:szCs w:val="24"/>
              </w:rPr>
            </w:pPr>
            <w:r w:rsidRPr="0006279B">
              <w:rPr>
                <w:rFonts w:ascii="Arial" w:hAnsi="Arial" w:cs="Arial"/>
                <w:color w:val="000000"/>
                <w:sz w:val="24"/>
                <w:szCs w:val="24"/>
              </w:rPr>
              <w:t>C</w:t>
            </w:r>
          </w:p>
        </w:tc>
        <w:tc>
          <w:tcPr>
            <w:tcW w:w="2000" w:type="dxa"/>
            <w:shd w:val="clear" w:color="auto" w:fill="FFFFFF"/>
            <w:tcMar>
              <w:top w:w="80" w:type="dxa"/>
              <w:left w:w="100" w:type="dxa"/>
              <w:bottom w:w="80" w:type="dxa"/>
              <w:right w:w="100" w:type="dxa"/>
            </w:tcMar>
          </w:tcPr>
          <w:p w:rsidRPr="0006279B" w:rsidR="002353C0" w:rsidP="0006279B" w:rsidRDefault="002353C0" w14:paraId="624EF1BA" w14:textId="77777777">
            <w:pPr>
              <w:spacing w:line="360" w:lineRule="auto"/>
              <w:jc w:val="center"/>
              <w:rPr>
                <w:rFonts w:ascii="Arial" w:hAnsi="Arial" w:cs="Arial"/>
                <w:sz w:val="24"/>
                <w:szCs w:val="24"/>
              </w:rPr>
            </w:pPr>
            <w:r w:rsidRPr="0006279B">
              <w:rPr>
                <w:rFonts w:ascii="Arial" w:hAnsi="Arial" w:cs="Arial"/>
                <w:color w:val="000000"/>
                <w:sz w:val="24"/>
                <w:szCs w:val="24"/>
              </w:rPr>
              <w:t>≈8.59%</w:t>
            </w:r>
          </w:p>
        </w:tc>
        <w:tc>
          <w:tcPr>
            <w:tcW w:w="2000" w:type="dxa"/>
            <w:shd w:val="clear" w:color="auto" w:fill="FFFFFF"/>
            <w:tcMar>
              <w:top w:w="80" w:type="dxa"/>
              <w:left w:w="100" w:type="dxa"/>
              <w:bottom w:w="80" w:type="dxa"/>
              <w:right w:w="100" w:type="dxa"/>
            </w:tcMar>
          </w:tcPr>
          <w:p w:rsidRPr="0006279B" w:rsidR="002353C0" w:rsidP="0006279B" w:rsidRDefault="002353C0" w14:paraId="099C637C" w14:textId="77777777">
            <w:pPr>
              <w:spacing w:line="360" w:lineRule="auto"/>
              <w:jc w:val="center"/>
              <w:rPr>
                <w:rFonts w:ascii="Arial" w:hAnsi="Arial" w:cs="Arial"/>
                <w:sz w:val="24"/>
                <w:szCs w:val="24"/>
              </w:rPr>
            </w:pPr>
            <w:r w:rsidRPr="0006279B">
              <w:rPr>
                <w:rFonts w:ascii="Arial" w:hAnsi="Arial" w:cs="Arial"/>
                <w:color w:val="000000"/>
                <w:sz w:val="24"/>
                <w:szCs w:val="24"/>
              </w:rPr>
              <w:t>8%</w:t>
            </w:r>
          </w:p>
        </w:tc>
        <w:tc>
          <w:tcPr>
            <w:tcW w:w="1800" w:type="dxa"/>
            <w:shd w:val="clear" w:color="auto" w:fill="FFFFFF"/>
            <w:tcMar>
              <w:top w:w="80" w:type="dxa"/>
              <w:left w:w="100" w:type="dxa"/>
              <w:bottom w:w="80" w:type="dxa"/>
              <w:right w:w="100" w:type="dxa"/>
            </w:tcMar>
          </w:tcPr>
          <w:p w:rsidRPr="0006279B" w:rsidR="002353C0" w:rsidP="0006279B" w:rsidRDefault="002353C0" w14:paraId="4FA149A3" w14:textId="77777777">
            <w:pPr>
              <w:spacing w:line="360" w:lineRule="auto"/>
              <w:jc w:val="center"/>
              <w:rPr>
                <w:rFonts w:ascii="Arial" w:hAnsi="Arial" w:cs="Arial"/>
                <w:sz w:val="24"/>
                <w:szCs w:val="24"/>
              </w:rPr>
            </w:pPr>
            <w:r w:rsidRPr="0006279B">
              <w:rPr>
                <w:rFonts w:ascii="Arial" w:hAnsi="Arial" w:cs="Arial"/>
                <w:color w:val="000000"/>
                <w:sz w:val="24"/>
                <w:szCs w:val="24"/>
              </w:rPr>
              <w:t>Accept</w:t>
            </w:r>
          </w:p>
        </w:tc>
      </w:tr>
    </w:tbl>
    <w:p w:rsidRPr="0006279B" w:rsidR="002353C0" w:rsidP="0006279B" w:rsidRDefault="002353C0" w14:paraId="11713254" w14:textId="77777777">
      <w:pPr>
        <w:spacing w:after="300" w:line="360" w:lineRule="auto"/>
        <w:jc w:val="center"/>
        <w:rPr>
          <w:rFonts w:ascii="Arial" w:hAnsi="Arial" w:cs="Arial"/>
          <w:sz w:val="24"/>
          <w:szCs w:val="24"/>
        </w:rPr>
      </w:pPr>
      <w:r w:rsidRPr="0006279B">
        <w:rPr>
          <w:rFonts w:ascii="Arial" w:hAnsi="Arial" w:cs="Arial"/>
          <w:i/>
          <w:iCs/>
          <w:color w:val="595959"/>
          <w:sz w:val="24"/>
          <w:szCs w:val="24"/>
        </w:rPr>
        <w:t>Table 6: Internal Rate of Return estimates</w:t>
      </w:r>
    </w:p>
    <w:p w:rsidRPr="0006279B" w:rsidR="002353C0" w:rsidP="0006279B" w:rsidRDefault="002353C0" w14:paraId="3EA47497" w14:textId="77777777">
      <w:pPr>
        <w:spacing w:before="120" w:after="60" w:line="360" w:lineRule="auto"/>
        <w:jc w:val="center"/>
        <w:rPr>
          <w:rFonts w:ascii="Arial" w:hAnsi="Arial" w:cs="Arial"/>
          <w:sz w:val="24"/>
          <w:szCs w:val="24"/>
        </w:rPr>
      </w:pPr>
      <w:r w:rsidRPr="0006279B">
        <w:rPr>
          <w:rFonts w:ascii="Arial" w:hAnsi="Arial" w:cs="Arial"/>
          <w:noProof/>
          <w:sz w:val="24"/>
          <w:szCs w:val="24"/>
        </w:rPr>
        <w:drawing>
          <wp:inline distT="0" distB="0" distL="0" distR="0" wp14:anchorId="10EA61B7" wp14:editId="0AB351CC">
            <wp:extent cx="5905500" cy="4343400"/>
            <wp:effectExtent l="0" t="0" r="0" b="0"/>
            <wp:docPr id="1847793677" name="Picture 18477936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905500" cy="4343400"/>
                    </a:xfrm>
                    <a:prstGeom prst="rect">
                      <a:avLst/>
                    </a:prstGeom>
                  </pic:spPr>
                </pic:pic>
              </a:graphicData>
            </a:graphic>
          </wp:inline>
        </w:drawing>
      </w:r>
    </w:p>
    <w:p w:rsidRPr="0006279B" w:rsidR="002353C0" w:rsidP="0006279B" w:rsidRDefault="002353C0" w14:paraId="4619A7E9" w14:textId="77777777">
      <w:pPr>
        <w:spacing w:after="300" w:line="360" w:lineRule="auto"/>
        <w:jc w:val="center"/>
        <w:rPr>
          <w:rFonts w:ascii="Arial" w:hAnsi="Arial" w:cs="Arial"/>
          <w:sz w:val="24"/>
          <w:szCs w:val="24"/>
        </w:rPr>
      </w:pPr>
      <w:r w:rsidRPr="0006279B">
        <w:rPr>
          <w:rFonts w:ascii="Arial" w:hAnsi="Arial" w:cs="Arial"/>
          <w:i/>
          <w:iCs/>
          <w:color w:val="595959"/>
          <w:sz w:val="24"/>
          <w:szCs w:val="24"/>
        </w:rPr>
        <w:t>Figure 4: Side-by-side comparison of all five appraisal techniques — Project C is the only project that clears every acceptance threshold.</w:t>
      </w:r>
    </w:p>
    <w:p w:rsidRPr="0006279B" w:rsidR="002353C0" w:rsidP="0006279B" w:rsidRDefault="002353C0" w14:paraId="614B746D" w14:textId="77777777">
      <w:pPr>
        <w:pStyle w:val="Heading2"/>
        <w:spacing w:line="360" w:lineRule="auto"/>
        <w:rPr>
          <w:rFonts w:ascii="Arial" w:hAnsi="Arial" w:cs="Arial"/>
          <w:sz w:val="24"/>
          <w:szCs w:val="24"/>
        </w:rPr>
      </w:pPr>
      <w:bookmarkStart w:name="_Toc236251049" w:id="32"/>
      <w:r w:rsidRPr="0006279B">
        <w:rPr>
          <w:rFonts w:ascii="Arial" w:hAnsi="Arial" w:cs="Arial"/>
          <w:sz w:val="24"/>
          <w:szCs w:val="24"/>
        </w:rPr>
        <w:t>Summary and Ranking</w:t>
      </w:r>
      <w:bookmarkEnd w:id="32"/>
    </w:p>
    <w:tbl>
      <w:tblPr>
        <w:tblW w:w="86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000" w:firstRow="0" w:lastRow="0" w:firstColumn="0" w:lastColumn="0" w:noHBand="0" w:noVBand="0"/>
      </w:tblPr>
      <w:tblGrid>
        <w:gridCol w:w="2200"/>
        <w:gridCol w:w="1600"/>
        <w:gridCol w:w="1600"/>
        <w:gridCol w:w="1600"/>
        <w:gridCol w:w="1600"/>
      </w:tblGrid>
      <w:tr w:rsidRPr="0006279B" w:rsidR="002353C0" w:rsidTr="00F44A54" w14:paraId="6D8B358C" w14:textId="77777777">
        <w:tblPrEx>
          <w:tblCellMar>
            <w:top w:w="0" w:type="dxa"/>
            <w:bottom w:w="0" w:type="dxa"/>
          </w:tblCellMar>
        </w:tblPrEx>
        <w:trPr>
          <w:tblHeader/>
        </w:trPr>
        <w:tc>
          <w:tcPr>
            <w:tcW w:w="2200" w:type="dxa"/>
            <w:shd w:val="clear" w:color="auto" w:fill="1F3864"/>
            <w:tcMar>
              <w:top w:w="80" w:type="dxa"/>
              <w:left w:w="100" w:type="dxa"/>
              <w:bottom w:w="80" w:type="dxa"/>
              <w:right w:w="100" w:type="dxa"/>
            </w:tcMar>
          </w:tcPr>
          <w:p w:rsidRPr="0006279B" w:rsidR="002353C0" w:rsidP="0006279B" w:rsidRDefault="002353C0" w14:paraId="26BE712F" w14:textId="77777777">
            <w:pPr>
              <w:spacing w:line="360" w:lineRule="auto"/>
              <w:jc w:val="center"/>
              <w:rPr>
                <w:rFonts w:ascii="Arial" w:hAnsi="Arial" w:cs="Arial"/>
                <w:sz w:val="24"/>
                <w:szCs w:val="24"/>
              </w:rPr>
            </w:pPr>
            <w:r w:rsidRPr="0006279B">
              <w:rPr>
                <w:rFonts w:ascii="Arial" w:hAnsi="Arial" w:cs="Arial"/>
                <w:b/>
                <w:bCs/>
                <w:color w:val="FFFFFF"/>
                <w:sz w:val="24"/>
                <w:szCs w:val="24"/>
              </w:rPr>
              <w:t>Technique</w:t>
            </w:r>
          </w:p>
        </w:tc>
        <w:tc>
          <w:tcPr>
            <w:tcW w:w="1600" w:type="dxa"/>
            <w:shd w:val="clear" w:color="auto" w:fill="1F3864"/>
            <w:tcMar>
              <w:top w:w="80" w:type="dxa"/>
              <w:left w:w="100" w:type="dxa"/>
              <w:bottom w:w="80" w:type="dxa"/>
              <w:right w:w="100" w:type="dxa"/>
            </w:tcMar>
          </w:tcPr>
          <w:p w:rsidRPr="0006279B" w:rsidR="002353C0" w:rsidP="0006279B" w:rsidRDefault="002353C0" w14:paraId="7308EE04" w14:textId="77777777">
            <w:pPr>
              <w:spacing w:line="360" w:lineRule="auto"/>
              <w:jc w:val="center"/>
              <w:rPr>
                <w:rFonts w:ascii="Arial" w:hAnsi="Arial" w:cs="Arial"/>
                <w:sz w:val="24"/>
                <w:szCs w:val="24"/>
              </w:rPr>
            </w:pPr>
            <w:r w:rsidRPr="0006279B">
              <w:rPr>
                <w:rFonts w:ascii="Arial" w:hAnsi="Arial" w:cs="Arial"/>
                <w:b/>
                <w:bCs/>
                <w:color w:val="FFFFFF"/>
                <w:sz w:val="24"/>
                <w:szCs w:val="24"/>
              </w:rPr>
              <w:t>Project A</w:t>
            </w:r>
          </w:p>
        </w:tc>
        <w:tc>
          <w:tcPr>
            <w:tcW w:w="1600" w:type="dxa"/>
            <w:shd w:val="clear" w:color="auto" w:fill="1F3864"/>
            <w:tcMar>
              <w:top w:w="80" w:type="dxa"/>
              <w:left w:w="100" w:type="dxa"/>
              <w:bottom w:w="80" w:type="dxa"/>
              <w:right w:w="100" w:type="dxa"/>
            </w:tcMar>
          </w:tcPr>
          <w:p w:rsidRPr="0006279B" w:rsidR="002353C0" w:rsidP="0006279B" w:rsidRDefault="002353C0" w14:paraId="389FF668" w14:textId="77777777">
            <w:pPr>
              <w:spacing w:line="360" w:lineRule="auto"/>
              <w:jc w:val="center"/>
              <w:rPr>
                <w:rFonts w:ascii="Arial" w:hAnsi="Arial" w:cs="Arial"/>
                <w:sz w:val="24"/>
                <w:szCs w:val="24"/>
              </w:rPr>
            </w:pPr>
            <w:r w:rsidRPr="0006279B">
              <w:rPr>
                <w:rFonts w:ascii="Arial" w:hAnsi="Arial" w:cs="Arial"/>
                <w:b/>
                <w:bCs/>
                <w:color w:val="FFFFFF"/>
                <w:sz w:val="24"/>
                <w:szCs w:val="24"/>
              </w:rPr>
              <w:t>Project B</w:t>
            </w:r>
          </w:p>
        </w:tc>
        <w:tc>
          <w:tcPr>
            <w:tcW w:w="1600" w:type="dxa"/>
            <w:shd w:val="clear" w:color="auto" w:fill="1F3864"/>
            <w:tcMar>
              <w:top w:w="80" w:type="dxa"/>
              <w:left w:w="100" w:type="dxa"/>
              <w:bottom w:w="80" w:type="dxa"/>
              <w:right w:w="100" w:type="dxa"/>
            </w:tcMar>
          </w:tcPr>
          <w:p w:rsidRPr="0006279B" w:rsidR="002353C0" w:rsidP="0006279B" w:rsidRDefault="002353C0" w14:paraId="6BBCBD49" w14:textId="77777777">
            <w:pPr>
              <w:spacing w:line="360" w:lineRule="auto"/>
              <w:jc w:val="center"/>
              <w:rPr>
                <w:rFonts w:ascii="Arial" w:hAnsi="Arial" w:cs="Arial"/>
                <w:sz w:val="24"/>
                <w:szCs w:val="24"/>
              </w:rPr>
            </w:pPr>
            <w:r w:rsidRPr="0006279B">
              <w:rPr>
                <w:rFonts w:ascii="Arial" w:hAnsi="Arial" w:cs="Arial"/>
                <w:b/>
                <w:bCs/>
                <w:color w:val="FFFFFF"/>
                <w:sz w:val="24"/>
                <w:szCs w:val="24"/>
              </w:rPr>
              <w:t>Project C</w:t>
            </w:r>
          </w:p>
        </w:tc>
        <w:tc>
          <w:tcPr>
            <w:tcW w:w="1600" w:type="dxa"/>
            <w:shd w:val="clear" w:color="auto" w:fill="1F3864"/>
            <w:tcMar>
              <w:top w:w="80" w:type="dxa"/>
              <w:left w:w="100" w:type="dxa"/>
              <w:bottom w:w="80" w:type="dxa"/>
              <w:right w:w="100" w:type="dxa"/>
            </w:tcMar>
          </w:tcPr>
          <w:p w:rsidRPr="0006279B" w:rsidR="002353C0" w:rsidP="0006279B" w:rsidRDefault="002353C0" w14:paraId="42B67AA0" w14:textId="77777777">
            <w:pPr>
              <w:spacing w:line="360" w:lineRule="auto"/>
              <w:jc w:val="center"/>
              <w:rPr>
                <w:rFonts w:ascii="Arial" w:hAnsi="Arial" w:cs="Arial"/>
                <w:sz w:val="24"/>
                <w:szCs w:val="24"/>
              </w:rPr>
            </w:pPr>
            <w:r w:rsidRPr="0006279B">
              <w:rPr>
                <w:rFonts w:ascii="Arial" w:hAnsi="Arial" w:cs="Arial"/>
                <w:b/>
                <w:bCs/>
                <w:color w:val="FFFFFF"/>
                <w:sz w:val="24"/>
                <w:szCs w:val="24"/>
              </w:rPr>
              <w:t>Best Project</w:t>
            </w:r>
          </w:p>
        </w:tc>
      </w:tr>
      <w:tr w:rsidRPr="0006279B" w:rsidR="002353C0" w:rsidTr="00F44A54" w14:paraId="7B718D7E" w14:textId="77777777">
        <w:tblPrEx>
          <w:tblCellMar>
            <w:top w:w="0" w:type="dxa"/>
            <w:bottom w:w="0" w:type="dxa"/>
          </w:tblCellMar>
        </w:tblPrEx>
        <w:tc>
          <w:tcPr>
            <w:tcW w:w="2200" w:type="dxa"/>
            <w:shd w:val="clear" w:color="auto" w:fill="FFFFFF"/>
            <w:tcMar>
              <w:top w:w="80" w:type="dxa"/>
              <w:left w:w="100" w:type="dxa"/>
              <w:bottom w:w="80" w:type="dxa"/>
              <w:right w:w="100" w:type="dxa"/>
            </w:tcMar>
          </w:tcPr>
          <w:p w:rsidRPr="0006279B" w:rsidR="002353C0" w:rsidP="0006279B" w:rsidRDefault="002353C0" w14:paraId="10922B81" w14:textId="77777777">
            <w:pPr>
              <w:spacing w:line="360" w:lineRule="auto"/>
              <w:rPr>
                <w:rFonts w:ascii="Arial" w:hAnsi="Arial" w:cs="Arial"/>
                <w:sz w:val="24"/>
                <w:szCs w:val="24"/>
              </w:rPr>
            </w:pPr>
            <w:r w:rsidRPr="0006279B">
              <w:rPr>
                <w:rFonts w:ascii="Arial" w:hAnsi="Arial" w:cs="Arial"/>
                <w:color w:val="000000"/>
                <w:sz w:val="24"/>
                <w:szCs w:val="24"/>
              </w:rPr>
              <w:t>Payback Period</w:t>
            </w:r>
          </w:p>
        </w:tc>
        <w:tc>
          <w:tcPr>
            <w:tcW w:w="1600" w:type="dxa"/>
            <w:shd w:val="clear" w:color="auto" w:fill="FFFFFF"/>
            <w:tcMar>
              <w:top w:w="80" w:type="dxa"/>
              <w:left w:w="100" w:type="dxa"/>
              <w:bottom w:w="80" w:type="dxa"/>
              <w:right w:w="100" w:type="dxa"/>
            </w:tcMar>
          </w:tcPr>
          <w:p w:rsidRPr="0006279B" w:rsidR="002353C0" w:rsidP="0006279B" w:rsidRDefault="002353C0" w14:paraId="529BC011" w14:textId="77777777">
            <w:pPr>
              <w:spacing w:line="360" w:lineRule="auto"/>
              <w:jc w:val="center"/>
              <w:rPr>
                <w:rFonts w:ascii="Arial" w:hAnsi="Arial" w:cs="Arial"/>
                <w:sz w:val="24"/>
                <w:szCs w:val="24"/>
              </w:rPr>
            </w:pPr>
            <w:r w:rsidRPr="0006279B">
              <w:rPr>
                <w:rFonts w:ascii="Arial" w:hAnsi="Arial" w:cs="Arial"/>
                <w:color w:val="000000"/>
                <w:sz w:val="24"/>
                <w:szCs w:val="24"/>
              </w:rPr>
              <w:t>4.50 yrs</w:t>
            </w:r>
          </w:p>
        </w:tc>
        <w:tc>
          <w:tcPr>
            <w:tcW w:w="1600" w:type="dxa"/>
            <w:shd w:val="clear" w:color="auto" w:fill="FFFFFF"/>
            <w:tcMar>
              <w:top w:w="80" w:type="dxa"/>
              <w:left w:w="100" w:type="dxa"/>
              <w:bottom w:w="80" w:type="dxa"/>
              <w:right w:w="100" w:type="dxa"/>
            </w:tcMar>
          </w:tcPr>
          <w:p w:rsidRPr="0006279B" w:rsidR="002353C0" w:rsidP="0006279B" w:rsidRDefault="002353C0" w14:paraId="3C241B9A" w14:textId="77777777">
            <w:pPr>
              <w:spacing w:line="360" w:lineRule="auto"/>
              <w:jc w:val="center"/>
              <w:rPr>
                <w:rFonts w:ascii="Arial" w:hAnsi="Arial" w:cs="Arial"/>
                <w:sz w:val="24"/>
                <w:szCs w:val="24"/>
              </w:rPr>
            </w:pPr>
            <w:r w:rsidRPr="0006279B">
              <w:rPr>
                <w:rFonts w:ascii="Arial" w:hAnsi="Arial" w:cs="Arial"/>
                <w:color w:val="000000"/>
                <w:sz w:val="24"/>
                <w:szCs w:val="24"/>
              </w:rPr>
              <w:t>4.55 yrs</w:t>
            </w:r>
          </w:p>
        </w:tc>
        <w:tc>
          <w:tcPr>
            <w:tcW w:w="1600" w:type="dxa"/>
            <w:shd w:val="clear" w:color="auto" w:fill="FFFFFF"/>
            <w:tcMar>
              <w:top w:w="80" w:type="dxa"/>
              <w:left w:w="100" w:type="dxa"/>
              <w:bottom w:w="80" w:type="dxa"/>
              <w:right w:w="100" w:type="dxa"/>
            </w:tcMar>
          </w:tcPr>
          <w:p w:rsidRPr="0006279B" w:rsidR="002353C0" w:rsidP="0006279B" w:rsidRDefault="002353C0" w14:paraId="5043AB1A" w14:textId="77777777">
            <w:pPr>
              <w:spacing w:line="360" w:lineRule="auto"/>
              <w:jc w:val="center"/>
              <w:rPr>
                <w:rFonts w:ascii="Arial" w:hAnsi="Arial" w:cs="Arial"/>
                <w:sz w:val="24"/>
                <w:szCs w:val="24"/>
              </w:rPr>
            </w:pPr>
            <w:r w:rsidRPr="0006279B">
              <w:rPr>
                <w:rFonts w:ascii="Arial" w:hAnsi="Arial" w:cs="Arial"/>
                <w:color w:val="000000"/>
                <w:sz w:val="24"/>
                <w:szCs w:val="24"/>
              </w:rPr>
              <w:t>3.60 yrs</w:t>
            </w:r>
          </w:p>
        </w:tc>
        <w:tc>
          <w:tcPr>
            <w:tcW w:w="1600" w:type="dxa"/>
            <w:shd w:val="clear" w:color="auto" w:fill="FFFFFF"/>
            <w:tcMar>
              <w:top w:w="80" w:type="dxa"/>
              <w:left w:w="100" w:type="dxa"/>
              <w:bottom w:w="80" w:type="dxa"/>
              <w:right w:w="100" w:type="dxa"/>
            </w:tcMar>
          </w:tcPr>
          <w:p w:rsidRPr="0006279B" w:rsidR="002353C0" w:rsidP="0006279B" w:rsidRDefault="002353C0" w14:paraId="4F07DB36" w14:textId="77777777">
            <w:pPr>
              <w:spacing w:line="360" w:lineRule="auto"/>
              <w:jc w:val="center"/>
              <w:rPr>
                <w:rFonts w:ascii="Arial" w:hAnsi="Arial" w:cs="Arial"/>
                <w:sz w:val="24"/>
                <w:szCs w:val="24"/>
              </w:rPr>
            </w:pPr>
            <w:r w:rsidRPr="0006279B">
              <w:rPr>
                <w:rFonts w:ascii="Arial" w:hAnsi="Arial" w:cs="Arial"/>
                <w:color w:val="000000"/>
                <w:sz w:val="24"/>
                <w:szCs w:val="24"/>
              </w:rPr>
              <w:t>C</w:t>
            </w:r>
          </w:p>
        </w:tc>
      </w:tr>
      <w:tr w:rsidRPr="0006279B" w:rsidR="002353C0" w:rsidTr="00F44A54" w14:paraId="132B3E8D" w14:textId="77777777">
        <w:tblPrEx>
          <w:tblCellMar>
            <w:top w:w="0" w:type="dxa"/>
            <w:bottom w:w="0" w:type="dxa"/>
          </w:tblCellMar>
        </w:tblPrEx>
        <w:tc>
          <w:tcPr>
            <w:tcW w:w="2200" w:type="dxa"/>
            <w:shd w:val="clear" w:color="auto" w:fill="F2F2F2"/>
            <w:tcMar>
              <w:top w:w="80" w:type="dxa"/>
              <w:left w:w="100" w:type="dxa"/>
              <w:bottom w:w="80" w:type="dxa"/>
              <w:right w:w="100" w:type="dxa"/>
            </w:tcMar>
          </w:tcPr>
          <w:p w:rsidRPr="0006279B" w:rsidR="002353C0" w:rsidP="0006279B" w:rsidRDefault="002353C0" w14:paraId="4E4E03AC" w14:textId="77777777">
            <w:pPr>
              <w:spacing w:line="360" w:lineRule="auto"/>
              <w:rPr>
                <w:rFonts w:ascii="Arial" w:hAnsi="Arial" w:cs="Arial"/>
                <w:sz w:val="24"/>
                <w:szCs w:val="24"/>
              </w:rPr>
            </w:pPr>
            <w:r w:rsidRPr="0006279B">
              <w:rPr>
                <w:rFonts w:ascii="Arial" w:hAnsi="Arial" w:cs="Arial"/>
                <w:color w:val="000000"/>
                <w:sz w:val="24"/>
                <w:szCs w:val="24"/>
              </w:rPr>
              <w:t>ARR</w:t>
            </w:r>
          </w:p>
        </w:tc>
        <w:tc>
          <w:tcPr>
            <w:tcW w:w="1600" w:type="dxa"/>
            <w:shd w:val="clear" w:color="auto" w:fill="F2F2F2"/>
            <w:tcMar>
              <w:top w:w="80" w:type="dxa"/>
              <w:left w:w="100" w:type="dxa"/>
              <w:bottom w:w="80" w:type="dxa"/>
              <w:right w:w="100" w:type="dxa"/>
            </w:tcMar>
          </w:tcPr>
          <w:p w:rsidRPr="0006279B" w:rsidR="002353C0" w:rsidP="0006279B" w:rsidRDefault="002353C0" w14:paraId="21EFC2B7" w14:textId="77777777">
            <w:pPr>
              <w:spacing w:line="360" w:lineRule="auto"/>
              <w:jc w:val="center"/>
              <w:rPr>
                <w:rFonts w:ascii="Arial" w:hAnsi="Arial" w:cs="Arial"/>
                <w:sz w:val="24"/>
                <w:szCs w:val="24"/>
              </w:rPr>
            </w:pPr>
            <w:r w:rsidRPr="0006279B">
              <w:rPr>
                <w:rFonts w:ascii="Arial" w:hAnsi="Arial" w:cs="Arial"/>
                <w:color w:val="000000"/>
                <w:sz w:val="24"/>
                <w:szCs w:val="24"/>
              </w:rPr>
              <w:t>3.2%</w:t>
            </w:r>
          </w:p>
        </w:tc>
        <w:tc>
          <w:tcPr>
            <w:tcW w:w="1600" w:type="dxa"/>
            <w:shd w:val="clear" w:color="auto" w:fill="F2F2F2"/>
            <w:tcMar>
              <w:top w:w="80" w:type="dxa"/>
              <w:left w:w="100" w:type="dxa"/>
              <w:bottom w:w="80" w:type="dxa"/>
              <w:right w:w="100" w:type="dxa"/>
            </w:tcMar>
          </w:tcPr>
          <w:p w:rsidRPr="0006279B" w:rsidR="002353C0" w:rsidP="0006279B" w:rsidRDefault="002353C0" w14:paraId="060DA92C" w14:textId="77777777">
            <w:pPr>
              <w:spacing w:line="360" w:lineRule="auto"/>
              <w:jc w:val="center"/>
              <w:rPr>
                <w:rFonts w:ascii="Arial" w:hAnsi="Arial" w:cs="Arial"/>
                <w:sz w:val="24"/>
                <w:szCs w:val="24"/>
              </w:rPr>
            </w:pPr>
            <w:r w:rsidRPr="0006279B">
              <w:rPr>
                <w:rFonts w:ascii="Arial" w:hAnsi="Arial" w:cs="Arial"/>
                <w:color w:val="000000"/>
                <w:sz w:val="24"/>
                <w:szCs w:val="24"/>
              </w:rPr>
              <w:t>4.0%</w:t>
            </w:r>
          </w:p>
        </w:tc>
        <w:tc>
          <w:tcPr>
            <w:tcW w:w="1600" w:type="dxa"/>
            <w:shd w:val="clear" w:color="auto" w:fill="F2F2F2"/>
            <w:tcMar>
              <w:top w:w="80" w:type="dxa"/>
              <w:left w:w="100" w:type="dxa"/>
              <w:bottom w:w="80" w:type="dxa"/>
              <w:right w:w="100" w:type="dxa"/>
            </w:tcMar>
          </w:tcPr>
          <w:p w:rsidRPr="0006279B" w:rsidR="002353C0" w:rsidP="0006279B" w:rsidRDefault="002353C0" w14:paraId="551FA36C" w14:textId="77777777">
            <w:pPr>
              <w:spacing w:line="360" w:lineRule="auto"/>
              <w:jc w:val="center"/>
              <w:rPr>
                <w:rFonts w:ascii="Arial" w:hAnsi="Arial" w:cs="Arial"/>
                <w:sz w:val="24"/>
                <w:szCs w:val="24"/>
              </w:rPr>
            </w:pPr>
            <w:r w:rsidRPr="0006279B">
              <w:rPr>
                <w:rFonts w:ascii="Arial" w:hAnsi="Arial" w:cs="Arial"/>
                <w:color w:val="000000"/>
                <w:sz w:val="24"/>
                <w:szCs w:val="24"/>
              </w:rPr>
              <w:t>12.0%</w:t>
            </w:r>
          </w:p>
        </w:tc>
        <w:tc>
          <w:tcPr>
            <w:tcW w:w="1600" w:type="dxa"/>
            <w:shd w:val="clear" w:color="auto" w:fill="F2F2F2"/>
            <w:tcMar>
              <w:top w:w="80" w:type="dxa"/>
              <w:left w:w="100" w:type="dxa"/>
              <w:bottom w:w="80" w:type="dxa"/>
              <w:right w:w="100" w:type="dxa"/>
            </w:tcMar>
          </w:tcPr>
          <w:p w:rsidRPr="0006279B" w:rsidR="002353C0" w:rsidP="0006279B" w:rsidRDefault="002353C0" w14:paraId="39CD470B" w14:textId="77777777">
            <w:pPr>
              <w:spacing w:line="360" w:lineRule="auto"/>
              <w:jc w:val="center"/>
              <w:rPr>
                <w:rFonts w:ascii="Arial" w:hAnsi="Arial" w:cs="Arial"/>
                <w:sz w:val="24"/>
                <w:szCs w:val="24"/>
              </w:rPr>
            </w:pPr>
            <w:r w:rsidRPr="0006279B">
              <w:rPr>
                <w:rFonts w:ascii="Arial" w:hAnsi="Arial" w:cs="Arial"/>
                <w:color w:val="000000"/>
                <w:sz w:val="24"/>
                <w:szCs w:val="24"/>
              </w:rPr>
              <w:t>C</w:t>
            </w:r>
          </w:p>
        </w:tc>
      </w:tr>
      <w:tr w:rsidRPr="0006279B" w:rsidR="002353C0" w:rsidTr="00F44A54" w14:paraId="4B0A6E04" w14:textId="77777777">
        <w:tblPrEx>
          <w:tblCellMar>
            <w:top w:w="0" w:type="dxa"/>
            <w:bottom w:w="0" w:type="dxa"/>
          </w:tblCellMar>
        </w:tblPrEx>
        <w:tc>
          <w:tcPr>
            <w:tcW w:w="2200" w:type="dxa"/>
            <w:shd w:val="clear" w:color="auto" w:fill="FFFFFF"/>
            <w:tcMar>
              <w:top w:w="80" w:type="dxa"/>
              <w:left w:w="100" w:type="dxa"/>
              <w:bottom w:w="80" w:type="dxa"/>
              <w:right w:w="100" w:type="dxa"/>
            </w:tcMar>
          </w:tcPr>
          <w:p w:rsidRPr="0006279B" w:rsidR="002353C0" w:rsidP="0006279B" w:rsidRDefault="002353C0" w14:paraId="7D0B5A9F" w14:textId="77777777">
            <w:pPr>
              <w:spacing w:line="360" w:lineRule="auto"/>
              <w:rPr>
                <w:rFonts w:ascii="Arial" w:hAnsi="Arial" w:cs="Arial"/>
                <w:sz w:val="24"/>
                <w:szCs w:val="24"/>
              </w:rPr>
            </w:pPr>
            <w:r w:rsidRPr="0006279B">
              <w:rPr>
                <w:rFonts w:ascii="Arial" w:hAnsi="Arial" w:cs="Arial"/>
                <w:color w:val="000000"/>
                <w:sz w:val="24"/>
                <w:szCs w:val="24"/>
              </w:rPr>
              <w:t>NPV</w:t>
            </w:r>
          </w:p>
        </w:tc>
        <w:tc>
          <w:tcPr>
            <w:tcW w:w="1600" w:type="dxa"/>
            <w:shd w:val="clear" w:color="auto" w:fill="FFFFFF"/>
            <w:tcMar>
              <w:top w:w="80" w:type="dxa"/>
              <w:left w:w="100" w:type="dxa"/>
              <w:bottom w:w="80" w:type="dxa"/>
              <w:right w:w="100" w:type="dxa"/>
            </w:tcMar>
          </w:tcPr>
          <w:p w:rsidRPr="0006279B" w:rsidR="002353C0" w:rsidP="0006279B" w:rsidRDefault="002353C0" w14:paraId="37A076D4" w14:textId="77777777">
            <w:pPr>
              <w:spacing w:line="360" w:lineRule="auto"/>
              <w:jc w:val="center"/>
              <w:rPr>
                <w:rFonts w:ascii="Arial" w:hAnsi="Arial" w:cs="Arial"/>
                <w:sz w:val="24"/>
                <w:szCs w:val="24"/>
              </w:rPr>
            </w:pPr>
            <w:r w:rsidRPr="0006279B">
              <w:rPr>
                <w:rFonts w:ascii="Arial" w:hAnsi="Arial" w:cs="Arial"/>
                <w:color w:val="000000"/>
                <w:sz w:val="24"/>
                <w:szCs w:val="24"/>
              </w:rPr>
              <w:t>-£6.55m</w:t>
            </w:r>
          </w:p>
        </w:tc>
        <w:tc>
          <w:tcPr>
            <w:tcW w:w="1600" w:type="dxa"/>
            <w:shd w:val="clear" w:color="auto" w:fill="FFFFFF"/>
            <w:tcMar>
              <w:top w:w="80" w:type="dxa"/>
              <w:left w:w="100" w:type="dxa"/>
              <w:bottom w:w="80" w:type="dxa"/>
              <w:right w:w="100" w:type="dxa"/>
            </w:tcMar>
          </w:tcPr>
          <w:p w:rsidRPr="0006279B" w:rsidR="002353C0" w:rsidP="0006279B" w:rsidRDefault="002353C0" w14:paraId="21FB809A" w14:textId="77777777">
            <w:pPr>
              <w:spacing w:line="360" w:lineRule="auto"/>
              <w:jc w:val="center"/>
              <w:rPr>
                <w:rFonts w:ascii="Arial" w:hAnsi="Arial" w:cs="Arial"/>
                <w:sz w:val="24"/>
                <w:szCs w:val="24"/>
              </w:rPr>
            </w:pPr>
            <w:r w:rsidRPr="0006279B">
              <w:rPr>
                <w:rFonts w:ascii="Arial" w:hAnsi="Arial" w:cs="Arial"/>
                <w:color w:val="000000"/>
                <w:sz w:val="24"/>
                <w:szCs w:val="24"/>
              </w:rPr>
              <w:t>-£6.08m</w:t>
            </w:r>
          </w:p>
        </w:tc>
        <w:tc>
          <w:tcPr>
            <w:tcW w:w="1600" w:type="dxa"/>
            <w:shd w:val="clear" w:color="auto" w:fill="FFFFFF"/>
            <w:tcMar>
              <w:top w:w="80" w:type="dxa"/>
              <w:left w:w="100" w:type="dxa"/>
              <w:bottom w:w="80" w:type="dxa"/>
              <w:right w:w="100" w:type="dxa"/>
            </w:tcMar>
          </w:tcPr>
          <w:p w:rsidRPr="0006279B" w:rsidR="002353C0" w:rsidP="0006279B" w:rsidRDefault="002353C0" w14:paraId="488168C4" w14:textId="77777777">
            <w:pPr>
              <w:spacing w:line="360" w:lineRule="auto"/>
              <w:jc w:val="center"/>
              <w:rPr>
                <w:rFonts w:ascii="Arial" w:hAnsi="Arial" w:cs="Arial"/>
                <w:sz w:val="24"/>
                <w:szCs w:val="24"/>
              </w:rPr>
            </w:pPr>
            <w:r w:rsidRPr="0006279B">
              <w:rPr>
                <w:rFonts w:ascii="Arial" w:hAnsi="Arial" w:cs="Arial"/>
                <w:color w:val="000000"/>
                <w:sz w:val="24"/>
                <w:szCs w:val="24"/>
              </w:rPr>
              <w:t>+£0.86m</w:t>
            </w:r>
          </w:p>
        </w:tc>
        <w:tc>
          <w:tcPr>
            <w:tcW w:w="1600" w:type="dxa"/>
            <w:shd w:val="clear" w:color="auto" w:fill="FFFFFF"/>
            <w:tcMar>
              <w:top w:w="80" w:type="dxa"/>
              <w:left w:w="100" w:type="dxa"/>
              <w:bottom w:w="80" w:type="dxa"/>
              <w:right w:w="100" w:type="dxa"/>
            </w:tcMar>
          </w:tcPr>
          <w:p w:rsidRPr="0006279B" w:rsidR="002353C0" w:rsidP="0006279B" w:rsidRDefault="002353C0" w14:paraId="279CF25C" w14:textId="77777777">
            <w:pPr>
              <w:spacing w:line="360" w:lineRule="auto"/>
              <w:jc w:val="center"/>
              <w:rPr>
                <w:rFonts w:ascii="Arial" w:hAnsi="Arial" w:cs="Arial"/>
                <w:sz w:val="24"/>
                <w:szCs w:val="24"/>
              </w:rPr>
            </w:pPr>
            <w:r w:rsidRPr="0006279B">
              <w:rPr>
                <w:rFonts w:ascii="Arial" w:hAnsi="Arial" w:cs="Arial"/>
                <w:color w:val="000000"/>
                <w:sz w:val="24"/>
                <w:szCs w:val="24"/>
              </w:rPr>
              <w:t>C</w:t>
            </w:r>
          </w:p>
        </w:tc>
      </w:tr>
      <w:tr w:rsidRPr="0006279B" w:rsidR="002353C0" w:rsidTr="00F44A54" w14:paraId="5DA34361" w14:textId="77777777">
        <w:tblPrEx>
          <w:tblCellMar>
            <w:top w:w="0" w:type="dxa"/>
            <w:bottom w:w="0" w:type="dxa"/>
          </w:tblCellMar>
        </w:tblPrEx>
        <w:tc>
          <w:tcPr>
            <w:tcW w:w="2200" w:type="dxa"/>
            <w:shd w:val="clear" w:color="auto" w:fill="F2F2F2"/>
            <w:tcMar>
              <w:top w:w="80" w:type="dxa"/>
              <w:left w:w="100" w:type="dxa"/>
              <w:bottom w:w="80" w:type="dxa"/>
              <w:right w:w="100" w:type="dxa"/>
            </w:tcMar>
          </w:tcPr>
          <w:p w:rsidRPr="0006279B" w:rsidR="002353C0" w:rsidP="0006279B" w:rsidRDefault="002353C0" w14:paraId="6A2B6AF0" w14:textId="77777777">
            <w:pPr>
              <w:spacing w:line="360" w:lineRule="auto"/>
              <w:rPr>
                <w:rFonts w:ascii="Arial" w:hAnsi="Arial" w:cs="Arial"/>
                <w:sz w:val="24"/>
                <w:szCs w:val="24"/>
              </w:rPr>
            </w:pPr>
            <w:r w:rsidRPr="0006279B">
              <w:rPr>
                <w:rFonts w:ascii="Arial" w:hAnsi="Arial" w:cs="Arial"/>
                <w:color w:val="000000"/>
                <w:sz w:val="24"/>
                <w:szCs w:val="24"/>
              </w:rPr>
              <w:t>Profitability Index</w:t>
            </w:r>
          </w:p>
        </w:tc>
        <w:tc>
          <w:tcPr>
            <w:tcW w:w="1600" w:type="dxa"/>
            <w:shd w:val="clear" w:color="auto" w:fill="F2F2F2"/>
            <w:tcMar>
              <w:top w:w="80" w:type="dxa"/>
              <w:left w:w="100" w:type="dxa"/>
              <w:bottom w:w="80" w:type="dxa"/>
              <w:right w:w="100" w:type="dxa"/>
            </w:tcMar>
          </w:tcPr>
          <w:p w:rsidRPr="0006279B" w:rsidR="002353C0" w:rsidP="0006279B" w:rsidRDefault="002353C0" w14:paraId="1EB27113" w14:textId="77777777">
            <w:pPr>
              <w:spacing w:line="360" w:lineRule="auto"/>
              <w:jc w:val="center"/>
              <w:rPr>
                <w:rFonts w:ascii="Arial" w:hAnsi="Arial" w:cs="Arial"/>
                <w:sz w:val="24"/>
                <w:szCs w:val="24"/>
              </w:rPr>
            </w:pPr>
            <w:r w:rsidRPr="0006279B">
              <w:rPr>
                <w:rFonts w:ascii="Arial" w:hAnsi="Arial" w:cs="Arial"/>
                <w:color w:val="000000"/>
                <w:sz w:val="24"/>
                <w:szCs w:val="24"/>
              </w:rPr>
              <w:t>0.869</w:t>
            </w:r>
          </w:p>
        </w:tc>
        <w:tc>
          <w:tcPr>
            <w:tcW w:w="1600" w:type="dxa"/>
            <w:shd w:val="clear" w:color="auto" w:fill="F2F2F2"/>
            <w:tcMar>
              <w:top w:w="80" w:type="dxa"/>
              <w:left w:w="100" w:type="dxa"/>
              <w:bottom w:w="80" w:type="dxa"/>
              <w:right w:w="100" w:type="dxa"/>
            </w:tcMar>
          </w:tcPr>
          <w:p w:rsidRPr="0006279B" w:rsidR="002353C0" w:rsidP="0006279B" w:rsidRDefault="002353C0" w14:paraId="3EA8B15B" w14:textId="77777777">
            <w:pPr>
              <w:spacing w:line="360" w:lineRule="auto"/>
              <w:jc w:val="center"/>
              <w:rPr>
                <w:rFonts w:ascii="Arial" w:hAnsi="Arial" w:cs="Arial"/>
                <w:sz w:val="24"/>
                <w:szCs w:val="24"/>
              </w:rPr>
            </w:pPr>
            <w:r w:rsidRPr="0006279B">
              <w:rPr>
                <w:rFonts w:ascii="Arial" w:hAnsi="Arial" w:cs="Arial"/>
                <w:color w:val="000000"/>
                <w:sz w:val="24"/>
                <w:szCs w:val="24"/>
              </w:rPr>
              <w:t>0.878</w:t>
            </w:r>
          </w:p>
        </w:tc>
        <w:tc>
          <w:tcPr>
            <w:tcW w:w="1600" w:type="dxa"/>
            <w:shd w:val="clear" w:color="auto" w:fill="F2F2F2"/>
            <w:tcMar>
              <w:top w:w="80" w:type="dxa"/>
              <w:left w:w="100" w:type="dxa"/>
              <w:bottom w:w="80" w:type="dxa"/>
              <w:right w:w="100" w:type="dxa"/>
            </w:tcMar>
          </w:tcPr>
          <w:p w:rsidRPr="0006279B" w:rsidR="002353C0" w:rsidP="0006279B" w:rsidRDefault="002353C0" w14:paraId="68A8C686" w14:textId="77777777">
            <w:pPr>
              <w:spacing w:line="360" w:lineRule="auto"/>
              <w:jc w:val="center"/>
              <w:rPr>
                <w:rFonts w:ascii="Arial" w:hAnsi="Arial" w:cs="Arial"/>
                <w:sz w:val="24"/>
                <w:szCs w:val="24"/>
              </w:rPr>
            </w:pPr>
            <w:r w:rsidRPr="0006279B">
              <w:rPr>
                <w:rFonts w:ascii="Arial" w:hAnsi="Arial" w:cs="Arial"/>
                <w:color w:val="000000"/>
                <w:sz w:val="24"/>
                <w:szCs w:val="24"/>
              </w:rPr>
              <w:t>1.017</w:t>
            </w:r>
          </w:p>
        </w:tc>
        <w:tc>
          <w:tcPr>
            <w:tcW w:w="1600" w:type="dxa"/>
            <w:shd w:val="clear" w:color="auto" w:fill="F2F2F2"/>
            <w:tcMar>
              <w:top w:w="80" w:type="dxa"/>
              <w:left w:w="100" w:type="dxa"/>
              <w:bottom w:w="80" w:type="dxa"/>
              <w:right w:w="100" w:type="dxa"/>
            </w:tcMar>
          </w:tcPr>
          <w:p w:rsidRPr="0006279B" w:rsidR="002353C0" w:rsidP="0006279B" w:rsidRDefault="002353C0" w14:paraId="2DD4F40C" w14:textId="77777777">
            <w:pPr>
              <w:spacing w:line="360" w:lineRule="auto"/>
              <w:jc w:val="center"/>
              <w:rPr>
                <w:rFonts w:ascii="Arial" w:hAnsi="Arial" w:cs="Arial"/>
                <w:sz w:val="24"/>
                <w:szCs w:val="24"/>
              </w:rPr>
            </w:pPr>
            <w:r w:rsidRPr="0006279B">
              <w:rPr>
                <w:rFonts w:ascii="Arial" w:hAnsi="Arial" w:cs="Arial"/>
                <w:color w:val="000000"/>
                <w:sz w:val="24"/>
                <w:szCs w:val="24"/>
              </w:rPr>
              <w:t>C</w:t>
            </w:r>
          </w:p>
        </w:tc>
      </w:tr>
      <w:tr w:rsidRPr="0006279B" w:rsidR="002353C0" w:rsidTr="00F44A54" w14:paraId="6D2D692B" w14:textId="77777777">
        <w:tblPrEx>
          <w:tblCellMar>
            <w:top w:w="0" w:type="dxa"/>
            <w:bottom w:w="0" w:type="dxa"/>
          </w:tblCellMar>
        </w:tblPrEx>
        <w:tc>
          <w:tcPr>
            <w:tcW w:w="2200" w:type="dxa"/>
            <w:shd w:val="clear" w:color="auto" w:fill="FFFFFF"/>
            <w:tcMar>
              <w:top w:w="80" w:type="dxa"/>
              <w:left w:w="100" w:type="dxa"/>
              <w:bottom w:w="80" w:type="dxa"/>
              <w:right w:w="100" w:type="dxa"/>
            </w:tcMar>
          </w:tcPr>
          <w:p w:rsidRPr="0006279B" w:rsidR="002353C0" w:rsidP="0006279B" w:rsidRDefault="002353C0" w14:paraId="5B5CC3F7" w14:textId="77777777">
            <w:pPr>
              <w:spacing w:line="360" w:lineRule="auto"/>
              <w:rPr>
                <w:rFonts w:ascii="Arial" w:hAnsi="Arial" w:cs="Arial"/>
                <w:sz w:val="24"/>
                <w:szCs w:val="24"/>
              </w:rPr>
            </w:pPr>
            <w:r w:rsidRPr="0006279B">
              <w:rPr>
                <w:rFonts w:ascii="Arial" w:hAnsi="Arial" w:cs="Arial"/>
                <w:color w:val="000000"/>
                <w:sz w:val="24"/>
                <w:szCs w:val="24"/>
              </w:rPr>
              <w:t>IRR</w:t>
            </w:r>
          </w:p>
        </w:tc>
        <w:tc>
          <w:tcPr>
            <w:tcW w:w="1600" w:type="dxa"/>
            <w:shd w:val="clear" w:color="auto" w:fill="FFFFFF"/>
            <w:tcMar>
              <w:top w:w="80" w:type="dxa"/>
              <w:left w:w="100" w:type="dxa"/>
              <w:bottom w:w="80" w:type="dxa"/>
              <w:right w:w="100" w:type="dxa"/>
            </w:tcMar>
          </w:tcPr>
          <w:p w:rsidRPr="0006279B" w:rsidR="002353C0" w:rsidP="0006279B" w:rsidRDefault="002353C0" w14:paraId="10D6D1DF" w14:textId="77777777">
            <w:pPr>
              <w:spacing w:line="360" w:lineRule="auto"/>
              <w:jc w:val="center"/>
              <w:rPr>
                <w:rFonts w:ascii="Arial" w:hAnsi="Arial" w:cs="Arial"/>
                <w:sz w:val="24"/>
                <w:szCs w:val="24"/>
              </w:rPr>
            </w:pPr>
            <w:r w:rsidRPr="0006279B">
              <w:rPr>
                <w:rFonts w:ascii="Arial" w:hAnsi="Arial" w:cs="Arial"/>
                <w:color w:val="000000"/>
                <w:sz w:val="24"/>
                <w:szCs w:val="24"/>
              </w:rPr>
              <w:t>2.73%</w:t>
            </w:r>
          </w:p>
        </w:tc>
        <w:tc>
          <w:tcPr>
            <w:tcW w:w="1600" w:type="dxa"/>
            <w:shd w:val="clear" w:color="auto" w:fill="FFFFFF"/>
            <w:tcMar>
              <w:top w:w="80" w:type="dxa"/>
              <w:left w:w="100" w:type="dxa"/>
              <w:bottom w:w="80" w:type="dxa"/>
              <w:right w:w="100" w:type="dxa"/>
            </w:tcMar>
          </w:tcPr>
          <w:p w:rsidRPr="0006279B" w:rsidR="002353C0" w:rsidP="0006279B" w:rsidRDefault="002353C0" w14:paraId="1C3E0426" w14:textId="77777777">
            <w:pPr>
              <w:spacing w:line="360" w:lineRule="auto"/>
              <w:jc w:val="center"/>
              <w:rPr>
                <w:rFonts w:ascii="Arial" w:hAnsi="Arial" w:cs="Arial"/>
                <w:sz w:val="24"/>
                <w:szCs w:val="24"/>
              </w:rPr>
            </w:pPr>
            <w:r w:rsidRPr="0006279B">
              <w:rPr>
                <w:rFonts w:ascii="Arial" w:hAnsi="Arial" w:cs="Arial"/>
                <w:color w:val="000000"/>
                <w:sz w:val="24"/>
                <w:szCs w:val="24"/>
              </w:rPr>
              <w:t>3.27%</w:t>
            </w:r>
          </w:p>
        </w:tc>
        <w:tc>
          <w:tcPr>
            <w:tcW w:w="1600" w:type="dxa"/>
            <w:shd w:val="clear" w:color="auto" w:fill="FFFFFF"/>
            <w:tcMar>
              <w:top w:w="80" w:type="dxa"/>
              <w:left w:w="100" w:type="dxa"/>
              <w:bottom w:w="80" w:type="dxa"/>
              <w:right w:w="100" w:type="dxa"/>
            </w:tcMar>
          </w:tcPr>
          <w:p w:rsidRPr="0006279B" w:rsidR="002353C0" w:rsidP="0006279B" w:rsidRDefault="002353C0" w14:paraId="1231D8C2" w14:textId="77777777">
            <w:pPr>
              <w:spacing w:line="360" w:lineRule="auto"/>
              <w:jc w:val="center"/>
              <w:rPr>
                <w:rFonts w:ascii="Arial" w:hAnsi="Arial" w:cs="Arial"/>
                <w:sz w:val="24"/>
                <w:szCs w:val="24"/>
              </w:rPr>
            </w:pPr>
            <w:r w:rsidRPr="0006279B">
              <w:rPr>
                <w:rFonts w:ascii="Arial" w:hAnsi="Arial" w:cs="Arial"/>
                <w:color w:val="000000"/>
                <w:sz w:val="24"/>
                <w:szCs w:val="24"/>
              </w:rPr>
              <w:t>8.59%</w:t>
            </w:r>
          </w:p>
        </w:tc>
        <w:tc>
          <w:tcPr>
            <w:tcW w:w="1600" w:type="dxa"/>
            <w:shd w:val="clear" w:color="auto" w:fill="FFFFFF"/>
            <w:tcMar>
              <w:top w:w="80" w:type="dxa"/>
              <w:left w:w="100" w:type="dxa"/>
              <w:bottom w:w="80" w:type="dxa"/>
              <w:right w:w="100" w:type="dxa"/>
            </w:tcMar>
          </w:tcPr>
          <w:p w:rsidRPr="0006279B" w:rsidR="002353C0" w:rsidP="0006279B" w:rsidRDefault="002353C0" w14:paraId="1D5551BC" w14:textId="77777777">
            <w:pPr>
              <w:spacing w:line="360" w:lineRule="auto"/>
              <w:jc w:val="center"/>
              <w:rPr>
                <w:rFonts w:ascii="Arial" w:hAnsi="Arial" w:cs="Arial"/>
                <w:sz w:val="24"/>
                <w:szCs w:val="24"/>
              </w:rPr>
            </w:pPr>
            <w:r w:rsidRPr="0006279B">
              <w:rPr>
                <w:rFonts w:ascii="Arial" w:hAnsi="Arial" w:cs="Arial"/>
                <w:color w:val="000000"/>
                <w:sz w:val="24"/>
                <w:szCs w:val="24"/>
              </w:rPr>
              <w:t>C</w:t>
            </w:r>
          </w:p>
        </w:tc>
      </w:tr>
    </w:tbl>
    <w:p w:rsidRPr="0006279B" w:rsidR="002353C0" w:rsidP="0006279B" w:rsidRDefault="002353C0" w14:paraId="02288897" w14:textId="77777777">
      <w:pPr>
        <w:spacing w:after="300" w:line="360" w:lineRule="auto"/>
        <w:jc w:val="center"/>
        <w:rPr>
          <w:rFonts w:ascii="Arial" w:hAnsi="Arial" w:cs="Arial"/>
          <w:sz w:val="24"/>
          <w:szCs w:val="24"/>
        </w:rPr>
      </w:pPr>
      <w:r w:rsidRPr="0006279B">
        <w:rPr>
          <w:rFonts w:ascii="Arial" w:hAnsi="Arial" w:cs="Arial"/>
          <w:i/>
          <w:iCs/>
          <w:color w:val="595959"/>
          <w:sz w:val="24"/>
          <w:szCs w:val="24"/>
        </w:rPr>
        <w:t>Table 7: Consolidated ranking across all five techniques</w:t>
      </w:r>
    </w:p>
    <w:p w:rsidRPr="0006279B" w:rsidR="002353C0" w:rsidP="0006279B" w:rsidRDefault="002353C0" w14:paraId="680CC6F8" w14:textId="77777777">
      <w:pPr>
        <w:spacing w:after="180" w:line="360" w:lineRule="auto"/>
        <w:jc w:val="both"/>
        <w:rPr>
          <w:rFonts w:ascii="Arial" w:hAnsi="Arial" w:cs="Arial"/>
          <w:sz w:val="24"/>
          <w:szCs w:val="24"/>
        </w:rPr>
      </w:pPr>
      <w:r w:rsidRPr="0006279B">
        <w:rPr>
          <w:rFonts w:ascii="Arial" w:hAnsi="Arial" w:cs="Arial"/>
          <w:sz w:val="24"/>
          <w:szCs w:val="24"/>
        </w:rPr>
        <w:t>Every technique — payback speed, accounting return, present value, value-per-pound-invested and internal yield — ranks Project C ahead of Projects A and B. Project C is the only investment that recovers capital fastest, exceeds the 8% cost of capital, and generates positive NPV and a PI above 1.0. Projects A and B both destroy shareholder value at the current cost of capital and should be rejected on a stand-alone basis.</w:t>
      </w:r>
    </w:p>
    <w:p w:rsidRPr="00105E89" w:rsidR="002353C0" w:rsidP="00105E89" w:rsidRDefault="002353C0" w14:paraId="4D3A0830" w14:textId="77777777">
      <w:pPr>
        <w:pStyle w:val="Heading1"/>
      </w:pPr>
      <w:bookmarkStart w:name="_Toc236251050" w:id="33"/>
      <w:r w:rsidRPr="00105E89">
        <w:t>Capital Rationing Decision</w:t>
      </w:r>
      <w:bookmarkEnd w:id="33"/>
    </w:p>
    <w:p w:rsidRPr="0006279B" w:rsidR="002353C0" w:rsidP="0006279B" w:rsidRDefault="002353C0" w14:paraId="46590017" w14:textId="77777777">
      <w:pPr>
        <w:spacing w:after="180" w:line="360" w:lineRule="auto"/>
        <w:jc w:val="both"/>
        <w:rPr>
          <w:rFonts w:ascii="Arial" w:hAnsi="Arial" w:cs="Arial"/>
          <w:sz w:val="24"/>
          <w:szCs w:val="24"/>
        </w:rPr>
      </w:pPr>
      <w:r w:rsidRPr="0006279B">
        <w:rPr>
          <w:rFonts w:ascii="Arial" w:hAnsi="Arial" w:cs="Arial"/>
          <w:sz w:val="24"/>
          <w:szCs w:val="24"/>
        </w:rPr>
        <w:t>With a maximum of £100 million available and each project requiring £50 million, the company could theoretically fund any two of the three projects simultaneously. However, since Projects A and B both generate negative NPV, combining either of them with Project C would reduce total shareholder value rather than increase it — the negative-NPV project would simply consume capital that could otherwise remain uninvested or be redirected to alternative opportunities.</w:t>
      </w:r>
    </w:p>
    <w:p w:rsidRPr="0006279B" w:rsidR="002353C0" w:rsidP="0006279B" w:rsidRDefault="002353C0" w14:paraId="5F654659" w14:textId="77777777">
      <w:pPr>
        <w:spacing w:after="180" w:line="360" w:lineRule="auto"/>
        <w:jc w:val="both"/>
        <w:rPr>
          <w:rFonts w:ascii="Arial" w:hAnsi="Arial" w:cs="Arial"/>
          <w:sz w:val="24"/>
          <w:szCs w:val="24"/>
        </w:rPr>
      </w:pPr>
      <w:r w:rsidRPr="0006279B">
        <w:rPr>
          <w:rFonts w:ascii="Arial" w:hAnsi="Arial" w:cs="Arial"/>
          <w:sz w:val="24"/>
          <w:szCs w:val="24"/>
        </w:rPr>
        <w:t>Under capital rationing, the correct approach is to rank projects by Profitability Index (value created per £1 invested) and fund only those with a PI above 1.0. As Project C is the sole project meeting this threshold, the recommendation is to invest £50 million in Project C and retain the remaining £50 million rather than commit it to Project A or B.</w:t>
      </w:r>
    </w:p>
    <w:p w:rsidRPr="0006279B" w:rsidR="002353C0" w:rsidP="0006279B" w:rsidRDefault="002353C0" w14:paraId="4B48B5EC" w14:textId="77777777">
      <w:pPr>
        <w:shd w:val="clear" w:color="auto" w:fill="EAF1E3"/>
        <w:spacing w:after="300" w:line="360" w:lineRule="auto"/>
        <w:jc w:val="both"/>
        <w:rPr>
          <w:rFonts w:ascii="Arial" w:hAnsi="Arial" w:cs="Arial"/>
          <w:sz w:val="24"/>
          <w:szCs w:val="24"/>
        </w:rPr>
      </w:pPr>
      <w:r w:rsidRPr="00105E89">
        <w:rPr>
          <w:rFonts w:ascii="Arial" w:hAnsi="Arial" w:cs="Arial"/>
          <w:b/>
          <w:bCs/>
          <w:sz w:val="24"/>
          <w:szCs w:val="24"/>
        </w:rPr>
        <w:t xml:space="preserve">Recommendation: </w:t>
      </w:r>
      <w:r w:rsidRPr="00105E89">
        <w:rPr>
          <w:rFonts w:ascii="Arial" w:hAnsi="Arial" w:cs="Arial"/>
          <w:sz w:val="24"/>
          <w:szCs w:val="24"/>
        </w:rPr>
        <w:t>Approve Project C only. It is the sole project that satisfies the NPV, PI and IRR acceptance criteria at Whitbread's 8% cost of capital, and it also offers the fastest payback and the highest accounting return of the three options.</w:t>
      </w:r>
    </w:p>
    <w:p w:rsidR="007D136F" w:rsidRDefault="007D136F" w14:paraId="2CA1EABE" w14:textId="072C8230"/>
    <w:p w:rsidR="007D136F" w:rsidRDefault="007D136F" w14:paraId="518B31F2" w14:textId="77777777">
      <w:r>
        <w:br w:type="page"/>
      </w:r>
    </w:p>
    <w:p w:rsidR="009D7D96" w:rsidP="007D136F" w:rsidRDefault="007D136F" w14:paraId="2870B716" w14:textId="1FCD11E0">
      <w:pPr>
        <w:pStyle w:val="Heading1"/>
      </w:pPr>
      <w:r w:rsidR="007D136F">
        <w:rPr/>
        <w:t>REFERENCE LIST:</w:t>
      </w:r>
    </w:p>
    <w:p w:rsidR="502BD302" w:rsidP="65C3135E" w:rsidRDefault="502BD302" w14:paraId="1C7E0F43" w14:textId="06809CF5">
      <w:pPr>
        <w:pStyle w:val="Normal"/>
      </w:pPr>
      <w:r w:rsidRPr="65C3135E" w:rsidR="502BD302">
        <w:rPr>
          <w:rFonts w:ascii="Arial" w:hAnsi="Arial" w:eastAsia="Arial" w:cs="Arial"/>
          <w:sz w:val="24"/>
          <w:szCs w:val="24"/>
        </w:rPr>
        <w:t xml:space="preserve">Atrill and McLaney's Accounting and Finance for Non-Specialists, E. and McLaney, P. (2022) Accounting and Finance for Non-Specialists. 12th ed. Harlow: Pearson  </w:t>
      </w:r>
    </w:p>
    <w:p w:rsidR="502BD302" w:rsidP="65C3135E" w:rsidRDefault="502BD302" w14:paraId="452F49FC" w14:textId="1298A369">
      <w:pPr>
        <w:spacing w:before="240" w:beforeAutospacing="off" w:after="240" w:afterAutospacing="off"/>
      </w:pPr>
      <w:r w:rsidRPr="65C3135E" w:rsidR="502BD302">
        <w:rPr>
          <w:rFonts w:ascii="Arial" w:hAnsi="Arial" w:eastAsia="Arial" w:cs="Arial"/>
          <w:noProof w:val="0"/>
          <w:sz w:val="24"/>
          <w:szCs w:val="24"/>
          <w:lang w:val="en-GB"/>
        </w:rPr>
        <w:t>Brealey, R.A., Myers, S.C. and Allen, F. (2023) Principles of Corporate Finance. 14th ed. New York: McGraw-Hill.</w:t>
      </w:r>
    </w:p>
    <w:p w:rsidR="502BD302" w:rsidP="65C3135E" w:rsidRDefault="502BD302" w14:paraId="56B22F15" w14:textId="4EC4D1C9">
      <w:pPr>
        <w:spacing w:before="240" w:beforeAutospacing="off" w:after="240" w:afterAutospacing="off"/>
      </w:pPr>
      <w:r w:rsidRPr="65C3135E" w:rsidR="502BD302">
        <w:rPr>
          <w:rFonts w:ascii="Arial" w:hAnsi="Arial" w:eastAsia="Arial" w:cs="Arial"/>
          <w:noProof w:val="0"/>
          <w:sz w:val="24"/>
          <w:szCs w:val="24"/>
          <w:lang w:val="en-GB"/>
        </w:rPr>
        <w:t>Brigham, E.F. and Ehrhardt, M.C. (2022) Financial Management: Theory and Practice. 16th ed. Boston: Cengage Learning.</w:t>
      </w:r>
    </w:p>
    <w:p w:rsidR="502BD302" w:rsidP="65C3135E" w:rsidRDefault="502BD302" w14:paraId="532C9998" w14:textId="24ED66DA">
      <w:pPr>
        <w:spacing w:before="240" w:beforeAutospacing="off" w:after="240" w:afterAutospacing="off"/>
      </w:pPr>
      <w:r w:rsidRPr="65C3135E" w:rsidR="502BD302">
        <w:rPr>
          <w:rFonts w:ascii="Arial" w:hAnsi="Arial" w:eastAsia="Arial" w:cs="Arial"/>
          <w:noProof w:val="0"/>
          <w:sz w:val="24"/>
          <w:szCs w:val="24"/>
          <w:lang w:val="en-GB"/>
        </w:rPr>
        <w:t>Johnson, G., Scholes, K. and Whittington, R. (2020) Exploring Strategy. 12th ed. Harlow: Pearson.</w:t>
      </w:r>
    </w:p>
    <w:p w:rsidR="502BD302" w:rsidP="65C3135E" w:rsidRDefault="502BD302" w14:paraId="3CEEA78C" w14:textId="61D10A99">
      <w:pPr>
        <w:spacing w:before="240" w:beforeAutospacing="off" w:after="240" w:afterAutospacing="off"/>
      </w:pPr>
      <w:r w:rsidRPr="65C3135E" w:rsidR="502BD302">
        <w:rPr>
          <w:rFonts w:ascii="Arial" w:hAnsi="Arial" w:eastAsia="Arial" w:cs="Arial"/>
          <w:noProof w:val="0"/>
          <w:sz w:val="24"/>
          <w:szCs w:val="24"/>
          <w:lang w:val="en-GB"/>
        </w:rPr>
        <w:t>Madura, J. (2021) International Financial Management. 14th ed. Boston: Cengage Learning.</w:t>
      </w:r>
    </w:p>
    <w:p w:rsidR="502BD302" w:rsidP="65C3135E" w:rsidRDefault="502BD302" w14:paraId="56150A09" w14:textId="45AB03E0">
      <w:pPr>
        <w:spacing w:before="240" w:beforeAutospacing="off" w:after="240" w:afterAutospacing="off"/>
      </w:pPr>
      <w:r w:rsidRPr="65C3135E" w:rsidR="502BD302">
        <w:rPr>
          <w:rFonts w:ascii="Arial" w:hAnsi="Arial" w:eastAsia="Arial" w:cs="Arial"/>
          <w:noProof w:val="0"/>
          <w:sz w:val="24"/>
          <w:szCs w:val="24"/>
          <w:lang w:val="en-GB"/>
        </w:rPr>
        <w:t>Porter, M.E. (1985) Competitive Advantage: Creating and Sustaining Superior Performance. New York: Free Press.</w:t>
      </w:r>
    </w:p>
    <w:p w:rsidR="502BD302" w:rsidP="65C3135E" w:rsidRDefault="502BD302" w14:paraId="336F8BDA" w14:textId="464EB5DA">
      <w:pPr>
        <w:spacing w:before="240" w:beforeAutospacing="off" w:after="240" w:afterAutospacing="off"/>
      </w:pPr>
      <w:r w:rsidRPr="65C3135E" w:rsidR="502BD302">
        <w:rPr>
          <w:rFonts w:ascii="Arial" w:hAnsi="Arial" w:eastAsia="Arial" w:cs="Arial"/>
          <w:noProof w:val="0"/>
          <w:sz w:val="24"/>
          <w:szCs w:val="24"/>
          <w:lang w:val="en-GB"/>
        </w:rPr>
        <w:t>Ross, S.A., Westerfield, R.W., Jordan, B.D., Lim, J. and Tan, R. (2022) Fundamentals of Corporate Finance. 13th ed. New York: McGraw-Hill.</w:t>
      </w:r>
    </w:p>
    <w:p w:rsidR="502BD302" w:rsidP="65C3135E" w:rsidRDefault="502BD302" w14:paraId="41C533DC" w14:textId="4C1FB33A">
      <w:pPr>
        <w:spacing w:before="240" w:beforeAutospacing="off" w:after="240" w:afterAutospacing="off"/>
      </w:pPr>
      <w:r w:rsidRPr="65C3135E" w:rsidR="502BD302">
        <w:rPr>
          <w:rFonts w:ascii="Arial" w:hAnsi="Arial" w:eastAsia="Arial" w:cs="Arial"/>
          <w:noProof w:val="0"/>
          <w:sz w:val="24"/>
          <w:szCs w:val="24"/>
          <w:lang w:val="en-GB"/>
        </w:rPr>
        <w:t>Whitbread plc (2021) Annual Report and Accounts 2020/21. London: Whitbread plc</w:t>
      </w:r>
    </w:p>
    <w:p w:rsidR="65C3135E" w:rsidP="65C3135E" w:rsidRDefault="65C3135E" w14:paraId="47B4B862" w14:textId="54DEF1D7">
      <w:pPr>
        <w:pStyle w:val="Normal"/>
      </w:pPr>
    </w:p>
    <w:p w:rsidR="65C3135E" w:rsidP="65C3135E" w:rsidRDefault="65C3135E" w14:paraId="57CE639A" w14:textId="732CD0C7">
      <w:pPr>
        <w:pStyle w:val="Normal"/>
        <w:rPr>
          <w:rFonts w:ascii="Arial" w:hAnsi="Arial" w:eastAsia="Arial" w:cs="Arial"/>
          <w:sz w:val="24"/>
          <w:szCs w:val="24"/>
        </w:rPr>
      </w:pPr>
    </w:p>
    <w:sectPr w:rsidR="009D7D96" w:rsidSect="00E23120">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A701AD" w:rsidP="00E23120" w:rsidRDefault="00A701AD" w14:paraId="4E70331D" w14:textId="77777777">
      <w:r>
        <w:separator/>
      </w:r>
    </w:p>
  </w:endnote>
  <w:endnote w:type="continuationSeparator" w:id="0">
    <w:p w:rsidR="00A701AD" w:rsidP="00E23120" w:rsidRDefault="00A701AD" w14:paraId="7740412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A701AD" w:rsidP="00E23120" w:rsidRDefault="00A701AD" w14:paraId="69F17529" w14:textId="77777777">
      <w:r>
        <w:separator/>
      </w:r>
    </w:p>
  </w:footnote>
  <w:footnote w:type="continuationSeparator" w:id="0">
    <w:p w:rsidR="00A701AD" w:rsidP="00E23120" w:rsidRDefault="00A701AD" w14:paraId="022EBBA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7107875"/>
    <w:multiLevelType w:val="hybridMultilevel"/>
    <w:tmpl w:val="EFB8F308"/>
    <w:lvl w:ilvl="0" w:tplc="355EAF42">
      <w:start w:val="1"/>
      <w:numFmt w:val="bullet"/>
      <w:lvlText w:val="●"/>
      <w:lvlJc w:val="left"/>
      <w:pPr>
        <w:ind w:left="720" w:hanging="360"/>
      </w:pPr>
    </w:lvl>
    <w:lvl w:ilvl="1" w:tplc="021437B8">
      <w:start w:val="1"/>
      <w:numFmt w:val="bullet"/>
      <w:lvlText w:val="○"/>
      <w:lvlJc w:val="left"/>
      <w:pPr>
        <w:ind w:left="1440" w:hanging="360"/>
      </w:pPr>
    </w:lvl>
    <w:lvl w:ilvl="2" w:tplc="D9841AC8">
      <w:start w:val="1"/>
      <w:numFmt w:val="bullet"/>
      <w:lvlText w:val="■"/>
      <w:lvlJc w:val="left"/>
      <w:pPr>
        <w:ind w:left="2160" w:hanging="360"/>
      </w:pPr>
    </w:lvl>
    <w:lvl w:ilvl="3" w:tplc="C2FCB06C">
      <w:start w:val="1"/>
      <w:numFmt w:val="bullet"/>
      <w:lvlText w:val="●"/>
      <w:lvlJc w:val="left"/>
      <w:pPr>
        <w:ind w:left="2880" w:hanging="360"/>
      </w:pPr>
    </w:lvl>
    <w:lvl w:ilvl="4" w:tplc="9B28EF00">
      <w:start w:val="1"/>
      <w:numFmt w:val="bullet"/>
      <w:lvlText w:val="○"/>
      <w:lvlJc w:val="left"/>
      <w:pPr>
        <w:ind w:left="3600" w:hanging="360"/>
      </w:pPr>
    </w:lvl>
    <w:lvl w:ilvl="5" w:tplc="5414153C">
      <w:start w:val="1"/>
      <w:numFmt w:val="bullet"/>
      <w:lvlText w:val="■"/>
      <w:lvlJc w:val="left"/>
      <w:pPr>
        <w:ind w:left="4320" w:hanging="360"/>
      </w:pPr>
    </w:lvl>
    <w:lvl w:ilvl="6" w:tplc="1B70E494">
      <w:start w:val="1"/>
      <w:numFmt w:val="bullet"/>
      <w:lvlText w:val="●"/>
      <w:lvlJc w:val="left"/>
      <w:pPr>
        <w:ind w:left="5040" w:hanging="360"/>
      </w:pPr>
    </w:lvl>
    <w:lvl w:ilvl="7" w:tplc="81C61CC6">
      <w:start w:val="1"/>
      <w:numFmt w:val="bullet"/>
      <w:lvlText w:val="●"/>
      <w:lvlJc w:val="left"/>
      <w:pPr>
        <w:ind w:left="5760" w:hanging="360"/>
      </w:pPr>
    </w:lvl>
    <w:lvl w:ilvl="8" w:tplc="1E66A0C0">
      <w:start w:val="1"/>
      <w:numFmt w:val="bullet"/>
      <w:lvlText w:val="●"/>
      <w:lvlJc w:val="left"/>
      <w:pPr>
        <w:ind w:left="6480" w:hanging="360"/>
      </w:pPr>
    </w:lvl>
  </w:abstractNum>
  <w:num w:numId="1" w16cid:durableId="1952862501">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2"/>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581"/>
    <w:rsid w:val="00032BA1"/>
    <w:rsid w:val="0006279B"/>
    <w:rsid w:val="00105E89"/>
    <w:rsid w:val="001E1622"/>
    <w:rsid w:val="002353C0"/>
    <w:rsid w:val="002536A0"/>
    <w:rsid w:val="002E568D"/>
    <w:rsid w:val="00317E8C"/>
    <w:rsid w:val="0054712B"/>
    <w:rsid w:val="005E7038"/>
    <w:rsid w:val="00786CA6"/>
    <w:rsid w:val="00790E1A"/>
    <w:rsid w:val="007B0D6B"/>
    <w:rsid w:val="007D136F"/>
    <w:rsid w:val="00872127"/>
    <w:rsid w:val="009071E6"/>
    <w:rsid w:val="00982245"/>
    <w:rsid w:val="009D7D96"/>
    <w:rsid w:val="00A701AD"/>
    <w:rsid w:val="00B667D3"/>
    <w:rsid w:val="00B71581"/>
    <w:rsid w:val="00C04F4B"/>
    <w:rsid w:val="00D92625"/>
    <w:rsid w:val="00DC59B7"/>
    <w:rsid w:val="00E17E1F"/>
    <w:rsid w:val="00E23120"/>
    <w:rsid w:val="103EB30A"/>
    <w:rsid w:val="487B2522"/>
    <w:rsid w:val="4EA8448A"/>
    <w:rsid w:val="502BD302"/>
    <w:rsid w:val="556F52CD"/>
    <w:rsid w:val="5F70F52B"/>
    <w:rsid w:val="658A1DAC"/>
    <w:rsid w:val="65C3135E"/>
    <w:rsid w:val="6BA944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3BF93E"/>
  <w15:chartTrackingRefBased/>
  <w15:docId w15:val="{FA22B9B6-8A26-D244-A7AA-52D8F995F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86CA6"/>
    <w:rPr>
      <w:rFonts w:ascii="Calibri" w:hAnsi="Calibri" w:eastAsia="Calibri" w:cs="Calibri"/>
      <w:kern w:val="0"/>
      <w:sz w:val="22"/>
      <w:szCs w:val="22"/>
      <w:lang w:eastAsia="en-GB"/>
      <w14:ligatures w14:val="none"/>
    </w:rPr>
  </w:style>
  <w:style w:type="paragraph" w:styleId="Heading1">
    <w:name w:val="heading 1"/>
    <w:basedOn w:val="Normal"/>
    <w:next w:val="Normal"/>
    <w:link w:val="Heading1Char"/>
    <w:uiPriority w:val="9"/>
    <w:qFormat/>
    <w:rsid w:val="00B7158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158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15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15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15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158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158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158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1581"/>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7158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B7158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7158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7158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7158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7158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7158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7158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71581"/>
    <w:rPr>
      <w:rFonts w:eastAsiaTheme="majorEastAsia" w:cstheme="majorBidi"/>
      <w:color w:val="272727" w:themeColor="text1" w:themeTint="D8"/>
    </w:rPr>
  </w:style>
  <w:style w:type="paragraph" w:styleId="Title">
    <w:name w:val="Title"/>
    <w:basedOn w:val="Normal"/>
    <w:next w:val="Normal"/>
    <w:link w:val="TitleChar"/>
    <w:uiPriority w:val="10"/>
    <w:qFormat/>
    <w:rsid w:val="00B71581"/>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7158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71581"/>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715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1581"/>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B71581"/>
    <w:rPr>
      <w:i/>
      <w:iCs/>
      <w:color w:val="404040" w:themeColor="text1" w:themeTint="BF"/>
    </w:rPr>
  </w:style>
  <w:style w:type="paragraph" w:styleId="ListParagraph">
    <w:name w:val="List Paragraph"/>
    <w:basedOn w:val="Normal"/>
    <w:qFormat/>
    <w:rsid w:val="00B71581"/>
    <w:pPr>
      <w:ind w:left="720"/>
      <w:contextualSpacing/>
    </w:pPr>
  </w:style>
  <w:style w:type="character" w:styleId="IntenseEmphasis">
    <w:name w:val="Intense Emphasis"/>
    <w:basedOn w:val="DefaultParagraphFont"/>
    <w:uiPriority w:val="21"/>
    <w:qFormat/>
    <w:rsid w:val="00B71581"/>
    <w:rPr>
      <w:i/>
      <w:iCs/>
      <w:color w:val="0F4761" w:themeColor="accent1" w:themeShade="BF"/>
    </w:rPr>
  </w:style>
  <w:style w:type="paragraph" w:styleId="IntenseQuote">
    <w:name w:val="Intense Quote"/>
    <w:basedOn w:val="Normal"/>
    <w:next w:val="Normal"/>
    <w:link w:val="IntenseQuoteChar"/>
    <w:uiPriority w:val="30"/>
    <w:qFormat/>
    <w:rsid w:val="00B7158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71581"/>
    <w:rPr>
      <w:i/>
      <w:iCs/>
      <w:color w:val="0F4761" w:themeColor="accent1" w:themeShade="BF"/>
    </w:rPr>
  </w:style>
  <w:style w:type="character" w:styleId="IntenseReference">
    <w:name w:val="Intense Reference"/>
    <w:basedOn w:val="DefaultParagraphFont"/>
    <w:uiPriority w:val="32"/>
    <w:qFormat/>
    <w:rsid w:val="00B71581"/>
    <w:rPr>
      <w:b/>
      <w:bCs/>
      <w:smallCaps/>
      <w:color w:val="0F4761" w:themeColor="accent1" w:themeShade="BF"/>
      <w:spacing w:val="5"/>
    </w:rPr>
  </w:style>
  <w:style w:type="paragraph" w:styleId="TOCHeading">
    <w:name w:val="TOC Heading"/>
    <w:basedOn w:val="Heading1"/>
    <w:next w:val="Normal"/>
    <w:uiPriority w:val="39"/>
    <w:unhideWhenUsed/>
    <w:qFormat/>
    <w:rsid w:val="00872127"/>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872127"/>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872127"/>
    <w:pPr>
      <w:ind w:left="220"/>
    </w:pPr>
    <w:rPr>
      <w:rFonts w:asciiTheme="minorHAnsi" w:hAnsiTheme="minorHAnsi"/>
      <w:smallCaps/>
      <w:sz w:val="20"/>
      <w:szCs w:val="20"/>
    </w:rPr>
  </w:style>
  <w:style w:type="character" w:styleId="Hyperlink">
    <w:name w:val="Hyperlink"/>
    <w:basedOn w:val="DefaultParagraphFont"/>
    <w:uiPriority w:val="99"/>
    <w:unhideWhenUsed/>
    <w:rsid w:val="00872127"/>
    <w:rPr>
      <w:color w:val="467886" w:themeColor="hyperlink"/>
      <w:u w:val="single"/>
    </w:rPr>
  </w:style>
  <w:style w:type="paragraph" w:styleId="TOC3">
    <w:name w:val="toc 3"/>
    <w:basedOn w:val="Normal"/>
    <w:next w:val="Normal"/>
    <w:autoRedefine/>
    <w:uiPriority w:val="39"/>
    <w:semiHidden/>
    <w:unhideWhenUsed/>
    <w:rsid w:val="00872127"/>
    <w:pPr>
      <w:ind w:left="440"/>
    </w:pPr>
    <w:rPr>
      <w:rFonts w:asciiTheme="minorHAnsi" w:hAnsiTheme="minorHAnsi"/>
      <w:i/>
      <w:iCs/>
      <w:sz w:val="20"/>
      <w:szCs w:val="20"/>
    </w:rPr>
  </w:style>
  <w:style w:type="paragraph" w:styleId="TOC4">
    <w:name w:val="toc 4"/>
    <w:basedOn w:val="Normal"/>
    <w:next w:val="Normal"/>
    <w:autoRedefine/>
    <w:uiPriority w:val="39"/>
    <w:semiHidden/>
    <w:unhideWhenUsed/>
    <w:rsid w:val="00872127"/>
    <w:pPr>
      <w:ind w:left="660"/>
    </w:pPr>
    <w:rPr>
      <w:rFonts w:asciiTheme="minorHAnsi" w:hAnsiTheme="minorHAnsi"/>
      <w:sz w:val="18"/>
      <w:szCs w:val="18"/>
    </w:rPr>
  </w:style>
  <w:style w:type="paragraph" w:styleId="TOC5">
    <w:name w:val="toc 5"/>
    <w:basedOn w:val="Normal"/>
    <w:next w:val="Normal"/>
    <w:autoRedefine/>
    <w:uiPriority w:val="39"/>
    <w:semiHidden/>
    <w:unhideWhenUsed/>
    <w:rsid w:val="00872127"/>
    <w:pPr>
      <w:ind w:left="880"/>
    </w:pPr>
    <w:rPr>
      <w:rFonts w:asciiTheme="minorHAnsi" w:hAnsiTheme="minorHAnsi"/>
      <w:sz w:val="18"/>
      <w:szCs w:val="18"/>
    </w:rPr>
  </w:style>
  <w:style w:type="paragraph" w:styleId="TOC6">
    <w:name w:val="toc 6"/>
    <w:basedOn w:val="Normal"/>
    <w:next w:val="Normal"/>
    <w:autoRedefine/>
    <w:uiPriority w:val="39"/>
    <w:semiHidden/>
    <w:unhideWhenUsed/>
    <w:rsid w:val="00872127"/>
    <w:pPr>
      <w:ind w:left="1100"/>
    </w:pPr>
    <w:rPr>
      <w:rFonts w:asciiTheme="minorHAnsi" w:hAnsiTheme="minorHAnsi"/>
      <w:sz w:val="18"/>
      <w:szCs w:val="18"/>
    </w:rPr>
  </w:style>
  <w:style w:type="paragraph" w:styleId="TOC7">
    <w:name w:val="toc 7"/>
    <w:basedOn w:val="Normal"/>
    <w:next w:val="Normal"/>
    <w:autoRedefine/>
    <w:uiPriority w:val="39"/>
    <w:semiHidden/>
    <w:unhideWhenUsed/>
    <w:rsid w:val="00872127"/>
    <w:pPr>
      <w:ind w:left="1320"/>
    </w:pPr>
    <w:rPr>
      <w:rFonts w:asciiTheme="minorHAnsi" w:hAnsiTheme="minorHAnsi"/>
      <w:sz w:val="18"/>
      <w:szCs w:val="18"/>
    </w:rPr>
  </w:style>
  <w:style w:type="paragraph" w:styleId="TOC8">
    <w:name w:val="toc 8"/>
    <w:basedOn w:val="Normal"/>
    <w:next w:val="Normal"/>
    <w:autoRedefine/>
    <w:uiPriority w:val="39"/>
    <w:semiHidden/>
    <w:unhideWhenUsed/>
    <w:rsid w:val="00872127"/>
    <w:pPr>
      <w:ind w:left="1540"/>
    </w:pPr>
    <w:rPr>
      <w:rFonts w:asciiTheme="minorHAnsi" w:hAnsiTheme="minorHAnsi"/>
      <w:sz w:val="18"/>
      <w:szCs w:val="18"/>
    </w:rPr>
  </w:style>
  <w:style w:type="paragraph" w:styleId="TOC9">
    <w:name w:val="toc 9"/>
    <w:basedOn w:val="Normal"/>
    <w:next w:val="Normal"/>
    <w:autoRedefine/>
    <w:uiPriority w:val="39"/>
    <w:semiHidden/>
    <w:unhideWhenUsed/>
    <w:rsid w:val="00872127"/>
    <w:pPr>
      <w:ind w:left="1760"/>
    </w:pPr>
    <w:rPr>
      <w:rFonts w:asciiTheme="minorHAnsi" w:hAnsiTheme="minorHAnsi"/>
      <w:sz w:val="18"/>
      <w:szCs w:val="18"/>
    </w:rPr>
  </w:style>
  <w:style w:type="paragraph" w:styleId="Header">
    <w:name w:val="header"/>
    <w:basedOn w:val="Normal"/>
    <w:link w:val="HeaderChar"/>
    <w:uiPriority w:val="99"/>
    <w:unhideWhenUsed/>
    <w:rsid w:val="00E23120"/>
    <w:pPr>
      <w:tabs>
        <w:tab w:val="center" w:pos="4513"/>
        <w:tab w:val="right" w:pos="9026"/>
      </w:tabs>
    </w:pPr>
  </w:style>
  <w:style w:type="character" w:styleId="HeaderChar" w:customStyle="1">
    <w:name w:val="Header Char"/>
    <w:basedOn w:val="DefaultParagraphFont"/>
    <w:link w:val="Header"/>
    <w:uiPriority w:val="99"/>
    <w:rsid w:val="00E23120"/>
    <w:rPr>
      <w:rFonts w:ascii="Calibri" w:hAnsi="Calibri" w:eastAsia="Calibri" w:cs="Calibri"/>
      <w:kern w:val="0"/>
      <w:sz w:val="22"/>
      <w:szCs w:val="22"/>
      <w:lang w:eastAsia="en-GB"/>
      <w14:ligatures w14:val="none"/>
    </w:rPr>
  </w:style>
  <w:style w:type="paragraph" w:styleId="Footer">
    <w:name w:val="footer"/>
    <w:basedOn w:val="Normal"/>
    <w:link w:val="FooterChar"/>
    <w:uiPriority w:val="99"/>
    <w:unhideWhenUsed/>
    <w:rsid w:val="00E23120"/>
    <w:pPr>
      <w:tabs>
        <w:tab w:val="center" w:pos="4513"/>
        <w:tab w:val="right" w:pos="9026"/>
      </w:tabs>
    </w:pPr>
  </w:style>
  <w:style w:type="character" w:styleId="FooterChar" w:customStyle="1">
    <w:name w:val="Footer Char"/>
    <w:basedOn w:val="DefaultParagraphFont"/>
    <w:link w:val="Footer"/>
    <w:uiPriority w:val="99"/>
    <w:rsid w:val="00E23120"/>
    <w:rPr>
      <w:rFonts w:ascii="Calibri" w:hAnsi="Calibri" w:eastAsia="Calibri" w:cs="Calibri"/>
      <w:kern w:val="0"/>
      <w:sz w:val="22"/>
      <w:szCs w:val="22"/>
      <w:lang w:eastAsia="en-GB"/>
      <w14:ligatures w14:val="none"/>
    </w:rPr>
  </w:style>
  <w:style w:type="paragraph" w:styleId="NoSpacing">
    <w:name w:val="No Spacing"/>
    <w:link w:val="NoSpacingChar"/>
    <w:uiPriority w:val="1"/>
    <w:qFormat/>
    <w:rsid w:val="00E23120"/>
    <w:rPr>
      <w:rFonts w:eastAsiaTheme="minorEastAsia"/>
      <w:kern w:val="0"/>
      <w:sz w:val="22"/>
      <w:szCs w:val="22"/>
      <w:lang w:val="en-US" w:eastAsia="zh-CN"/>
      <w14:ligatures w14:val="none"/>
    </w:rPr>
  </w:style>
  <w:style w:type="character" w:styleId="NoSpacingChar" w:customStyle="1">
    <w:name w:val="No Spacing Char"/>
    <w:basedOn w:val="DefaultParagraphFont"/>
    <w:link w:val="NoSpacing"/>
    <w:uiPriority w:val="1"/>
    <w:rsid w:val="00E23120"/>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3.png" Id="rId10" /><Relationship Type="http://schemas.openxmlformats.org/officeDocument/2006/relationships/glossaryDocument" Target="glossary/document.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F78C5D4B18FD3D4E84036FCDEE6826C3"/>
        <w:category>
          <w:name w:val="General"/>
          <w:gallery w:val="placeholder"/>
        </w:category>
        <w:types>
          <w:type w:val="bbPlcHdr"/>
        </w:types>
        <w:behaviors>
          <w:behavior w:val="content"/>
        </w:behaviors>
        <w:guid w:val="{F94AB47B-0BBF-E544-9723-261804A9E4BE}"/>
      </w:docPartPr>
      <w:docPartBody>
        <w:p w:rsidR="00B0190C" w:rsidP="00D220FA" w:rsidRDefault="00D220FA">
          <w:pPr>
            <w:pStyle w:val="F78C5D4B18FD3D4E84036FCDEE6826C3"/>
          </w:pPr>
          <w:r>
            <w:rPr>
              <w:rFonts w:asciiTheme="majorHAnsi" w:hAnsiTheme="majorHAnsi" w:eastAsiaTheme="majorEastAsia" w:cstheme="majorBidi"/>
              <w:caps/>
              <w:color w:val="156082" w:themeColor="accent1"/>
              <w:sz w:val="80"/>
              <w:szCs w:val="80"/>
            </w:rPr>
            <w:t>[Document title]</w:t>
          </w:r>
        </w:p>
      </w:docPartBody>
    </w:docPart>
    <w:docPart>
      <w:docPartPr>
        <w:name w:val="BC8488FD05C5494F83C8D5148EE6D0E8"/>
        <w:category>
          <w:name w:val="General"/>
          <w:gallery w:val="placeholder"/>
        </w:category>
        <w:types>
          <w:type w:val="bbPlcHdr"/>
        </w:types>
        <w:behaviors>
          <w:behavior w:val="content"/>
        </w:behaviors>
        <w:guid w:val="{1F8CCC64-7047-3746-847E-CFD68C87B402}"/>
      </w:docPartPr>
      <w:docPartBody>
        <w:p w:rsidR="00B0190C" w:rsidP="00D220FA" w:rsidRDefault="00D220FA">
          <w:pPr>
            <w:pStyle w:val="BC8488FD05C5494F83C8D5148EE6D0E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0FA"/>
    <w:rsid w:val="00BF5898"/>
    <w:rsid w:val="00D220FA"/>
    <w:rsid w:val="00DC5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8C5D4B18FD3D4E84036FCDEE6826C3">
    <w:name w:val="F78C5D4B18FD3D4E84036FCDEE6826C3"/>
    <w:rsid w:val="00D220FA"/>
  </w:style>
  <w:style w:type="paragraph" w:customStyle="1" w:styleId="BC8488FD05C5494F83C8D5148EE6D0E8">
    <w:name w:val="BC8488FD05C5494F83C8D5148EE6D0E8"/>
    <w:rsid w:val="00D220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3C9C18-213C-C74E-AD67-352C2F25FC0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FINANCIAL PERFORMANCE AND MANAGEMENT 7002</dc:title>
  <dc:subject>2236502</dc:subject>
  <dc:creator>Nosheen Manzoor (2218718)</dc:creator>
  <keywords/>
  <dc:description/>
  <lastModifiedBy>Peter francis</lastModifiedBy>
  <revision>22</revision>
  <dcterms:created xsi:type="dcterms:W3CDTF">2026-07-29T19:44:00.0000000Z</dcterms:created>
  <dcterms:modified xsi:type="dcterms:W3CDTF">2026-07-29T20:44:49.6010026Z</dcterms:modified>
</coreProperties>
</file>