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2C057" w14:textId="5FBA2304" w:rsidR="004336D6" w:rsidRDefault="004336D6" w:rsidP="004336D6">
      <w:pPr>
        <w:jc w:val="center"/>
        <w:rPr>
          <w:b/>
          <w:bCs/>
        </w:rPr>
      </w:pPr>
      <w:r>
        <w:rPr>
          <w:noProof/>
        </w:rPr>
        <w:drawing>
          <wp:inline distT="0" distB="0" distL="0" distR="0" wp14:anchorId="02DE3157" wp14:editId="211784C3">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72B7971" w14:textId="77777777" w:rsidR="004336D6" w:rsidRDefault="004336D6" w:rsidP="004336D6">
      <w:pPr>
        <w:jc w:val="center"/>
        <w:rPr>
          <w:b/>
          <w:bCs/>
        </w:rPr>
      </w:pPr>
    </w:p>
    <w:p w14:paraId="1158834E" w14:textId="77777777" w:rsidR="004336D6" w:rsidRDefault="004336D6" w:rsidP="004336D6">
      <w:pPr>
        <w:jc w:val="center"/>
        <w:rPr>
          <w:b/>
          <w:bCs/>
        </w:rPr>
      </w:pPr>
    </w:p>
    <w:p w14:paraId="23DC1BB3" w14:textId="77777777" w:rsidR="00B0474F" w:rsidRDefault="00B0474F" w:rsidP="00B0474F">
      <w:pPr>
        <w:jc w:val="center"/>
        <w:rPr>
          <w:rFonts w:ascii="Arial Nova" w:eastAsia="Arial Nova" w:hAnsi="Arial Nova" w:cs="Arial Nova"/>
          <w:b/>
          <w:bCs/>
          <w:sz w:val="44"/>
          <w:szCs w:val="44"/>
        </w:rPr>
      </w:pPr>
      <w:r>
        <w:rPr>
          <w:rFonts w:ascii="Arial Nova" w:eastAsia="Arial Nova" w:hAnsi="Arial Nova" w:cs="Arial Nova"/>
          <w:b/>
          <w:bCs/>
          <w:sz w:val="44"/>
          <w:szCs w:val="44"/>
        </w:rPr>
        <w:t>(BMHP50_BIRM)</w:t>
      </w:r>
    </w:p>
    <w:p w14:paraId="46DE6480" w14:textId="0E1EBD8B" w:rsidR="004336D6" w:rsidRDefault="00B0474F" w:rsidP="00780586">
      <w:pPr>
        <w:jc w:val="center"/>
        <w:rPr>
          <w:rFonts w:ascii="Arial Nova" w:eastAsia="Arial Nova" w:hAnsi="Arial Nova" w:cs="Arial Nova"/>
          <w:b/>
          <w:bCs/>
          <w:sz w:val="44"/>
          <w:szCs w:val="44"/>
        </w:rPr>
      </w:pPr>
      <w:r>
        <w:rPr>
          <w:rFonts w:ascii="Arial Nova" w:eastAsia="Arial Nova" w:hAnsi="Arial Nova" w:cs="Arial Nova"/>
          <w:b/>
          <w:bCs/>
          <w:sz w:val="44"/>
          <w:szCs w:val="44"/>
        </w:rPr>
        <w:t>Changemakers: Building your Personal Brand for Sustainable Employment</w:t>
      </w:r>
    </w:p>
    <w:p w14:paraId="3B159221" w14:textId="54C03C5A" w:rsidR="00780586" w:rsidRDefault="00780586" w:rsidP="00780586">
      <w:pPr>
        <w:jc w:val="center"/>
        <w:rPr>
          <w:rFonts w:ascii="Arial Nova" w:eastAsia="Arial Nova" w:hAnsi="Arial Nova" w:cs="Arial Nova"/>
          <w:b/>
          <w:bCs/>
          <w:sz w:val="44"/>
          <w:szCs w:val="44"/>
        </w:rPr>
      </w:pPr>
      <w:r>
        <w:rPr>
          <w:rFonts w:ascii="Arial Nova" w:eastAsia="Arial Nova" w:hAnsi="Arial Nova" w:cs="Arial Nova"/>
          <w:b/>
          <w:bCs/>
          <w:sz w:val="44"/>
          <w:szCs w:val="44"/>
        </w:rPr>
        <w:t>Component 2: Report</w:t>
      </w:r>
    </w:p>
    <w:p w14:paraId="19807E9F" w14:textId="77777777" w:rsidR="00780586" w:rsidRDefault="00780586" w:rsidP="00780586">
      <w:pPr>
        <w:jc w:val="center"/>
        <w:rPr>
          <w:rFonts w:ascii="Arial Nova" w:eastAsia="Arial Nova" w:hAnsi="Arial Nova" w:cs="Arial Nova"/>
          <w:b/>
          <w:bCs/>
          <w:sz w:val="44"/>
          <w:szCs w:val="44"/>
        </w:rPr>
      </w:pPr>
    </w:p>
    <w:p w14:paraId="3A200449" w14:textId="77777777" w:rsidR="00093D49" w:rsidRDefault="00093D49" w:rsidP="00093D49">
      <w:pPr>
        <w:jc w:val="center"/>
        <w:rPr>
          <w:rFonts w:ascii="Arial Nova" w:eastAsia="Arial Nova" w:hAnsi="Arial Nova" w:cs="Arial Nova"/>
          <w:b/>
          <w:bCs/>
          <w:sz w:val="44"/>
          <w:szCs w:val="44"/>
        </w:rPr>
      </w:pPr>
      <w:r>
        <w:rPr>
          <w:rFonts w:ascii="Arial Nova" w:eastAsia="Arial Nova" w:hAnsi="Arial Nova" w:cs="Arial Nova"/>
          <w:b/>
          <w:bCs/>
          <w:sz w:val="44"/>
          <w:szCs w:val="44"/>
        </w:rPr>
        <w:t>Student Name: Zamzam Abdallah</w:t>
      </w:r>
    </w:p>
    <w:p w14:paraId="7951307E" w14:textId="77777777" w:rsidR="00093D49" w:rsidRPr="00B11C3D" w:rsidRDefault="00093D49" w:rsidP="00093D49">
      <w:pPr>
        <w:jc w:val="center"/>
        <w:rPr>
          <w:rFonts w:ascii="Arial Nova" w:eastAsia="Arial Nova" w:hAnsi="Arial Nova" w:cs="Arial Nova"/>
          <w:b/>
          <w:bCs/>
          <w:sz w:val="44"/>
          <w:szCs w:val="44"/>
        </w:rPr>
      </w:pPr>
      <w:r>
        <w:rPr>
          <w:rFonts w:ascii="Arial Nova" w:eastAsia="Arial Nova" w:hAnsi="Arial Nova" w:cs="Arial Nova"/>
          <w:b/>
          <w:bCs/>
          <w:sz w:val="44"/>
          <w:szCs w:val="44"/>
        </w:rPr>
        <w:t>Student Number: 2408411</w:t>
      </w:r>
    </w:p>
    <w:p w14:paraId="4C4D40CB" w14:textId="77777777" w:rsidR="00780586" w:rsidRPr="00780586" w:rsidRDefault="00780586" w:rsidP="00780586">
      <w:pPr>
        <w:jc w:val="center"/>
        <w:rPr>
          <w:rFonts w:ascii="Arial Nova" w:eastAsia="Arial Nova" w:hAnsi="Arial Nova" w:cs="Arial Nova"/>
          <w:b/>
          <w:bCs/>
          <w:sz w:val="44"/>
          <w:szCs w:val="44"/>
        </w:rPr>
      </w:pPr>
    </w:p>
    <w:p w14:paraId="1BD1EE92" w14:textId="77777777" w:rsidR="004336D6" w:rsidRDefault="004336D6">
      <w:pPr>
        <w:rPr>
          <w:b/>
          <w:bCs/>
        </w:rPr>
      </w:pPr>
      <w:r>
        <w:rPr>
          <w:b/>
          <w:bCs/>
        </w:rPr>
        <w:br w:type="page"/>
      </w:r>
    </w:p>
    <w:p w14:paraId="0CE29E7D" w14:textId="4869BF05"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lastRenderedPageBreak/>
        <w:t>Report: Employability Skills and Professional Development for a Teaching Assistant Role in the UK</w:t>
      </w:r>
    </w:p>
    <w:p w14:paraId="6CE6E285"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Introduction</w:t>
      </w:r>
    </w:p>
    <w:p w14:paraId="708D0299"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This report explores the employability skills, professional identity, and personal development required to pursue a career as a Teaching Assistant (TA) within the United Kingdom education sector. Teaching Assistants play a significant role in supporting pupils’ learning, wellbeing, and inclusion within schools. They work closely with teachers, pupils, parents, and other professionals to create a safe and effective learning environment. The role requires a combination of communication skills, teamwork, adaptability, safeguarding awareness, and emotional intelligence (Department for Education [DfE], 2023).</w:t>
      </w:r>
    </w:p>
    <w:p w14:paraId="6CA99234"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The chosen career pathway for this report is a Primary School Teaching Assistant. This role is particularly relevant because it aligns with the values of inclusive education, child-centred support, and positive behaviour management. In modern UK schools, Teaching Assistants are increasingly expected to support children with Special Educational Needs and Disabilities (SEND), English as an Additional Language (EAL), and social or emotional difficulties (Education Endowment Foundation [EEF], 2021).</w:t>
      </w:r>
    </w:p>
    <w:p w14:paraId="405AC103"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The report will first analyse the employability skills required for the role. It will then evaluate current personal skills and experiences against the expectations of the profession. Finally, the report will present an action plan and timeline to support future career development. Throughout the report, consideration will also be given to personal branding, professional identity, and networking strategies which contribute to long-term employability success.</w:t>
      </w:r>
    </w:p>
    <w:p w14:paraId="74AB6E1F" w14:textId="00C475A8" w:rsidR="007A1673" w:rsidRPr="0009184A" w:rsidRDefault="007A1673" w:rsidP="0009184A">
      <w:pPr>
        <w:spacing w:line="360" w:lineRule="auto"/>
        <w:rPr>
          <w:rFonts w:ascii="Arial" w:hAnsi="Arial" w:cs="Arial"/>
          <w:sz w:val="22"/>
          <w:szCs w:val="22"/>
        </w:rPr>
      </w:pPr>
    </w:p>
    <w:p w14:paraId="6FAC99E3"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1. Analysis of Employability Skills Required for a Teaching Assistant Role</w:t>
      </w:r>
    </w:p>
    <w:p w14:paraId="4B9898C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Teaching Assistants require a broad range of personal and professional skills to effectively support children and educational staff. Employability skills refer to the abilities, behaviours, and attributes that enable individuals to gain and maintain employment successfully (CBI, 2021).</w:t>
      </w:r>
    </w:p>
    <w:p w14:paraId="3829886C"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Communication Skills</w:t>
      </w:r>
    </w:p>
    <w:p w14:paraId="2C635C52"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 xml:space="preserve">Communication is one of the most important skills for a Teaching Assistant. TAs must communicate clearly with pupils, teachers, parents, and external professionals. Effective communication helps children understand learning tasks and feel emotionally supported. </w:t>
      </w:r>
      <w:r w:rsidRPr="0009184A">
        <w:rPr>
          <w:rFonts w:ascii="Arial" w:hAnsi="Arial" w:cs="Arial"/>
          <w:sz w:val="22"/>
          <w:szCs w:val="22"/>
        </w:rPr>
        <w:lastRenderedPageBreak/>
        <w:t>According to the DfE (2023), strong verbal and non-verbal communication is essential for creating positive classroom relationships.</w:t>
      </w:r>
    </w:p>
    <w:p w14:paraId="7AD97B6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Teaching Assistants often work with children who may struggle with language, confidence, or concentration. Therefore, the ability to adapt communication styles is highly valuable. Active listening, positive reinforcement, and the use of visual aids or simple explanations can improve learning outcomes. For EAL learners, bilingual communication can also help children feel included and understood.</w:t>
      </w:r>
    </w:p>
    <w:p w14:paraId="045FC815"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Teamwork and Collaboration</w:t>
      </w:r>
    </w:p>
    <w:p w14:paraId="698B80CD"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Teaching Assistants work as part of a multidisciplinary educational team. Collaboration with teachers, SENCOs, safeguarding leads, and parents is necessary to ensure consistent support for pupils. Effective teamwork promotes a positive learning environment and improves educational outcomes (EEF, 2021).</w:t>
      </w:r>
    </w:p>
    <w:p w14:paraId="27D93B00"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A TA must be reliable, supportive, and able to follow instructions while also contributing ideas when necessary. Professional collaboration is especially important when supporting pupils with SEND or behavioural difficulties because consistency between staff members helps children feel secure and supported.</w:t>
      </w:r>
    </w:p>
    <w:p w14:paraId="0A873545" w14:textId="21712CB3" w:rsidR="007A1673" w:rsidRPr="0054220E" w:rsidRDefault="007A1673" w:rsidP="0009184A">
      <w:pPr>
        <w:spacing w:line="360" w:lineRule="auto"/>
        <w:rPr>
          <w:rFonts w:ascii="Arial" w:hAnsi="Arial" w:cs="Arial"/>
          <w:b/>
          <w:bCs/>
          <w:sz w:val="22"/>
          <w:szCs w:val="22"/>
        </w:rPr>
      </w:pPr>
      <w:r w:rsidRPr="0009184A">
        <w:rPr>
          <w:rFonts w:ascii="Arial" w:hAnsi="Arial" w:cs="Arial"/>
          <w:b/>
          <w:bCs/>
          <w:sz w:val="22"/>
          <w:szCs w:val="22"/>
        </w:rPr>
        <w:t>Safeguarding and Professional Responsibility</w:t>
      </w:r>
    </w:p>
    <w:p w14:paraId="7A13253F" w14:textId="77777777" w:rsidR="0054220E" w:rsidRPr="0054220E" w:rsidRDefault="0054220E" w:rsidP="0054220E">
      <w:pPr>
        <w:spacing w:line="360" w:lineRule="auto"/>
        <w:rPr>
          <w:rFonts w:ascii="Arial" w:hAnsi="Arial" w:cs="Arial"/>
          <w:sz w:val="22"/>
          <w:szCs w:val="22"/>
        </w:rPr>
      </w:pPr>
      <w:r w:rsidRPr="0054220E">
        <w:rPr>
          <w:rFonts w:ascii="Arial" w:hAnsi="Arial" w:cs="Arial"/>
          <w:sz w:val="22"/>
          <w:szCs w:val="22"/>
        </w:rPr>
        <w:t>Safeguarding knowledge is a fundamental requirement within UK schools because children and young people have the right to learn in a safe, supportive, and protective environment. Teaching Assistants play an important role in safeguarding because they often work closely with pupils during lessons, group activities, break times, interventions, and one-to-one support. This means they may notice changes in a child’s behaviour, appearance, mood, attendance, or communication before other professionals do. For example, a Teaching Assistant may observe signs of neglect, unexplained injuries, emotional distress, bullying, online harm, or changes in confidence and social interaction.</w:t>
      </w:r>
    </w:p>
    <w:p w14:paraId="4B88DD85" w14:textId="77777777" w:rsidR="0054220E" w:rsidRPr="0054220E" w:rsidRDefault="0054220E" w:rsidP="0054220E">
      <w:pPr>
        <w:spacing w:line="360" w:lineRule="auto"/>
        <w:rPr>
          <w:rFonts w:ascii="Arial" w:hAnsi="Arial" w:cs="Arial"/>
          <w:sz w:val="22"/>
          <w:szCs w:val="22"/>
        </w:rPr>
      </w:pPr>
      <w:r w:rsidRPr="0054220E">
        <w:rPr>
          <w:rFonts w:ascii="Arial" w:hAnsi="Arial" w:cs="Arial"/>
          <w:sz w:val="22"/>
          <w:szCs w:val="22"/>
        </w:rPr>
        <w:t xml:space="preserve">The statutory guidance </w:t>
      </w:r>
      <w:r w:rsidRPr="0054220E">
        <w:rPr>
          <w:rFonts w:ascii="Arial" w:hAnsi="Arial" w:cs="Arial"/>
          <w:i/>
          <w:iCs/>
          <w:sz w:val="22"/>
          <w:szCs w:val="22"/>
        </w:rPr>
        <w:t>Keeping Children Safe in Education</w:t>
      </w:r>
      <w:r w:rsidRPr="0054220E">
        <w:rPr>
          <w:rFonts w:ascii="Arial" w:hAnsi="Arial" w:cs="Arial"/>
          <w:sz w:val="22"/>
          <w:szCs w:val="22"/>
        </w:rPr>
        <w:t xml:space="preserve"> states that safeguarding is everyone’s responsibility and that all school staff should be aware of their role in protecting children from harm (DfE, 2024). Therefore, Teaching Assistants must understand the different types of safeguarding concerns, including physical abuse, emotional abuse, sexual abuse, neglect, child-on-child abuse, bullying, exploitation, and radicalisation. They must also understand that safeguarding concerns may not always be obvious, and children may communicate distress through behaviour rather than words. This is especially important </w:t>
      </w:r>
      <w:r w:rsidRPr="0054220E">
        <w:rPr>
          <w:rFonts w:ascii="Arial" w:hAnsi="Arial" w:cs="Arial"/>
          <w:sz w:val="22"/>
          <w:szCs w:val="22"/>
        </w:rPr>
        <w:lastRenderedPageBreak/>
        <w:t>when supporting pupils with Special Educational Needs and Disabilities, English as an Additional Language, or communication difficulties.</w:t>
      </w:r>
    </w:p>
    <w:p w14:paraId="5CA70611" w14:textId="77777777" w:rsidR="0054220E" w:rsidRPr="0054220E" w:rsidRDefault="0054220E" w:rsidP="0054220E">
      <w:pPr>
        <w:spacing w:line="360" w:lineRule="auto"/>
        <w:rPr>
          <w:rFonts w:ascii="Arial" w:hAnsi="Arial" w:cs="Arial"/>
          <w:sz w:val="22"/>
          <w:szCs w:val="22"/>
        </w:rPr>
      </w:pPr>
      <w:r w:rsidRPr="0054220E">
        <w:rPr>
          <w:rFonts w:ascii="Arial" w:hAnsi="Arial" w:cs="Arial"/>
          <w:sz w:val="22"/>
          <w:szCs w:val="22"/>
        </w:rPr>
        <w:t>A Teaching Assistant must know how to respond appropriately if a child makes a disclosure. This includes listening carefully, staying calm, reassuring the child that they have done the right thing by speaking up, and avoiding leading questions or promises of confidentiality. Instead, the concern must be reported immediately to the Designated Safeguarding Lead following the school’s safeguarding policy. Accurate recording is also important because written concerns may become part of a wider safeguarding picture. Teaching Assistants must understand that they should not investigate concerns themselves, but they must pass information on to the correct professional without delay.</w:t>
      </w:r>
    </w:p>
    <w:p w14:paraId="7BC87489" w14:textId="08301F3E" w:rsidR="0054220E" w:rsidRPr="0009184A" w:rsidRDefault="0054220E" w:rsidP="0009184A">
      <w:pPr>
        <w:spacing w:line="360" w:lineRule="auto"/>
        <w:rPr>
          <w:rFonts w:ascii="Arial" w:hAnsi="Arial" w:cs="Arial"/>
          <w:sz w:val="22"/>
          <w:szCs w:val="22"/>
        </w:rPr>
      </w:pPr>
      <w:r w:rsidRPr="0054220E">
        <w:rPr>
          <w:rFonts w:ascii="Arial" w:hAnsi="Arial" w:cs="Arial"/>
          <w:sz w:val="22"/>
          <w:szCs w:val="22"/>
        </w:rPr>
        <w:t>Overall, safeguarding and professional responsibility are essential employability skills for a Teaching Assistant. They demonstrate that the individual can work safely, ethically, and professionally within an education setting. By developing strong safeguarding knowledge, maintaining confidentiality, and acting in the best interests of children, a Teaching Assistant can contribute to a safe and inclusive learning environment where pupils feel protected, respected, and able to learn.</w:t>
      </w:r>
    </w:p>
    <w:p w14:paraId="00134362"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Behaviour Management Skills</w:t>
      </w:r>
    </w:p>
    <w:p w14:paraId="7E0CAA41"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Positive behaviour management is another essential skill. Many classrooms include pupils with diverse emotional and behavioural needs. Teaching Assistants should use calm, consistent, and respectful approaches to manage behaviour effectively.</w:t>
      </w:r>
    </w:p>
    <w:p w14:paraId="46EC823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Strategies such as praise, encouragement, routines, and restorative conversations help promote positive behaviour. According to Rogers (2020), behaviour management is most effective when built upon positive relationships and mutual respect rather than punishment alone.</w:t>
      </w:r>
    </w:p>
    <w:p w14:paraId="7A4D6434"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Adaptability and Problem Solving</w:t>
      </w:r>
    </w:p>
    <w:p w14:paraId="060A1D60"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Educational settings are fast-paced and unpredictable environments. Teaching Assistants must be flexible and able to adapt quickly to changing classroom situations. For example, they may need to support a distressed child, adjust activities for different learning levels, or respond to unexpected behavioural issues.</w:t>
      </w:r>
    </w:p>
    <w:p w14:paraId="4D15905D"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Problem-solving skills allow TAs to identify barriers to learning and provide creative solutions. Adaptability is particularly important when supporting children with additional learning needs because strategies may need to change depending on individual circumstances.</w:t>
      </w:r>
    </w:p>
    <w:p w14:paraId="4F502B3B"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lastRenderedPageBreak/>
        <w:t>Emotional Intelligence and Patience</w:t>
      </w:r>
    </w:p>
    <w:p w14:paraId="51976268"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Emotional intelligence refers to the ability to recognise and manage emotions while understanding the emotions of others (Goleman, 1998). Teaching Assistants require patience, empathy, and emotional resilience when working with children.</w:t>
      </w:r>
    </w:p>
    <w:p w14:paraId="37A6FFC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Children may experience anxiety, frustration, or low confidence during learning. A supportive and encouraging TA can help pupils feel safe and motivated. Emotional intelligence also supports effective conflict resolution and relationship building within the classroom.</w:t>
      </w:r>
    </w:p>
    <w:p w14:paraId="1CB05B61"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Digital and Literacy Skills</w:t>
      </w:r>
    </w:p>
    <w:p w14:paraId="34AE4E0A"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Modern schools increasingly rely on technology for teaching, communication, and record keeping. Teaching Assistants are expected to use educational software, interactive whiteboards, and online safeguarding systems. Basic digital literacy skills are therefore essential.</w:t>
      </w:r>
    </w:p>
    <w:p w14:paraId="1DF4992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In addition, TAs require strong literacy and numeracy skills to support classroom learning activities. The DfE (2023) highlights the importance of English and mathematics competency within educational support roles.</w:t>
      </w:r>
    </w:p>
    <w:p w14:paraId="4BA3ED2B" w14:textId="2C4F7EE9" w:rsidR="007A1673" w:rsidRPr="0009184A" w:rsidRDefault="007A1673" w:rsidP="0009184A">
      <w:pPr>
        <w:spacing w:line="360" w:lineRule="auto"/>
        <w:rPr>
          <w:rFonts w:ascii="Arial" w:hAnsi="Arial" w:cs="Arial"/>
          <w:sz w:val="22"/>
          <w:szCs w:val="22"/>
        </w:rPr>
      </w:pPr>
    </w:p>
    <w:p w14:paraId="6ACE6475"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2. Evaluation of Personal Skills Against the Teaching Assistant Role</w:t>
      </w:r>
    </w:p>
    <w:p w14:paraId="0AF0D48B"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Existing Strengths</w:t>
      </w:r>
    </w:p>
    <w:p w14:paraId="54168BAC"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One of the strongest existing skills is communication. Experience working with children in educational and community settings has helped develop confidence when interacting with young learners. The ability to speak both Arabic and English is particularly beneficial because multilingual communication can support EAL pupils and improve inclusion within schools.</w:t>
      </w:r>
    </w:p>
    <w:p w14:paraId="7FF921A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Another strength is patience and relationship building. Working with children has demonstrated the importance of encouragement, emotional support, and adapting explanations to meet different learning needs. Positive interactions help children build confidence and participate more actively in classroom activities.</w:t>
      </w:r>
    </w:p>
    <w:p w14:paraId="138CA0D1"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Experience teaching Arabic to children has also strengthened organisational and classroom management skills. Planning activities, maintaining engagement, and using games or visual methods to support learning are transferable skills relevant to the Teaching Assistant role.</w:t>
      </w:r>
    </w:p>
    <w:p w14:paraId="15023EBB"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lastRenderedPageBreak/>
        <w:t>Teamwork is another area of strength. Previous experiences working alongside other staff members have highlighted the importance of collaboration and professional communication. Observing experienced educators and learning from feedback has contributed to professional growth and reflective practice.</w:t>
      </w:r>
    </w:p>
    <w:p w14:paraId="122D4661"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Areas for Development</w:t>
      </w:r>
    </w:p>
    <w:p w14:paraId="6DF1C4C9"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Despite existing strengths, there are areas which require further development. One area is formal SEND knowledge. Although there is some understanding of supporting children with additional needs, more specialised training in autism awareness, ADHD support, and differentiated learning strategies would improve professional competence.</w:t>
      </w:r>
    </w:p>
    <w:p w14:paraId="6F17532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Another development area is behaviour management within larger classroom environments. While experience exists in smaller educational groups, mainstream classroom settings may involve more complex behavioural challenges. Additional training and practical experience would strengthen confidence in managing disruptive behaviour effectively.</w:t>
      </w:r>
    </w:p>
    <w:p w14:paraId="6CDDA3A8"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Digital skills also require further improvement. Modern schools increasingly use online learning platforms, safeguarding software, and digital assessment tools. Developing stronger ICT skills would increase employability and professional efficiency.</w:t>
      </w:r>
    </w:p>
    <w:p w14:paraId="0DDC4F8F"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Finally, gaining more recognised qualifications and certifications would strengthen professional credibility. Completing safeguarding training, paediatric first aid, and Level 2 or Level 3 Teaching Assistant qualifications would improve competitiveness within the UK job market.</w:t>
      </w:r>
    </w:p>
    <w:p w14:paraId="57E4C73D" w14:textId="416A7677" w:rsidR="007A1673" w:rsidRPr="0009184A" w:rsidRDefault="007A1673" w:rsidP="0009184A">
      <w:pPr>
        <w:spacing w:line="360" w:lineRule="auto"/>
        <w:rPr>
          <w:rFonts w:ascii="Arial" w:hAnsi="Arial" w:cs="Arial"/>
          <w:sz w:val="22"/>
          <w:szCs w:val="22"/>
        </w:rPr>
      </w:pPr>
    </w:p>
    <w:p w14:paraId="0DD093E5" w14:textId="77777777" w:rsidR="000942E2" w:rsidRDefault="000942E2" w:rsidP="0009184A">
      <w:pPr>
        <w:spacing w:line="360" w:lineRule="auto"/>
        <w:rPr>
          <w:rFonts w:ascii="Arial" w:hAnsi="Arial" w:cs="Arial"/>
          <w:b/>
          <w:bCs/>
          <w:sz w:val="22"/>
          <w:szCs w:val="22"/>
        </w:rPr>
      </w:pPr>
    </w:p>
    <w:p w14:paraId="7EBC4207" w14:textId="7C9C28A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3. Building a Personal Brand and Professional Identity</w:t>
      </w:r>
    </w:p>
    <w:p w14:paraId="173E02B4"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Personal branding refers to how an individual presents their values, skills, and professional qualities to others (Montoya &amp; Vandehey, 2009). Within education, a positive personal brand can help establish trust, professionalism, and employability.</w:t>
      </w:r>
    </w:p>
    <w:p w14:paraId="40FA661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The desired personal brand is based on being a supportive, patient, and inclusive educator who values children’s emotional wellbeing and educational development. The ability to communicate in both Arabic and English contributes to a unique professional identity because multilingual support is valuable within diverse UK classrooms.</w:t>
      </w:r>
    </w:p>
    <w:p w14:paraId="612C659D"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 xml:space="preserve">Professional identity can be strengthened through reflective practice, continuous professional development (CPD), and maintaining professional behaviour. Attending </w:t>
      </w:r>
      <w:r w:rsidRPr="0009184A">
        <w:rPr>
          <w:rFonts w:ascii="Arial" w:hAnsi="Arial" w:cs="Arial"/>
          <w:sz w:val="22"/>
          <w:szCs w:val="22"/>
        </w:rPr>
        <w:lastRenderedPageBreak/>
        <w:t>workshops, completing training courses, and engaging with educational research can improve professional confidence and credibility.</w:t>
      </w:r>
    </w:p>
    <w:p w14:paraId="7F431445" w14:textId="30F717B6"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 xml:space="preserve">Creating a professional CV and maintaining a positive online presence through platforms such as </w:t>
      </w:r>
      <w:r w:rsidR="00C32215">
        <w:t xml:space="preserve">LinkedIn </w:t>
      </w:r>
      <w:r w:rsidRPr="0009184A">
        <w:rPr>
          <w:rFonts w:ascii="Arial" w:hAnsi="Arial" w:cs="Arial"/>
          <w:sz w:val="22"/>
          <w:szCs w:val="22"/>
        </w:rPr>
        <w:t>can also support employability. Networking with teachers, educational agencies, and local schools may provide opportunities for placements and employment.</w:t>
      </w:r>
    </w:p>
    <w:p w14:paraId="4B6D8BE8" w14:textId="75048F99" w:rsidR="007A1673" w:rsidRPr="0009184A" w:rsidRDefault="007A1673" w:rsidP="0009184A">
      <w:pPr>
        <w:spacing w:line="360" w:lineRule="auto"/>
        <w:rPr>
          <w:rFonts w:ascii="Arial" w:hAnsi="Arial" w:cs="Arial"/>
          <w:sz w:val="22"/>
          <w:szCs w:val="22"/>
        </w:rPr>
      </w:pPr>
    </w:p>
    <w:p w14:paraId="449D3266"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4. Building Professional Networks</w:t>
      </w:r>
    </w:p>
    <w:p w14:paraId="5DA35B34"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 xml:space="preserve">Networking is important for career progression because professional connections can provide advice, support, and employment opportunities. According to </w:t>
      </w:r>
      <w:proofErr w:type="spellStart"/>
      <w:r w:rsidRPr="0009184A">
        <w:rPr>
          <w:rFonts w:ascii="Arial" w:hAnsi="Arial" w:cs="Arial"/>
          <w:sz w:val="22"/>
          <w:szCs w:val="22"/>
        </w:rPr>
        <w:t>Granovetter</w:t>
      </w:r>
      <w:proofErr w:type="spellEnd"/>
      <w:r w:rsidRPr="0009184A">
        <w:rPr>
          <w:rFonts w:ascii="Arial" w:hAnsi="Arial" w:cs="Arial"/>
          <w:sz w:val="22"/>
          <w:szCs w:val="22"/>
        </w:rPr>
        <w:t xml:space="preserve"> (1973), professional relationships can significantly influence career development and access to opportunities.</w:t>
      </w:r>
    </w:p>
    <w:p w14:paraId="5EEEC629"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A strong professional network for a Teaching Assistant may include:</w:t>
      </w:r>
    </w:p>
    <w:p w14:paraId="0934FECC" w14:textId="77777777" w:rsidR="007A1673" w:rsidRPr="0009184A" w:rsidRDefault="007A1673" w:rsidP="0009184A">
      <w:pPr>
        <w:numPr>
          <w:ilvl w:val="0"/>
          <w:numId w:val="1"/>
        </w:numPr>
        <w:spacing w:line="360" w:lineRule="auto"/>
        <w:rPr>
          <w:rFonts w:ascii="Arial" w:hAnsi="Arial" w:cs="Arial"/>
          <w:sz w:val="22"/>
          <w:szCs w:val="22"/>
        </w:rPr>
      </w:pPr>
      <w:r w:rsidRPr="0009184A">
        <w:rPr>
          <w:rFonts w:ascii="Arial" w:hAnsi="Arial" w:cs="Arial"/>
          <w:sz w:val="22"/>
          <w:szCs w:val="22"/>
        </w:rPr>
        <w:t xml:space="preserve">Teachers and school staff </w:t>
      </w:r>
    </w:p>
    <w:p w14:paraId="511F7ACD" w14:textId="77777777" w:rsidR="007A1673" w:rsidRPr="0009184A" w:rsidRDefault="007A1673" w:rsidP="0009184A">
      <w:pPr>
        <w:numPr>
          <w:ilvl w:val="0"/>
          <w:numId w:val="1"/>
        </w:numPr>
        <w:spacing w:line="360" w:lineRule="auto"/>
        <w:rPr>
          <w:rFonts w:ascii="Arial" w:hAnsi="Arial" w:cs="Arial"/>
          <w:sz w:val="22"/>
          <w:szCs w:val="22"/>
        </w:rPr>
      </w:pPr>
      <w:r w:rsidRPr="0009184A">
        <w:rPr>
          <w:rFonts w:ascii="Arial" w:hAnsi="Arial" w:cs="Arial"/>
          <w:sz w:val="22"/>
          <w:szCs w:val="22"/>
        </w:rPr>
        <w:t xml:space="preserve">Educational recruitment agencies </w:t>
      </w:r>
    </w:p>
    <w:p w14:paraId="3FB6E822" w14:textId="77777777" w:rsidR="007A1673" w:rsidRPr="0009184A" w:rsidRDefault="007A1673" w:rsidP="0009184A">
      <w:pPr>
        <w:numPr>
          <w:ilvl w:val="0"/>
          <w:numId w:val="1"/>
        </w:numPr>
        <w:spacing w:line="360" w:lineRule="auto"/>
        <w:rPr>
          <w:rFonts w:ascii="Arial" w:hAnsi="Arial" w:cs="Arial"/>
          <w:sz w:val="22"/>
          <w:szCs w:val="22"/>
        </w:rPr>
      </w:pPr>
      <w:r w:rsidRPr="0009184A">
        <w:rPr>
          <w:rFonts w:ascii="Arial" w:hAnsi="Arial" w:cs="Arial"/>
          <w:sz w:val="22"/>
          <w:szCs w:val="22"/>
        </w:rPr>
        <w:t xml:space="preserve">University tutors and peers </w:t>
      </w:r>
    </w:p>
    <w:p w14:paraId="66F43C23" w14:textId="77777777" w:rsidR="007A1673" w:rsidRPr="0009184A" w:rsidRDefault="007A1673" w:rsidP="0009184A">
      <w:pPr>
        <w:numPr>
          <w:ilvl w:val="0"/>
          <w:numId w:val="1"/>
        </w:numPr>
        <w:spacing w:line="360" w:lineRule="auto"/>
        <w:rPr>
          <w:rFonts w:ascii="Arial" w:hAnsi="Arial" w:cs="Arial"/>
          <w:sz w:val="22"/>
          <w:szCs w:val="22"/>
        </w:rPr>
      </w:pPr>
      <w:r w:rsidRPr="0009184A">
        <w:rPr>
          <w:rFonts w:ascii="Arial" w:hAnsi="Arial" w:cs="Arial"/>
          <w:sz w:val="22"/>
          <w:szCs w:val="22"/>
        </w:rPr>
        <w:t xml:space="preserve">SEN professionals </w:t>
      </w:r>
    </w:p>
    <w:p w14:paraId="42B3F81C" w14:textId="77777777" w:rsidR="007A1673" w:rsidRPr="0009184A" w:rsidRDefault="007A1673" w:rsidP="0009184A">
      <w:pPr>
        <w:numPr>
          <w:ilvl w:val="0"/>
          <w:numId w:val="1"/>
        </w:numPr>
        <w:spacing w:line="360" w:lineRule="auto"/>
        <w:rPr>
          <w:rFonts w:ascii="Arial" w:hAnsi="Arial" w:cs="Arial"/>
          <w:sz w:val="22"/>
          <w:szCs w:val="22"/>
        </w:rPr>
      </w:pPr>
      <w:r w:rsidRPr="0009184A">
        <w:rPr>
          <w:rFonts w:ascii="Arial" w:hAnsi="Arial" w:cs="Arial"/>
          <w:sz w:val="22"/>
          <w:szCs w:val="22"/>
        </w:rPr>
        <w:t xml:space="preserve">Community organisations </w:t>
      </w:r>
    </w:p>
    <w:p w14:paraId="0D422B82" w14:textId="77777777" w:rsidR="007A1673" w:rsidRPr="0009184A" w:rsidRDefault="007A1673" w:rsidP="0009184A">
      <w:pPr>
        <w:numPr>
          <w:ilvl w:val="0"/>
          <w:numId w:val="1"/>
        </w:numPr>
        <w:spacing w:line="360" w:lineRule="auto"/>
        <w:rPr>
          <w:rFonts w:ascii="Arial" w:hAnsi="Arial" w:cs="Arial"/>
          <w:sz w:val="22"/>
          <w:szCs w:val="22"/>
        </w:rPr>
      </w:pPr>
      <w:r w:rsidRPr="0009184A">
        <w:rPr>
          <w:rFonts w:ascii="Arial" w:hAnsi="Arial" w:cs="Arial"/>
          <w:sz w:val="22"/>
          <w:szCs w:val="22"/>
        </w:rPr>
        <w:t xml:space="preserve">Online professional groups </w:t>
      </w:r>
    </w:p>
    <w:p w14:paraId="3E8BCBD4"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 xml:space="preserve">Building networks can occur through volunteering, school placements, training courses, and educational events. Joining professional communities on </w:t>
      </w:r>
      <w:hyperlink r:id="rId8" w:tgtFrame="_blank" w:history="1">
        <w:r w:rsidRPr="0009184A">
          <w:rPr>
            <w:rStyle w:val="Hyperlink"/>
            <w:rFonts w:ascii="Arial" w:hAnsi="Arial" w:cs="Arial"/>
            <w:sz w:val="22"/>
            <w:szCs w:val="22"/>
          </w:rPr>
          <w:t>TES</w:t>
        </w:r>
      </w:hyperlink>
      <w:r w:rsidRPr="0009184A">
        <w:rPr>
          <w:rFonts w:ascii="Arial" w:hAnsi="Arial" w:cs="Arial"/>
          <w:sz w:val="22"/>
          <w:szCs w:val="22"/>
        </w:rPr>
        <w:t xml:space="preserve"> or educational forums can also provide valuable resources and career advice.</w:t>
      </w:r>
    </w:p>
    <w:p w14:paraId="7769D124" w14:textId="4652C7D3" w:rsidR="0009184A" w:rsidRPr="0009184A" w:rsidRDefault="007A1673" w:rsidP="0009184A">
      <w:pPr>
        <w:spacing w:line="360" w:lineRule="auto"/>
        <w:rPr>
          <w:rFonts w:ascii="Arial" w:hAnsi="Arial" w:cs="Arial"/>
          <w:sz w:val="22"/>
          <w:szCs w:val="22"/>
        </w:rPr>
      </w:pPr>
      <w:r w:rsidRPr="0009184A">
        <w:rPr>
          <w:rFonts w:ascii="Arial" w:hAnsi="Arial" w:cs="Arial"/>
          <w:sz w:val="22"/>
          <w:szCs w:val="22"/>
        </w:rPr>
        <w:t>Networking also supports professional learning because individuals can share experiences, safeguarding knowledge, and classroom strategies. Strong professional relationships may increase confidence and provide references for future employment applications.</w:t>
      </w:r>
    </w:p>
    <w:p w14:paraId="78EA8B25" w14:textId="77777777" w:rsidR="0009184A" w:rsidRPr="0009184A" w:rsidRDefault="0009184A" w:rsidP="0009184A">
      <w:pPr>
        <w:spacing w:line="360" w:lineRule="auto"/>
        <w:rPr>
          <w:rFonts w:ascii="Arial" w:hAnsi="Arial" w:cs="Arial"/>
          <w:sz w:val="22"/>
          <w:szCs w:val="22"/>
        </w:rPr>
      </w:pPr>
    </w:p>
    <w:p w14:paraId="70850B0B"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5. Action Plan and Timeline for Skill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7"/>
        <w:gridCol w:w="3209"/>
        <w:gridCol w:w="1286"/>
        <w:gridCol w:w="2414"/>
      </w:tblGrid>
      <w:tr w:rsidR="007A1673" w:rsidRPr="0009184A" w14:paraId="2EA13217" w14:textId="77777777">
        <w:trPr>
          <w:tblHeader/>
          <w:tblCellSpacing w:w="15" w:type="dxa"/>
        </w:trPr>
        <w:tc>
          <w:tcPr>
            <w:tcW w:w="0" w:type="auto"/>
            <w:vAlign w:val="center"/>
            <w:hideMark/>
          </w:tcPr>
          <w:p w14:paraId="3B05A26D"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lastRenderedPageBreak/>
              <w:t>Development Goal</w:t>
            </w:r>
          </w:p>
        </w:tc>
        <w:tc>
          <w:tcPr>
            <w:tcW w:w="0" w:type="auto"/>
            <w:vAlign w:val="center"/>
            <w:hideMark/>
          </w:tcPr>
          <w:p w14:paraId="62350C22"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Actions Required</w:t>
            </w:r>
          </w:p>
        </w:tc>
        <w:tc>
          <w:tcPr>
            <w:tcW w:w="0" w:type="auto"/>
            <w:vAlign w:val="center"/>
            <w:hideMark/>
          </w:tcPr>
          <w:p w14:paraId="281F5AB5"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Timeline</w:t>
            </w:r>
          </w:p>
        </w:tc>
        <w:tc>
          <w:tcPr>
            <w:tcW w:w="0" w:type="auto"/>
            <w:vAlign w:val="center"/>
            <w:hideMark/>
          </w:tcPr>
          <w:p w14:paraId="55E789E0"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Expected Outcome</w:t>
            </w:r>
          </w:p>
        </w:tc>
      </w:tr>
      <w:tr w:rsidR="007A1673" w:rsidRPr="0009184A" w14:paraId="12E9585E" w14:textId="77777777">
        <w:trPr>
          <w:tblCellSpacing w:w="15" w:type="dxa"/>
        </w:trPr>
        <w:tc>
          <w:tcPr>
            <w:tcW w:w="0" w:type="auto"/>
            <w:vAlign w:val="center"/>
            <w:hideMark/>
          </w:tcPr>
          <w:p w14:paraId="790B5C6A"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Improve SEND knowledge</w:t>
            </w:r>
          </w:p>
        </w:tc>
        <w:tc>
          <w:tcPr>
            <w:tcW w:w="0" w:type="auto"/>
            <w:vAlign w:val="center"/>
            <w:hideMark/>
          </w:tcPr>
          <w:p w14:paraId="43E55A53"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Complete SEND and autism awareness training</w:t>
            </w:r>
          </w:p>
        </w:tc>
        <w:tc>
          <w:tcPr>
            <w:tcW w:w="0" w:type="auto"/>
            <w:vAlign w:val="center"/>
            <w:hideMark/>
          </w:tcPr>
          <w:p w14:paraId="50C6F9E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Within 3 months</w:t>
            </w:r>
          </w:p>
        </w:tc>
        <w:tc>
          <w:tcPr>
            <w:tcW w:w="0" w:type="auto"/>
            <w:vAlign w:val="center"/>
            <w:hideMark/>
          </w:tcPr>
          <w:p w14:paraId="7C6D9490"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Greater confidence supporting diverse learners</w:t>
            </w:r>
          </w:p>
        </w:tc>
      </w:tr>
      <w:tr w:rsidR="007A1673" w:rsidRPr="0009184A" w14:paraId="5FF028C3" w14:textId="77777777">
        <w:trPr>
          <w:tblCellSpacing w:w="15" w:type="dxa"/>
        </w:trPr>
        <w:tc>
          <w:tcPr>
            <w:tcW w:w="0" w:type="auto"/>
            <w:vAlign w:val="center"/>
            <w:hideMark/>
          </w:tcPr>
          <w:p w14:paraId="1CEFD1F6"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Strengthen behaviour management</w:t>
            </w:r>
          </w:p>
        </w:tc>
        <w:tc>
          <w:tcPr>
            <w:tcW w:w="0" w:type="auto"/>
            <w:vAlign w:val="center"/>
            <w:hideMark/>
          </w:tcPr>
          <w:p w14:paraId="37568C9B"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Attend behaviour management workshops and observe experienced staff</w:t>
            </w:r>
          </w:p>
        </w:tc>
        <w:tc>
          <w:tcPr>
            <w:tcW w:w="0" w:type="auto"/>
            <w:vAlign w:val="center"/>
            <w:hideMark/>
          </w:tcPr>
          <w:p w14:paraId="0E5CDFAB"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Within 4 months</w:t>
            </w:r>
          </w:p>
        </w:tc>
        <w:tc>
          <w:tcPr>
            <w:tcW w:w="0" w:type="auto"/>
            <w:vAlign w:val="center"/>
            <w:hideMark/>
          </w:tcPr>
          <w:p w14:paraId="1BFD4FE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Improved classroom management skills</w:t>
            </w:r>
          </w:p>
        </w:tc>
      </w:tr>
      <w:tr w:rsidR="007A1673" w:rsidRPr="0009184A" w14:paraId="5D32FF70" w14:textId="77777777">
        <w:trPr>
          <w:tblCellSpacing w:w="15" w:type="dxa"/>
        </w:trPr>
        <w:tc>
          <w:tcPr>
            <w:tcW w:w="0" w:type="auto"/>
            <w:vAlign w:val="center"/>
            <w:hideMark/>
          </w:tcPr>
          <w:p w14:paraId="1B58AFBC"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Develop digital skills</w:t>
            </w:r>
          </w:p>
        </w:tc>
        <w:tc>
          <w:tcPr>
            <w:tcW w:w="0" w:type="auto"/>
            <w:vAlign w:val="center"/>
            <w:hideMark/>
          </w:tcPr>
          <w:p w14:paraId="345A928B"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Practise using educational software and online platforms</w:t>
            </w:r>
          </w:p>
        </w:tc>
        <w:tc>
          <w:tcPr>
            <w:tcW w:w="0" w:type="auto"/>
            <w:vAlign w:val="center"/>
            <w:hideMark/>
          </w:tcPr>
          <w:p w14:paraId="11B4B0C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Within 2 months</w:t>
            </w:r>
          </w:p>
        </w:tc>
        <w:tc>
          <w:tcPr>
            <w:tcW w:w="0" w:type="auto"/>
            <w:vAlign w:val="center"/>
            <w:hideMark/>
          </w:tcPr>
          <w:p w14:paraId="5BEE39F9"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Increased ICT confidence</w:t>
            </w:r>
          </w:p>
        </w:tc>
      </w:tr>
      <w:tr w:rsidR="007A1673" w:rsidRPr="0009184A" w14:paraId="66797D19" w14:textId="77777777">
        <w:trPr>
          <w:tblCellSpacing w:w="15" w:type="dxa"/>
        </w:trPr>
        <w:tc>
          <w:tcPr>
            <w:tcW w:w="0" w:type="auto"/>
            <w:vAlign w:val="center"/>
            <w:hideMark/>
          </w:tcPr>
          <w:p w14:paraId="087E60C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Gain formal qualifications</w:t>
            </w:r>
          </w:p>
        </w:tc>
        <w:tc>
          <w:tcPr>
            <w:tcW w:w="0" w:type="auto"/>
            <w:vAlign w:val="center"/>
            <w:hideMark/>
          </w:tcPr>
          <w:p w14:paraId="73546EA3"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Enrol in Level 2/3 Teaching Assistant course</w:t>
            </w:r>
          </w:p>
        </w:tc>
        <w:tc>
          <w:tcPr>
            <w:tcW w:w="0" w:type="auto"/>
            <w:vAlign w:val="center"/>
            <w:hideMark/>
          </w:tcPr>
          <w:p w14:paraId="09255F13"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Within 6–12 months</w:t>
            </w:r>
          </w:p>
        </w:tc>
        <w:tc>
          <w:tcPr>
            <w:tcW w:w="0" w:type="auto"/>
            <w:vAlign w:val="center"/>
            <w:hideMark/>
          </w:tcPr>
          <w:p w14:paraId="79BD191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Improved employability</w:t>
            </w:r>
          </w:p>
        </w:tc>
      </w:tr>
      <w:tr w:rsidR="007A1673" w:rsidRPr="0009184A" w14:paraId="75B6ECCB" w14:textId="77777777">
        <w:trPr>
          <w:tblCellSpacing w:w="15" w:type="dxa"/>
        </w:trPr>
        <w:tc>
          <w:tcPr>
            <w:tcW w:w="0" w:type="auto"/>
            <w:vAlign w:val="center"/>
            <w:hideMark/>
          </w:tcPr>
          <w:p w14:paraId="5DC102D2"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Build professional network</w:t>
            </w:r>
          </w:p>
        </w:tc>
        <w:tc>
          <w:tcPr>
            <w:tcW w:w="0" w:type="auto"/>
            <w:vAlign w:val="center"/>
            <w:hideMark/>
          </w:tcPr>
          <w:p w14:paraId="50960ADB"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Join LinkedIn and educational groups, attend events</w:t>
            </w:r>
          </w:p>
        </w:tc>
        <w:tc>
          <w:tcPr>
            <w:tcW w:w="0" w:type="auto"/>
            <w:vAlign w:val="center"/>
            <w:hideMark/>
          </w:tcPr>
          <w:p w14:paraId="272B41DC"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Ongoing</w:t>
            </w:r>
          </w:p>
        </w:tc>
        <w:tc>
          <w:tcPr>
            <w:tcW w:w="0" w:type="auto"/>
            <w:vAlign w:val="center"/>
            <w:hideMark/>
          </w:tcPr>
          <w:p w14:paraId="418A67A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Increased career opportunities</w:t>
            </w:r>
          </w:p>
        </w:tc>
      </w:tr>
      <w:tr w:rsidR="007A1673" w:rsidRPr="0009184A" w14:paraId="55905AC3" w14:textId="77777777">
        <w:trPr>
          <w:tblCellSpacing w:w="15" w:type="dxa"/>
        </w:trPr>
        <w:tc>
          <w:tcPr>
            <w:tcW w:w="0" w:type="auto"/>
            <w:vAlign w:val="center"/>
            <w:hideMark/>
          </w:tcPr>
          <w:p w14:paraId="05A72F5F"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Gain classroom experience</w:t>
            </w:r>
          </w:p>
        </w:tc>
        <w:tc>
          <w:tcPr>
            <w:tcW w:w="0" w:type="auto"/>
            <w:vAlign w:val="center"/>
            <w:hideMark/>
          </w:tcPr>
          <w:p w14:paraId="79D0FA4B"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Volunteer or apply for TA placements in schools</w:t>
            </w:r>
          </w:p>
        </w:tc>
        <w:tc>
          <w:tcPr>
            <w:tcW w:w="0" w:type="auto"/>
            <w:vAlign w:val="center"/>
            <w:hideMark/>
          </w:tcPr>
          <w:p w14:paraId="611F049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Within 3 months</w:t>
            </w:r>
          </w:p>
        </w:tc>
        <w:tc>
          <w:tcPr>
            <w:tcW w:w="0" w:type="auto"/>
            <w:vAlign w:val="center"/>
            <w:hideMark/>
          </w:tcPr>
          <w:p w14:paraId="7DFFB359"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Enhanced practical experience</w:t>
            </w:r>
          </w:p>
        </w:tc>
      </w:tr>
      <w:tr w:rsidR="007A1673" w:rsidRPr="0009184A" w14:paraId="0B4B2C0A" w14:textId="77777777">
        <w:trPr>
          <w:tblCellSpacing w:w="15" w:type="dxa"/>
        </w:trPr>
        <w:tc>
          <w:tcPr>
            <w:tcW w:w="0" w:type="auto"/>
            <w:vAlign w:val="center"/>
            <w:hideMark/>
          </w:tcPr>
          <w:p w14:paraId="1DF6C761"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Enhance safeguarding knowledge</w:t>
            </w:r>
          </w:p>
        </w:tc>
        <w:tc>
          <w:tcPr>
            <w:tcW w:w="0" w:type="auto"/>
            <w:vAlign w:val="center"/>
            <w:hideMark/>
          </w:tcPr>
          <w:p w14:paraId="1F4B943B"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Complete safeguarding and Prevent Duty training</w:t>
            </w:r>
          </w:p>
        </w:tc>
        <w:tc>
          <w:tcPr>
            <w:tcW w:w="0" w:type="auto"/>
            <w:vAlign w:val="center"/>
            <w:hideMark/>
          </w:tcPr>
          <w:p w14:paraId="3182538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Within 1 month</w:t>
            </w:r>
          </w:p>
        </w:tc>
        <w:tc>
          <w:tcPr>
            <w:tcW w:w="0" w:type="auto"/>
            <w:vAlign w:val="center"/>
            <w:hideMark/>
          </w:tcPr>
          <w:p w14:paraId="6FCC4A4C"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Stronger professional competence</w:t>
            </w:r>
          </w:p>
        </w:tc>
      </w:tr>
    </w:tbl>
    <w:p w14:paraId="5DE53ACC" w14:textId="58E90EC3" w:rsidR="007A1673" w:rsidRPr="0009184A" w:rsidRDefault="007A1673" w:rsidP="0009184A">
      <w:pPr>
        <w:spacing w:line="360" w:lineRule="auto"/>
        <w:rPr>
          <w:rFonts w:ascii="Arial" w:hAnsi="Arial" w:cs="Arial"/>
          <w:sz w:val="22"/>
          <w:szCs w:val="22"/>
        </w:rPr>
      </w:pPr>
    </w:p>
    <w:p w14:paraId="77E3D360" w14:textId="77777777" w:rsidR="000942E2" w:rsidRDefault="000942E2" w:rsidP="0009184A">
      <w:pPr>
        <w:spacing w:line="360" w:lineRule="auto"/>
        <w:rPr>
          <w:rFonts w:ascii="Arial" w:hAnsi="Arial" w:cs="Arial"/>
          <w:b/>
          <w:bCs/>
          <w:sz w:val="22"/>
          <w:szCs w:val="22"/>
        </w:rPr>
      </w:pPr>
    </w:p>
    <w:p w14:paraId="4725A9F6" w14:textId="77777777" w:rsidR="000942E2" w:rsidRDefault="000942E2" w:rsidP="0009184A">
      <w:pPr>
        <w:spacing w:line="360" w:lineRule="auto"/>
        <w:rPr>
          <w:rFonts w:ascii="Arial" w:hAnsi="Arial" w:cs="Arial"/>
          <w:b/>
          <w:bCs/>
          <w:sz w:val="22"/>
          <w:szCs w:val="22"/>
        </w:rPr>
      </w:pPr>
    </w:p>
    <w:p w14:paraId="3E0D82AB" w14:textId="7A310F52"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Conclusion</w:t>
      </w:r>
    </w:p>
    <w:p w14:paraId="275ABCCE"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In conclusion, the Teaching Assistant role requires a wide range of employability skills including communication, teamwork, safeguarding awareness, adaptability, emotional intelligence, and behaviour management. These skills are essential for supporting children’s educational and emotional development within UK schools.</w:t>
      </w:r>
    </w:p>
    <w:p w14:paraId="5F09E6C7"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 xml:space="preserve">Personal evaluation demonstrates several strengths, particularly in communication, multilingual support, patience, and experience working with children. However, further </w:t>
      </w:r>
      <w:r w:rsidRPr="0009184A">
        <w:rPr>
          <w:rFonts w:ascii="Arial" w:hAnsi="Arial" w:cs="Arial"/>
          <w:sz w:val="22"/>
          <w:szCs w:val="22"/>
        </w:rPr>
        <w:lastRenderedPageBreak/>
        <w:t>development is required in SEND support, classroom behaviour management, digital literacy, and formal qualifications.</w:t>
      </w:r>
    </w:p>
    <w:p w14:paraId="19E74620"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Building a positive personal brand and professional identity will support long-term career progression. Networking with educational professionals and engaging in continuous professional development can improve employability opportunities and professional confidence.</w:t>
      </w:r>
    </w:p>
    <w:p w14:paraId="5879E755" w14:textId="77777777" w:rsidR="007A1673" w:rsidRPr="0009184A" w:rsidRDefault="007A1673" w:rsidP="0009184A">
      <w:pPr>
        <w:spacing w:line="360" w:lineRule="auto"/>
        <w:rPr>
          <w:rFonts w:ascii="Arial" w:hAnsi="Arial" w:cs="Arial"/>
          <w:sz w:val="22"/>
          <w:szCs w:val="22"/>
        </w:rPr>
      </w:pPr>
      <w:r w:rsidRPr="0009184A">
        <w:rPr>
          <w:rFonts w:ascii="Arial" w:hAnsi="Arial" w:cs="Arial"/>
          <w:sz w:val="22"/>
          <w:szCs w:val="22"/>
        </w:rPr>
        <w:t>The action plan provides realistic steps for developing the required skills and qualifications needed to achieve future employment as a Teaching Assistant. Through continued learning, reflective practice, and professional networking, successful employment within the UK education sector can be achieved.</w:t>
      </w:r>
    </w:p>
    <w:p w14:paraId="57AC7A13" w14:textId="7FE846A6" w:rsidR="007A1673" w:rsidRPr="0009184A" w:rsidRDefault="007A1673" w:rsidP="0009184A">
      <w:pPr>
        <w:spacing w:line="360" w:lineRule="auto"/>
        <w:rPr>
          <w:rFonts w:ascii="Arial" w:hAnsi="Arial" w:cs="Arial"/>
          <w:sz w:val="22"/>
          <w:szCs w:val="22"/>
        </w:rPr>
      </w:pPr>
    </w:p>
    <w:p w14:paraId="36FC67E8" w14:textId="77777777" w:rsidR="0009184A" w:rsidRPr="0009184A" w:rsidRDefault="0009184A" w:rsidP="0009184A">
      <w:pPr>
        <w:spacing w:line="360" w:lineRule="auto"/>
        <w:rPr>
          <w:rFonts w:ascii="Arial" w:hAnsi="Arial" w:cs="Arial"/>
          <w:sz w:val="22"/>
          <w:szCs w:val="22"/>
        </w:rPr>
      </w:pPr>
    </w:p>
    <w:p w14:paraId="69D8DE21" w14:textId="77777777" w:rsidR="0009184A" w:rsidRPr="0009184A" w:rsidRDefault="0009184A" w:rsidP="0009184A">
      <w:pPr>
        <w:spacing w:line="360" w:lineRule="auto"/>
        <w:rPr>
          <w:rFonts w:ascii="Arial" w:hAnsi="Arial" w:cs="Arial"/>
          <w:sz w:val="22"/>
          <w:szCs w:val="22"/>
        </w:rPr>
      </w:pPr>
    </w:p>
    <w:p w14:paraId="72A04DC1" w14:textId="77777777" w:rsidR="0009184A" w:rsidRPr="0009184A" w:rsidRDefault="0009184A" w:rsidP="0009184A">
      <w:pPr>
        <w:spacing w:line="360" w:lineRule="auto"/>
        <w:rPr>
          <w:rFonts w:ascii="Arial" w:hAnsi="Arial" w:cs="Arial"/>
          <w:sz w:val="22"/>
          <w:szCs w:val="22"/>
        </w:rPr>
      </w:pPr>
    </w:p>
    <w:p w14:paraId="7F2DB971" w14:textId="77777777" w:rsidR="0009184A" w:rsidRPr="0009184A" w:rsidRDefault="0009184A" w:rsidP="0009184A">
      <w:pPr>
        <w:spacing w:line="360" w:lineRule="auto"/>
        <w:rPr>
          <w:rFonts w:ascii="Arial" w:hAnsi="Arial" w:cs="Arial"/>
          <w:sz w:val="22"/>
          <w:szCs w:val="22"/>
        </w:rPr>
      </w:pPr>
    </w:p>
    <w:p w14:paraId="084AD631" w14:textId="77777777" w:rsidR="0009184A" w:rsidRPr="0009184A" w:rsidRDefault="0009184A" w:rsidP="0009184A">
      <w:pPr>
        <w:spacing w:line="360" w:lineRule="auto"/>
        <w:rPr>
          <w:rFonts w:ascii="Arial" w:hAnsi="Arial" w:cs="Arial"/>
          <w:sz w:val="22"/>
          <w:szCs w:val="22"/>
        </w:rPr>
      </w:pPr>
    </w:p>
    <w:p w14:paraId="57571F40" w14:textId="77777777" w:rsidR="0009184A" w:rsidRPr="0009184A" w:rsidRDefault="0009184A" w:rsidP="0009184A">
      <w:pPr>
        <w:spacing w:line="360" w:lineRule="auto"/>
        <w:rPr>
          <w:rFonts w:ascii="Arial" w:hAnsi="Arial" w:cs="Arial"/>
          <w:sz w:val="22"/>
          <w:szCs w:val="22"/>
        </w:rPr>
      </w:pPr>
    </w:p>
    <w:p w14:paraId="4D110A7C" w14:textId="77777777" w:rsidR="0009184A" w:rsidRPr="0009184A" w:rsidRDefault="0009184A" w:rsidP="0009184A">
      <w:pPr>
        <w:spacing w:line="360" w:lineRule="auto"/>
        <w:rPr>
          <w:rFonts w:ascii="Arial" w:hAnsi="Arial" w:cs="Arial"/>
          <w:sz w:val="22"/>
          <w:szCs w:val="22"/>
        </w:rPr>
      </w:pPr>
    </w:p>
    <w:p w14:paraId="2CDBC433" w14:textId="77777777" w:rsidR="0009184A" w:rsidRPr="0009184A" w:rsidRDefault="0009184A" w:rsidP="0009184A">
      <w:pPr>
        <w:spacing w:line="360" w:lineRule="auto"/>
        <w:rPr>
          <w:rFonts w:ascii="Arial" w:hAnsi="Arial" w:cs="Arial"/>
          <w:sz w:val="22"/>
          <w:szCs w:val="22"/>
        </w:rPr>
      </w:pPr>
    </w:p>
    <w:p w14:paraId="2CEC9B14" w14:textId="77777777" w:rsidR="0009184A" w:rsidRPr="0009184A" w:rsidRDefault="0009184A" w:rsidP="0009184A">
      <w:pPr>
        <w:spacing w:line="360" w:lineRule="auto"/>
        <w:rPr>
          <w:rFonts w:ascii="Arial" w:hAnsi="Arial" w:cs="Arial"/>
          <w:sz w:val="22"/>
          <w:szCs w:val="22"/>
        </w:rPr>
      </w:pPr>
    </w:p>
    <w:p w14:paraId="5EF636C1" w14:textId="77777777" w:rsidR="0009184A" w:rsidRPr="0009184A" w:rsidRDefault="0009184A" w:rsidP="0009184A">
      <w:pPr>
        <w:spacing w:line="360" w:lineRule="auto"/>
        <w:rPr>
          <w:rFonts w:ascii="Arial" w:hAnsi="Arial" w:cs="Arial"/>
          <w:sz w:val="22"/>
          <w:szCs w:val="22"/>
        </w:rPr>
      </w:pPr>
    </w:p>
    <w:p w14:paraId="4B4EBEE0" w14:textId="77777777" w:rsidR="0009184A" w:rsidRPr="0009184A" w:rsidRDefault="0009184A" w:rsidP="0009184A">
      <w:pPr>
        <w:spacing w:line="360" w:lineRule="auto"/>
        <w:rPr>
          <w:rFonts w:ascii="Arial" w:hAnsi="Arial" w:cs="Arial"/>
          <w:sz w:val="22"/>
          <w:szCs w:val="22"/>
        </w:rPr>
      </w:pPr>
    </w:p>
    <w:p w14:paraId="0ED40EB6" w14:textId="77777777" w:rsidR="007A1673" w:rsidRPr="0009184A" w:rsidRDefault="007A1673" w:rsidP="0009184A">
      <w:pPr>
        <w:spacing w:line="360" w:lineRule="auto"/>
        <w:rPr>
          <w:rFonts w:ascii="Arial" w:hAnsi="Arial" w:cs="Arial"/>
          <w:b/>
          <w:bCs/>
          <w:sz w:val="22"/>
          <w:szCs w:val="22"/>
        </w:rPr>
      </w:pPr>
      <w:r w:rsidRPr="0009184A">
        <w:rPr>
          <w:rFonts w:ascii="Arial" w:hAnsi="Arial" w:cs="Arial"/>
          <w:b/>
          <w:bCs/>
          <w:sz w:val="22"/>
          <w:szCs w:val="22"/>
        </w:rPr>
        <w:t>References</w:t>
      </w:r>
    </w:p>
    <w:p w14:paraId="78450D7E" w14:textId="77777777" w:rsidR="007A1673" w:rsidRPr="0009184A" w:rsidRDefault="007A1673" w:rsidP="0009184A">
      <w:pPr>
        <w:numPr>
          <w:ilvl w:val="0"/>
          <w:numId w:val="2"/>
        </w:numPr>
        <w:spacing w:line="360" w:lineRule="auto"/>
        <w:rPr>
          <w:rFonts w:ascii="Arial" w:hAnsi="Arial" w:cs="Arial"/>
          <w:sz w:val="22"/>
          <w:szCs w:val="22"/>
        </w:rPr>
      </w:pPr>
      <w:r w:rsidRPr="0009184A">
        <w:rPr>
          <w:rFonts w:ascii="Arial" w:hAnsi="Arial" w:cs="Arial"/>
          <w:sz w:val="22"/>
          <w:szCs w:val="22"/>
        </w:rPr>
        <w:t xml:space="preserve">CBI (2021) </w:t>
      </w:r>
      <w:r w:rsidRPr="0009184A">
        <w:rPr>
          <w:rFonts w:ascii="Arial" w:hAnsi="Arial" w:cs="Arial"/>
          <w:i/>
          <w:iCs/>
          <w:sz w:val="22"/>
          <w:szCs w:val="22"/>
        </w:rPr>
        <w:t>Skills for the Future Workforce</w:t>
      </w:r>
      <w:r w:rsidRPr="0009184A">
        <w:rPr>
          <w:rFonts w:ascii="Arial" w:hAnsi="Arial" w:cs="Arial"/>
          <w:sz w:val="22"/>
          <w:szCs w:val="22"/>
        </w:rPr>
        <w:t xml:space="preserve">. London: Confederation of British Industry. </w:t>
      </w:r>
    </w:p>
    <w:p w14:paraId="0C238F84" w14:textId="77777777" w:rsidR="007A1673" w:rsidRPr="0009184A" w:rsidRDefault="007A1673" w:rsidP="0009184A">
      <w:pPr>
        <w:numPr>
          <w:ilvl w:val="0"/>
          <w:numId w:val="2"/>
        </w:numPr>
        <w:spacing w:line="360" w:lineRule="auto"/>
        <w:rPr>
          <w:rFonts w:ascii="Arial" w:hAnsi="Arial" w:cs="Arial"/>
          <w:sz w:val="22"/>
          <w:szCs w:val="22"/>
        </w:rPr>
      </w:pPr>
      <w:r w:rsidRPr="0009184A">
        <w:rPr>
          <w:rFonts w:ascii="Arial" w:hAnsi="Arial" w:cs="Arial"/>
          <w:sz w:val="22"/>
          <w:szCs w:val="22"/>
        </w:rPr>
        <w:t xml:space="preserve">Department for Education (DfE) (2023) </w:t>
      </w:r>
      <w:r w:rsidRPr="0009184A">
        <w:rPr>
          <w:rFonts w:ascii="Arial" w:hAnsi="Arial" w:cs="Arial"/>
          <w:i/>
          <w:iCs/>
          <w:sz w:val="22"/>
          <w:szCs w:val="22"/>
        </w:rPr>
        <w:t>Teaching Assistant Standards</w:t>
      </w:r>
      <w:r w:rsidRPr="0009184A">
        <w:rPr>
          <w:rFonts w:ascii="Arial" w:hAnsi="Arial" w:cs="Arial"/>
          <w:sz w:val="22"/>
          <w:szCs w:val="22"/>
        </w:rPr>
        <w:t xml:space="preserve">. London: DfE. </w:t>
      </w:r>
    </w:p>
    <w:p w14:paraId="4B456E6E" w14:textId="77777777" w:rsidR="007A1673" w:rsidRPr="0009184A" w:rsidRDefault="007A1673" w:rsidP="0009184A">
      <w:pPr>
        <w:numPr>
          <w:ilvl w:val="0"/>
          <w:numId w:val="2"/>
        </w:numPr>
        <w:spacing w:line="360" w:lineRule="auto"/>
        <w:rPr>
          <w:rFonts w:ascii="Arial" w:hAnsi="Arial" w:cs="Arial"/>
          <w:sz w:val="22"/>
          <w:szCs w:val="22"/>
        </w:rPr>
      </w:pPr>
      <w:r w:rsidRPr="0009184A">
        <w:rPr>
          <w:rFonts w:ascii="Arial" w:hAnsi="Arial" w:cs="Arial"/>
          <w:sz w:val="22"/>
          <w:szCs w:val="22"/>
        </w:rPr>
        <w:t xml:space="preserve">Department for Education (DfE) (2024) </w:t>
      </w:r>
      <w:r w:rsidRPr="0009184A">
        <w:rPr>
          <w:rFonts w:ascii="Arial" w:hAnsi="Arial" w:cs="Arial"/>
          <w:i/>
          <w:iCs/>
          <w:sz w:val="22"/>
          <w:szCs w:val="22"/>
        </w:rPr>
        <w:t>Keeping Children Safe in Education</w:t>
      </w:r>
      <w:r w:rsidRPr="0009184A">
        <w:rPr>
          <w:rFonts w:ascii="Arial" w:hAnsi="Arial" w:cs="Arial"/>
          <w:sz w:val="22"/>
          <w:szCs w:val="22"/>
        </w:rPr>
        <w:t xml:space="preserve">. London: DfE. </w:t>
      </w:r>
    </w:p>
    <w:p w14:paraId="41AA43A2" w14:textId="77777777" w:rsidR="007A1673" w:rsidRPr="0009184A" w:rsidRDefault="007A1673" w:rsidP="0009184A">
      <w:pPr>
        <w:numPr>
          <w:ilvl w:val="0"/>
          <w:numId w:val="2"/>
        </w:numPr>
        <w:spacing w:line="360" w:lineRule="auto"/>
        <w:rPr>
          <w:rFonts w:ascii="Arial" w:hAnsi="Arial" w:cs="Arial"/>
          <w:sz w:val="22"/>
          <w:szCs w:val="22"/>
        </w:rPr>
      </w:pPr>
      <w:r w:rsidRPr="0009184A">
        <w:rPr>
          <w:rFonts w:ascii="Arial" w:hAnsi="Arial" w:cs="Arial"/>
          <w:sz w:val="22"/>
          <w:szCs w:val="22"/>
        </w:rPr>
        <w:lastRenderedPageBreak/>
        <w:t xml:space="preserve">Education Endowment Foundation (EEF) (2021) </w:t>
      </w:r>
      <w:r w:rsidRPr="0009184A">
        <w:rPr>
          <w:rFonts w:ascii="Arial" w:hAnsi="Arial" w:cs="Arial"/>
          <w:i/>
          <w:iCs/>
          <w:sz w:val="22"/>
          <w:szCs w:val="22"/>
        </w:rPr>
        <w:t>Making Best Use of Teaching Assistants</w:t>
      </w:r>
      <w:r w:rsidRPr="0009184A">
        <w:rPr>
          <w:rFonts w:ascii="Arial" w:hAnsi="Arial" w:cs="Arial"/>
          <w:sz w:val="22"/>
          <w:szCs w:val="22"/>
        </w:rPr>
        <w:t xml:space="preserve">. London: EEF. </w:t>
      </w:r>
    </w:p>
    <w:p w14:paraId="3BF1773E" w14:textId="77777777" w:rsidR="007A1673" w:rsidRPr="0009184A" w:rsidRDefault="007A1673" w:rsidP="0009184A">
      <w:pPr>
        <w:numPr>
          <w:ilvl w:val="0"/>
          <w:numId w:val="2"/>
        </w:numPr>
        <w:spacing w:line="360" w:lineRule="auto"/>
        <w:rPr>
          <w:rFonts w:ascii="Arial" w:hAnsi="Arial" w:cs="Arial"/>
          <w:sz w:val="22"/>
          <w:szCs w:val="22"/>
        </w:rPr>
      </w:pPr>
      <w:r w:rsidRPr="0009184A">
        <w:rPr>
          <w:rFonts w:ascii="Arial" w:hAnsi="Arial" w:cs="Arial"/>
          <w:sz w:val="22"/>
          <w:szCs w:val="22"/>
        </w:rPr>
        <w:t xml:space="preserve">Goleman, D. (1998) </w:t>
      </w:r>
      <w:r w:rsidRPr="0009184A">
        <w:rPr>
          <w:rFonts w:ascii="Arial" w:hAnsi="Arial" w:cs="Arial"/>
          <w:i/>
          <w:iCs/>
          <w:sz w:val="22"/>
          <w:szCs w:val="22"/>
        </w:rPr>
        <w:t>Working with Emotional Intelligence</w:t>
      </w:r>
      <w:r w:rsidRPr="0009184A">
        <w:rPr>
          <w:rFonts w:ascii="Arial" w:hAnsi="Arial" w:cs="Arial"/>
          <w:sz w:val="22"/>
          <w:szCs w:val="22"/>
        </w:rPr>
        <w:t xml:space="preserve">. New York: Bantam Books. </w:t>
      </w:r>
    </w:p>
    <w:p w14:paraId="397853C0" w14:textId="77777777" w:rsidR="007A1673" w:rsidRPr="0009184A" w:rsidRDefault="007A1673" w:rsidP="0009184A">
      <w:pPr>
        <w:numPr>
          <w:ilvl w:val="0"/>
          <w:numId w:val="2"/>
        </w:numPr>
        <w:spacing w:line="360" w:lineRule="auto"/>
        <w:rPr>
          <w:rFonts w:ascii="Arial" w:hAnsi="Arial" w:cs="Arial"/>
          <w:sz w:val="22"/>
          <w:szCs w:val="22"/>
        </w:rPr>
      </w:pPr>
      <w:proofErr w:type="spellStart"/>
      <w:r w:rsidRPr="0009184A">
        <w:rPr>
          <w:rFonts w:ascii="Arial" w:hAnsi="Arial" w:cs="Arial"/>
          <w:sz w:val="22"/>
          <w:szCs w:val="22"/>
        </w:rPr>
        <w:t>Granovetter</w:t>
      </w:r>
      <w:proofErr w:type="spellEnd"/>
      <w:r w:rsidRPr="0009184A">
        <w:rPr>
          <w:rFonts w:ascii="Arial" w:hAnsi="Arial" w:cs="Arial"/>
          <w:sz w:val="22"/>
          <w:szCs w:val="22"/>
        </w:rPr>
        <w:t xml:space="preserve">, M. (1973) ‘The Strength of Weak Ties’, </w:t>
      </w:r>
      <w:r w:rsidRPr="0009184A">
        <w:rPr>
          <w:rFonts w:ascii="Arial" w:hAnsi="Arial" w:cs="Arial"/>
          <w:i/>
          <w:iCs/>
          <w:sz w:val="22"/>
          <w:szCs w:val="22"/>
        </w:rPr>
        <w:t>American Journal of Sociology</w:t>
      </w:r>
      <w:r w:rsidRPr="0009184A">
        <w:rPr>
          <w:rFonts w:ascii="Arial" w:hAnsi="Arial" w:cs="Arial"/>
          <w:sz w:val="22"/>
          <w:szCs w:val="22"/>
        </w:rPr>
        <w:t xml:space="preserve">, 78(6), pp. 1360–1380. </w:t>
      </w:r>
    </w:p>
    <w:p w14:paraId="5831B880" w14:textId="77777777" w:rsidR="007A1673" w:rsidRPr="0009184A" w:rsidRDefault="007A1673" w:rsidP="0009184A">
      <w:pPr>
        <w:numPr>
          <w:ilvl w:val="0"/>
          <w:numId w:val="2"/>
        </w:numPr>
        <w:spacing w:line="360" w:lineRule="auto"/>
        <w:rPr>
          <w:rFonts w:ascii="Arial" w:hAnsi="Arial" w:cs="Arial"/>
          <w:sz w:val="22"/>
          <w:szCs w:val="22"/>
        </w:rPr>
      </w:pPr>
      <w:r w:rsidRPr="0009184A">
        <w:rPr>
          <w:rFonts w:ascii="Arial" w:hAnsi="Arial" w:cs="Arial"/>
          <w:sz w:val="22"/>
          <w:szCs w:val="22"/>
        </w:rPr>
        <w:t xml:space="preserve">Montoya, P. and Vandehey, T. (2009) </w:t>
      </w:r>
      <w:r w:rsidRPr="0009184A">
        <w:rPr>
          <w:rFonts w:ascii="Arial" w:hAnsi="Arial" w:cs="Arial"/>
          <w:i/>
          <w:iCs/>
          <w:sz w:val="22"/>
          <w:szCs w:val="22"/>
        </w:rPr>
        <w:t>The Brand Called You</w:t>
      </w:r>
      <w:r w:rsidRPr="0009184A">
        <w:rPr>
          <w:rFonts w:ascii="Arial" w:hAnsi="Arial" w:cs="Arial"/>
          <w:sz w:val="22"/>
          <w:szCs w:val="22"/>
        </w:rPr>
        <w:t xml:space="preserve">. New York: McGraw-Hill. </w:t>
      </w:r>
    </w:p>
    <w:p w14:paraId="067FF8D8" w14:textId="77777777" w:rsidR="007A1673" w:rsidRPr="0009184A" w:rsidRDefault="007A1673" w:rsidP="0009184A">
      <w:pPr>
        <w:numPr>
          <w:ilvl w:val="0"/>
          <w:numId w:val="2"/>
        </w:numPr>
        <w:spacing w:line="360" w:lineRule="auto"/>
        <w:rPr>
          <w:rFonts w:ascii="Arial" w:hAnsi="Arial" w:cs="Arial"/>
          <w:sz w:val="22"/>
          <w:szCs w:val="22"/>
        </w:rPr>
      </w:pPr>
      <w:r w:rsidRPr="0009184A">
        <w:rPr>
          <w:rFonts w:ascii="Arial" w:hAnsi="Arial" w:cs="Arial"/>
          <w:sz w:val="22"/>
          <w:szCs w:val="22"/>
        </w:rPr>
        <w:t xml:space="preserve">Rogers, B. (2020) </w:t>
      </w:r>
      <w:r w:rsidRPr="0009184A">
        <w:rPr>
          <w:rFonts w:ascii="Arial" w:hAnsi="Arial" w:cs="Arial"/>
          <w:i/>
          <w:iCs/>
          <w:sz w:val="22"/>
          <w:szCs w:val="22"/>
        </w:rPr>
        <w:t>Classroom Behaviour: A Practical Guide to Effective Teaching, Behaviour Management and Colleague Support</w:t>
      </w:r>
      <w:r w:rsidRPr="0009184A">
        <w:rPr>
          <w:rFonts w:ascii="Arial" w:hAnsi="Arial" w:cs="Arial"/>
          <w:sz w:val="22"/>
          <w:szCs w:val="22"/>
        </w:rPr>
        <w:t xml:space="preserve">. 4th </w:t>
      </w:r>
      <w:proofErr w:type="spellStart"/>
      <w:r w:rsidRPr="0009184A">
        <w:rPr>
          <w:rFonts w:ascii="Arial" w:hAnsi="Arial" w:cs="Arial"/>
          <w:sz w:val="22"/>
          <w:szCs w:val="22"/>
        </w:rPr>
        <w:t>edn</w:t>
      </w:r>
      <w:proofErr w:type="spellEnd"/>
      <w:r w:rsidRPr="0009184A">
        <w:rPr>
          <w:rFonts w:ascii="Arial" w:hAnsi="Arial" w:cs="Arial"/>
          <w:sz w:val="22"/>
          <w:szCs w:val="22"/>
        </w:rPr>
        <w:t>. London: Sage.</w:t>
      </w:r>
    </w:p>
    <w:p w14:paraId="33E2FF4C" w14:textId="77777777" w:rsidR="00511728" w:rsidRDefault="00511728"/>
    <w:sectPr w:rsidR="0051172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85157" w14:textId="77777777" w:rsidR="00B815C6" w:rsidRDefault="00B815C6" w:rsidP="00093D49">
      <w:pPr>
        <w:spacing w:after="0" w:line="240" w:lineRule="auto"/>
      </w:pPr>
      <w:r>
        <w:separator/>
      </w:r>
    </w:p>
  </w:endnote>
  <w:endnote w:type="continuationSeparator" w:id="0">
    <w:p w14:paraId="1E3B916A" w14:textId="77777777" w:rsidR="00B815C6" w:rsidRDefault="00B815C6" w:rsidP="00093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7412607"/>
      <w:docPartObj>
        <w:docPartGallery w:val="Page Numbers (Bottom of Page)"/>
        <w:docPartUnique/>
      </w:docPartObj>
    </w:sdtPr>
    <w:sdtEndPr>
      <w:rPr>
        <w:noProof/>
      </w:rPr>
    </w:sdtEndPr>
    <w:sdtContent>
      <w:p w14:paraId="68F0DBA6" w14:textId="67DC8850" w:rsidR="00093D49" w:rsidRDefault="00093D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EED808" w14:textId="77777777" w:rsidR="00093D49" w:rsidRDefault="00093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D076C" w14:textId="77777777" w:rsidR="00B815C6" w:rsidRDefault="00B815C6" w:rsidP="00093D49">
      <w:pPr>
        <w:spacing w:after="0" w:line="240" w:lineRule="auto"/>
      </w:pPr>
      <w:r>
        <w:separator/>
      </w:r>
    </w:p>
  </w:footnote>
  <w:footnote w:type="continuationSeparator" w:id="0">
    <w:p w14:paraId="304FFF89" w14:textId="77777777" w:rsidR="00B815C6" w:rsidRDefault="00B815C6" w:rsidP="00093D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B49F" w14:textId="3BDCD556" w:rsidR="00093D49" w:rsidRDefault="00093D49">
    <w:pPr>
      <w:pStyle w:val="Header"/>
    </w:pPr>
    <w:r>
      <w:t>Zamzam Abdallah</w:t>
    </w:r>
  </w:p>
  <w:p w14:paraId="3BFEC793" w14:textId="0CDC67DC" w:rsidR="00093D49" w:rsidRDefault="00093D49">
    <w:pPr>
      <w:pStyle w:val="Header"/>
    </w:pPr>
    <w:r>
      <w:t>2408411</w:t>
    </w:r>
  </w:p>
  <w:p w14:paraId="02B07A07" w14:textId="77777777" w:rsidR="00093D49" w:rsidRDefault="00093D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90EEF"/>
    <w:multiLevelType w:val="multilevel"/>
    <w:tmpl w:val="2916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0E2050"/>
    <w:multiLevelType w:val="multilevel"/>
    <w:tmpl w:val="8A74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1731632">
    <w:abstractNumId w:val="1"/>
  </w:num>
  <w:num w:numId="2" w16cid:durableId="624313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73"/>
    <w:rsid w:val="0009184A"/>
    <w:rsid w:val="00093D49"/>
    <w:rsid w:val="000942E2"/>
    <w:rsid w:val="000D2B71"/>
    <w:rsid w:val="00153385"/>
    <w:rsid w:val="00336CA4"/>
    <w:rsid w:val="003F6A65"/>
    <w:rsid w:val="004336D6"/>
    <w:rsid w:val="004E1351"/>
    <w:rsid w:val="00511728"/>
    <w:rsid w:val="00516D22"/>
    <w:rsid w:val="0054220E"/>
    <w:rsid w:val="00631C3F"/>
    <w:rsid w:val="00780586"/>
    <w:rsid w:val="007A1673"/>
    <w:rsid w:val="009E4D44"/>
    <w:rsid w:val="00B0474F"/>
    <w:rsid w:val="00B815C6"/>
    <w:rsid w:val="00C32215"/>
    <w:rsid w:val="00D47BAC"/>
    <w:rsid w:val="00DC3E1F"/>
    <w:rsid w:val="00DD6669"/>
    <w:rsid w:val="00E41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A06DB"/>
  <w15:chartTrackingRefBased/>
  <w15:docId w15:val="{F002375C-4F66-434D-A0F2-E37A04D73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16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16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16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16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16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1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1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673"/>
    <w:rPr>
      <w:rFonts w:eastAsiaTheme="majorEastAsia" w:cstheme="majorBidi"/>
      <w:color w:val="272727" w:themeColor="text1" w:themeTint="D8"/>
    </w:rPr>
  </w:style>
  <w:style w:type="paragraph" w:styleId="Title">
    <w:name w:val="Title"/>
    <w:basedOn w:val="Normal"/>
    <w:next w:val="Normal"/>
    <w:link w:val="TitleChar"/>
    <w:uiPriority w:val="10"/>
    <w:qFormat/>
    <w:rsid w:val="007A1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673"/>
    <w:pPr>
      <w:spacing w:before="160"/>
      <w:jc w:val="center"/>
    </w:pPr>
    <w:rPr>
      <w:i/>
      <w:iCs/>
      <w:color w:val="404040" w:themeColor="text1" w:themeTint="BF"/>
    </w:rPr>
  </w:style>
  <w:style w:type="character" w:customStyle="1" w:styleId="QuoteChar">
    <w:name w:val="Quote Char"/>
    <w:basedOn w:val="DefaultParagraphFont"/>
    <w:link w:val="Quote"/>
    <w:uiPriority w:val="29"/>
    <w:rsid w:val="007A1673"/>
    <w:rPr>
      <w:i/>
      <w:iCs/>
      <w:color w:val="404040" w:themeColor="text1" w:themeTint="BF"/>
    </w:rPr>
  </w:style>
  <w:style w:type="paragraph" w:styleId="ListParagraph">
    <w:name w:val="List Paragraph"/>
    <w:basedOn w:val="Normal"/>
    <w:uiPriority w:val="34"/>
    <w:qFormat/>
    <w:rsid w:val="007A1673"/>
    <w:pPr>
      <w:ind w:left="720"/>
      <w:contextualSpacing/>
    </w:pPr>
  </w:style>
  <w:style w:type="character" w:styleId="IntenseEmphasis">
    <w:name w:val="Intense Emphasis"/>
    <w:basedOn w:val="DefaultParagraphFont"/>
    <w:uiPriority w:val="21"/>
    <w:qFormat/>
    <w:rsid w:val="007A1673"/>
    <w:rPr>
      <w:i/>
      <w:iCs/>
      <w:color w:val="0F4761" w:themeColor="accent1" w:themeShade="BF"/>
    </w:rPr>
  </w:style>
  <w:style w:type="paragraph" w:styleId="IntenseQuote">
    <w:name w:val="Intense Quote"/>
    <w:basedOn w:val="Normal"/>
    <w:next w:val="Normal"/>
    <w:link w:val="IntenseQuoteChar"/>
    <w:uiPriority w:val="30"/>
    <w:qFormat/>
    <w:rsid w:val="007A16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673"/>
    <w:rPr>
      <w:i/>
      <w:iCs/>
      <w:color w:val="0F4761" w:themeColor="accent1" w:themeShade="BF"/>
    </w:rPr>
  </w:style>
  <w:style w:type="character" w:styleId="IntenseReference">
    <w:name w:val="Intense Reference"/>
    <w:basedOn w:val="DefaultParagraphFont"/>
    <w:uiPriority w:val="32"/>
    <w:qFormat/>
    <w:rsid w:val="007A1673"/>
    <w:rPr>
      <w:b/>
      <w:bCs/>
      <w:smallCaps/>
      <w:color w:val="0F4761" w:themeColor="accent1" w:themeShade="BF"/>
      <w:spacing w:val="5"/>
    </w:rPr>
  </w:style>
  <w:style w:type="character" w:styleId="Hyperlink">
    <w:name w:val="Hyperlink"/>
    <w:basedOn w:val="DefaultParagraphFont"/>
    <w:uiPriority w:val="99"/>
    <w:unhideWhenUsed/>
    <w:rsid w:val="007A1673"/>
    <w:rPr>
      <w:color w:val="467886" w:themeColor="hyperlink"/>
      <w:u w:val="single"/>
    </w:rPr>
  </w:style>
  <w:style w:type="character" w:styleId="UnresolvedMention">
    <w:name w:val="Unresolved Mention"/>
    <w:basedOn w:val="DefaultParagraphFont"/>
    <w:uiPriority w:val="99"/>
    <w:semiHidden/>
    <w:unhideWhenUsed/>
    <w:rsid w:val="007A1673"/>
    <w:rPr>
      <w:color w:val="605E5C"/>
      <w:shd w:val="clear" w:color="auto" w:fill="E1DFDD"/>
    </w:rPr>
  </w:style>
  <w:style w:type="paragraph" w:styleId="Header">
    <w:name w:val="header"/>
    <w:basedOn w:val="Normal"/>
    <w:link w:val="HeaderChar"/>
    <w:uiPriority w:val="99"/>
    <w:unhideWhenUsed/>
    <w:rsid w:val="00093D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D49"/>
  </w:style>
  <w:style w:type="paragraph" w:styleId="Footer">
    <w:name w:val="footer"/>
    <w:basedOn w:val="Normal"/>
    <w:link w:val="FooterChar"/>
    <w:uiPriority w:val="99"/>
    <w:unhideWhenUsed/>
    <w:rsid w:val="00093D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m?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2447</Words>
  <Characters>13951</Characters>
  <Application>Microsoft Office Word</Application>
  <DocSecurity>0</DocSecurity>
  <Lines>116</Lines>
  <Paragraphs>32</Paragraphs>
  <ScaleCrop>false</ScaleCrop>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Zamzam Wafiq Abdel Latif Abdallah (2408411)</dc:creator>
  <cp:keywords/>
  <dc:description/>
  <cp:lastModifiedBy>Zamzam Wafiq Abdel Latif Abdallah (2408411)</cp:lastModifiedBy>
  <cp:revision>14</cp:revision>
  <dcterms:created xsi:type="dcterms:W3CDTF">2026-05-16T15:21:00Z</dcterms:created>
  <dcterms:modified xsi:type="dcterms:W3CDTF">2026-07-12T13:47:00Z</dcterms:modified>
</cp:coreProperties>
</file>