
<file path=[Content_Types].xml><?xml version="1.0" encoding="utf-8"?>
<Types xmlns="http://schemas.openxmlformats.org/package/2006/content-types">
  <Default Extension="xml" ContentType="application/xml"/>
  <Default Extension="png" ContentType="image/png"/>
  <Default Extension="tiff" ContentType="image/tiff"/>
  <Default Extension="wdp" ContentType="image/vnd.ms-photo"/>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56" w:beforeLines="50" w:after="156" w:afterLines="50" w:line="480" w:lineRule="auto"/>
        <w:outlineLvl w:val="0"/>
        <w:rPr>
          <w:rFonts w:ascii="Raleway Medium" w:hAnsi="Raleway Medium"/>
          <w:i/>
          <w:color w:val="44546A" w:themeColor="text2"/>
          <w:sz w:val="32"/>
          <w:u w:val="thick"/>
          <w14:textFill>
            <w14:solidFill>
              <w14:schemeClr w14:val="tx2"/>
            </w14:solidFill>
          </w14:textFill>
        </w:rPr>
      </w:pPr>
      <w:bookmarkStart w:id="0" w:name="_Toc8218362"/>
      <w:r>
        <mc:AlternateContent>
          <mc:Choice Requires="wps">
            <w:drawing>
              <wp:anchor distT="45720" distB="45720" distL="114300" distR="114300" simplePos="0" relativeHeight="251661312" behindDoc="1" locked="0" layoutInCell="1" allowOverlap="1">
                <wp:simplePos x="0" y="0"/>
                <wp:positionH relativeFrom="margin">
                  <wp:posOffset>-327025</wp:posOffset>
                </wp:positionH>
                <wp:positionV relativeFrom="paragraph">
                  <wp:posOffset>4046220</wp:posOffset>
                </wp:positionV>
                <wp:extent cx="5935980" cy="2159000"/>
                <wp:effectExtent l="0" t="0" r="7620" b="0"/>
                <wp:wrapNone/>
                <wp:docPr id="217" name="文本框 2"/>
                <wp:cNvGraphicFramePr/>
                <a:graphic xmlns:a="http://schemas.openxmlformats.org/drawingml/2006/main">
                  <a:graphicData uri="http://schemas.microsoft.com/office/word/2010/wordprocessingShape">
                    <wps:wsp>
                      <wps:cNvSpPr txBox="1">
                        <a:spLocks noChangeArrowheads="1"/>
                      </wps:cNvSpPr>
                      <wps:spPr bwMode="auto">
                        <a:xfrm>
                          <a:off x="0" y="0"/>
                          <a:ext cx="5935980" cy="2159000"/>
                        </a:xfrm>
                        <a:prstGeom prst="rect">
                          <a:avLst/>
                        </a:prstGeom>
                        <a:solidFill>
                          <a:srgbClr val="7E1A38"/>
                        </a:solidFill>
                        <a:ln w="9525">
                          <a:noFill/>
                          <a:miter lim="800000"/>
                        </a:ln>
                        <a:effectLst>
                          <a:innerShdw blurRad="114300">
                            <a:prstClr val="black"/>
                          </a:innerShdw>
                        </a:effectLst>
                      </wps:spPr>
                      <wps:txbx>
                        <w:txbxContent>
                          <w:p>
                            <w:pPr>
                              <w:spacing w:before="624" w:beforeLines="200" w:after="312" w:afterLines="100" w:line="480" w:lineRule="auto"/>
                              <w:jc w:val="center"/>
                              <w:rPr>
                                <w:rFonts w:ascii="Futura Lt BT" w:hAnsi="Futura Lt BT"/>
                                <w:b/>
                                <w:i/>
                                <w:sz w:val="52"/>
                              </w:rPr>
                            </w:pPr>
                            <w:r>
                              <w:rPr>
                                <w:rFonts w:ascii="Futura Lt BT" w:hAnsi="Futura Lt BT"/>
                                <w:b/>
                                <w:i/>
                                <w:sz w:val="52"/>
                              </w:rPr>
                              <w:t>Strategy Consultancy Report</w:t>
                            </w:r>
                          </w:p>
                          <w:p>
                            <w:pPr>
                              <w:spacing w:before="312" w:beforeLines="100" w:after="312" w:afterLines="100" w:line="480" w:lineRule="auto"/>
                              <w:jc w:val="center"/>
                              <w:rPr>
                                <w:rFonts w:ascii="Futura CondensedLight" w:hAnsi="Futura CondensedLight"/>
                                <w:color w:val="D6DCE5" w:themeColor="text2" w:themeTint="33"/>
                                <w:sz w:val="52"/>
                                <w14:textFill>
                                  <w14:solidFill>
                                    <w14:schemeClr w14:val="tx2">
                                      <w14:lumMod w14:val="20000"/>
                                      <w14:lumOff w14:val="80000"/>
                                    </w14:schemeClr>
                                  </w14:solidFill>
                                </w14:textFill>
                              </w:rPr>
                            </w:pPr>
                            <w:r>
                              <w:rPr>
                                <w:rFonts w:ascii="Futura CondensedLight" w:hAnsi="Futura CondensedLight"/>
                                <w:color w:val="D6DCE5" w:themeColor="text2" w:themeTint="33"/>
                                <w:sz w:val="52"/>
                                <w14:textFill>
                                  <w14:solidFill>
                                    <w14:schemeClr w14:val="tx2">
                                      <w14:lumMod w14:val="20000"/>
                                      <w14:lumOff w14:val="80000"/>
                                    </w14:schemeClr>
                                  </w14:solidFill>
                                </w14:textFill>
                              </w:rPr>
                              <w:t>for Tiara Hot Spring Resort</w:t>
                            </w:r>
                          </w:p>
                        </w:txbxContent>
                      </wps:txbx>
                      <wps:bodyPr rot="0" vert="horz" wrap="square" lIns="91440" tIns="45720" rIns="91440" bIns="45720" anchor="t" anchorCtr="0">
                        <a:noAutofit/>
                      </wps:bodyPr>
                    </wps:wsp>
                  </a:graphicData>
                </a:graphic>
              </wp:anchor>
            </w:drawing>
          </mc:Choice>
          <mc:Fallback>
            <w:pict>
              <v:shape id="文本框 2" o:spid="_x0000_s1026" o:spt="202" type="#_x0000_t202" style="position:absolute;left:0pt;margin-left:-25.75pt;margin-top:318.6pt;height:170pt;width:467.4pt;mso-position-horizontal-relative:margin;z-index:-251655168;mso-width-relative:page;mso-height-relative:page;" fillcolor="#7E1A38" filled="t" stroked="f" coordsize="21600,21600" o:gfxdata="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">
                <v:fill on="t" focussize="0,0"/>
                <v:stroke on="f" miterlimit="8" joinstyle="miter"/>
                <v:imagedata o:title=""/>
                <o:lock v:ext="edit" aspectratio="f"/>
                <v:textbox>
                  <w:txbxContent>
                    <w:p>
                      <w:pPr>
                        <w:spacing w:before="624" w:beforeLines="200" w:after="312" w:afterLines="100" w:line="480" w:lineRule="auto"/>
                        <w:jc w:val="center"/>
                        <w:rPr>
                          <w:rFonts w:ascii="Futura Lt BT" w:hAnsi="Futura Lt BT"/>
                          <w:b/>
                          <w:i/>
                          <w:sz w:val="52"/>
                        </w:rPr>
                      </w:pPr>
                      <w:r>
                        <w:rPr>
                          <w:rFonts w:ascii="Futura Lt BT" w:hAnsi="Futura Lt BT"/>
                          <w:b/>
                          <w:i/>
                          <w:sz w:val="52"/>
                        </w:rPr>
                        <w:t>Strategy Consultancy Report</w:t>
                      </w:r>
                    </w:p>
                    <w:p>
                      <w:pPr>
                        <w:spacing w:before="312" w:beforeLines="100" w:after="312" w:afterLines="100" w:line="480" w:lineRule="auto"/>
                        <w:jc w:val="center"/>
                        <w:rPr>
                          <w:rFonts w:ascii="Futura CondensedLight" w:hAnsi="Futura CondensedLight"/>
                          <w:color w:val="D6DCE5" w:themeColor="text2" w:themeTint="33"/>
                          <w:sz w:val="52"/>
                          <w14:textFill>
                            <w14:solidFill>
                              <w14:schemeClr w14:val="tx2">
                                <w14:lumMod w14:val="20000"/>
                                <w14:lumOff w14:val="80000"/>
                              </w14:schemeClr>
                            </w14:solidFill>
                          </w14:textFill>
                        </w:rPr>
                      </w:pPr>
                      <w:r>
                        <w:rPr>
                          <w:rFonts w:ascii="Futura CondensedLight" w:hAnsi="Futura CondensedLight"/>
                          <w:color w:val="D6DCE5" w:themeColor="text2" w:themeTint="33"/>
                          <w:sz w:val="52"/>
                          <w14:textFill>
                            <w14:solidFill>
                              <w14:schemeClr w14:val="tx2">
                                <w14:lumMod w14:val="20000"/>
                                <w14:lumOff w14:val="80000"/>
                              </w14:schemeClr>
                            </w14:solidFill>
                          </w14:textFill>
                        </w:rPr>
                        <w:t>for Tiara Hot Spring Resort</w:t>
                      </w:r>
                    </w:p>
                  </w:txbxContent>
                </v:textbox>
              </v:shape>
            </w:pict>
          </mc:Fallback>
        </mc:AlternateContent>
      </w:r>
      <w:bookmarkStart w:id="30" w:name="_GoBack"/>
      <w:bookmarkEnd w:id="30"/>
      <w:r>
        <mc:AlternateContent>
          <mc:Choice Requires="wps">
            <w:drawing>
              <wp:anchor distT="45720" distB="45720" distL="114300" distR="114300" simplePos="0" relativeHeight="251663360" behindDoc="1" locked="0" layoutInCell="1" allowOverlap="1">
                <wp:simplePos x="0" y="0"/>
                <wp:positionH relativeFrom="margin">
                  <wp:posOffset>-297180</wp:posOffset>
                </wp:positionH>
                <wp:positionV relativeFrom="paragraph">
                  <wp:posOffset>6629400</wp:posOffset>
                </wp:positionV>
                <wp:extent cx="5914390" cy="1333500"/>
                <wp:effectExtent l="0" t="0" r="0" b="0"/>
                <wp:wrapNone/>
                <wp:docPr id="9" name="文本框 2"/>
                <wp:cNvGraphicFramePr/>
                <a:graphic xmlns:a="http://schemas.openxmlformats.org/drawingml/2006/main">
                  <a:graphicData uri="http://schemas.microsoft.com/office/word/2010/wordprocessingShape">
                    <wps:wsp>
                      <wps:cNvSpPr txBox="1">
                        <a:spLocks noChangeArrowheads="1"/>
                      </wps:cNvSpPr>
                      <wps:spPr bwMode="auto">
                        <a:xfrm>
                          <a:off x="0" y="0"/>
                          <a:ext cx="5914390" cy="1333500"/>
                        </a:xfrm>
                        <a:prstGeom prst="rect">
                          <a:avLst/>
                        </a:prstGeom>
                        <a:solidFill>
                          <a:srgbClr val="4E4821"/>
                        </a:solidFill>
                        <a:ln w="9525">
                          <a:noFill/>
                          <a:miter lim="800000"/>
                        </a:ln>
                        <a:effectLst>
                          <a:innerShdw blurRad="63500" dist="50800" dir="5400000">
                            <a:prstClr val="black">
                              <a:alpha val="50000"/>
                            </a:prstClr>
                          </a:innerShdw>
                        </a:effectLst>
                      </wps:spPr>
                      <wps:txbx>
                        <w:txbxContent>
                          <w:p>
                            <w:pPr>
                              <w:spacing w:line="360" w:lineRule="auto"/>
                              <w:rPr>
                                <w:rFonts w:ascii="Futura Lt BT" w:hAnsi="Futura Lt BT"/>
                                <w:color w:val="F2F2F2" w:themeColor="background1" w:themeShade="F2"/>
                                <w:sz w:val="24"/>
                              </w:rPr>
                            </w:pPr>
                          </w:p>
                          <w:p>
                            <w:pPr>
                              <w:spacing w:line="360" w:lineRule="auto"/>
                              <w:rPr>
                                <w:rFonts w:hint="default" w:ascii="Arial Narrow" w:hAnsi="Arial Narrow"/>
                                <w:color w:val="F2F2F2" w:themeColor="background1" w:themeShade="F2"/>
                                <w:sz w:val="24"/>
                                <w:lang w:val="en-GB"/>
                              </w:rPr>
                            </w:pPr>
                            <w:r>
                              <w:rPr>
                                <w:rFonts w:ascii="Arial Narrow" w:hAnsi="Arial Narrow"/>
                                <w:color w:val="F2F2F2" w:themeColor="background1" w:themeShade="F2"/>
                                <w:sz w:val="24"/>
                              </w:rPr>
                              <w:t>Student Name</w:t>
                            </w:r>
                            <w:r>
                              <w:rPr>
                                <w:rFonts w:hint="default" w:ascii="Arial Narrow" w:hAnsi="Arial Narrow"/>
                                <w:color w:val="F2F2F2" w:themeColor="background1" w:themeShade="F2"/>
                                <w:sz w:val="24"/>
                                <w:lang w:val="en-GB"/>
                              </w:rPr>
                              <w:t>:Hang Wen</w:t>
                            </w:r>
                          </w:p>
                          <w:p>
                            <w:pPr>
                              <w:spacing w:line="360" w:lineRule="auto"/>
                              <w:rPr>
                                <w:rFonts w:hint="default" w:ascii="Arial Narrow" w:hAnsi="Arial Narrow"/>
                                <w:color w:val="F2F2F2" w:themeColor="background1" w:themeShade="F2"/>
                                <w:sz w:val="24"/>
                                <w:lang w:val="en-GB"/>
                              </w:rPr>
                            </w:pPr>
                            <w:r>
                              <w:rPr>
                                <w:rFonts w:ascii="Arial Narrow" w:hAnsi="Arial Narrow"/>
                                <w:color w:val="F2F2F2" w:themeColor="background1" w:themeShade="F2"/>
                                <w:sz w:val="24"/>
                              </w:rPr>
                              <w:t>Student No</w:t>
                            </w:r>
                            <w:r>
                              <w:rPr>
                                <w:rFonts w:hint="default" w:ascii="Arial Narrow" w:hAnsi="Arial Narrow"/>
                                <w:color w:val="F2F2F2" w:themeColor="background1" w:themeShade="F2"/>
                                <w:sz w:val="24"/>
                                <w:lang w:val="en-GB"/>
                              </w:rPr>
                              <w:t>:1801428</w:t>
                            </w:r>
                          </w:p>
                        </w:txbxContent>
                      </wps:txbx>
                      <wps:bodyPr rot="0" vert="horz" wrap="square" lIns="91440" tIns="45720" rIns="91440" bIns="45720" anchor="t" anchorCtr="0">
                        <a:noAutofit/>
                      </wps:bodyPr>
                    </wps:wsp>
                  </a:graphicData>
                </a:graphic>
              </wp:anchor>
            </w:drawing>
          </mc:Choice>
          <mc:Fallback>
            <w:pict>
              <v:shape id="文本框 2" o:spid="_x0000_s1026" o:spt="202" type="#_x0000_t202" style="position:absolute;left:0pt;margin-left:-23.4pt;margin-top:522pt;height:105pt;width:465.7pt;mso-position-horizontal-relative:margin;z-index:-251653120;mso-width-relative:page;mso-height-relative:page;" fillcolor="#4E4821" filled="t" stroked="f" coordsize="21600,21600" o:gfxdata="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">
                <v:fill on="t" focussize="0,0"/>
                <v:stroke on="f" miterlimit="8" joinstyle="miter"/>
                <v:imagedata o:title=""/>
                <o:lock v:ext="edit" aspectratio="f"/>
                <v:textbox>
                  <w:txbxContent>
                    <w:p>
                      <w:pPr>
                        <w:spacing w:line="360" w:lineRule="auto"/>
                        <w:rPr>
                          <w:rFonts w:ascii="Futura Lt BT" w:hAnsi="Futura Lt BT"/>
                          <w:color w:val="F2F2F2" w:themeColor="background1" w:themeShade="F2"/>
                          <w:sz w:val="24"/>
                        </w:rPr>
                      </w:pPr>
                    </w:p>
                    <w:p>
                      <w:pPr>
                        <w:spacing w:line="360" w:lineRule="auto"/>
                        <w:rPr>
                          <w:rFonts w:hint="default" w:ascii="Arial Narrow" w:hAnsi="Arial Narrow"/>
                          <w:color w:val="F2F2F2" w:themeColor="background1" w:themeShade="F2"/>
                          <w:sz w:val="24"/>
                          <w:lang w:val="en-GB"/>
                        </w:rPr>
                      </w:pPr>
                      <w:r>
                        <w:rPr>
                          <w:rFonts w:ascii="Arial Narrow" w:hAnsi="Arial Narrow"/>
                          <w:color w:val="F2F2F2" w:themeColor="background1" w:themeShade="F2"/>
                          <w:sz w:val="24"/>
                        </w:rPr>
                        <w:t>Student Name</w:t>
                      </w:r>
                      <w:r>
                        <w:rPr>
                          <w:rFonts w:hint="default" w:ascii="Arial Narrow" w:hAnsi="Arial Narrow"/>
                          <w:color w:val="F2F2F2" w:themeColor="background1" w:themeShade="F2"/>
                          <w:sz w:val="24"/>
                          <w:lang w:val="en-GB"/>
                        </w:rPr>
                        <w:t>:Hang Wen</w:t>
                      </w:r>
                    </w:p>
                    <w:p>
                      <w:pPr>
                        <w:spacing w:line="360" w:lineRule="auto"/>
                        <w:rPr>
                          <w:rFonts w:hint="default" w:ascii="Arial Narrow" w:hAnsi="Arial Narrow"/>
                          <w:color w:val="F2F2F2" w:themeColor="background1" w:themeShade="F2"/>
                          <w:sz w:val="24"/>
                          <w:lang w:val="en-GB"/>
                        </w:rPr>
                      </w:pPr>
                      <w:r>
                        <w:rPr>
                          <w:rFonts w:ascii="Arial Narrow" w:hAnsi="Arial Narrow"/>
                          <w:color w:val="F2F2F2" w:themeColor="background1" w:themeShade="F2"/>
                          <w:sz w:val="24"/>
                        </w:rPr>
                        <w:t>Student No</w:t>
                      </w:r>
                      <w:r>
                        <w:rPr>
                          <w:rFonts w:hint="default" w:ascii="Arial Narrow" w:hAnsi="Arial Narrow"/>
                          <w:color w:val="F2F2F2" w:themeColor="background1" w:themeShade="F2"/>
                          <w:sz w:val="24"/>
                          <w:lang w:val="en-GB"/>
                        </w:rPr>
                        <w:t>:1801428</w:t>
                      </w:r>
                    </w:p>
                  </w:txbxContent>
                </v:textbox>
              </v:shape>
            </w:pict>
          </mc:Fallback>
        </mc:AlternateContent>
      </w:r>
      <w:r>
        <w:drawing>
          <wp:anchor distT="0" distB="0" distL="114300" distR="114300" simplePos="0" relativeHeight="251659264" behindDoc="1" locked="0" layoutInCell="1" allowOverlap="1">
            <wp:simplePos x="0" y="0"/>
            <wp:positionH relativeFrom="margin">
              <wp:align>center</wp:align>
            </wp:positionH>
            <wp:positionV relativeFrom="paragraph">
              <wp:posOffset>-288925</wp:posOffset>
            </wp:positionV>
            <wp:extent cx="5960110" cy="3839845"/>
            <wp:effectExtent l="0" t="0" r="2540" b="8890"/>
            <wp:wrapNone/>
            <wp:docPr id="8" name="图片 8" descr="图片包含 户外, 建筑物, 天空, 地面&#10;&#10;已生成极高可信度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片包含 户外, 建筑物, 天空, 地面&#10;&#10;已生成极高可信度的说明"/>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960110" cy="3839700"/>
                    </a:xfrm>
                    <a:prstGeom prst="rect">
                      <a:avLst/>
                    </a:prstGeom>
                    <a:effectLst>
                      <a:innerShdw blurRad="114300">
                        <a:prstClr val="black"/>
                      </a:innerShdw>
                    </a:effectLst>
                  </pic:spPr>
                </pic:pic>
              </a:graphicData>
            </a:graphic>
          </wp:anchor>
        </w:drawing>
      </w:r>
      <w:r>
        <w:drawing>
          <wp:anchor distT="0" distB="0" distL="114300" distR="114300" simplePos="0" relativeHeight="251658240" behindDoc="1" locked="0" layoutInCell="1" allowOverlap="1">
            <wp:simplePos x="0" y="0"/>
            <wp:positionH relativeFrom="page">
              <wp:align>left</wp:align>
            </wp:positionH>
            <wp:positionV relativeFrom="paragraph">
              <wp:posOffset>-914400</wp:posOffset>
            </wp:positionV>
            <wp:extent cx="8932545" cy="10972800"/>
            <wp:effectExtent l="0" t="0" r="1905" b="0"/>
            <wp:wrapNone/>
            <wp:docPr id="5" name="图片 4" descr="图片包含 服装&#10;&#10;已生成高可信度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descr="图片包含 服装&#10;&#10;已生成高可信度的说明"/>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8932674" cy="10972800"/>
                    </a:xfrm>
                    <a:prstGeom prst="rect">
                      <a:avLst/>
                    </a:prstGeom>
                  </pic:spPr>
                </pic:pic>
              </a:graphicData>
            </a:graphic>
          </wp:anchor>
        </w:drawing>
      </w:r>
      <w:bookmarkEnd w:id="0"/>
    </w:p>
    <w:p>
      <w:pPr>
        <w:rPr>
          <w:rFonts w:ascii="Raleway Medium" w:hAnsi="Raleway Medium"/>
          <w:i/>
          <w:color w:val="44546A" w:themeColor="text2"/>
          <w:sz w:val="32"/>
          <w:u w:val="thick"/>
          <w14:textFill>
            <w14:solidFill>
              <w14:schemeClr w14:val="tx2"/>
            </w14:solidFill>
          </w14:textFill>
        </w:rPr>
      </w:pPr>
      <w:r>
        <w:rPr>
          <w:rFonts w:ascii="Raleway Medium" w:hAnsi="Raleway Medium"/>
          <w:i/>
          <w:color w:val="44546A" w:themeColor="text2"/>
          <w:sz w:val="32"/>
          <w:u w:val="thick"/>
          <w14:textFill>
            <w14:solidFill>
              <w14:schemeClr w14:val="tx2"/>
            </w14:solidFill>
          </w14:textFill>
        </w:rPr>
        <w:br w:type="page"/>
      </w:r>
    </w:p>
    <w:p>
      <w:pPr>
        <w:tabs>
          <w:tab w:val="right" w:pos="8306"/>
        </w:tabs>
        <w:spacing w:before="156" w:beforeLines="50" w:after="156" w:afterLines="50" w:line="480" w:lineRule="auto"/>
        <w:jc w:val="left"/>
        <w:outlineLvl w:val="0"/>
        <w:rPr>
          <w:rFonts w:ascii="Times New Roman" w:hAnsi="Times New Roman" w:cs="Times New Roman"/>
          <w:color w:val="44546A" w:themeColor="text2"/>
          <w:sz w:val="32"/>
          <w14:textFill>
            <w14:solidFill>
              <w14:schemeClr w14:val="tx2"/>
            </w14:solidFill>
          </w14:textFill>
        </w:rPr>
      </w:pPr>
      <w:bookmarkStart w:id="1" w:name="_Toc8218363"/>
      <w:r>
        <w:rPr>
          <w:rFonts w:ascii="Times New Roman" w:hAnsi="Times New Roman" w:cs="Times New Roman"/>
          <w:color w:val="44546A" w:themeColor="text2"/>
          <w:sz w:val="32"/>
          <w14:textFill>
            <w14:solidFill>
              <w14:schemeClr w14:val="tx2"/>
            </w14:solidFill>
          </w14:textFill>
        </w:rPr>
        <w:t>Executive summary</w:t>
      </w:r>
      <w:bookmarkEnd w:id="1"/>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This report provides the market analysis of the hot spring spa industry in Huanggang Hubei and in China. The report elucidates the issues behind the revenue growth and decrease of Tiara Hot Spring Spa resort residing in this city. The report conducts detailed market scanning and organizational scanning concerning the project. The market scanning is conducted with PEST analysis and Porter Five Force Analysis. The organizational analysis is based on SWOT analysis. Based on the analysis, this report stated that the slow growth and decrease in revenue is due to the lack of strategic emphasis on digital transformation and customer base expansion. This report provides excitable recommendations. </w:t>
      </w:r>
    </w:p>
    <w:p>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hAnsi="Times New Roman" w:cs="Times New Roman" w:eastAsiaTheme="minorEastAsia"/>
          <w:b/>
          <w:i/>
          <w:color w:val="000000" w:themeColor="text1"/>
          <w:kern w:val="2"/>
          <w:sz w:val="24"/>
          <w:szCs w:val="22"/>
          <w:lang w:val="zh-CN"/>
          <w14:textFill>
            <w14:solidFill>
              <w14:schemeClr w14:val="tx1"/>
            </w14:solidFill>
          </w14:textFill>
        </w:rPr>
        <w:id w:val="-25406833"/>
        <w:docPartObj>
          <w:docPartGallery w:val="Table of Contents"/>
          <w:docPartUnique/>
        </w:docPartObj>
      </w:sdtPr>
      <w:sdtEndPr>
        <w:rPr>
          <w:rFonts w:ascii="Raleway Medium" w:hAnsi="Raleway Medium" w:eastAsiaTheme="minorEastAsia" w:cstheme="minorBidi"/>
          <w:b/>
          <w:bCs/>
          <w:i/>
          <w:color w:val="auto"/>
          <w:kern w:val="2"/>
          <w:sz w:val="24"/>
          <w:szCs w:val="22"/>
          <w:lang w:val="zh-CN"/>
        </w:rPr>
      </w:sdtEndPr>
      <w:sdtContent>
        <w:p>
          <w:pPr>
            <w:pStyle w:val="16"/>
            <w:jc w:val="cente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Table of Contents</w:t>
          </w:r>
        </w:p>
        <w:p>
          <w:pPr>
            <w:pStyle w:val="6"/>
            <w:spacing w:line="360" w:lineRule="auto"/>
            <w:rPr>
              <w:rFonts w:ascii="Times New Roman" w:hAnsi="Times New Roman" w:cs="Times New Roman"/>
              <w:b w:val="0"/>
              <w:i w:val="0"/>
              <w:sz w:val="21"/>
              <w:lang w:val="en-US"/>
            </w:rPr>
          </w:pPr>
          <w:r>
            <w:rPr>
              <w:rFonts w:ascii="Times New Roman" w:hAnsi="Times New Roman" w:cs="Times New Roman"/>
              <w:bCs/>
              <w:i w:val="0"/>
              <w:lang w:val="zh-CN"/>
            </w:rPr>
            <w:fldChar w:fldCharType="begin"/>
          </w:r>
          <w:r>
            <w:rPr>
              <w:rFonts w:ascii="Times New Roman" w:hAnsi="Times New Roman" w:cs="Times New Roman"/>
              <w:bCs/>
              <w:i w:val="0"/>
              <w:lang w:val="en-US"/>
            </w:rPr>
            <w:instrText xml:space="preserve"> TOC \o "1-3" \h \z \u </w:instrText>
          </w:r>
          <w:r>
            <w:rPr>
              <w:rFonts w:ascii="Times New Roman" w:hAnsi="Times New Roman" w:cs="Times New Roman"/>
              <w:bCs/>
              <w:i w:val="0"/>
              <w:lang w:val="zh-CN"/>
            </w:rPr>
            <w:fldChar w:fldCharType="separate"/>
          </w:r>
        </w:p>
        <w:p>
          <w:pPr>
            <w:pStyle w:val="6"/>
            <w:spacing w:line="360" w:lineRule="auto"/>
            <w:rPr>
              <w:rFonts w:ascii="Times New Roman" w:hAnsi="Times New Roman" w:cs="Times New Roman"/>
              <w:b w:val="0"/>
              <w:i w:val="0"/>
              <w:sz w:val="21"/>
              <w:lang w:val="en-US"/>
            </w:rPr>
          </w:pPr>
          <w:r>
            <w:fldChar w:fldCharType="begin"/>
          </w:r>
          <w:r>
            <w:instrText xml:space="preserve"> HYPERLINK \l "_Toc8218363" </w:instrText>
          </w:r>
          <w:r>
            <w:fldChar w:fldCharType="separate"/>
          </w:r>
          <w:r>
            <w:rPr>
              <w:rStyle w:val="11"/>
              <w:rFonts w:ascii="Times New Roman" w:hAnsi="Times New Roman" w:cs="Times New Roman"/>
              <w:i w:val="0"/>
            </w:rPr>
            <w:t>Executive summary</w:t>
          </w:r>
          <w:r>
            <w:rPr>
              <w:rFonts w:ascii="Times New Roman" w:hAnsi="Times New Roman" w:cs="Times New Roman"/>
              <w:i w:val="0"/>
            </w:rPr>
            <w:tab/>
          </w:r>
          <w:r>
            <w:rPr>
              <w:rFonts w:ascii="Times New Roman" w:hAnsi="Times New Roman" w:cs="Times New Roman"/>
              <w:i w:val="0"/>
            </w:rPr>
            <w:fldChar w:fldCharType="end"/>
          </w:r>
        </w:p>
        <w:p>
          <w:pPr>
            <w:pStyle w:val="6"/>
            <w:spacing w:line="360" w:lineRule="auto"/>
            <w:rPr>
              <w:rFonts w:ascii="Times New Roman" w:hAnsi="Times New Roman" w:cs="Times New Roman"/>
              <w:b w:val="0"/>
              <w:i w:val="0"/>
              <w:sz w:val="21"/>
              <w:lang w:val="en-US"/>
            </w:rPr>
          </w:pPr>
          <w:r>
            <w:fldChar w:fldCharType="begin"/>
          </w:r>
          <w:r>
            <w:instrText xml:space="preserve"> HYPERLINK \l "_Toc8218364" </w:instrText>
          </w:r>
          <w:r>
            <w:fldChar w:fldCharType="separate"/>
          </w:r>
          <w:r>
            <w:rPr>
              <w:rStyle w:val="11"/>
              <w:rFonts w:ascii="Times New Roman" w:hAnsi="Times New Roman" w:cs="Times New Roman"/>
              <w:i w:val="0"/>
              <w:lang w:val="en-US"/>
            </w:rPr>
            <w:t>1.</w:t>
          </w:r>
          <w:r>
            <w:rPr>
              <w:rFonts w:ascii="Times New Roman" w:hAnsi="Times New Roman" w:cs="Times New Roman"/>
              <w:b w:val="0"/>
              <w:i w:val="0"/>
              <w:sz w:val="21"/>
              <w:lang w:val="en-US"/>
            </w:rPr>
            <w:tab/>
          </w:r>
          <w:r>
            <w:rPr>
              <w:rStyle w:val="11"/>
              <w:rFonts w:ascii="Times New Roman" w:hAnsi="Times New Roman" w:cs="Times New Roman"/>
              <w:i w:val="0"/>
            </w:rPr>
            <w:t>Introduction</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_Toc8218364 \h </w:instrText>
          </w:r>
          <w:r>
            <w:rPr>
              <w:rFonts w:ascii="Times New Roman" w:hAnsi="Times New Roman" w:cs="Times New Roman"/>
              <w:i w:val="0"/>
            </w:rPr>
            <w:fldChar w:fldCharType="separate"/>
          </w:r>
          <w:r>
            <w:rPr>
              <w:rFonts w:ascii="Times New Roman" w:hAnsi="Times New Roman" w:cs="Times New Roman"/>
              <w:i w:val="0"/>
            </w:rPr>
            <w:t>1</w:t>
          </w:r>
          <w:r>
            <w:rPr>
              <w:rFonts w:ascii="Times New Roman" w:hAnsi="Times New Roman" w:cs="Times New Roman"/>
              <w:i w:val="0"/>
            </w:rPr>
            <w:fldChar w:fldCharType="end"/>
          </w:r>
          <w:r>
            <w:rPr>
              <w:rFonts w:ascii="Times New Roman" w:hAnsi="Times New Roman" w:cs="Times New Roman"/>
              <w:i w:val="0"/>
            </w:rPr>
            <w:fldChar w:fldCharType="end"/>
          </w:r>
        </w:p>
        <w:p>
          <w:pPr>
            <w:pStyle w:val="6"/>
            <w:spacing w:line="360" w:lineRule="auto"/>
            <w:rPr>
              <w:rFonts w:ascii="Times New Roman" w:hAnsi="Times New Roman" w:cs="Times New Roman"/>
              <w:b w:val="0"/>
              <w:i w:val="0"/>
              <w:sz w:val="21"/>
              <w:lang w:val="en-US"/>
            </w:rPr>
          </w:pPr>
          <w:r>
            <w:fldChar w:fldCharType="begin"/>
          </w:r>
          <w:r>
            <w:instrText xml:space="preserve"> HYPERLINK \l "_Toc8218365" </w:instrText>
          </w:r>
          <w:r>
            <w:fldChar w:fldCharType="separate"/>
          </w:r>
          <w:r>
            <w:rPr>
              <w:rStyle w:val="11"/>
              <w:rFonts w:ascii="Times New Roman" w:hAnsi="Times New Roman" w:cs="Times New Roman"/>
              <w:i w:val="0"/>
            </w:rPr>
            <w:t>2.</w:t>
          </w:r>
          <w:r>
            <w:rPr>
              <w:rFonts w:ascii="Times New Roman" w:hAnsi="Times New Roman" w:cs="Times New Roman"/>
              <w:b w:val="0"/>
              <w:i w:val="0"/>
              <w:sz w:val="21"/>
              <w:lang w:val="en-US"/>
            </w:rPr>
            <w:tab/>
          </w:r>
          <w:r>
            <w:rPr>
              <w:rStyle w:val="11"/>
              <w:rFonts w:ascii="Times New Roman" w:hAnsi="Times New Roman" w:cs="Times New Roman"/>
              <w:i w:val="0"/>
            </w:rPr>
            <w:t>Business environmental analysis</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_Toc8218365 \h </w:instrText>
          </w:r>
          <w:r>
            <w:rPr>
              <w:rFonts w:ascii="Times New Roman" w:hAnsi="Times New Roman" w:cs="Times New Roman"/>
              <w:i w:val="0"/>
            </w:rPr>
            <w:fldChar w:fldCharType="separate"/>
          </w:r>
          <w:r>
            <w:rPr>
              <w:rFonts w:ascii="Times New Roman" w:hAnsi="Times New Roman" w:cs="Times New Roman"/>
              <w:i w:val="0"/>
            </w:rPr>
            <w:t>2</w:t>
          </w:r>
          <w:r>
            <w:rPr>
              <w:rFonts w:ascii="Times New Roman" w:hAnsi="Times New Roman" w:cs="Times New Roman"/>
              <w:i w:val="0"/>
            </w:rPr>
            <w:fldChar w:fldCharType="end"/>
          </w:r>
          <w:r>
            <w:rPr>
              <w:rFonts w:ascii="Times New Roman" w:hAnsi="Times New Roman" w:cs="Times New Roman"/>
              <w:i w:val="0"/>
            </w:rPr>
            <w:fldChar w:fldCharType="end"/>
          </w:r>
        </w:p>
        <w:p>
          <w:pPr>
            <w:pStyle w:val="7"/>
            <w:tabs>
              <w:tab w:val="left" w:pos="1050"/>
              <w:tab w:val="right" w:leader="dot" w:pos="8296"/>
            </w:tabs>
            <w:spacing w:line="360" w:lineRule="auto"/>
            <w:rPr>
              <w:rFonts w:ascii="Times New Roman" w:hAnsi="Times New Roman" w:cs="Times New Roman"/>
              <w:lang w:val="en-US"/>
            </w:rPr>
          </w:pPr>
          <w:r>
            <w:fldChar w:fldCharType="begin"/>
          </w:r>
          <w:r>
            <w:instrText xml:space="preserve"> HYPERLINK \l "_Toc8218368" </w:instrText>
          </w:r>
          <w:r>
            <w:fldChar w:fldCharType="separate"/>
          </w:r>
          <w:r>
            <w:rPr>
              <w:rStyle w:val="11"/>
              <w:rFonts w:ascii="Times New Roman" w:hAnsi="Times New Roman" w:cs="Times New Roman"/>
              <w:lang w:val="en-US"/>
            </w:rPr>
            <w:t>2.1.</w:t>
          </w:r>
          <w:r>
            <w:rPr>
              <w:rFonts w:ascii="Times New Roman" w:hAnsi="Times New Roman" w:cs="Times New Roman"/>
              <w:lang w:val="en-US"/>
            </w:rPr>
            <w:tab/>
          </w:r>
          <w:r>
            <w:rPr>
              <w:rStyle w:val="11"/>
              <w:rFonts w:ascii="Times New Roman" w:hAnsi="Times New Roman" w:cs="Times New Roman"/>
              <w:lang w:val="en-US"/>
            </w:rPr>
            <w:t>Hot spring spa in China</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_Toc8218368 \h </w:instrText>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r>
            <w:rPr>
              <w:rFonts w:ascii="Times New Roman" w:hAnsi="Times New Roman" w:cs="Times New Roman"/>
            </w:rPr>
            <w:fldChar w:fldCharType="end"/>
          </w:r>
        </w:p>
        <w:p>
          <w:pPr>
            <w:pStyle w:val="7"/>
            <w:tabs>
              <w:tab w:val="left" w:pos="1050"/>
              <w:tab w:val="right" w:leader="dot" w:pos="8296"/>
            </w:tabs>
            <w:spacing w:line="360" w:lineRule="auto"/>
            <w:rPr>
              <w:rFonts w:ascii="Times New Roman" w:hAnsi="Times New Roman" w:cs="Times New Roman"/>
              <w:lang w:val="en-US"/>
            </w:rPr>
          </w:pPr>
          <w:r>
            <w:fldChar w:fldCharType="begin"/>
          </w:r>
          <w:r>
            <w:instrText xml:space="preserve"> HYPERLINK \l "_Toc8218369" </w:instrText>
          </w:r>
          <w:r>
            <w:fldChar w:fldCharType="separate"/>
          </w:r>
          <w:r>
            <w:rPr>
              <w:rStyle w:val="11"/>
              <w:rFonts w:ascii="Times New Roman" w:hAnsi="Times New Roman" w:cs="Times New Roman"/>
              <w:lang w:val="en-US"/>
            </w:rPr>
            <w:t>2.2.</w:t>
          </w:r>
          <w:r>
            <w:rPr>
              <w:rFonts w:ascii="Times New Roman" w:hAnsi="Times New Roman" w:cs="Times New Roman"/>
              <w:lang w:val="en-US"/>
            </w:rPr>
            <w:tab/>
          </w:r>
          <w:r>
            <w:rPr>
              <w:rStyle w:val="11"/>
              <w:rFonts w:ascii="Times New Roman" w:hAnsi="Times New Roman" w:cs="Times New Roman"/>
              <w:lang w:val="en-US"/>
            </w:rPr>
            <w:t>PEST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_Toc8218369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r>
            <w:rPr>
              <w:rFonts w:ascii="Times New Roman" w:hAnsi="Times New Roman" w:cs="Times New Roman"/>
            </w:rPr>
            <w:fldChar w:fldCharType="end"/>
          </w:r>
        </w:p>
        <w:p>
          <w:pPr>
            <w:pStyle w:val="7"/>
            <w:tabs>
              <w:tab w:val="left" w:pos="1050"/>
              <w:tab w:val="right" w:leader="dot" w:pos="8296"/>
            </w:tabs>
            <w:spacing w:line="360" w:lineRule="auto"/>
            <w:rPr>
              <w:rFonts w:ascii="Times New Roman" w:hAnsi="Times New Roman" w:cs="Times New Roman"/>
              <w:lang w:val="en-US"/>
            </w:rPr>
          </w:pPr>
          <w:r>
            <w:fldChar w:fldCharType="begin"/>
          </w:r>
          <w:r>
            <w:instrText xml:space="preserve"> HYPERLINK \l "_Toc8218374" </w:instrText>
          </w:r>
          <w:r>
            <w:fldChar w:fldCharType="separate"/>
          </w:r>
          <w:r>
            <w:rPr>
              <w:rStyle w:val="11"/>
              <w:rFonts w:ascii="Times New Roman" w:hAnsi="Times New Roman" w:cs="Times New Roman"/>
              <w:lang w:val="en-US"/>
            </w:rPr>
            <w:t>2.3.</w:t>
          </w:r>
          <w:r>
            <w:rPr>
              <w:rFonts w:ascii="Times New Roman" w:hAnsi="Times New Roman" w:cs="Times New Roman"/>
              <w:lang w:val="en-US"/>
            </w:rPr>
            <w:tab/>
          </w:r>
          <w:r>
            <w:rPr>
              <w:rStyle w:val="11"/>
              <w:rFonts w:ascii="Times New Roman" w:hAnsi="Times New Roman" w:cs="Times New Roman"/>
              <w:lang w:val="en-US"/>
            </w:rPr>
            <w:t>Porter Five Force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_Toc8218374 \h </w:instrText>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r>
            <w:rPr>
              <w:rFonts w:ascii="Times New Roman" w:hAnsi="Times New Roman" w:cs="Times New Roman"/>
            </w:rPr>
            <w:fldChar w:fldCharType="end"/>
          </w:r>
        </w:p>
        <w:p>
          <w:pPr>
            <w:pStyle w:val="7"/>
            <w:tabs>
              <w:tab w:val="left" w:pos="1050"/>
              <w:tab w:val="right" w:leader="dot" w:pos="8296"/>
            </w:tabs>
            <w:spacing w:line="360" w:lineRule="auto"/>
            <w:rPr>
              <w:rFonts w:ascii="Times New Roman" w:hAnsi="Times New Roman" w:cs="Times New Roman"/>
              <w:lang w:val="en-US"/>
            </w:rPr>
          </w:pPr>
          <w:r>
            <w:fldChar w:fldCharType="begin"/>
          </w:r>
          <w:r>
            <w:instrText xml:space="preserve"> HYPERLINK \l "_Toc8218380" </w:instrText>
          </w:r>
          <w:r>
            <w:fldChar w:fldCharType="separate"/>
          </w:r>
          <w:r>
            <w:rPr>
              <w:rStyle w:val="11"/>
              <w:rFonts w:ascii="Times New Roman" w:hAnsi="Times New Roman" w:cs="Times New Roman"/>
              <w:lang w:val="en-US"/>
            </w:rPr>
            <w:t>2.4.</w:t>
          </w:r>
          <w:r>
            <w:rPr>
              <w:rFonts w:ascii="Times New Roman" w:hAnsi="Times New Roman" w:cs="Times New Roman"/>
              <w:lang w:val="en-US"/>
            </w:rPr>
            <w:tab/>
          </w:r>
          <w:r>
            <w:rPr>
              <w:rStyle w:val="11"/>
              <w:rFonts w:ascii="Times New Roman" w:hAnsi="Times New Roman" w:cs="Times New Roman"/>
              <w:lang w:val="en-US"/>
            </w:rPr>
            <w:t>SWOT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_Toc8218380 \h </w:instrText>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r>
            <w:rPr>
              <w:rFonts w:ascii="Times New Roman" w:hAnsi="Times New Roman" w:cs="Times New Roman"/>
            </w:rPr>
            <w:fldChar w:fldCharType="end"/>
          </w:r>
        </w:p>
        <w:p>
          <w:pPr>
            <w:pStyle w:val="6"/>
            <w:spacing w:line="360" w:lineRule="auto"/>
            <w:rPr>
              <w:rFonts w:ascii="Times New Roman" w:hAnsi="Times New Roman" w:cs="Times New Roman"/>
              <w:b w:val="0"/>
              <w:i w:val="0"/>
              <w:sz w:val="21"/>
              <w:lang w:val="en-US"/>
            </w:rPr>
          </w:pPr>
          <w:r>
            <w:fldChar w:fldCharType="begin"/>
          </w:r>
          <w:r>
            <w:instrText xml:space="preserve"> HYPERLINK \l "_Toc8218385" </w:instrText>
          </w:r>
          <w:r>
            <w:fldChar w:fldCharType="separate"/>
          </w:r>
          <w:r>
            <w:rPr>
              <w:rStyle w:val="11"/>
              <w:rFonts w:ascii="Times New Roman" w:hAnsi="Times New Roman" w:cs="Times New Roman"/>
              <w:i w:val="0"/>
            </w:rPr>
            <w:t>3.</w:t>
          </w:r>
          <w:r>
            <w:rPr>
              <w:rFonts w:ascii="Times New Roman" w:hAnsi="Times New Roman" w:cs="Times New Roman"/>
              <w:b w:val="0"/>
              <w:i w:val="0"/>
              <w:sz w:val="21"/>
              <w:lang w:val="en-US"/>
            </w:rPr>
            <w:tab/>
          </w:r>
          <w:r>
            <w:rPr>
              <w:rStyle w:val="11"/>
              <w:rFonts w:ascii="Times New Roman" w:hAnsi="Times New Roman" w:cs="Times New Roman"/>
              <w:i w:val="0"/>
            </w:rPr>
            <w:t>Strategic recommendation</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_Toc8218385 \h </w:instrText>
          </w:r>
          <w:r>
            <w:rPr>
              <w:rFonts w:ascii="Times New Roman" w:hAnsi="Times New Roman" w:cs="Times New Roman"/>
              <w:i w:val="0"/>
            </w:rPr>
            <w:fldChar w:fldCharType="separate"/>
          </w:r>
          <w:r>
            <w:rPr>
              <w:rFonts w:ascii="Times New Roman" w:hAnsi="Times New Roman" w:cs="Times New Roman"/>
              <w:i w:val="0"/>
            </w:rPr>
            <w:t>17</w:t>
          </w:r>
          <w:r>
            <w:rPr>
              <w:rFonts w:ascii="Times New Roman" w:hAnsi="Times New Roman" w:cs="Times New Roman"/>
              <w:i w:val="0"/>
            </w:rPr>
            <w:fldChar w:fldCharType="end"/>
          </w:r>
          <w:r>
            <w:rPr>
              <w:rFonts w:ascii="Times New Roman" w:hAnsi="Times New Roman" w:cs="Times New Roman"/>
              <w:i w:val="0"/>
            </w:rPr>
            <w:fldChar w:fldCharType="end"/>
          </w:r>
        </w:p>
        <w:p>
          <w:pPr>
            <w:pStyle w:val="6"/>
            <w:spacing w:line="360" w:lineRule="auto"/>
            <w:rPr>
              <w:rFonts w:ascii="Times New Roman" w:hAnsi="Times New Roman" w:cs="Times New Roman"/>
              <w:b w:val="0"/>
              <w:i w:val="0"/>
              <w:sz w:val="21"/>
              <w:lang w:val="en-US"/>
            </w:rPr>
          </w:pPr>
          <w:r>
            <w:fldChar w:fldCharType="begin"/>
          </w:r>
          <w:r>
            <w:instrText xml:space="preserve"> HYPERLINK \l "_Toc8218393" </w:instrText>
          </w:r>
          <w:r>
            <w:fldChar w:fldCharType="separate"/>
          </w:r>
          <w:r>
            <w:rPr>
              <w:rStyle w:val="11"/>
              <w:rFonts w:ascii="Times New Roman" w:hAnsi="Times New Roman" w:cs="Times New Roman"/>
              <w:i w:val="0"/>
            </w:rPr>
            <w:t>4.</w:t>
          </w:r>
          <w:r>
            <w:rPr>
              <w:rFonts w:ascii="Times New Roman" w:hAnsi="Times New Roman" w:cs="Times New Roman"/>
              <w:b w:val="0"/>
              <w:i w:val="0"/>
              <w:sz w:val="21"/>
              <w:lang w:val="en-US"/>
            </w:rPr>
            <w:tab/>
          </w:r>
          <w:r>
            <w:rPr>
              <w:rStyle w:val="11"/>
              <w:rFonts w:ascii="Times New Roman" w:hAnsi="Times New Roman" w:cs="Times New Roman"/>
              <w:i w:val="0"/>
            </w:rPr>
            <w:t>Conclusion</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_Toc8218393 \h </w:instrText>
          </w:r>
          <w:r>
            <w:rPr>
              <w:rFonts w:ascii="Times New Roman" w:hAnsi="Times New Roman" w:cs="Times New Roman"/>
              <w:i w:val="0"/>
            </w:rPr>
            <w:fldChar w:fldCharType="separate"/>
          </w:r>
          <w:r>
            <w:rPr>
              <w:rFonts w:ascii="Times New Roman" w:hAnsi="Times New Roman" w:cs="Times New Roman"/>
              <w:i w:val="0"/>
            </w:rPr>
            <w:t>19</w:t>
          </w:r>
          <w:r>
            <w:rPr>
              <w:rFonts w:ascii="Times New Roman" w:hAnsi="Times New Roman" w:cs="Times New Roman"/>
              <w:i w:val="0"/>
            </w:rPr>
            <w:fldChar w:fldCharType="end"/>
          </w:r>
          <w:r>
            <w:rPr>
              <w:rFonts w:ascii="Times New Roman" w:hAnsi="Times New Roman" w:cs="Times New Roman"/>
              <w:i w:val="0"/>
            </w:rPr>
            <w:fldChar w:fldCharType="end"/>
          </w:r>
        </w:p>
        <w:p>
          <w:pPr>
            <w:pStyle w:val="6"/>
            <w:spacing w:line="360" w:lineRule="auto"/>
            <w:rPr>
              <w:rFonts w:ascii="Times New Roman" w:hAnsi="Times New Roman" w:cs="Times New Roman"/>
              <w:b w:val="0"/>
              <w:i w:val="0"/>
              <w:sz w:val="21"/>
              <w:lang w:val="en-US"/>
            </w:rPr>
          </w:pPr>
          <w:r>
            <w:fldChar w:fldCharType="begin"/>
          </w:r>
          <w:r>
            <w:instrText xml:space="preserve"> HYPERLINK \l "_Toc8218394" </w:instrText>
          </w:r>
          <w:r>
            <w:fldChar w:fldCharType="separate"/>
          </w:r>
          <w:r>
            <w:rPr>
              <w:rStyle w:val="11"/>
              <w:rFonts w:ascii="Times New Roman" w:hAnsi="Times New Roman" w:cs="Times New Roman"/>
              <w:i w:val="0"/>
            </w:rPr>
            <w:t>Reference List</w:t>
          </w:r>
          <w:r>
            <w:rPr>
              <w:rFonts w:ascii="Times New Roman" w:hAnsi="Times New Roman" w:cs="Times New Roman"/>
              <w:i w:val="0"/>
            </w:rPr>
            <w:tab/>
          </w:r>
          <w:r>
            <w:rPr>
              <w:rFonts w:ascii="Times New Roman" w:hAnsi="Times New Roman" w:cs="Times New Roman"/>
              <w:i w:val="0"/>
            </w:rPr>
            <w:fldChar w:fldCharType="begin"/>
          </w:r>
          <w:r>
            <w:rPr>
              <w:rFonts w:ascii="Times New Roman" w:hAnsi="Times New Roman" w:cs="Times New Roman"/>
              <w:i w:val="0"/>
            </w:rPr>
            <w:instrText xml:space="preserve"> PAGEREF _Toc8218394 \h </w:instrText>
          </w:r>
          <w:r>
            <w:rPr>
              <w:rFonts w:ascii="Times New Roman" w:hAnsi="Times New Roman" w:cs="Times New Roman"/>
              <w:i w:val="0"/>
            </w:rPr>
            <w:fldChar w:fldCharType="separate"/>
          </w:r>
          <w:r>
            <w:rPr>
              <w:rFonts w:ascii="Times New Roman" w:hAnsi="Times New Roman" w:cs="Times New Roman"/>
              <w:i w:val="0"/>
            </w:rPr>
            <w:t>20</w:t>
          </w:r>
          <w:r>
            <w:rPr>
              <w:rFonts w:ascii="Times New Roman" w:hAnsi="Times New Roman" w:cs="Times New Roman"/>
              <w:i w:val="0"/>
            </w:rPr>
            <w:fldChar w:fldCharType="end"/>
          </w:r>
          <w:r>
            <w:rPr>
              <w:rFonts w:ascii="Times New Roman" w:hAnsi="Times New Roman" w:cs="Times New Roman"/>
              <w:i w:val="0"/>
            </w:rPr>
            <w:fldChar w:fldCharType="end"/>
          </w:r>
        </w:p>
        <w:p>
          <w:pPr>
            <w:pStyle w:val="6"/>
            <w:spacing w:line="360" w:lineRule="auto"/>
            <w:rPr>
              <w:b w:val="0"/>
              <w:bCs/>
              <w:lang w:val="zh-CN"/>
            </w:rPr>
          </w:pPr>
          <w:r>
            <w:rPr>
              <w:rFonts w:ascii="Times New Roman" w:hAnsi="Times New Roman" w:cs="Times New Roman"/>
              <w:b w:val="0"/>
              <w:bCs/>
              <w:i w:val="0"/>
              <w:lang w:val="zh-CN"/>
            </w:rPr>
            <w:fldChar w:fldCharType="end"/>
          </w:r>
        </w:p>
      </w:sdtContent>
    </w:sdt>
    <w:p>
      <w:pPr>
        <w:pStyle w:val="6"/>
        <w:sectPr>
          <w:footerReference r:id="rId3" w:type="default"/>
          <w:pgSz w:w="11906" w:h="16838"/>
          <w:pgMar w:top="1440" w:right="1800" w:bottom="1440" w:left="1800" w:header="851" w:footer="992" w:gutter="0"/>
          <w:cols w:space="425" w:num="1"/>
          <w:docGrid w:type="lines" w:linePitch="312" w:charSpace="0"/>
        </w:sectPr>
      </w:pPr>
    </w:p>
    <w:p>
      <w:pPr>
        <w:pStyle w:val="14"/>
        <w:numPr>
          <w:ilvl w:val="0"/>
          <w:numId w:val="1"/>
        </w:numPr>
        <w:spacing w:before="156" w:beforeLines="50" w:after="156" w:afterLines="50" w:line="480" w:lineRule="auto"/>
        <w:ind w:left="357" w:hanging="357" w:firstLineChars="0"/>
        <w:jc w:val="left"/>
        <w:outlineLvl w:val="0"/>
        <w:rPr>
          <w:rFonts w:ascii="Times New Roman" w:hAnsi="Times New Roman" w:cs="Times New Roman"/>
          <w:color w:val="000000" w:themeColor="text1"/>
          <w:sz w:val="32"/>
          <w14:textFill>
            <w14:solidFill>
              <w14:schemeClr w14:val="tx1"/>
            </w14:solidFill>
          </w14:textFill>
        </w:rPr>
      </w:pPr>
      <w:bookmarkStart w:id="2" w:name="_Toc8218364"/>
      <w:r>
        <w:rPr>
          <w:rFonts w:ascii="Times New Roman" w:hAnsi="Times New Roman" w:cs="Times New Roman"/>
          <w:color w:val="000000" w:themeColor="text1"/>
          <w:sz w:val="32"/>
          <w14:textFill>
            <w14:solidFill>
              <w14:schemeClr w14:val="tx1"/>
            </w14:solidFill>
          </w14:textFill>
        </w:rPr>
        <w:t>Introduction</w:t>
      </w:r>
      <w:bookmarkEnd w:id="2"/>
      <w:r>
        <w:rPr>
          <w:rFonts w:ascii="Times New Roman" w:hAnsi="Times New Roman" w:cs="Times New Roman"/>
          <w:color w:val="000000" w:themeColor="text1"/>
          <w:sz w:val="32"/>
          <w14:textFill>
            <w14:solidFill>
              <w14:schemeClr w14:val="tx1"/>
            </w14:solidFill>
          </w14:textFill>
        </w:rPr>
        <w:t xml:space="preserve">                                         </w:t>
      </w:r>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Tiara hot spring spa resort is located in Huanggang in central geographical province of China. The company was privatized from a state-owned wellness center in the 90s. Since the beginning of the 21</w:t>
      </w:r>
      <w:r>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century, the company has experienced high-speed revenue growth from 2001-2008 with the fast development of the Chinese economy. In 2009, a high-speed railway station was completed in the city, connecting the city into one of the world’s largest high-speed railway network. The traveling time by train from major cities in China such as Beijing and Shanghai to the city the resort is located has been shortened to four hours. The managing team and investors were expecting the revenue of the resort was to continue to grow at high speed with this event. However, the revenue growth has slowed down after 2010. In 2017, the resort experienced a significant decrease in 2017 as shown in figure 1. </w:t>
      </w:r>
    </w:p>
    <w:p>
      <w:pPr>
        <w:spacing w:before="156" w:beforeLines="50" w:after="156" w:afterLines="50" w:line="480" w:lineRule="auto"/>
        <w:jc w:val="center"/>
        <w:rPr>
          <w:rFonts w:ascii="Times New Roman" w:hAnsi="Times New Roman" w:cs="Times New Roman"/>
          <w:sz w:val="24"/>
          <w:szCs w:val="24"/>
          <w:lang w:val="en-US"/>
        </w:rPr>
      </w:pPr>
      <w:r>
        <w:rPr>
          <w:rFonts w:hint="eastAsia" w:ascii="Times New Roman" w:hAnsi="Times New Roman" w:cs="Times New Roman"/>
          <w:sz w:val="24"/>
          <w:szCs w:val="24"/>
          <w:lang w:val="en-US"/>
        </w:rPr>
        <w:drawing>
          <wp:inline distT="0" distB="0" distL="0" distR="0">
            <wp:extent cx="3756025" cy="1697355"/>
            <wp:effectExtent l="0" t="0" r="0" b="0"/>
            <wp:docPr id="1" name="图片 1" descr="图片包含 建筑物&#10;&#10;已生成极高可信度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片包含 建筑物&#10;&#10;已生成极高可信度的说明"/>
                    <pic:cNvPicPr>
                      <a:picLocks noChangeAspect="1"/>
                    </pic:cNvPicPr>
                  </pic:nvPicPr>
                  <pic:blipFill>
                    <a:blip r:embed="rId8">
                      <a:duotone>
                        <a:prstClr val="black"/>
                        <a:schemeClr val="bg2">
                          <a:lumMod val="25000"/>
                          <a:tint val="45000"/>
                          <a:satMod val="400000"/>
                        </a:schemeClr>
                      </a:duotone>
                      <a:extLst>
                        <a:ext uri="{28A0092B-C50C-407E-A947-70E740481C1C}">
                          <a14:useLocalDpi xmlns:a14="http://schemas.microsoft.com/office/drawing/2010/main" val="0"/>
                        </a:ext>
                      </a:extLst>
                    </a:blip>
                    <a:stretch>
                      <a:fillRect/>
                    </a:stretch>
                  </pic:blipFill>
                  <pic:spPr>
                    <a:xfrm>
                      <a:off x="0" y="0"/>
                      <a:ext cx="3805568" cy="1720116"/>
                    </a:xfrm>
                    <a:prstGeom prst="rect">
                      <a:avLst/>
                    </a:prstGeom>
                  </pic:spPr>
                </pic:pic>
              </a:graphicData>
            </a:graphic>
          </wp:inline>
        </w:drawing>
      </w:r>
    </w:p>
    <w:p>
      <w:pPr>
        <w:spacing w:before="156" w:beforeLines="50" w:after="156" w:afterLines="50" w:line="480" w:lineRule="auto"/>
        <w:jc w:val="center"/>
        <w:rPr>
          <w:rFonts w:ascii="Times New Roman" w:hAnsi="Times New Roman" w:cs="Times New Roman"/>
          <w:sz w:val="24"/>
          <w:szCs w:val="24"/>
          <w:lang w:val="en-US"/>
        </w:rPr>
      </w:pPr>
      <w:r>
        <w:rPr>
          <w:rFonts w:hint="eastAsia" w:ascii="Times New Roman" w:hAnsi="Times New Roman" w:cs="Times New Roman"/>
          <w:sz w:val="24"/>
          <w:szCs w:val="24"/>
          <w:lang w:val="en-US"/>
        </w:rPr>
        <w:t>F</w:t>
      </w:r>
      <w:r>
        <w:rPr>
          <w:rFonts w:ascii="Times New Roman" w:hAnsi="Times New Roman" w:cs="Times New Roman"/>
          <w:sz w:val="24"/>
          <w:szCs w:val="24"/>
          <w:lang w:val="en-US"/>
        </w:rPr>
        <w:t xml:space="preserve">igure 1. Revenue of Tiara Hot Spring Resort. </w:t>
      </w:r>
    </w:p>
    <w:p>
      <w:pPr>
        <w:spacing w:before="156" w:beforeLines="50" w:after="156" w:afterLines="50" w:line="480" w:lineRule="auto"/>
        <w:jc w:val="left"/>
        <w:rPr>
          <w:rFonts w:ascii="Times New Roman" w:hAnsi="Times New Roman" w:cs="Times New Roman"/>
          <w:sz w:val="24"/>
          <w:szCs w:val="24"/>
          <w:lang w:val="en-US"/>
        </w:rPr>
      </w:pPr>
      <w:r>
        <w:rPr>
          <w:rFonts w:ascii="Times New Roman" w:hAnsi="Times New Roman" w:cs="Times New Roman"/>
          <w:sz w:val="24"/>
          <w:szCs w:val="24"/>
          <w:lang w:val="en-US"/>
        </w:rPr>
        <w:t xml:space="preserve">To elucidate the issues behind the slow revenue growth and revenue decrease in 2017, this report is to offer a comprehensive market analysis based on PEST analysis and organizational analysis based on SWOT analysis. The report is to provide marketing and strategic recommendations for the resort. </w:t>
      </w:r>
    </w:p>
    <w:p>
      <w:pPr>
        <w:pStyle w:val="14"/>
        <w:numPr>
          <w:ilvl w:val="0"/>
          <w:numId w:val="1"/>
        </w:numPr>
        <w:spacing w:before="156" w:beforeLines="50" w:after="156" w:afterLines="50" w:line="480" w:lineRule="auto"/>
        <w:ind w:left="357" w:hanging="357" w:firstLineChars="0"/>
        <w:jc w:val="left"/>
        <w:outlineLvl w:val="0"/>
        <w:rPr>
          <w:rFonts w:ascii="Times New Roman" w:hAnsi="Times New Roman" w:cs="Times New Roman"/>
          <w:color w:val="000000" w:themeColor="text1"/>
          <w:sz w:val="32"/>
          <w14:textFill>
            <w14:solidFill>
              <w14:schemeClr w14:val="tx1"/>
            </w14:solidFill>
          </w14:textFill>
        </w:rPr>
      </w:pPr>
      <w:bookmarkStart w:id="3" w:name="_Toc8218365"/>
      <w:r>
        <w:rPr>
          <w:rFonts w:ascii="Times New Roman" w:hAnsi="Times New Roman" w:cs="Times New Roman"/>
          <w:color w:val="000000" w:themeColor="text1"/>
          <w:sz w:val="32"/>
          <w14:textFill>
            <w14:solidFill>
              <w14:schemeClr w14:val="tx1"/>
            </w14:solidFill>
          </w14:textFill>
        </w:rPr>
        <w:t>Business environmental analysis</w:t>
      </w:r>
      <w:bookmarkEnd w:id="3"/>
      <w:r>
        <w:rPr>
          <w:rFonts w:ascii="Times New Roman" w:hAnsi="Times New Roman" w:cs="Times New Roman"/>
          <w:color w:val="000000" w:themeColor="text1"/>
          <w:sz w:val="32"/>
          <w14:textFill>
            <w14:solidFill>
              <w14:schemeClr w14:val="tx1"/>
            </w14:solidFill>
          </w14:textFill>
        </w:rPr>
        <w:t xml:space="preserve">                                     </w:t>
      </w:r>
    </w:p>
    <w:p>
      <w:pPr>
        <w:pStyle w:val="14"/>
        <w:numPr>
          <w:ilvl w:val="0"/>
          <w:numId w:val="2"/>
        </w:numPr>
        <w:spacing w:before="156" w:beforeLines="50" w:after="156" w:afterLines="50" w:line="480" w:lineRule="auto"/>
        <w:ind w:firstLineChars="0"/>
        <w:outlineLvl w:val="1"/>
        <w:rPr>
          <w:rFonts w:ascii="Raleway Medium" w:hAnsi="Raleway Medium" w:cs="Times New Roman"/>
          <w:i/>
          <w:vanish/>
          <w:color w:val="843C0B" w:themeColor="accent2" w:themeShade="80"/>
          <w:sz w:val="28"/>
          <w:szCs w:val="28"/>
          <w:lang w:val="en-US"/>
        </w:rPr>
      </w:pPr>
      <w:bookmarkStart w:id="4" w:name="_Toc8152210"/>
      <w:bookmarkEnd w:id="4"/>
      <w:bookmarkStart w:id="5" w:name="_Toc8218366"/>
      <w:bookmarkEnd w:id="5"/>
    </w:p>
    <w:p>
      <w:pPr>
        <w:pStyle w:val="14"/>
        <w:numPr>
          <w:ilvl w:val="0"/>
          <w:numId w:val="2"/>
        </w:numPr>
        <w:spacing w:before="156" w:beforeLines="50" w:after="156" w:afterLines="50" w:line="480" w:lineRule="auto"/>
        <w:ind w:firstLineChars="0"/>
        <w:outlineLvl w:val="1"/>
        <w:rPr>
          <w:rFonts w:ascii="Raleway Medium" w:hAnsi="Raleway Medium" w:cs="Times New Roman"/>
          <w:i/>
          <w:vanish/>
          <w:color w:val="843C0B" w:themeColor="accent2" w:themeShade="80"/>
          <w:sz w:val="28"/>
          <w:szCs w:val="28"/>
          <w:lang w:val="en-US"/>
        </w:rPr>
      </w:pPr>
      <w:bookmarkStart w:id="6" w:name="_Toc8218367"/>
      <w:bookmarkEnd w:id="6"/>
      <w:bookmarkStart w:id="7" w:name="_Toc8152211"/>
      <w:bookmarkEnd w:id="7"/>
    </w:p>
    <w:p>
      <w:pPr>
        <w:pStyle w:val="14"/>
        <w:numPr>
          <w:ilvl w:val="1"/>
          <w:numId w:val="2"/>
        </w:numPr>
        <w:spacing w:before="156" w:beforeLines="50" w:after="156" w:afterLines="50" w:line="480" w:lineRule="auto"/>
        <w:ind w:firstLineChars="0"/>
        <w:outlineLvl w:val="1"/>
        <w:rPr>
          <w:rFonts w:ascii="Times New Roman" w:hAnsi="Times New Roman" w:cs="Times New Roman"/>
          <w:color w:val="000000" w:themeColor="text1"/>
          <w:sz w:val="28"/>
          <w:szCs w:val="28"/>
          <w:lang w:val="en-US"/>
          <w14:textFill>
            <w14:solidFill>
              <w14:schemeClr w14:val="tx1"/>
            </w14:solidFill>
          </w14:textFill>
        </w:rPr>
      </w:pPr>
      <w:bookmarkStart w:id="8" w:name="_Toc8218368"/>
      <w:r>
        <w:rPr>
          <w:rFonts w:ascii="Times New Roman" w:hAnsi="Times New Roman" w:cs="Times New Roman"/>
          <w:color w:val="000000" w:themeColor="text1"/>
          <w:sz w:val="28"/>
          <w:szCs w:val="28"/>
          <w:lang w:val="en-US"/>
          <w14:textFill>
            <w14:solidFill>
              <w14:schemeClr w14:val="tx1"/>
            </w14:solidFill>
          </w14:textFill>
        </w:rPr>
        <w:t xml:space="preserve">Hot spring spa in China </w:t>
      </w:r>
      <w:bookmarkEnd w:id="8"/>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Hot spring spa in China is originated from wellness centers for senior communist party members like that in previous Soviet Union countries. The hot spring spas in China’s famous hot spring sites were all state-owned before the 1990s. Since the 1990s many of them were privatized for better profitability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{"citationItems":[{"id":"ITEM-1","itemData":{"ISBN":"9781845413637","author":[{"dropping-particle":"","family":"Erfurt-Cooper","given":"P","non-dropping-particle":"","parse-names":false,"suffix":""},{"dropping-particle":"","family":"Cooper","given":"P M","non-dropping-particle":"","parse-names":false,"suffix":""}],"collection-title":"Aspects of Tourism","id":"ITEM-1","issued":{"date-parts":[["2009"]]},"publisher":"Channel View Publications","title":"Health and Wellness Tourism: Spas and Hot Springs","type":"book"},"uris":["http://www.mendeley.com/documents/?uuid=02343291-e331-491f-8f02-a1bc3060f5fe"]}],"mendeley":{"formattedCitation":"(Erfurt-Cooper and Cooper, 2009)","plainTextFormattedCitation":"(Erfurt-Cooper and Cooper, 2009)","previouslyFormattedCitation":"(Erfurt-Cooper and Cooper, 2009)"},"properties":{"noteIndex":0},"schema":"https://github.com/citation-style-language/schema/raw/master/csl-citation.json"}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(Erfurt-Cooper and Cooper, 2009)</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From the 1990s to the 2000s, the hot spring spas in China started to include various services into the resorts such as golf sports, water amusement park. The market is now dominated by middle and low-end resorts providing various service packages from skiing, golfing to business and academic conferences. The customer group of the hot spring spa industry is also shifting in average age and gender distribution. The gender distribution in the 1990s was mainly focused on the male customers as female customers would find it awkward to travel into hot spring spas. The age distribution is also shifting from customers with an average age of 56 to those with an average age of 32. Th origin of customer has been shifting from first-tier cities such as Shanghai, Guangzhou to lower-tier cities in China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{"citationItems":[{"id":"ITEM-1","itemData":{"DOI":"10.1002/jtr.1880","author":[{"dropping-particle":"","family":"C. S. Heung","given":"Vincent","non-dropping-particle":"","parse-names":false,"suffix":""},{"dropping-particle":"","family":"Kucukusta","given":"Deniz","non-dropping-particle":"","parse-names":false,"suffix":""}],"container-title":"International Journal of Tourism Research","id":"ITEM-1","issued":{"date-parts":[["2013","7","1"]]},"number-of-pages":"346-359","title":"Wellness Tourism in China: Resources, Development and Marketing","type":"book","volume":"15"},"uris":["http://www.mendeley.com/documents/?uuid=4021d507-e9d4-4d9e-b7a8-f1af3137a6d8"]}],"mendeley":{"formattedCitation":"(C. S. Heung and Kucukusta, 2013)","plainTextFormattedCitation":"(C. S. Heung and Kucukusta, 2013)","previouslyFormattedCitation":"(C. S. Heung and Kucukusta, 2013)"},"properties":{"noteIndex":0},"schema":"https://github.com/citation-style-language/schema/raw/master/csl-citation.json"}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(C. S. Heung and Kucukusta, 2013)</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Customers today also prefer to visit hot spring spa resorts based on their own schedules instead of joining a travel team. The market segmentation by price is shifting from high-end luxury wellness centers to middle-end spa centers with more leisure services provided. The total revenue of the hot spring spa market in China has increased from 2.2 billion GBP in 2013 to 5.6 billion GBP in 2018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{"citationItems":[{"id":"ITEM-1","itemData":{"abstract":"Wellness tourism is travel associated with the pursuit\r\nof maintaining or enhancing one’s personal wellbeing.\r\nGWI estimates wellness tourism is a $639 billion global\r\nmarket in 2017, growing more than twice as fast as general\r\ntourism.","author":[{"dropping-particle":"","family":"Global Wellness Institute","given":"","non-dropping-particle":"","parse-names":false,"suffix":""}],"id":"ITEM-1","issue":"November","issued":{"date-parts":[["2018"]]},"page":"102","title":"Global Wellness Tourism Economy","type":"article-journal"},"uris":["http://www.mendeley.com/documents/?uuid=d730b461-2c75-4595-a74a-c89bbbd41646"]}],"mendeley":{"formattedCitation":"(Global Wellness Institute, 2018)","plainTextFormattedCitation":"(Global Wellness Institute, 2018)","previouslyFormattedCitation":"(Global Wellness Institute, 2018)"},"properties":{"noteIndex":0},"schema":"https://github.com/citation-style-language/schema/raw/master/csl-citation.json"}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(Global Wellness Institute, 2018)</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To sum up, the hot spring spa industry in China becomes more young generation dominated, more leisure experience focused and more diverse in the service products provided. The entire market is still on the growing trend. </w:t>
      </w:r>
    </w:p>
    <w:p>
      <w:pPr>
        <w:pStyle w:val="14"/>
        <w:numPr>
          <w:ilvl w:val="1"/>
          <w:numId w:val="2"/>
        </w:numPr>
        <w:spacing w:before="156" w:beforeLines="50" w:after="156" w:afterLines="50" w:line="480" w:lineRule="auto"/>
        <w:ind w:firstLineChars="0"/>
        <w:outlineLvl w:val="1"/>
        <w:rPr>
          <w:rFonts w:ascii="Times New Roman" w:hAnsi="Times New Roman" w:cs="Times New Roman"/>
          <w:color w:val="000000" w:themeColor="text1"/>
          <w:sz w:val="28"/>
          <w:szCs w:val="28"/>
          <w:lang w:val="en-US"/>
          <w14:textFill>
            <w14:solidFill>
              <w14:schemeClr w14:val="tx1"/>
            </w14:solidFill>
          </w14:textFill>
        </w:rPr>
      </w:pPr>
      <w:bookmarkStart w:id="9" w:name="_Toc8218369"/>
      <w:r>
        <w:rPr>
          <w:rFonts w:hint="eastAsia" w:ascii="Times New Roman" w:hAnsi="Times New Roman" w:cs="Times New Roman"/>
          <w:color w:val="000000" w:themeColor="text1"/>
          <w:sz w:val="28"/>
          <w:szCs w:val="28"/>
          <w:lang w:val="en-US"/>
          <w14:textFill>
            <w14:solidFill>
              <w14:schemeClr w14:val="tx1"/>
            </w14:solidFill>
          </w14:textFill>
        </w:rPr>
        <w:t>P</w:t>
      </w:r>
      <w:r>
        <w:rPr>
          <w:rFonts w:ascii="Times New Roman" w:hAnsi="Times New Roman" w:cs="Times New Roman"/>
          <w:color w:val="000000" w:themeColor="text1"/>
          <w:sz w:val="28"/>
          <w:szCs w:val="28"/>
          <w:lang w:val="en-US"/>
          <w14:textFill>
            <w14:solidFill>
              <w14:schemeClr w14:val="tx1"/>
            </w14:solidFill>
          </w14:textFill>
        </w:rPr>
        <w:t>EST Analysis</w:t>
      </w:r>
      <w:bookmarkEnd w:id="9"/>
    </w:p>
    <w:p>
      <w:pPr>
        <w:spacing w:before="156" w:beforeLines="50" w:after="156" w:afterLines="50" w:line="480" w:lineRule="auto"/>
        <w:rPr>
          <w:rFonts w:ascii="Times New Roman" w:hAnsi="Times New Roman" w:cs="Times New Roman"/>
          <w:sz w:val="24"/>
          <w:szCs w:val="24"/>
          <w:lang w:val="en-US"/>
        </w:rPr>
      </w:pPr>
      <w:r>
        <w:rPr>
          <w:rFonts w:hint="eastAsia" w:ascii="Times New Roman" w:hAnsi="Times New Roman" w:cs="Times New Roman"/>
          <w:sz w:val="24"/>
          <w:szCs w:val="24"/>
          <w:lang w:val="en-US"/>
        </w:rPr>
        <w:t>P</w:t>
      </w:r>
      <w:r>
        <w:rPr>
          <w:rFonts w:ascii="Times New Roman" w:hAnsi="Times New Roman" w:cs="Times New Roman"/>
          <w:sz w:val="24"/>
          <w:szCs w:val="24"/>
          <w:lang w:val="en-US"/>
        </w:rPr>
        <w:t xml:space="preserve">EST analysis is particularly useful in this case as the business environments for leisure service and tourism product providers in China had experienced significant changes around 2008 when the Beijing Olympics Games were held and global financial crisis outburst. The political and economic environments have been changed drastically since the 1990s. The social and technological environments have also changed due to the emerging of various mass technological applications such as online social media platforms, online travel agencies, and data analytics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{"citationItems":[{"id":"ITEM-1","itemData":{"ISBN":"9781549790546","author":[{"dropping-particle":"","family":"Perera","given":"R","non-dropping-particle":"","parse-names":false,"suffix":""}],"id":"ITEM-1","issued":{"date-parts":[["2017"]]},"publisher":"Independently Published","title":"The PESTLE Analysis","type":"book"},"uris":["http://www.mendeley.com/documents/?uuid=3618d671-ef0d-4a82-a71d-3a2470a28585"]}],"mendeley":{"formattedCitation":"(Perera, 2017)","plainTextFormattedCitation":"(Perera, 2017)","previouslyFormattedCitation":"(Perera, 2017)"},"properties":{"noteIndex":0},"schema":"https://github.com/citation-style-language/schema/raw/master/csl-citation.json"}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(Perera, 2017)</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w:t>
      </w:r>
    </w:p>
    <w:p>
      <w:pPr>
        <w:pStyle w:val="14"/>
        <w:numPr>
          <w:ilvl w:val="0"/>
          <w:numId w:val="3"/>
        </w:numPr>
        <w:spacing w:before="156" w:beforeLines="50" w:after="156" w:afterLines="50" w:line="480" w:lineRule="auto"/>
        <w:ind w:firstLineChars="0"/>
        <w:outlineLvl w:val="2"/>
        <w:rPr>
          <w:rFonts w:ascii="Times New Roman" w:hAnsi="Times New Roman" w:cs="Times New Roman"/>
          <w:i/>
          <w:color w:val="535353" w:themeColor="accent3" w:themeShade="80"/>
          <w:sz w:val="24"/>
          <w:szCs w:val="24"/>
          <w:lang w:val="en-US"/>
        </w:rPr>
      </w:pPr>
      <w:bookmarkStart w:id="10" w:name="_Toc8218370"/>
      <w:r>
        <w:rPr>
          <w:rFonts w:ascii="Times New Roman" w:hAnsi="Times New Roman" w:cs="Times New Roman"/>
          <w:i/>
          <w:color w:val="535353" w:themeColor="accent3" w:themeShade="80"/>
          <w:sz w:val="24"/>
          <w:szCs w:val="24"/>
          <w:lang w:val="en-US"/>
        </w:rPr>
        <w:t>Political Factors</w:t>
      </w:r>
      <w:bookmarkEnd w:id="10"/>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Political factors in PEST analysis are extremely important for enterprise operating in China. Despite the macro-political stability of China, the policies of local governments vary with different government leaders being appointed. The macro-political environment in China has been stable since the 2000s when the economy of China began to take off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ISBN":"1134036302","author":[{"dropping-particle":"","family":"Heberer","given":"Thomas","non-dropping-particle":"","parse-names":false,"suffix":""},{"dropping-particle":"","family":"Schubert","given":"Gunter","non-dropping-particle":"","parse-names":false,"suffix":""}],"id":"ITEM-1","issued":{"date-parts":[["2008"]]},"publisher":"Routledge","title":"Regime legitimacy in contemporary China: Institutional change and stability","type":"book"},"uris":["http://www.mendeley.com/documents/?uuid=e4d53a96-8e42-4a2f-9c74-17fd5d10e58b"]}],"mendeley":{"formattedCitation":"(Heberer and Schubert, 2008)","plainTextFormattedCitation":"(Heberer and Schubert, 2008)","previouslyFormattedCitation":"(Heberer and Schubert, 2008)"},"properties":{"noteIndex":0},"schema":"https://github.com/citation-style-language/schema/raw/master/csl-citation.json"}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(Heberer and Schubert, 2008)</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The government has also been promoting the development of the tourism industry. The central government has put the tourism industry as the priority supporting industry since 2017 to leverage the function of the tourism industry as the hub for various industries such as agriculture, transportation. However, with the complaints on the service quality of tourism services more often to be exposed by media, the central government has been focusing on the policies to enhance the service quality and infrastructure of the general tourism industry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{"citationItems":[{"id":"ITEM-1","itemData":{"author":[{"dropping-particle":"","family":"Liang","given":"M Z","non-dropping-particle":"","parse-names":false,"suffix":""},{"dropping-particle":"","family":"Wang","given":"Wei","non-dropping-particle":"","parse-names":false,"suffix":""}],"container-title":"Human Geography","id":"ITEM-1","issued":{"date-parts":[["2010"]]},"page":"31","title":"A study of government regulation of public tourism resources: Developing and protecting [J]","type":"article-journal","volume":"6"},"uris":["http://www.mendeley.com/documents/?uuid=7de7bcd8-5452-49f6-a174-116fc0c782fc"]}],"mendeley":{"formattedCitation":"(Liang and Wang, 2010)","plainTextFormattedCitation":"(Liang and Wang, 2010)","previouslyFormattedCitation":"(Liang and Wang, 2010)"},"properties":{"noteIndex":0},"schema":"https://github.com/citation-style-language/schema/raw/master/csl-citation.json"}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(Liang and Wang, 2010)</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The government is putting more regulations in the market. T</w:t>
      </w:r>
      <w:r>
        <w:rPr>
          <w:rFonts w:hint="eastAsia" w:ascii="Times New Roman" w:hAnsi="Times New Roman" w:cs="Times New Roman"/>
          <w:sz w:val="24"/>
          <w:szCs w:val="24"/>
          <w:lang w:val="en-US"/>
        </w:rPr>
        <w:t>hese</w:t>
      </w:r>
      <w:r>
        <w:rPr>
          <w:rFonts w:ascii="Times New Roman" w:hAnsi="Times New Roman" w:cs="Times New Roman"/>
          <w:sz w:val="24"/>
          <w:szCs w:val="24"/>
          <w:lang w:val="en-US"/>
        </w:rPr>
        <w:t xml:space="preserve"> are making higher demands on the tourism market as they have to maintain better service quality and follow more regulatory rules and principles. </w:t>
      </w:r>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Hubei is in the central part of China as shown on the left of figure 2. The Hubei province is also the hub of the high-speed railway system in China. The aviation system in China is still far from being developed as the delay is typical and airports are typically far from city centers. The high-speed railway system supported by governments in China provides the fundamental infrastructure for the tourism industry in the area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ISSN":"2211-9736","author":[{"dropping-particle":"","family":"Wang","given":"Xin","non-dropping-particle":"","parse-names":false,"suffix":""},{"dropping-particle":"","family":"Huang","given":"Songshan","non-dropping-particle":"","parse-names":false,"suffix":""},{"dropping-particle":"","family":"Zou","given":"Tongqian","non-dropping-particle":"","parse-names":false,"suffix":""},{"dropping-particle":"","family":"Yan","given":"Hui","non-dropping-particle":"","parse-names":false,"suffix":""}],"container-title":"Tourism Management Perspectives","id":"ITEM-1","issued":{"date-parts":[["2012"]]},"page":"34-38","publisher":"Elsevier","title":"Effects of the high speed rail network on China's regional tourism development","type":"article-journal","volume":"1"},"uris":["http://www.mendeley.com/documents/?uuid=0e5f0057-2f61-45e9-9b39-9b558ddb2d3c"]}],"mendeley":{"formattedCitation":"(Wang &lt;i&gt;et al.&lt;/i&gt;, 2012)","plainTextFormattedCitation":"(Wang et al., 2012)","previouslyFormattedCitation":"(Wang &lt;i&gt;et al.&lt;/i&gt;, 2012)"},"properties":{"noteIndex":0},"schema":"https://github.com/citation-style-language/schema/raw/master/csl-citation.json"}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 xml:space="preserve">(Wang </w:t>
      </w:r>
      <w:r>
        <w:rPr>
          <w:rFonts w:ascii="Times New Roman" w:hAnsi="Times New Roman" w:cs="Times New Roman"/>
          <w:i/>
          <w:sz w:val="24"/>
          <w:szCs w:val="24"/>
          <w:lang w:val="en-US"/>
        </w:rPr>
        <w:t>et al.</w:t>
      </w:r>
      <w:r>
        <w:rPr>
          <w:rFonts w:ascii="Times New Roman" w:hAnsi="Times New Roman" w:cs="Times New Roman"/>
          <w:sz w:val="24"/>
          <w:szCs w:val="24"/>
          <w:lang w:val="en-US"/>
        </w:rPr>
        <w:t>, 2012)</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The government, with knowing its position in the country and driven by the GDP growth target set by the central government, has been launching various policies on promoting the tourism industry in the province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author":[{"dropping-particle":"","family":"LU","given":"Lin","non-dropping-particle":"","parse-names":false,"suffix":""},{"dropping-particle":"","family":"YU","given":"Feng-long","non-dropping-particle":"","parse-names":false,"suffix":""}],"container-title":"Economic Geography","id":"ITEM-1","issued":{"date-parts":[["2005"]]},"page":"406-410","title":"A study on the spatial characteristic of provincial difference of tourism economy [J]","type":"article-journal","volume":"3"},"uris":["http://www.mendeley.com/documents/?uuid=91c6837a-3be7-40d1-b873-75306e33630f"]}],"mendeley":{"formattedCitation":"(LU and YU, 2005)","plainTextFormattedCitation":"(LU and YU, 2005)","previouslyFormattedCitation":"(LU and YU, 2005)"},"properties":{"noteIndex":0},"schema":"https://github.com/citation-style-language/schema/raw/master/csl-citation.json"}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(LU and YU, 2005)</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As there are many tourist sites in the city, the local governments are promoting the integration of sightseeing and other tourism sectors. </w:t>
      </w:r>
    </w:p>
    <w:p>
      <w:pPr>
        <w:spacing w:before="156" w:beforeLines="50" w:after="156" w:afterLines="50" w:line="480" w:lineRule="auto"/>
        <w:jc w:val="center"/>
        <w:rPr>
          <w:rFonts w:ascii="Times New Roman" w:hAnsi="Times New Roman" w:cs="Times New Roman"/>
          <w:sz w:val="24"/>
          <w:szCs w:val="24"/>
          <w:lang w:val="en-US"/>
        </w:rPr>
      </w:pPr>
      <w:r>
        <w:drawing>
          <wp:inline distT="0" distB="0" distL="0" distR="0">
            <wp:extent cx="5097780" cy="2098675"/>
            <wp:effectExtent l="0" t="0" r="762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40517" cy="2116681"/>
                    </a:xfrm>
                    <a:prstGeom prst="rect">
                      <a:avLst/>
                    </a:prstGeom>
                  </pic:spPr>
                </pic:pic>
              </a:graphicData>
            </a:graphic>
          </wp:inline>
        </w:drawing>
      </w:r>
    </w:p>
    <w:p>
      <w:pPr>
        <w:spacing w:before="156" w:beforeLines="50" w:after="156" w:afterLines="50" w:line="480" w:lineRule="auto"/>
        <w:jc w:val="center"/>
        <w:rPr>
          <w:rFonts w:ascii="Times New Roman" w:hAnsi="Times New Roman" w:cs="Times New Roman"/>
          <w:sz w:val="24"/>
          <w:szCs w:val="24"/>
          <w:lang w:val="en-US"/>
        </w:rPr>
      </w:pPr>
      <w:r>
        <w:rPr>
          <w:rFonts w:hint="eastAsia" w:ascii="Times New Roman" w:hAnsi="Times New Roman" w:cs="Times New Roman"/>
          <w:sz w:val="24"/>
          <w:szCs w:val="24"/>
          <w:lang w:val="en-US"/>
        </w:rPr>
        <w:t>Figure</w:t>
      </w:r>
      <w:r>
        <w:rPr>
          <w:rFonts w:ascii="Times New Roman" w:hAnsi="Times New Roman" w:cs="Times New Roman"/>
          <w:sz w:val="24"/>
          <w:szCs w:val="24"/>
          <w:lang w:val="en-US"/>
        </w:rPr>
        <w:t xml:space="preserve"> 2. Position of Hubei province and heat map of a number of travelers arriving major tourism provinces. Source: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{"citationItems":[{"id":"ITEM-1","itemData":{"URL":"http://english.gov.cn/archive/statistics/2019/02/06/content_281476510410482.htm","accessed":{"date-parts":[["2019","5","7"]]},"author":[{"dropping-particle":"","family":"PRC State Council","given":"","non-dropping-particle":"","parse-names":false,"suffix":""}],"id":"ITEM-1","issued":{"date-parts":[["2019"]]},"title":"China’s inbound tourism remains steady in 2018","type":"webpage"},"uris":["http://www.mendeley.com/documents/?uuid=b892dc10-a91c-3ed7-a4c2-a6c3c4dd2e72"]}],"mendeley":{"formattedCitation":"(PRC State Council, 2019)","plainTextFormattedCitation":"(PRC State Council, 2019)","previouslyFormattedCitation":"(PRC State Council, 2019)"},"properties":{"noteIndex":0},"schema":"https://github.com/citation-style-language/schema/raw/master/csl-citation.json"}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(PRC State Council, 2019)</w:t>
      </w:r>
      <w:r>
        <w:rPr>
          <w:rFonts w:ascii="Times New Roman" w:hAnsi="Times New Roman" w:cs="Times New Roman"/>
          <w:sz w:val="24"/>
          <w:szCs w:val="24"/>
          <w:lang w:val="en-US"/>
        </w:rPr>
        <w:fldChar w:fldCharType="end"/>
      </w:r>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As shown on the right of figure 2, the heat map showing the number of domestic tourist arrivals in major tourism provinces in China with orange showing higher numbers and blue showing lower numbers. The promotion from local government and the relatively low arrival tourist in the province can project a potentially high growth in the tourism market. </w:t>
      </w:r>
    </w:p>
    <w:p>
      <w:pPr>
        <w:pStyle w:val="14"/>
        <w:numPr>
          <w:ilvl w:val="0"/>
          <w:numId w:val="3"/>
        </w:numPr>
        <w:spacing w:before="156" w:beforeLines="50" w:after="156" w:afterLines="50" w:line="480" w:lineRule="auto"/>
        <w:ind w:firstLineChars="0"/>
        <w:outlineLvl w:val="2"/>
        <w:rPr>
          <w:rFonts w:ascii="Times New Roman" w:hAnsi="Times New Roman" w:cs="Times New Roman"/>
          <w:i/>
          <w:color w:val="535353" w:themeColor="accent3" w:themeShade="80"/>
          <w:sz w:val="24"/>
          <w:szCs w:val="24"/>
          <w:lang w:val="en-US"/>
        </w:rPr>
      </w:pPr>
      <w:bookmarkStart w:id="11" w:name="_Toc8218371"/>
      <w:r>
        <w:rPr>
          <w:rFonts w:ascii="Times New Roman" w:hAnsi="Times New Roman" w:cs="Times New Roman"/>
          <w:i/>
          <w:color w:val="535353" w:themeColor="accent3" w:themeShade="80"/>
          <w:sz w:val="24"/>
          <w:szCs w:val="24"/>
          <w:lang w:val="en-US"/>
        </w:rPr>
        <w:t>Economic Factors</w:t>
      </w:r>
      <w:bookmarkEnd w:id="11"/>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lang w:val="en-US"/>
        </w:rPr>
        <w:t xml:space="preserve">Economic factors in China are generally favoring the development of various service industries. </w:t>
      </w:r>
      <w:r>
        <w:rPr>
          <w:rFonts w:ascii="Times New Roman" w:hAnsi="Times New Roman" w:cs="Times New Roman"/>
          <w:sz w:val="24"/>
          <w:szCs w:val="24"/>
        </w:rPr>
        <w:t xml:space="preserve">The Chines economy is experiencing a consumption upgrade. The consumption upgrade in China has been one of the topics that emerge in every government report in China. The consumption upgrade means that the upgrade of consumption structure of the national population. It can be put as that consumers are willing to pay more for the enhancement in the quality of the product or the experience of the service purchased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{"citationItems":[{"id":"ITEM-1","itemData":{"URL":"https://www.scmp.com/business/money/wealth/article/2175292/chinas-consumption-upgrade-trend-undeterred-us-china-trade-war","accessed":{"date-parts":[["2019","5","7"]]},"author":[{"dropping-particle":"","family":"Daniel Ren","given":"","non-dropping-particle":"","parse-names":false,"suffix":""}],"container-title":"South China Morning Post","id":"ITEM-1","issued":{"date-parts":[["2018"]]},"title":"China’s ‘consumption upgrade’ trend undeterred by US-China trade war, study says | South China Morning Post","type":"webpage"},"uris":["http://www.mendeley.com/documents/?uuid=b0ef2e4d-a9a5-3255-b21d-713a6a55a2d6"]}],"mendeley":{"formattedCitation":"(Daniel Ren, 2018)","plainTextFormattedCitation":"(Daniel Ren, 2018)","previouslyFormattedCitation":"(Daniel Ren,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(Daniel Ren, 2018)</w:t>
      </w:r>
      <w:r>
        <w:rPr>
          <w:rFonts w:ascii="Times New Roman" w:hAnsi="Times New Roman" w:cs="Times New Roman"/>
          <w:sz w:val="24"/>
          <w:szCs w:val="24"/>
        </w:rPr>
        <w:fldChar w:fldCharType="end"/>
      </w:r>
      <w:r>
        <w:rPr>
          <w:rFonts w:ascii="Times New Roman" w:hAnsi="Times New Roman" w:cs="Times New Roman"/>
          <w:sz w:val="24"/>
          <w:szCs w:val="24"/>
        </w:rPr>
        <w:t>. The Chinese economic growth rate has been declining since 2010. The consumption upgrade is the crucial tool for the Chinese government to increase domestic consumption and maintain the GDP growth. The policies issues centered on this idea have been boosting the development of many industries such as the tourism industry in China. A</w:t>
      </w:r>
      <w:r>
        <w:rPr>
          <w:rFonts w:hint="eastAsia" w:ascii="Times New Roman" w:hAnsi="Times New Roman" w:cs="Times New Roman"/>
          <w:sz w:val="24"/>
          <w:szCs w:val="24"/>
        </w:rPr>
        <w:t>s</w:t>
      </w:r>
      <w:r>
        <w:rPr>
          <w:rFonts w:ascii="Times New Roman" w:hAnsi="Times New Roman" w:cs="Times New Roman"/>
          <w:sz w:val="24"/>
          <w:szCs w:val="24"/>
        </w:rPr>
        <w:t xml:space="preserve"> </w:t>
      </w:r>
      <w:r>
        <w:rPr>
          <w:rFonts w:hint="eastAsia" w:ascii="Times New Roman" w:hAnsi="Times New Roman" w:cs="Times New Roman"/>
          <w:sz w:val="24"/>
          <w:szCs w:val="24"/>
        </w:rPr>
        <w:t>s</w:t>
      </w:r>
      <w:r>
        <w:rPr>
          <w:rFonts w:ascii="Times New Roman" w:hAnsi="Times New Roman" w:cs="Times New Roman"/>
          <w:sz w:val="24"/>
          <w:szCs w:val="24"/>
        </w:rPr>
        <w:t xml:space="preserve">hown in figure 3 below,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Dichter","given":"Alex","non-dropping-particle":"","parse-names":false,"suffix":""},{"dropping-particle":"","family":"Chen","given":"Guang","non-dropping-particle":"","parse-names":false,"suffix":""},{"dropping-particle":"","family":"Saxon","given":"Steve","non-dropping-particle":"","parse-names":false,"suffix":""},{"dropping-particle":"","family":"Yu","given":"Jackey","non-dropping-particle":"","parse-names":false,"suffix":""},{"dropping-particle":"","family":"Suo","given":"Peimin","non-dropping-particle":"","parse-names":false,"suffix":""}],"id":"ITEM-1","issue":"September","issued":{"date-parts":[["2018"]]},"title":"Chinese tourists: Dispelling the myths Chinese tourists: Dispelling the myths An in-depth look at China's outbound tourist market","type":"article-journal"},"uris":["http://www.mendeley.com/documents/?uuid=d5429586-6314-4211-b871-43a5b5cc5468"]}],"mendeley":{"formattedCitation":"(Dichter &lt;i&gt;et al.&lt;/i&gt;, 2018)","plainTextFormattedCitation":"(Dichter et al., 2018)","previouslyFormattedCitation":"(Dichter &lt;i&gt;et al.&lt;/i&gt;,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(Dichter </w:t>
      </w:r>
      <w:r>
        <w:rPr>
          <w:rFonts w:ascii="Times New Roman" w:hAnsi="Times New Roman" w:cs="Times New Roman"/>
          <w:i/>
          <w:sz w:val="24"/>
          <w:szCs w:val="24"/>
        </w:rPr>
        <w:t>et al.</w:t>
      </w:r>
      <w:r>
        <w:rPr>
          <w:rFonts w:ascii="Times New Roman" w:hAnsi="Times New Roman" w:cs="Times New Roman"/>
          <w:sz w:val="24"/>
          <w:szCs w:val="24"/>
        </w:rPr>
        <w:t>, 2018)</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spacing w:before="156" w:beforeLines="50" w:after="156" w:afterLines="50" w:line="48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4175125" cy="1402080"/>
            <wp:effectExtent l="0" t="0" r="0" b="762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10" cstate="print">
                      <a:duotone>
                        <a:prstClr val="black"/>
                        <a:schemeClr val="accent5">
                          <a:tint val="45000"/>
                          <a:satMod val="400000"/>
                        </a:schemeClr>
                      </a:duotone>
                      <a:extLst>
                        <a:ext uri="{28A0092B-C50C-407E-A947-70E740481C1C}">
                          <a14:useLocalDpi xmlns:a14="http://schemas.microsoft.com/office/drawing/2010/main" val="0"/>
                        </a:ext>
                      </a:extLst>
                    </a:blip>
                    <a:stretch>
                      <a:fillRect/>
                    </a:stretch>
                  </pic:blipFill>
                  <pic:spPr>
                    <a:xfrm>
                      <a:off x="0" y="0"/>
                      <a:ext cx="4175125" cy="1402080"/>
                    </a:xfrm>
                    <a:prstGeom prst="rect">
                      <a:avLst/>
                    </a:prstGeom>
                  </pic:spPr>
                </pic:pic>
              </a:graphicData>
            </a:graphic>
          </wp:inline>
        </w:drawing>
      </w:r>
    </w:p>
    <w:p>
      <w:pPr>
        <w:spacing w:before="156" w:beforeLines="50" w:after="156" w:afterLines="50" w:line="480" w:lineRule="auto"/>
        <w:jc w:val="center"/>
        <w:rPr>
          <w:rFonts w:ascii="Times New Roman" w:hAnsi="Times New Roman" w:cs="Times New Roman"/>
          <w:sz w:val="24"/>
          <w:szCs w:val="24"/>
        </w:rPr>
      </w:pPr>
      <w:r>
        <w:rPr>
          <w:rFonts w:hint="eastAsia" w:ascii="Times New Roman" w:hAnsi="Times New Roman" w:cs="Times New Roman"/>
          <w:sz w:val="24"/>
          <w:szCs w:val="24"/>
        </w:rPr>
        <w:t>F</w:t>
      </w:r>
      <w:r>
        <w:rPr>
          <w:rFonts w:ascii="Times New Roman" w:hAnsi="Times New Roman" w:cs="Times New Roman"/>
          <w:sz w:val="24"/>
          <w:szCs w:val="24"/>
        </w:rPr>
        <w:t>igure 3. Economic index of China a tourism preference of Chinese.</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GDP per capita growth trend and disposable income per capita in China has correlated with the growth of revenue of tourism in the industry in China. In figure 3 where the preference activities of Chinese travelers from 2016-2018 clearly shows that the Chinese travelers are weighing more on the leisure experience. The business trip sector is also becoming the choices for more. </w:t>
      </w:r>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The consumption upgrade in China boosted by economic growth and government policymakers are the positive factors for tourism industry such as hot spring spa resorts.</w:t>
      </w:r>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Besides this, the hot spring spas in China are typically to cater to the needs of various types of conferences. Though the economy of Hubei is not on the first rank provinces in China, the province is abundant in public and private organizations such as research institutes and universities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DOI":"10.2991/iemb-14.2014.45","author":[{"dropping-particle":"","family":"Degang","given":"Chen","non-dropping-particle":"","parse-names":false,"suffix":""}],"id":"ITEM-1","issue":"Iemb","issued":{"date-parts":[["2014"]]},"page":"152-154","title":"Study on Xianning Hot Spring Tourism Industry and Cultural Creative Industry Coupling","type":"article-journal"},"uris":["http://www.mendeley.com/documents/?uuid=c31a3548-3529-422e-a94b-1e3f19e3c859"]}],"mendeley":{"formattedCitation":"(Degang, 2014)","plainTextFormattedCitation":"(Degang, 2014)","previouslyFormattedCitation":"(Degang, 2014)"},"properties":{"noteIndex":0},"schema":"https://github.com/citation-style-language/schema/raw/master/csl-citation.json"}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(Degang, 2014)</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Hubei ranks third in a number of leading universities and research institutes in China. As these universities are receiving more funding year by year, they have strong needs in hotels or resorts that can provide reliable conference facilities for academic communications. </w:t>
      </w:r>
    </w:p>
    <w:p>
      <w:pPr>
        <w:pStyle w:val="14"/>
        <w:numPr>
          <w:ilvl w:val="0"/>
          <w:numId w:val="3"/>
        </w:numPr>
        <w:spacing w:before="156" w:beforeLines="50" w:after="156" w:afterLines="50" w:line="480" w:lineRule="auto"/>
        <w:ind w:firstLineChars="0"/>
        <w:outlineLvl w:val="2"/>
        <w:rPr>
          <w:rFonts w:ascii="Times New Roman" w:hAnsi="Times New Roman" w:cs="Times New Roman"/>
          <w:i/>
          <w:color w:val="535353" w:themeColor="accent3" w:themeShade="80"/>
          <w:sz w:val="24"/>
          <w:szCs w:val="24"/>
          <w:lang w:val="en-US"/>
        </w:rPr>
      </w:pPr>
      <w:bookmarkStart w:id="12" w:name="_Toc8218372"/>
      <w:r>
        <w:rPr>
          <w:rFonts w:ascii="Times New Roman" w:hAnsi="Times New Roman" w:cs="Times New Roman"/>
          <w:i/>
          <w:color w:val="535353" w:themeColor="accent3" w:themeShade="80"/>
          <w:sz w:val="24"/>
          <w:szCs w:val="24"/>
          <w:lang w:val="en-US"/>
        </w:rPr>
        <w:t>Socio Factors</w:t>
      </w:r>
      <w:bookmarkEnd w:id="12"/>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social and cultural attitudes in Chines customers toward hot spring spa have shifted under the influence of world-renowned hot spring resorts in Japan. As more people are exposed to the Japanese style of hot spring spas through various ways such as social media, traveling and TV shows, more customers desire the exclusive, luxury and low-key hot spring spa resorts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URL":"https://www.mckinsey.com/featured-insights/asia-pacific/china-and-the-world-inside-a-changing-economic-relationship","accessed":{"date-parts":[["2019","5","7"]]},"author":[{"dropping-particle":"","family":"McKinsey","given":"","non-dropping-particle":"","parse-names":false,"suffix":""}],"container-title":"McKinsey","id":"ITEM-1","issued":{"date-parts":[["2018"]]},"title":"China and the world: Inside a changing economic relationship | McKinsey","type":"webpage"},"uris":["http://www.mendeley.com/documents/?uuid=255694a2-d2e5-3ce6-b6db-1d42b612b5fc"]}],"mendeley":{"formattedCitation":"(McKinsey, 2018)","plainTextFormattedCitation":"(McKinsey, 2018)","previouslyFormattedCitation":"(McKinsey, 2018)"},"properties":{"noteIndex":0},"schema":"https://github.com/citation-style-language/schema/raw/master/csl-citation.json"}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(McKinsey, 2018)</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w:t>
      </w:r>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As the Chinese economy developing, the social pressure on younger generations has been accumulating with the rising living expenses and prolonged working hours. The high pressure on youngsters is pushing them to use their limited vacations on more relaxing services or services more worth of the money they paid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{"citationItems":[{"id":"ITEM-1","itemData":{"ISBN":"9781466891333","author":[{"dropping-particle":"","family":"Dychtwald","given":"Z","non-dropping-particle":"","parse-names":false,"suffix":""}],"id":"ITEM-1","issued":{"date-parts":[["2018"]]},"publisher":"St. Martin's Press","title":"Young China: How the Restless Generation Will Change Their Country and the World","type":"book"},"uris":["http://www.mendeley.com/documents/?uuid=4478dc95-3ce6-4e79-8147-5142da261db5"]}],"mendeley":{"formattedCitation":"(Dychtwald, 2018)","plainTextFormattedCitation":"(Dychtwald, 2018)","previouslyFormattedCitation":"(Dychtwald, 2018)"},"properties":{"noteIndex":0},"schema":"https://github.com/citation-style-language/schema/raw/master/csl-citation.json"}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(Dychtwald, 2018)</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That is, they require a higher level of the exclusiveness of service provided. </w:t>
      </w:r>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Both the above factors are stimulating the hot spring spa industry as they can cater to the needs from customers with being properly managed. There is another social factor having negative effect on tourism especially the hot spring spa industry. The anti-corruption movement launched by Chinese president Xi Jinping has put many luxury businesses into shutdowns as their primary customers in China consist of government officials. The disclosure of the corruptive lives of such government officials has been leaving the impression of hot spring spas, which the corrupted officials typical visit, are filled with unlawful services such as prostitutes and drugs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author":[{"dropping-particle":"","family":"Ke","given":"Bin","non-dropping-particle":"","parse-names":false,"suffix":""},{"dropping-particle":"","family":"Liu","given":"Na","non-dropping-particle":"","parse-names":false,"suffix":""},{"dropping-particle":"","family":"Tang","given":"Song","non-dropping-particle":"","parse-names":false,"suffix":""}],"id":"ITEM-1","issued":{"date-parts":[["2017"]]},"title":"The effect of anti-corruption campaign on shareholder value in a weak institutional environment: Evidence from China","type":"article-journal"},"uris":["http://www.mendeley.com/documents/?uuid=03d2451d-4f03-4c1f-9e69-8845cbf4028f"]}],"mendeley":{"formattedCitation":"(Ke, Liu and Tang, 2017)","plainTextFormattedCitation":"(Ke, Liu and Tang, 2017)","previouslyFormattedCitation":"(Ke, Liu and Tang, 2017)"},"properties":{"noteIndex":0},"schema":"https://github.com/citation-style-language/schema/raw/master/csl-citation.json"}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(Ke, Liu and Tang, 2017)</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However, this is only affecting some segments which are segments primarily serving government officials. </w:t>
      </w:r>
    </w:p>
    <w:p>
      <w:pPr>
        <w:pStyle w:val="14"/>
        <w:numPr>
          <w:ilvl w:val="0"/>
          <w:numId w:val="3"/>
        </w:numPr>
        <w:spacing w:before="156" w:beforeLines="50" w:after="156" w:afterLines="50" w:line="480" w:lineRule="auto"/>
        <w:ind w:firstLineChars="0"/>
        <w:outlineLvl w:val="2"/>
        <w:rPr>
          <w:rFonts w:ascii="Times New Roman" w:hAnsi="Times New Roman" w:cs="Times New Roman"/>
          <w:i/>
          <w:color w:val="535353" w:themeColor="accent3" w:themeShade="80"/>
          <w:sz w:val="24"/>
          <w:szCs w:val="24"/>
          <w:lang w:val="en-US"/>
        </w:rPr>
      </w:pPr>
      <w:bookmarkStart w:id="13" w:name="_Toc8218373"/>
      <w:r>
        <w:rPr>
          <w:rFonts w:ascii="Times New Roman" w:hAnsi="Times New Roman" w:cs="Times New Roman"/>
          <w:i/>
          <w:color w:val="535353" w:themeColor="accent3" w:themeShade="80"/>
          <w:sz w:val="24"/>
          <w:szCs w:val="24"/>
          <w:lang w:val="en-US"/>
        </w:rPr>
        <w:t>Technological Factors</w:t>
      </w:r>
      <w:bookmarkEnd w:id="13"/>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technological environment in China has been changing rapidly. The emerging mobile internet and data analytics technologies are reshaping the entire tourism industry from how to conduct effective marketing and how to extract information from historical data. The impact of technological factors mainly comes from two factors, the rising of online travel agencies (OTA) and application of cloud and big data analytics. </w:t>
      </w:r>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penetration rate of online booking for travel products and services has grown from 12% in 2008 to 56% in 2018. The OTA transaction volume has been increasing since 2009 with the total GMV (Gross Merchandise Volume) in 2018 is 11.5 billion GBP. With the high penetration rate of mobile internet in China (98.8%), most people are using smart phones to view their ideal tourism products and book various services online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{"citationItems":[{"id":"ITEM-1","itemData":{"author":[{"dropping-particle":"","family":"Amadeus","given":"","non-dropping-particle":"","parse-names":false,"suffix":""}],"id":"ITEM-1","issued":{"date-parts":[["2020"]]},"title":"Online Travel Evolve, Expand or Expire 2020","type":"report"},"uris":["http://www.mendeley.com/documents/?uuid=ee34a31d-d3eb-4a71-9172-4a3dfb9feab3"]}],"mendeley":{"formattedCitation":"(Amadeus, 2020)","plainTextFormattedCitation":"(Amadeus, 2020)","previouslyFormattedCitation":"(Amadeus, 2020)"},"properties":{"noteIndex":0},"schema":"https://github.com/citation-style-language/schema/raw/master/csl-citation.json"}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(Amadeus, 2020)</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The OTA market in China is very concentrated in the sense that the leading players in the market contribute to the majority of the market share. The top six OTAs in China contribute to 83% of the entire market transaction volume in 2018. The above factors clearly show that the businesses in the tourism industry have to establish a sustainable relationship with the OTAs especially the leading players in the market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ISSN":"2212-571X","author":[{"dropping-particle":"","family":"Cao","given":"Kaijun","non-dropping-particle":"","parse-names":false,"suffix":""},{"dropping-particle":"","family":"Yang","given":"Zhaoping","non-dropping-particle":"","parse-names":false,"suffix":""}],"container-title":"Journal of Destination Marketing &amp; Management","id":"ITEM-1","issue":"3","issued":{"date-parts":[["2016"]]},"page":"283-289","publisher":"Elsevier","title":"A study of e-commerce adoption by tourism websites in China","type":"article-journal","volume":"5"},"uris":["http://www.mendeley.com/documents/?uuid=6c521d11-5581-416e-824e-414ab1289879"]}],"mendeley":{"formattedCitation":"(Cao and Yang, 2016)","plainTextFormattedCitation":"(Cao and Yang, 2016)","previouslyFormattedCitation":"(Cao and Yang, 2016)"},"properties":{"noteIndex":0},"schema":"https://github.com/citation-style-language/schema/raw/master/csl-citation.json"}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(Cao and Yang, 2016)</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The high and growing penetration of OTAs is forcing the tourism product and service providers to strategically integrate their businesses into these OTAs. </w:t>
      </w:r>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other factor that plays an important role is the emerging cloud business and big data analytics. The big data analytics with the facilitation of cloud have been reforming the methods of how tourism companies are promoting and deliver their products and services to the customers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{"citationItems":[{"id":"ITEM-1","itemData":{"ISSN":"0378-7206","author":[{"dropping-particle":"","family":"Miah","given":"Shah Jahan","non-dropping-particle":"","parse-names":false,"suffix":""},{"dropping-particle":"","family":"Vu","given":"Huy Quan","non-dropping-particle":"","parse-names":false,"suffix":""},{"dropping-particle":"","family":"Gammack","given":"John","non-dropping-particle":"","parse-names":false,"suffix":""},{"dropping-particle":"","family":"McGrath","given":"Michael","non-dropping-particle":"","parse-names":false,"suffix":""}],"container-title":"Information &amp; Management","id":"ITEM-1","issue":"6","issued":{"date-parts":[["2017"]]},"page":"771-785","publisher":"Elsevier","title":"A big data analytics method for tourist behaviour analysis","type":"article-journal","volume":"54"},"uris":["http://www.mendeley.com/documents/?uuid=18c09d0b-eb3a-474a-a573-9748bfda8230"]}],"mendeley":{"formattedCitation":"(Miah &lt;i&gt;et al.&lt;/i&gt;, 2017)","plainTextFormattedCitation":"(Miah et al., 2017)","previouslyFormattedCitation":"(Miah &lt;i&gt;et al.&lt;/i&gt;, 2017)"},"properties":{"noteIndex":0},"schema":"https://github.com/citation-style-language/schema/raw/master/csl-citation.json"}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 xml:space="preserve">(Miah </w:t>
      </w:r>
      <w:r>
        <w:rPr>
          <w:rFonts w:ascii="Times New Roman" w:hAnsi="Times New Roman" w:cs="Times New Roman"/>
          <w:i/>
          <w:sz w:val="24"/>
          <w:szCs w:val="24"/>
          <w:lang w:val="en-US"/>
        </w:rPr>
        <w:t>et al.</w:t>
      </w:r>
      <w:r>
        <w:rPr>
          <w:rFonts w:ascii="Times New Roman" w:hAnsi="Times New Roman" w:cs="Times New Roman"/>
          <w:sz w:val="24"/>
          <w:szCs w:val="24"/>
          <w:lang w:val="en-US"/>
        </w:rPr>
        <w:t>, 2017)</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For example, hotels and resorts in cities with less publicity to the Chinese relied their marketing on the advertising in travel agencies and advertisements on TV channels. As they lack effective marketing channels, the majority of customers are much localized in the city and neighboring cities. With the help of multiple online social media platforms with their cloud-based big data analytics, the tourism products service providers can effectively target the customers precisely. This has been pushing more and more tourism service providers to conduct digital transformation that can link them to their customers more effectively. </w:t>
      </w:r>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above technological factors are providing opportunities rather than threats to tourism service providers. Those who can seize the opportunity to conduct effective digital transformation and provide a more customized experience to the customers are the ones that can survive. </w:t>
      </w:r>
    </w:p>
    <w:p>
      <w:pPr>
        <w:rPr>
          <w:rFonts w:ascii="Times New Roman" w:hAnsi="Times New Roman" w:cs="Times New Roman"/>
          <w:sz w:val="24"/>
          <w:szCs w:val="24"/>
          <w:lang w:val="en-US"/>
        </w:rPr>
      </w:pPr>
      <w:r>
        <w:rPr>
          <w:rFonts w:ascii="Times New Roman" w:hAnsi="Times New Roman" w:cs="Times New Roman"/>
          <w:sz w:val="24"/>
          <w:szCs w:val="24"/>
          <w:lang w:val="en-US"/>
        </w:rPr>
        <w:br w:type="page"/>
      </w:r>
    </w:p>
    <w:p>
      <w:pPr>
        <w:pStyle w:val="14"/>
        <w:numPr>
          <w:ilvl w:val="1"/>
          <w:numId w:val="2"/>
        </w:numPr>
        <w:spacing w:before="156" w:beforeLines="50" w:after="156" w:afterLines="50" w:line="480" w:lineRule="auto"/>
        <w:ind w:firstLineChars="0"/>
        <w:outlineLvl w:val="1"/>
        <w:rPr>
          <w:rFonts w:ascii="Times New Roman" w:hAnsi="Times New Roman" w:cs="Times New Roman"/>
          <w:color w:val="000000" w:themeColor="text1"/>
          <w:sz w:val="28"/>
          <w:szCs w:val="28"/>
          <w:lang w:val="en-US"/>
          <w14:textFill>
            <w14:solidFill>
              <w14:schemeClr w14:val="tx1"/>
            </w14:solidFill>
          </w14:textFill>
        </w:rPr>
      </w:pPr>
      <w:bookmarkStart w:id="14" w:name="_Toc8218374"/>
      <w:r>
        <w:rPr>
          <w:rFonts w:ascii="Times New Roman" w:hAnsi="Times New Roman" w:cs="Times New Roman"/>
          <w:color w:val="000000" w:themeColor="text1"/>
          <w:sz w:val="28"/>
          <w:szCs w:val="28"/>
          <w:lang w:val="en-US"/>
          <w14:textFill>
            <w14:solidFill>
              <w14:schemeClr w14:val="tx1"/>
            </w14:solidFill>
          </w14:textFill>
        </w:rPr>
        <w:t>Porter Five Force Analysis</w:t>
      </w:r>
      <w:bookmarkEnd w:id="14"/>
    </w:p>
    <w:p>
      <w:pPr>
        <w:spacing w:before="50" w:after="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porter five force analysis was proposed by Michael Porter in the 1980s. The analysis, unlike the PEST analysis, is focused on the micro business environment of the businesses. It is to analyze the competences of the businesses. The five forces are the force of market new entrants, the forces of existing market rivalry, the forces of suppliers, the forces of customers and the force of substitutes. </w:t>
      </w:r>
    </w:p>
    <w:p>
      <w:pPr>
        <w:pStyle w:val="14"/>
        <w:numPr>
          <w:ilvl w:val="0"/>
          <w:numId w:val="3"/>
        </w:numPr>
        <w:spacing w:before="156" w:beforeLines="50" w:after="156" w:afterLines="50" w:line="480" w:lineRule="auto"/>
        <w:ind w:firstLineChars="0"/>
        <w:outlineLvl w:val="2"/>
        <w:rPr>
          <w:rFonts w:ascii="Times New Roman" w:hAnsi="Times New Roman" w:cs="Times New Roman"/>
          <w:i/>
          <w:color w:val="535353" w:themeColor="accent3" w:themeShade="80"/>
          <w:sz w:val="24"/>
          <w:szCs w:val="24"/>
          <w:lang w:val="en-US"/>
        </w:rPr>
      </w:pPr>
      <w:bookmarkStart w:id="15" w:name="_Toc8218375"/>
      <w:r>
        <w:rPr>
          <w:rFonts w:ascii="Times New Roman" w:hAnsi="Times New Roman" w:cs="Times New Roman"/>
          <w:i/>
          <w:color w:val="535353" w:themeColor="accent3" w:themeShade="80"/>
          <w:sz w:val="24"/>
          <w:szCs w:val="24"/>
          <w:lang w:val="en-US"/>
        </w:rPr>
        <w:t>Forces of market incumbents</w:t>
      </w:r>
      <w:bookmarkEnd w:id="15"/>
    </w:p>
    <w:p>
      <w:pPr>
        <w:shd w:val="clear" w:color="auto" w:fill="FFFFFF"/>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hot spring spa business is easily clustered as the spas have to be built along the Seismic zone. Many reports have confirmed that most hot spring tourism areas show a high level of spa industry clustering. The hot spring resource in the city available for exploitation is centered in one town of the city. As the tiara hot spring resort was among the earliest hot spring spas in the city, it was able to build its facilities on the best hot spring zone in the city. The competitors in the city offering similar services are typically less attractive in terms of the quality of hot spring spas they can offer. The competitors in the city often have to pipe the hot spring mineral waters from deep underground, unlike tiara who can use surface water. The competitors were mostly established during the past decade, which made them less experienced in terms of providing various services related to hot spring and hot spring spas such as Chinese medical wellness water treatment. However, many competitors have been hiring staffs from Tiara especially those with experiences in providing wellness services used to be only provided to communist party officials. The geographical clustering and staff flow in the hot spring industry in the city have significantly increased the homogeneity of the services provided in the hot spring spa industry in this city. The forces from the market incumbents are analyzed as a medium. </w:t>
      </w:r>
    </w:p>
    <w:p>
      <w:pPr>
        <w:pStyle w:val="14"/>
        <w:numPr>
          <w:ilvl w:val="0"/>
          <w:numId w:val="3"/>
        </w:numPr>
        <w:spacing w:before="156" w:beforeLines="50" w:after="156" w:afterLines="50" w:line="480" w:lineRule="auto"/>
        <w:ind w:firstLineChars="0"/>
        <w:outlineLvl w:val="2"/>
        <w:rPr>
          <w:rFonts w:ascii="Times New Roman" w:hAnsi="Times New Roman" w:cs="Times New Roman"/>
          <w:i/>
          <w:color w:val="535353" w:themeColor="accent3" w:themeShade="80"/>
          <w:sz w:val="24"/>
          <w:szCs w:val="24"/>
          <w:lang w:val="en-US"/>
        </w:rPr>
      </w:pPr>
      <w:bookmarkStart w:id="16" w:name="_Toc8218376"/>
      <w:r>
        <w:rPr>
          <w:rFonts w:ascii="Times New Roman" w:hAnsi="Times New Roman" w:cs="Times New Roman"/>
          <w:i/>
          <w:color w:val="535353" w:themeColor="accent3" w:themeShade="80"/>
          <w:sz w:val="24"/>
          <w:szCs w:val="24"/>
          <w:lang w:val="en-US"/>
        </w:rPr>
        <w:t>Forces of market entrants</w:t>
      </w:r>
      <w:bookmarkEnd w:id="16"/>
      <w:r>
        <w:rPr>
          <w:rFonts w:ascii="Times New Roman" w:hAnsi="Times New Roman" w:cs="Times New Roman"/>
          <w:i/>
          <w:color w:val="535353" w:themeColor="accent3" w:themeShade="80"/>
          <w:sz w:val="24"/>
          <w:szCs w:val="24"/>
          <w:lang w:val="en-US"/>
        </w:rPr>
        <w:t xml:space="preserve"> </w:t>
      </w:r>
    </w:p>
    <w:p>
      <w:pPr>
        <w:shd w:val="clear" w:color="auto" w:fill="FFFFFF"/>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forces from the market entrants are low as the threshold of entering the hot spring spa industry is very high. The facilities in the resorts required large investment and experienced staff to operate. In fact, the hot spring spa in this city hadn’t seen any market entrants since 2012 when most available hot spring zones were occupied. The new entrants in recent years are the one offering regular spa services with names of the spas tagged with hot spring. As the city is not the capital of the province, business operating in the city also requires connections to local government officials and local business associations, which further increases the threshold of entering the market. </w:t>
      </w:r>
    </w:p>
    <w:p>
      <w:pPr>
        <w:pStyle w:val="14"/>
        <w:numPr>
          <w:ilvl w:val="0"/>
          <w:numId w:val="3"/>
        </w:numPr>
        <w:spacing w:before="156" w:beforeLines="50" w:after="156" w:afterLines="50" w:line="480" w:lineRule="auto"/>
        <w:ind w:firstLineChars="0"/>
        <w:outlineLvl w:val="2"/>
        <w:rPr>
          <w:rFonts w:ascii="Times New Roman" w:hAnsi="Times New Roman" w:cs="Times New Roman"/>
          <w:i/>
          <w:color w:val="535353" w:themeColor="accent3" w:themeShade="80"/>
          <w:sz w:val="24"/>
          <w:szCs w:val="24"/>
          <w:lang w:val="en-US"/>
        </w:rPr>
      </w:pPr>
      <w:bookmarkStart w:id="17" w:name="_Toc8218377"/>
      <w:r>
        <w:rPr>
          <w:rFonts w:ascii="Times New Roman" w:hAnsi="Times New Roman" w:cs="Times New Roman"/>
          <w:i/>
          <w:color w:val="535353" w:themeColor="accent3" w:themeShade="80"/>
          <w:sz w:val="24"/>
          <w:szCs w:val="24"/>
          <w:lang w:val="en-US"/>
        </w:rPr>
        <w:t>Forces of suppliers</w:t>
      </w:r>
      <w:bookmarkEnd w:id="17"/>
      <w:r>
        <w:rPr>
          <w:rFonts w:ascii="Times New Roman" w:hAnsi="Times New Roman" w:cs="Times New Roman"/>
          <w:i/>
          <w:color w:val="535353" w:themeColor="accent3" w:themeShade="80"/>
          <w:sz w:val="24"/>
          <w:szCs w:val="24"/>
          <w:lang w:val="en-US"/>
        </w:rPr>
        <w:t xml:space="preserve"> </w:t>
      </w:r>
    </w:p>
    <w:p>
      <w:pPr>
        <w:shd w:val="clear" w:color="auto" w:fill="FFFFFF"/>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suppliers of the hot spring industry in the city are largely the food suppliers and other hotel supplies such as single-use toothbrushes and flipflops. The city is close to Jiangsu province which is the largest hotel supplies production area in the world. The hotels and resorts in the city have many options in choosing the suppliers. The hotel supplies are low-tech with require no after-sales maintenance. This offers the hotel and resorts business in the city with strong power against the suppliers. The food suppliers are limited in the city; however, many resorts have established supplying network across the province, and hot spring spas typically have lower demand for the food supplies. The overall supplier power is thus low in the market. </w:t>
      </w:r>
    </w:p>
    <w:p>
      <w:pPr>
        <w:pStyle w:val="14"/>
        <w:numPr>
          <w:ilvl w:val="0"/>
          <w:numId w:val="3"/>
        </w:numPr>
        <w:spacing w:before="156" w:beforeLines="50" w:after="156" w:afterLines="50" w:line="480" w:lineRule="auto"/>
        <w:ind w:firstLineChars="0"/>
        <w:outlineLvl w:val="2"/>
        <w:rPr>
          <w:rFonts w:ascii="Times New Roman" w:hAnsi="Times New Roman" w:cs="Times New Roman"/>
          <w:i/>
          <w:color w:val="535353" w:themeColor="accent3" w:themeShade="80"/>
          <w:sz w:val="24"/>
          <w:szCs w:val="24"/>
          <w:lang w:val="en-US"/>
        </w:rPr>
      </w:pPr>
      <w:bookmarkStart w:id="18" w:name="_Toc8218378"/>
      <w:r>
        <w:rPr>
          <w:rFonts w:ascii="Times New Roman" w:hAnsi="Times New Roman" w:cs="Times New Roman"/>
          <w:i/>
          <w:color w:val="535353" w:themeColor="accent3" w:themeShade="80"/>
          <w:sz w:val="24"/>
          <w:szCs w:val="24"/>
          <w:lang w:val="en-US"/>
        </w:rPr>
        <w:t>Forces of customers</w:t>
      </w:r>
      <w:bookmarkEnd w:id="18"/>
      <w:r>
        <w:rPr>
          <w:rFonts w:ascii="Times New Roman" w:hAnsi="Times New Roman" w:cs="Times New Roman"/>
          <w:i/>
          <w:color w:val="535353" w:themeColor="accent3" w:themeShade="80"/>
          <w:sz w:val="24"/>
          <w:szCs w:val="24"/>
          <w:lang w:val="en-US"/>
        </w:rPr>
        <w:t xml:space="preserve"> </w:t>
      </w:r>
    </w:p>
    <w:p>
      <w:pPr>
        <w:shd w:val="clear" w:color="auto" w:fill="FFFFFF"/>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customers have high bargaining power in the market. Before the high-speed railway network was established, many customers seeking hot spring spas have to choose among those close to their cities as hot spring spa tours are typically less than three days according to statistics as shown in figure 4. </w:t>
      </w:r>
    </w:p>
    <w:p>
      <w:pPr>
        <w:shd w:val="clear" w:color="auto" w:fill="FFFFFF"/>
        <w:spacing w:before="156" w:beforeLines="50" w:after="156" w:afterLines="50" w:line="480" w:lineRule="auto"/>
        <w:jc w:val="center"/>
        <w:rPr>
          <w:rFonts w:ascii="Times New Roman" w:hAnsi="Times New Roman" w:cs="Times New Roman"/>
          <w:sz w:val="24"/>
          <w:szCs w:val="24"/>
          <w:lang w:val="en-US"/>
        </w:rPr>
      </w:pPr>
      <w:r>
        <w:rPr>
          <w:rFonts w:hint="eastAsia" w:ascii="Times New Roman" w:hAnsi="Times New Roman" w:cs="Times New Roman"/>
          <w:sz w:val="24"/>
          <w:szCs w:val="24"/>
          <w:lang w:val="en-US"/>
        </w:rPr>
        <w:drawing>
          <wp:inline distT="0" distB="0" distL="0" distR="0">
            <wp:extent cx="3634740" cy="1458595"/>
            <wp:effectExtent l="0" t="0" r="3810" b="825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1">
                      <a:extLst>
                        <a:ext uri="{BEBA8EAE-BF5A-486C-A8C5-ECC9F3942E4B}">
                          <a14:imgProps xmlns:a14="http://schemas.microsoft.com/office/drawing/2010/main">
                            <a14:imgLayer r:embed="rId12">
                              <a14:imgEffect>
                                <a14:saturation sat="33000"/>
                              </a14:imgEffect>
                            </a14:imgLayer>
                          </a14:imgProps>
                        </a:ext>
                        <a:ext uri="{28A0092B-C50C-407E-A947-70E740481C1C}">
                          <a14:useLocalDpi xmlns:a14="http://schemas.microsoft.com/office/drawing/2010/main" val="0"/>
                        </a:ext>
                      </a:extLst>
                    </a:blip>
                    <a:stretch>
                      <a:fillRect/>
                    </a:stretch>
                  </pic:blipFill>
                  <pic:spPr>
                    <a:xfrm>
                      <a:off x="0" y="0"/>
                      <a:ext cx="3704871" cy="1486824"/>
                    </a:xfrm>
                    <a:prstGeom prst="rect">
                      <a:avLst/>
                    </a:prstGeom>
                  </pic:spPr>
                </pic:pic>
              </a:graphicData>
            </a:graphic>
          </wp:inline>
        </w:drawing>
      </w:r>
    </w:p>
    <w:p>
      <w:pPr>
        <w:shd w:val="clear" w:color="auto" w:fill="FFFFFF"/>
        <w:spacing w:before="156" w:beforeLines="50" w:after="156" w:afterLines="50" w:line="480" w:lineRule="auto"/>
        <w:jc w:val="center"/>
        <w:rPr>
          <w:rFonts w:ascii="Times New Roman" w:hAnsi="Times New Roman" w:cs="Times New Roman"/>
          <w:sz w:val="24"/>
          <w:szCs w:val="24"/>
          <w:lang w:val="en-US"/>
        </w:rPr>
      </w:pPr>
      <w:r>
        <w:rPr>
          <w:rFonts w:hint="eastAsia" w:ascii="Times New Roman" w:hAnsi="Times New Roman" w:cs="Times New Roman"/>
          <w:sz w:val="24"/>
          <w:szCs w:val="24"/>
          <w:lang w:val="en-US"/>
        </w:rPr>
        <w:t>F</w:t>
      </w:r>
      <w:r>
        <w:rPr>
          <w:rFonts w:ascii="Times New Roman" w:hAnsi="Times New Roman" w:cs="Times New Roman"/>
          <w:sz w:val="24"/>
          <w:szCs w:val="24"/>
          <w:lang w:val="en-US"/>
        </w:rPr>
        <w:t>igure 4. Customer stay duration in Tiara resort in 2018.</w:t>
      </w:r>
    </w:p>
    <w:p>
      <w:pPr>
        <w:spacing w:before="50" w:after="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high-speed railway network allows the customers to visit hot spring spa resorts in neighboring cities even in neighboring provinces. With more Chinese being able to travel abroad to globally renowned hot spring resorts such as the Czech Republic and Japan, the customers are demanding a higher level of service quality and diversity as well as more reasonable prices. These factors have significantly elevated the bargaining power of customers. </w:t>
      </w:r>
    </w:p>
    <w:p>
      <w:pPr>
        <w:pStyle w:val="14"/>
        <w:numPr>
          <w:ilvl w:val="0"/>
          <w:numId w:val="3"/>
        </w:numPr>
        <w:spacing w:before="156" w:beforeLines="50" w:after="156" w:afterLines="50" w:line="480" w:lineRule="auto"/>
        <w:ind w:firstLineChars="0"/>
        <w:outlineLvl w:val="2"/>
        <w:rPr>
          <w:rFonts w:ascii="Times New Roman" w:hAnsi="Times New Roman" w:cs="Times New Roman"/>
          <w:i/>
          <w:color w:val="535353" w:themeColor="accent3" w:themeShade="80"/>
          <w:sz w:val="24"/>
          <w:szCs w:val="24"/>
          <w:lang w:val="en-US"/>
        </w:rPr>
      </w:pPr>
      <w:bookmarkStart w:id="19" w:name="_Toc8218379"/>
      <w:r>
        <w:rPr>
          <w:rFonts w:ascii="Times New Roman" w:hAnsi="Times New Roman" w:cs="Times New Roman"/>
          <w:i/>
          <w:color w:val="535353" w:themeColor="accent3" w:themeShade="80"/>
          <w:sz w:val="24"/>
          <w:szCs w:val="24"/>
          <w:lang w:val="en-US"/>
        </w:rPr>
        <w:t>Forces of substitutes</w:t>
      </w:r>
      <w:bookmarkEnd w:id="19"/>
      <w:r>
        <w:rPr>
          <w:rFonts w:ascii="Times New Roman" w:hAnsi="Times New Roman" w:cs="Times New Roman"/>
          <w:i/>
          <w:color w:val="535353" w:themeColor="accent3" w:themeShade="80"/>
          <w:sz w:val="24"/>
          <w:szCs w:val="24"/>
          <w:lang w:val="en-US"/>
        </w:rPr>
        <w:t xml:space="preserve"> </w:t>
      </w:r>
    </w:p>
    <w:p>
      <w:pPr>
        <w:spacing w:before="50" w:after="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forces of substitutes have been a threat to many regional tourism service product providers in the city as well in China. China has 120 million people holding private passports. In National Day 2018, 46% of Chinese chose to travel overseas. As shown in figure 5, the outbound journeys to foreign countries have been increasing since 2007, and the majority of this journey are for private purposes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author":[{"dropping-particle":"","family":"Dichter","given":"Alex","non-dropping-particle":"","parse-names":false,"suffix":""},{"dropping-particle":"","family":"Chen","given":"Guang","non-dropping-particle":"","parse-names":false,"suffix":""},{"dropping-particle":"","family":"Saxon","given":"Steve","non-dropping-particle":"","parse-names":false,"suffix":""},{"dropping-particle":"","family":"Yu","given":"Jackey","non-dropping-particle":"","parse-names":false,"suffix":""},{"dropping-particle":"","family":"Suo","given":"Peimin","non-dropping-particle":"","parse-names":false,"suffix":""}],"id":"ITEM-1","issue":"September","issued":{"date-parts":[["2018"]]},"title":"Chinese tourists: Dispelling the myths Chinese tourists: Dispelling the myths An in-depth look at China's outbound tourist market","type":"article-journal"},"uris":["http://www.mendeley.com/documents/?uuid=d5429586-6314-4211-b871-43a5b5cc5468"]}],"mendeley":{"formattedCitation":"(Dichter &lt;i&gt;et al.&lt;/i&gt;, 2018)","plainTextFormattedCitation":"(Dichter et al., 2018)","previouslyFormattedCitation":"(Dichter &lt;i&gt;et al.&lt;/i&gt;, 2018)"},"properties":{"noteIndex":0},"schema":"https://github.com/citation-style-language/schema/raw/master/csl-citation.json"}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 xml:space="preserve">(Dichter </w:t>
      </w:r>
      <w:r>
        <w:rPr>
          <w:rFonts w:ascii="Times New Roman" w:hAnsi="Times New Roman" w:cs="Times New Roman"/>
          <w:i/>
          <w:sz w:val="24"/>
          <w:szCs w:val="24"/>
          <w:lang w:val="en-US"/>
        </w:rPr>
        <w:t>et al.</w:t>
      </w:r>
      <w:r>
        <w:rPr>
          <w:rFonts w:ascii="Times New Roman" w:hAnsi="Times New Roman" w:cs="Times New Roman"/>
          <w:sz w:val="24"/>
          <w:szCs w:val="24"/>
          <w:lang w:val="en-US"/>
        </w:rPr>
        <w:t>, 2018)</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w:t>
      </w:r>
    </w:p>
    <w:p>
      <w:pPr>
        <w:spacing w:before="50" w:after="50"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drawing>
          <wp:inline distT="0" distB="0" distL="0" distR="0">
            <wp:extent cx="3116580" cy="1957070"/>
            <wp:effectExtent l="0" t="0" r="762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3">
                      <a:extLst>
                        <a:ext uri="{BEBA8EAE-BF5A-486C-A8C5-ECC9F3942E4B}">
                          <a14:imgProps xmlns:a14="http://schemas.microsoft.com/office/drawing/2010/main">
                            <a14:imgLayer r:embed="rId14">
                              <a14:imgEffect>
                                <a14:saturation sat="33000"/>
                              </a14:imgEffect>
                            </a14:imgLayer>
                          </a14:imgProps>
                        </a:ext>
                        <a:ext uri="{28A0092B-C50C-407E-A947-70E740481C1C}">
                          <a14:useLocalDpi xmlns:a14="http://schemas.microsoft.com/office/drawing/2010/main" val="0"/>
                        </a:ext>
                      </a:extLst>
                    </a:blip>
                    <a:stretch>
                      <a:fillRect/>
                    </a:stretch>
                  </pic:blipFill>
                  <pic:spPr>
                    <a:xfrm>
                      <a:off x="0" y="0"/>
                      <a:ext cx="3139578" cy="1971655"/>
                    </a:xfrm>
                    <a:prstGeom prst="rect">
                      <a:avLst/>
                    </a:prstGeom>
                  </pic:spPr>
                </pic:pic>
              </a:graphicData>
            </a:graphic>
          </wp:inline>
        </w:drawing>
      </w:r>
    </w:p>
    <w:p>
      <w:pPr>
        <w:spacing w:before="50" w:after="50" w:line="480" w:lineRule="auto"/>
        <w:jc w:val="center"/>
        <w:rPr>
          <w:rFonts w:ascii="Times New Roman" w:hAnsi="Times New Roman" w:cs="Times New Roman"/>
          <w:sz w:val="24"/>
          <w:szCs w:val="24"/>
          <w:lang w:val="en-US"/>
        </w:rPr>
      </w:pPr>
      <w:r>
        <w:rPr>
          <w:rFonts w:hint="eastAsia" w:ascii="Times New Roman" w:hAnsi="Times New Roman" w:cs="Times New Roman"/>
          <w:sz w:val="24"/>
          <w:szCs w:val="24"/>
          <w:lang w:val="en-US"/>
        </w:rPr>
        <w:t>F</w:t>
      </w:r>
      <w:r>
        <w:rPr>
          <w:rFonts w:ascii="Times New Roman" w:hAnsi="Times New Roman" w:cs="Times New Roman"/>
          <w:sz w:val="24"/>
          <w:szCs w:val="24"/>
          <w:lang w:val="en-US"/>
        </w:rPr>
        <w:t xml:space="preserve">igure 4. China international outbound journey number. </w:t>
      </w:r>
    </w:p>
    <w:p>
      <w:pPr>
        <w:spacing w:before="50" w:after="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As Japan and Thailand are only two-three hours’ flight away from China’s major cities, these two countries have become the first choices for overseas traveling. The two countries are abundant with high-end luxury hot spring spa resorts with high-level service quality. Even in the domestic market, many hot spring resorts used to be remote to certain customer group are now available by train for only several hours. The hot spring resorts such as Tiara has to compete in a national, even global market. Thus, the power of substitutes is high. </w:t>
      </w:r>
    </w:p>
    <w:p>
      <w:pPr>
        <w:spacing w:before="50" w:after="50" w:line="480" w:lineRule="auto"/>
        <w:jc w:val="center"/>
        <w:rPr>
          <w:rFonts w:ascii="Times New Roman" w:hAnsi="Times New Roman" w:cs="Times New Roman"/>
          <w:sz w:val="24"/>
          <w:szCs w:val="24"/>
          <w:lang w:val="en-US"/>
        </w:rPr>
      </w:pPr>
    </w:p>
    <w:p>
      <w:pPr>
        <w:pStyle w:val="14"/>
        <w:numPr>
          <w:ilvl w:val="1"/>
          <w:numId w:val="2"/>
        </w:numPr>
        <w:spacing w:before="156" w:beforeLines="50" w:after="156" w:afterLines="50" w:line="480" w:lineRule="auto"/>
        <w:ind w:firstLineChars="0"/>
        <w:outlineLvl w:val="1"/>
        <w:rPr>
          <w:rFonts w:ascii="Times New Roman" w:hAnsi="Times New Roman" w:cs="Times New Roman"/>
          <w:color w:val="000000" w:themeColor="text1"/>
          <w:sz w:val="28"/>
          <w:szCs w:val="28"/>
          <w:lang w:val="en-US"/>
          <w14:textFill>
            <w14:solidFill>
              <w14:schemeClr w14:val="tx1"/>
            </w14:solidFill>
          </w14:textFill>
        </w:rPr>
      </w:pPr>
      <w:r>
        <w:rPr>
          <w:rFonts w:ascii="Times New Roman" w:hAnsi="Times New Roman" w:cs="Times New Roman"/>
          <w:sz w:val="24"/>
          <w:szCs w:val="24"/>
          <w:lang w:val="en-US"/>
        </w:rPr>
        <w:br w:type="page"/>
      </w:r>
      <w:bookmarkStart w:id="20" w:name="_Toc8218380"/>
      <w:r>
        <w:rPr>
          <w:rFonts w:ascii="Times New Roman" w:hAnsi="Times New Roman" w:cs="Times New Roman"/>
          <w:color w:val="000000" w:themeColor="text1"/>
          <w:sz w:val="28"/>
          <w:szCs w:val="28"/>
          <w:lang w:val="en-US"/>
          <w14:textFill>
            <w14:solidFill>
              <w14:schemeClr w14:val="tx1"/>
            </w14:solidFill>
          </w14:textFill>
        </w:rPr>
        <w:t>SWOT analysis</w:t>
      </w:r>
      <w:bookmarkEnd w:id="20"/>
    </w:p>
    <w:p>
      <w:pPr>
        <w:spacing w:before="50" w:after="50" w:line="480" w:lineRule="auto"/>
        <w:rPr>
          <w:rFonts w:ascii="Times New Roman" w:hAnsi="Times New Roman" w:cs="Times New Roman"/>
          <w:sz w:val="24"/>
          <w:szCs w:val="24"/>
          <w:lang w:val="en-US"/>
        </w:rPr>
      </w:pPr>
      <w:r>
        <w:rPr>
          <w:rFonts w:hint="eastAsia" w:ascii="Times New Roman" w:hAnsi="Times New Roman" w:cs="Times New Roman"/>
          <w:sz w:val="24"/>
          <w:szCs w:val="24"/>
          <w:lang w:val="en-US"/>
        </w:rPr>
        <w:t>S</w:t>
      </w:r>
      <w:r>
        <w:rPr>
          <w:rFonts w:ascii="Times New Roman" w:hAnsi="Times New Roman" w:cs="Times New Roman"/>
          <w:sz w:val="24"/>
          <w:szCs w:val="24"/>
          <w:lang w:val="en-US"/>
        </w:rPr>
        <w:t xml:space="preserve">WOT represents strength, weakness, opportunity, and threat of the organization. It is an internal scanning tool that has been proven effective in various cases. It is impossible to formulate robust strategies with understanding both the business environment as analyzed above and the internal organizational environment. </w:t>
      </w:r>
    </w:p>
    <w:p>
      <w:pPr>
        <w:pStyle w:val="14"/>
        <w:numPr>
          <w:ilvl w:val="0"/>
          <w:numId w:val="3"/>
        </w:numPr>
        <w:spacing w:before="156" w:beforeLines="50" w:after="156" w:afterLines="50" w:line="480" w:lineRule="auto"/>
        <w:ind w:firstLineChars="0"/>
        <w:outlineLvl w:val="2"/>
        <w:rPr>
          <w:rFonts w:ascii="Times New Roman" w:hAnsi="Times New Roman" w:cs="Times New Roman"/>
          <w:i/>
          <w:color w:val="535353" w:themeColor="accent3" w:themeShade="80"/>
          <w:sz w:val="24"/>
          <w:szCs w:val="24"/>
          <w:lang w:val="en-US"/>
        </w:rPr>
      </w:pPr>
      <w:bookmarkStart w:id="21" w:name="_Toc8218381"/>
      <w:r>
        <w:rPr>
          <w:rFonts w:ascii="Times New Roman" w:hAnsi="Times New Roman" w:cs="Times New Roman"/>
          <w:i/>
          <w:color w:val="535353" w:themeColor="accent3" w:themeShade="80"/>
          <w:sz w:val="24"/>
          <w:szCs w:val="24"/>
          <w:lang w:val="en-US"/>
        </w:rPr>
        <w:t>Strength</w:t>
      </w:r>
      <w:bookmarkEnd w:id="21"/>
      <w:r>
        <w:rPr>
          <w:rFonts w:ascii="Times New Roman" w:hAnsi="Times New Roman" w:cs="Times New Roman"/>
          <w:i/>
          <w:color w:val="535353" w:themeColor="accent3" w:themeShade="80"/>
          <w:sz w:val="24"/>
          <w:szCs w:val="24"/>
          <w:lang w:val="en-US"/>
        </w:rPr>
        <w:t xml:space="preserve"> </w:t>
      </w:r>
    </w:p>
    <w:p>
      <w:pPr>
        <w:pStyle w:val="14"/>
        <w:numPr>
          <w:ilvl w:val="0"/>
          <w:numId w:val="4"/>
        </w:numPr>
        <w:spacing w:before="50" w:after="50" w:line="480" w:lineRule="auto"/>
        <w:ind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The high-speed railway station can connect customers from various areas in China to Tiara hot spring spa resort. </w:t>
      </w:r>
    </w:p>
    <w:p>
      <w:pPr>
        <w:pStyle w:val="14"/>
        <w:numPr>
          <w:ilvl w:val="0"/>
          <w:numId w:val="4"/>
        </w:numPr>
        <w:spacing w:before="50" w:after="50" w:line="480" w:lineRule="auto"/>
        <w:ind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The growing tourism market and hot spring spa market in China has driven many investors to channel capital into this industry. </w:t>
      </w:r>
    </w:p>
    <w:p>
      <w:pPr>
        <w:pStyle w:val="14"/>
        <w:numPr>
          <w:ilvl w:val="0"/>
          <w:numId w:val="4"/>
        </w:numPr>
        <w:spacing w:before="50" w:after="50" w:line="480" w:lineRule="auto"/>
        <w:ind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The resort has well-established relationships with local governments and universities in the province. </w:t>
      </w:r>
    </w:p>
    <w:p>
      <w:pPr>
        <w:pStyle w:val="14"/>
        <w:numPr>
          <w:ilvl w:val="0"/>
          <w:numId w:val="4"/>
        </w:numPr>
        <w:spacing w:before="50" w:after="50" w:line="480" w:lineRule="auto"/>
        <w:ind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The resort has various luxury hot spring services to provide with high quality. </w:t>
      </w:r>
    </w:p>
    <w:p>
      <w:pPr>
        <w:pStyle w:val="14"/>
        <w:numPr>
          <w:ilvl w:val="0"/>
          <w:numId w:val="4"/>
        </w:numPr>
        <w:spacing w:before="50" w:after="50" w:line="480" w:lineRule="auto"/>
        <w:ind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The resort has a well-established supply network with suppliers across the country. </w:t>
      </w:r>
    </w:p>
    <w:p>
      <w:pPr>
        <w:pStyle w:val="14"/>
        <w:numPr>
          <w:ilvl w:val="0"/>
          <w:numId w:val="3"/>
        </w:numPr>
        <w:spacing w:before="156" w:beforeLines="50" w:after="156" w:afterLines="50" w:line="480" w:lineRule="auto"/>
        <w:ind w:firstLineChars="0"/>
        <w:outlineLvl w:val="2"/>
        <w:rPr>
          <w:rFonts w:ascii="Times New Roman" w:hAnsi="Times New Roman" w:cs="Times New Roman"/>
          <w:i/>
          <w:color w:val="535353" w:themeColor="accent3" w:themeShade="80"/>
          <w:sz w:val="24"/>
          <w:szCs w:val="24"/>
          <w:lang w:val="en-US"/>
        </w:rPr>
      </w:pPr>
      <w:bookmarkStart w:id="22" w:name="_Toc8218382"/>
      <w:r>
        <w:rPr>
          <w:rFonts w:ascii="Times New Roman" w:hAnsi="Times New Roman" w:cs="Times New Roman"/>
          <w:i/>
          <w:color w:val="535353" w:themeColor="accent3" w:themeShade="80"/>
          <w:sz w:val="24"/>
          <w:szCs w:val="24"/>
          <w:lang w:val="en-US"/>
        </w:rPr>
        <w:t>Opportunity</w:t>
      </w:r>
      <w:bookmarkEnd w:id="22"/>
      <w:r>
        <w:rPr>
          <w:rFonts w:ascii="Times New Roman" w:hAnsi="Times New Roman" w:cs="Times New Roman"/>
          <w:i/>
          <w:color w:val="535353" w:themeColor="accent3" w:themeShade="80"/>
          <w:sz w:val="24"/>
          <w:szCs w:val="24"/>
          <w:lang w:val="en-US"/>
        </w:rPr>
        <w:t xml:space="preserve"> </w:t>
      </w:r>
    </w:p>
    <w:p>
      <w:pPr>
        <w:pStyle w:val="14"/>
        <w:numPr>
          <w:ilvl w:val="0"/>
          <w:numId w:val="4"/>
        </w:numPr>
        <w:spacing w:before="50" w:after="50" w:line="480" w:lineRule="auto"/>
        <w:ind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The tourism market is growing at substantial speed. Even the travel overseas is rising, the travel to neighboring areas are also increasing in number. The rising business trips and conference industry in China require more hotels, resorts and villas being able to provide complete conference services. </w:t>
      </w:r>
    </w:p>
    <w:p>
      <w:pPr>
        <w:pStyle w:val="14"/>
        <w:numPr>
          <w:ilvl w:val="0"/>
          <w:numId w:val="4"/>
        </w:numPr>
        <w:spacing w:before="50" w:after="50" w:line="480" w:lineRule="auto"/>
        <w:ind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The local government is planning on promoting the hot spring industry on national scale through various media channels. The local government is also planning to increase the percentage of a service industry of entire GDP of the city to 30% in five years which indicates significant investment in infrastructure upgrade such as highways connecting to neighboring provinces. </w:t>
      </w:r>
    </w:p>
    <w:p>
      <w:pPr>
        <w:pStyle w:val="14"/>
        <w:numPr>
          <w:ilvl w:val="0"/>
          <w:numId w:val="3"/>
        </w:numPr>
        <w:spacing w:before="156" w:beforeLines="50" w:after="156" w:afterLines="50" w:line="480" w:lineRule="auto"/>
        <w:ind w:firstLineChars="0"/>
        <w:outlineLvl w:val="2"/>
        <w:rPr>
          <w:rFonts w:ascii="Times New Roman" w:hAnsi="Times New Roman" w:cs="Times New Roman"/>
          <w:i/>
          <w:color w:val="535353" w:themeColor="accent3" w:themeShade="80"/>
          <w:sz w:val="24"/>
          <w:szCs w:val="24"/>
          <w:lang w:val="en-US"/>
        </w:rPr>
      </w:pPr>
      <w:bookmarkStart w:id="23" w:name="_Toc8218383"/>
      <w:r>
        <w:rPr>
          <w:rFonts w:ascii="Times New Roman" w:hAnsi="Times New Roman" w:cs="Times New Roman"/>
          <w:i/>
          <w:color w:val="535353" w:themeColor="accent3" w:themeShade="80"/>
          <w:sz w:val="24"/>
          <w:szCs w:val="24"/>
          <w:lang w:val="en-US"/>
        </w:rPr>
        <w:t>Threats</w:t>
      </w:r>
      <w:bookmarkEnd w:id="23"/>
      <w:r>
        <w:rPr>
          <w:rFonts w:ascii="Times New Roman" w:hAnsi="Times New Roman" w:cs="Times New Roman"/>
          <w:i/>
          <w:color w:val="535353" w:themeColor="accent3" w:themeShade="80"/>
          <w:sz w:val="24"/>
          <w:szCs w:val="24"/>
          <w:lang w:val="en-US"/>
        </w:rPr>
        <w:t xml:space="preserve"> </w:t>
      </w:r>
    </w:p>
    <w:p>
      <w:pPr>
        <w:pStyle w:val="14"/>
        <w:numPr>
          <w:ilvl w:val="0"/>
          <w:numId w:val="5"/>
        </w:numPr>
        <w:spacing w:before="50" w:after="50" w:line="480" w:lineRule="auto"/>
        <w:ind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Increasing tours to overseas destinations have offered more options for high-end customers. </w:t>
      </w:r>
    </w:p>
    <w:p>
      <w:pPr>
        <w:pStyle w:val="14"/>
        <w:numPr>
          <w:ilvl w:val="0"/>
          <w:numId w:val="5"/>
        </w:numPr>
        <w:spacing w:before="50" w:after="50" w:line="480" w:lineRule="auto"/>
        <w:ind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Higher demands from customers have been pushing the hot spring spa resorts to renovate and invest in new product and service development which may take up a high proportion of cash flow in the company. </w:t>
      </w:r>
    </w:p>
    <w:p>
      <w:pPr>
        <w:pStyle w:val="14"/>
        <w:numPr>
          <w:ilvl w:val="0"/>
          <w:numId w:val="5"/>
        </w:numPr>
        <w:spacing w:before="50" w:after="50" w:line="480" w:lineRule="auto"/>
        <w:ind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The regulation is getting stricter which requires the company to be operated in a more prudent manner. With the government enforcing stricter labor laws, the companies are to experience a higher cost of human resources. </w:t>
      </w:r>
    </w:p>
    <w:p>
      <w:pPr>
        <w:pStyle w:val="14"/>
        <w:numPr>
          <w:ilvl w:val="0"/>
          <w:numId w:val="5"/>
        </w:numPr>
        <w:spacing w:before="50" w:after="50" w:line="480" w:lineRule="auto"/>
        <w:ind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The regulation on environmental protection also impacts the company to tackle the environmental issues when operating hot spring spas such as the depletion of underground water. </w:t>
      </w:r>
    </w:p>
    <w:p>
      <w:pPr>
        <w:pStyle w:val="14"/>
        <w:numPr>
          <w:ilvl w:val="0"/>
          <w:numId w:val="3"/>
        </w:numPr>
        <w:spacing w:before="156" w:beforeLines="50" w:after="156" w:afterLines="50" w:line="480" w:lineRule="auto"/>
        <w:ind w:firstLineChars="0"/>
        <w:outlineLvl w:val="2"/>
        <w:rPr>
          <w:rFonts w:ascii="Times New Roman" w:hAnsi="Times New Roman" w:cs="Times New Roman"/>
          <w:i/>
          <w:color w:val="535353" w:themeColor="accent3" w:themeShade="80"/>
          <w:sz w:val="24"/>
          <w:szCs w:val="24"/>
          <w:lang w:val="en-US"/>
        </w:rPr>
      </w:pPr>
      <w:bookmarkStart w:id="24" w:name="_Toc8218384"/>
      <w:r>
        <w:rPr>
          <w:rFonts w:ascii="Times New Roman" w:hAnsi="Times New Roman" w:cs="Times New Roman"/>
          <w:i/>
          <w:color w:val="535353" w:themeColor="accent3" w:themeShade="80"/>
          <w:sz w:val="24"/>
          <w:szCs w:val="24"/>
          <w:lang w:val="en-US"/>
        </w:rPr>
        <w:t>Weakness</w:t>
      </w:r>
      <w:bookmarkEnd w:id="24"/>
    </w:p>
    <w:p>
      <w:pPr>
        <w:pStyle w:val="14"/>
        <w:numPr>
          <w:ilvl w:val="0"/>
          <w:numId w:val="3"/>
        </w:numPr>
        <w:spacing w:before="50" w:after="50" w:line="480" w:lineRule="auto"/>
        <w:ind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Low digital transformation level. The Tiara resort is still using the management system developed in the late 1990s which cannot fulfill the demands from data analytics and integration with online travel agency platforms. </w:t>
      </w:r>
    </w:p>
    <w:p>
      <w:pPr>
        <w:pStyle w:val="14"/>
        <w:numPr>
          <w:ilvl w:val="0"/>
          <w:numId w:val="3"/>
        </w:numPr>
        <w:spacing w:before="50" w:after="50" w:line="480" w:lineRule="auto"/>
        <w:ind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Services and products design philosophy is still oriented by the taste and needs from senior customers such as those aged above 60. Many customers have complained about the “too vintage” feeling of the resort. </w:t>
      </w:r>
    </w:p>
    <w:p>
      <w:pPr>
        <w:pStyle w:val="14"/>
        <w:numPr>
          <w:ilvl w:val="0"/>
          <w:numId w:val="3"/>
        </w:numPr>
        <w:spacing w:before="50" w:after="50" w:line="480" w:lineRule="auto"/>
        <w:ind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The staffs in the resort are mostly less educated with an only high-school degree. Many of them cannot catch up with the trend of digitalization and mobile internet. </w:t>
      </w:r>
    </w:p>
    <w:p>
      <w:pPr>
        <w:rPr>
          <w:rFonts w:ascii="Times New Roman" w:hAnsi="Times New Roman" w:cs="Times New Roman"/>
          <w:sz w:val="24"/>
          <w:szCs w:val="24"/>
          <w:lang w:val="en-US"/>
        </w:rPr>
      </w:pPr>
      <w:r>
        <w:rPr>
          <w:rFonts w:ascii="Times New Roman" w:hAnsi="Times New Roman" w:cs="Times New Roman"/>
          <w:sz w:val="24"/>
          <w:szCs w:val="24"/>
          <w:lang w:val="en-US"/>
        </w:rPr>
        <w:br w:type="page"/>
      </w:r>
    </w:p>
    <w:p>
      <w:pPr>
        <w:pStyle w:val="14"/>
        <w:numPr>
          <w:ilvl w:val="0"/>
          <w:numId w:val="1"/>
        </w:numPr>
        <w:spacing w:before="156" w:beforeLines="50" w:after="156" w:afterLines="50" w:line="480" w:lineRule="auto"/>
        <w:ind w:left="357" w:hanging="357" w:firstLineChars="0"/>
        <w:jc w:val="left"/>
        <w:outlineLvl w:val="0"/>
        <w:rPr>
          <w:rFonts w:ascii="Times New Roman" w:hAnsi="Times New Roman" w:cs="Times New Roman"/>
          <w:color w:val="000000" w:themeColor="text1"/>
          <w:sz w:val="32"/>
          <w14:textFill>
            <w14:solidFill>
              <w14:schemeClr w14:val="tx1"/>
            </w14:solidFill>
          </w14:textFill>
        </w:rPr>
      </w:pPr>
      <w:bookmarkStart w:id="25" w:name="_Toc8218385"/>
      <w:r>
        <w:rPr>
          <w:rFonts w:ascii="Times New Roman" w:hAnsi="Times New Roman" w:cs="Times New Roman"/>
          <w:color w:val="000000" w:themeColor="text1"/>
          <w:sz w:val="32"/>
          <w14:textFill>
            <w14:solidFill>
              <w14:schemeClr w14:val="tx1"/>
            </w14:solidFill>
          </w14:textFill>
        </w:rPr>
        <w:t>Strategic recommendation</w:t>
      </w:r>
      <w:bookmarkEnd w:id="25"/>
      <w:r>
        <w:rPr>
          <w:rFonts w:ascii="Times New Roman" w:hAnsi="Times New Roman" w:cs="Times New Roman"/>
          <w:color w:val="000000" w:themeColor="text1"/>
          <w:sz w:val="32"/>
          <w14:textFill>
            <w14:solidFill>
              <w14:schemeClr w14:val="tx1"/>
            </w14:solidFill>
          </w14:textFill>
        </w:rPr>
        <w:t xml:space="preserve">                           </w:t>
      </w:r>
    </w:p>
    <w:p>
      <w:pPr>
        <w:spacing w:before="50" w:after="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strategic recommendation is based on </w:t>
      </w:r>
      <w:r>
        <w:rPr>
          <w:rFonts w:hint="eastAsia" w:ascii="Times New Roman" w:hAnsi="Times New Roman" w:cs="Times New Roman"/>
          <w:sz w:val="24"/>
          <w:szCs w:val="24"/>
          <w:lang w:val="en-US"/>
        </w:rPr>
        <w:t>va</w:t>
      </w:r>
      <w:r>
        <w:rPr>
          <w:rFonts w:ascii="Times New Roman" w:hAnsi="Times New Roman" w:cs="Times New Roman"/>
          <w:sz w:val="24"/>
          <w:szCs w:val="24"/>
          <w:lang w:val="en-US"/>
        </w:rPr>
        <w:t xml:space="preserve">rious factors that are important in the corporate strategy such as product and service design and product and service pricing.  </w:t>
      </w:r>
    </w:p>
    <w:p>
      <w:pPr>
        <w:pStyle w:val="14"/>
        <w:numPr>
          <w:ilvl w:val="0"/>
          <w:numId w:val="2"/>
        </w:numPr>
        <w:spacing w:before="156" w:beforeLines="50" w:after="156" w:afterLines="50" w:line="480" w:lineRule="auto"/>
        <w:ind w:firstLineChars="0"/>
        <w:outlineLvl w:val="1"/>
        <w:rPr>
          <w:rFonts w:ascii="Raleway Medium" w:hAnsi="Raleway Medium" w:cs="Times New Roman"/>
          <w:i/>
          <w:vanish/>
          <w:color w:val="843C0B" w:themeColor="accent2" w:themeShade="80"/>
          <w:sz w:val="28"/>
          <w:szCs w:val="28"/>
          <w:lang w:val="en-US"/>
        </w:rPr>
      </w:pPr>
      <w:bookmarkStart w:id="26" w:name="_Toc8218386"/>
      <w:bookmarkEnd w:id="26"/>
      <w:bookmarkStart w:id="27" w:name="_Toc8152230"/>
      <w:bookmarkEnd w:id="27"/>
    </w:p>
    <w:p>
      <w:pPr>
        <w:spacing w:before="50" w:after="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products and service provided should be upgraded to comply with modern standards. The hot spring products provided should cater the needs from both high-end individual customers (such as the hot spring cabins with complete product range provided) and group customers (such as conference and hot spring bath tub complexes in the resort to allow the group customers to stay in one building for communication and enjoy all experiences). The facilities of the resort are to be upgraded to comply with at least four-star hotel standards and equipped with up to date high-tech equipment such as high-resolution TV and projector, wireless room service hubs. The pricing of the resort should be carefully controlled to maintain the high-end reputation of the company. The company should adopt a higher level of digital transformation for management systems in the resort. The pricing on OTAs should be on the high-price range in the market. However, the pricing to group customers and frequent group customers such as some governments, universities should be around the average level of the market to maintain the attractiveness of the resort. </w:t>
      </w:r>
    </w:p>
    <w:p>
      <w:pPr>
        <w:spacing w:before="50" w:after="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promotion of the resort needs to be shifted from relying on reputation and local travel agencies to comprehensive promotion strategy with a focus on online promotion. After the digital transformation completed, the company should screen the target customers and use differentiated strategies for different customer groups. </w:t>
      </w:r>
    </w:p>
    <w:p>
      <w:pPr>
        <w:spacing w:before="50" w:after="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For individual customers, the company should establish membership systems for frequent customers and provide seasonal and annual promotion plans such as free nights and free services. </w:t>
      </w:r>
    </w:p>
    <w:p>
      <w:pPr>
        <w:spacing w:before="50" w:after="50" w:line="480" w:lineRule="auto"/>
        <w:rPr>
          <w:rFonts w:ascii="Times New Roman" w:hAnsi="Times New Roman" w:cs="Times New Roman"/>
          <w:sz w:val="24"/>
          <w:szCs w:val="24"/>
          <w:lang w:val="en-US"/>
        </w:rPr>
      </w:pPr>
      <w:r>
        <w:rPr>
          <w:rFonts w:ascii="Times New Roman" w:hAnsi="Times New Roman" w:cs="Times New Roman"/>
          <w:sz w:val="24"/>
          <w:szCs w:val="24"/>
          <w:lang w:val="en-US"/>
        </w:rPr>
        <w:t>For group customers, the company should provide trial experiences. The company should also provide extra service packages for frequent group customers. For example, for universities that hold annual conferences in the Tiara resort, the resort can provide extra buffet services or tourism products to neighboring tourism sites.</w:t>
      </w:r>
    </w:p>
    <w:p>
      <w:pPr>
        <w:spacing w:before="50" w:after="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company should also emphasize on the promotion online to use social media platforms. Up till now, 80% of tourism-related information are transmitted online in China through the social network “Microblog.” In 2018, there were 470 million posts related to tourism posted on this platform with more than 200 billion times of interaction online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DOI":"10.2139/ssrn.1888779","author":[{"dropping-particle":"","family":"Yu","given":"Louis","non-dropping-particle":"","parse-names":false,"suffix":""},{"dropping-particle":"","family":"Asur","given":"Sitaram","non-dropping-particle":"","parse-names":false,"suffix":""},{"dropping-particle":"","family":"Huberman","given":"Bernardo","non-dropping-particle":"","parse-names":false,"suffix":""}],"container-title":"Soc. Influ.","id":"ITEM-1","issued":{"date-parts":[["2011","7"]]},"title":"What Trends in Chinese Social Media","type":"book"},"uris":["http://www.mendeley.com/documents/?uuid=7b76f0c7-89a6-4dfd-b478-be0099d7542e","http://www.mendeley.com/documents/?uuid=284ae577-3da6-427c-9769-b55749b65814"]}],"mendeley":{"formattedCitation":"(Yu, Asur and Huberman, 2011)","manualFormatting":"(Yu, Asur, and Huberman, 2011)","plainTextFormattedCitation":"(Yu, Asur and Huberman, 2011)","previouslyFormattedCitation":"(Yu, Asur and Huberman, 2011)"},"properties":{"noteIndex":0},"schema":"https://github.com/citation-style-language/schema/raw/master/csl-citation.json"}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(Yu, Asur, and Huberman, 2011)</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As in the case of Guangxi province using “Microblog” to promote the tourism resources within the province, the number of travelers to this province has increased by 35% after a series of promotion activities. </w:t>
      </w:r>
    </w:p>
    <w:p>
      <w:pPr>
        <w:rPr>
          <w:rFonts w:ascii="Times New Roman" w:hAnsi="Times New Roman" w:cs="Times New Roman"/>
          <w:sz w:val="24"/>
          <w:szCs w:val="24"/>
          <w:lang w:val="en-US"/>
        </w:rPr>
      </w:pPr>
      <w:r>
        <w:rPr>
          <w:rFonts w:ascii="Times New Roman" w:hAnsi="Times New Roman" w:cs="Times New Roman"/>
          <w:sz w:val="24"/>
          <w:szCs w:val="24"/>
          <w:lang w:val="en-US"/>
        </w:rPr>
        <w:br w:type="page"/>
      </w:r>
    </w:p>
    <w:p>
      <w:pPr>
        <w:pStyle w:val="14"/>
        <w:numPr>
          <w:ilvl w:val="0"/>
          <w:numId w:val="1"/>
        </w:numPr>
        <w:spacing w:before="156" w:beforeLines="50" w:after="156" w:afterLines="50" w:line="480" w:lineRule="auto"/>
        <w:ind w:left="357" w:hanging="357" w:firstLineChars="0"/>
        <w:jc w:val="left"/>
        <w:outlineLvl w:val="0"/>
        <w:rPr>
          <w:rFonts w:ascii="Times New Roman" w:hAnsi="Times New Roman" w:cs="Times New Roman"/>
          <w:color w:val="000000" w:themeColor="text1"/>
          <w:sz w:val="32"/>
          <w14:textFill>
            <w14:solidFill>
              <w14:schemeClr w14:val="tx1"/>
            </w14:solidFill>
          </w14:textFill>
        </w:rPr>
      </w:pPr>
      <w:bookmarkStart w:id="28" w:name="_Toc8218393"/>
      <w:r>
        <w:rPr>
          <w:rFonts w:ascii="Times New Roman" w:hAnsi="Times New Roman" w:cs="Times New Roman"/>
          <w:color w:val="000000" w:themeColor="text1"/>
          <w:sz w:val="32"/>
          <w14:textFill>
            <w14:solidFill>
              <w14:schemeClr w14:val="tx1"/>
            </w14:solidFill>
          </w14:textFill>
        </w:rPr>
        <w:t>Conclusion</w:t>
      </w:r>
      <w:bookmarkEnd w:id="28"/>
      <w:r>
        <w:rPr>
          <w:rFonts w:ascii="Times New Roman" w:hAnsi="Times New Roman" w:cs="Times New Roman"/>
          <w:color w:val="000000" w:themeColor="text1"/>
          <w:sz w:val="32"/>
          <w14:textFill>
            <w14:solidFill>
              <w14:schemeClr w14:val="tx1"/>
            </w14:solidFill>
          </w14:textFill>
        </w:rPr>
        <w:t xml:space="preserve">                                        </w:t>
      </w:r>
    </w:p>
    <w:p>
      <w:pPr>
        <w:spacing w:before="50" w:after="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Through the external environmental analysis and internal organizational environmental analysis, this report has identified the core competencies of the company being the high-quality service provided and dominant position in the local market. The weakness and threats of the company are also obvious as not conducting effective digital transformation. The customer group is centralized on local government and local public organization, making the business development vulnerable to rapid changes in external environments. The facilities in the resort, though built as top-level hot spring facilities, cannot meet the demands from high-end customers today. As the high-speed railway is bringing the company into a national even global competition, these weak points began to be augmented, which explained the slow revenue growth and revenue decrease in 2017. To sum up, the revenue decreases in 2017 is not an occasional event but a definite outcome of the accumulated weakness in the company. </w:t>
      </w:r>
    </w:p>
    <w:p>
      <w:pPr>
        <w:spacing w:before="50" w:after="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To enhance the strength of the company as well as to take the ride on the growing trend of tourism and hot spring tourism market in China, this report has proposed strategic and marketing recommendations. This report recommends that the company should focus on the conference market sector and high-end hot spring customer group. The company should conduct effective digital transformation and resort renovation to cater to the needs of these customers. The company should be more integrated to online platforms from OTAs to online social media platforms. </w:t>
      </w:r>
    </w:p>
    <w:p>
      <w:pPr>
        <w:rPr>
          <w:rFonts w:ascii="Times New Roman" w:hAnsi="Times New Roman" w:cs="Times New Roman"/>
          <w:sz w:val="24"/>
          <w:szCs w:val="24"/>
          <w:lang w:val="en-US"/>
        </w:rPr>
      </w:pPr>
      <w:r>
        <w:rPr>
          <w:rFonts w:ascii="Times New Roman" w:hAnsi="Times New Roman" w:cs="Times New Roman"/>
          <w:sz w:val="24"/>
          <w:szCs w:val="24"/>
          <w:lang w:val="en-US"/>
        </w:rPr>
        <w:br w:type="page"/>
      </w:r>
    </w:p>
    <w:p>
      <w:pPr>
        <w:spacing w:before="156" w:beforeLines="50" w:after="156" w:afterLines="50" w:line="480" w:lineRule="auto"/>
        <w:jc w:val="left"/>
        <w:outlineLvl w:val="0"/>
        <w:rPr>
          <w:rFonts w:ascii="Times New Roman" w:hAnsi="Times New Roman" w:cs="Times New Roman"/>
          <w:color w:val="000000" w:themeColor="text1"/>
          <w:sz w:val="32"/>
          <w14:textFill>
            <w14:solidFill>
              <w14:schemeClr w14:val="tx1"/>
            </w14:solidFill>
          </w14:textFill>
        </w:rPr>
      </w:pPr>
      <w:bookmarkStart w:id="29" w:name="_Toc8218394"/>
      <w:r>
        <w:rPr>
          <w:rFonts w:ascii="Times New Roman" w:hAnsi="Times New Roman" w:cs="Times New Roman"/>
          <w:color w:val="000000" w:themeColor="text1"/>
          <w:sz w:val="32"/>
          <w14:textFill>
            <w14:solidFill>
              <w14:schemeClr w14:val="tx1"/>
            </w14:solidFill>
          </w14:textFill>
        </w:rPr>
        <w:t>Reference List</w:t>
      </w:r>
      <w:bookmarkEnd w:id="29"/>
      <w:r>
        <w:rPr>
          <w:rFonts w:ascii="Times New Roman" w:hAnsi="Times New Roman" w:cs="Times New Roman"/>
          <w:color w:val="000000" w:themeColor="text1"/>
          <w:sz w:val="32"/>
          <w14:textFill>
            <w14:solidFill>
              <w14:schemeClr w14:val="tx1"/>
            </w14:solidFill>
          </w14:textFill>
        </w:rPr>
        <w:t xml:space="preserve">                                        </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Mendeley Bibliography CSL_BIBLIOGRAPHY </w:instrText>
      </w:r>
      <w:r>
        <w:rPr>
          <w:rFonts w:ascii="Times New Roman" w:hAnsi="Times New Roman" w:cs="Times New Roman"/>
          <w:sz w:val="24"/>
          <w:szCs w:val="24"/>
          <w:lang w:val="en-US"/>
        </w:rPr>
        <w:fldChar w:fldCharType="separate"/>
      </w:r>
      <w:r>
        <w:rPr>
          <w:rFonts w:ascii="Times New Roman" w:hAnsi="Times New Roman" w:cs="Times New Roman"/>
          <w:kern w:val="0"/>
          <w:sz w:val="24"/>
          <w:szCs w:val="24"/>
        </w:rPr>
        <w:t xml:space="preserve">Amadeus (2020) </w:t>
      </w:r>
      <w:r>
        <w:rPr>
          <w:rFonts w:ascii="Times New Roman" w:hAnsi="Times New Roman" w:cs="Times New Roman"/>
          <w:i/>
          <w:iCs/>
          <w:kern w:val="0"/>
          <w:sz w:val="24"/>
          <w:szCs w:val="24"/>
        </w:rPr>
        <w:t>Online Travel Evolve, Expand or Expire 2020</w:t>
      </w:r>
      <w:r>
        <w:rPr>
          <w:rFonts w:ascii="Times New Roman" w:hAnsi="Times New Roman" w:cs="Times New Roman"/>
          <w:kern w:val="0"/>
          <w:sz w:val="24"/>
          <w:szCs w:val="24"/>
        </w:rPr>
        <w:t>.</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 xml:space="preserve">C. S. Heung, V. and Kucukusta, D. (2013) </w:t>
      </w:r>
      <w:r>
        <w:rPr>
          <w:rFonts w:ascii="Times New Roman" w:hAnsi="Times New Roman" w:cs="Times New Roman"/>
          <w:i/>
          <w:iCs/>
          <w:kern w:val="0"/>
          <w:sz w:val="24"/>
          <w:szCs w:val="24"/>
        </w:rPr>
        <w:t>Wellness Tourism in China: Resources, Development and Marketing</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International Journal of Tourism Research</w:t>
      </w:r>
      <w:r>
        <w:rPr>
          <w:rFonts w:ascii="Times New Roman" w:hAnsi="Times New Roman" w:cs="Times New Roman"/>
          <w:kern w:val="0"/>
          <w:sz w:val="24"/>
          <w:szCs w:val="24"/>
        </w:rPr>
        <w:t>. doi: 10.1002/jtr.1880.</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 xml:space="preserve">Cao, K. and Yang, Z. (2016) ‘A study of e-commerce adoption by tourism websites in China’, </w:t>
      </w:r>
      <w:r>
        <w:rPr>
          <w:rFonts w:ascii="Times New Roman" w:hAnsi="Times New Roman" w:cs="Times New Roman"/>
          <w:i/>
          <w:iCs/>
          <w:kern w:val="0"/>
          <w:sz w:val="24"/>
          <w:szCs w:val="24"/>
        </w:rPr>
        <w:t>Journal of Destination Marketing &amp; Management</w:t>
      </w:r>
      <w:r>
        <w:rPr>
          <w:rFonts w:ascii="Times New Roman" w:hAnsi="Times New Roman" w:cs="Times New Roman"/>
          <w:kern w:val="0"/>
          <w:sz w:val="24"/>
          <w:szCs w:val="24"/>
        </w:rPr>
        <w:t>. Elsevier, 5(3), pp. 283–289.</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 xml:space="preserve">Daniel Ren (2018) </w:t>
      </w:r>
      <w:r>
        <w:rPr>
          <w:rFonts w:ascii="Times New Roman" w:hAnsi="Times New Roman" w:cs="Times New Roman"/>
          <w:i/>
          <w:iCs/>
          <w:kern w:val="0"/>
          <w:sz w:val="24"/>
          <w:szCs w:val="24"/>
        </w:rPr>
        <w:t>China’s ‘consumption upgrade’ trend undeterred by US-China trade war, study says | South China Morning Post</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South China Morning Post</w:t>
      </w:r>
      <w:r>
        <w:rPr>
          <w:rFonts w:ascii="Times New Roman" w:hAnsi="Times New Roman" w:cs="Times New Roman"/>
          <w:kern w:val="0"/>
          <w:sz w:val="24"/>
          <w:szCs w:val="24"/>
        </w:rPr>
        <w:t>. Available at: https://www.scmp.com/business/money/wealth/article/2175292/chinas-consumption-upgrade-trend-undeterred-us-china-trade-war (Accessed: 7 May 2019).</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Degang, C. (2014) ‘Study on Xianning Hot Spring Tourism Industry and Cultural Creative Industry Coupling’, (Iemb), pp. 152–154. doi: 10.2991/iemb-14.2014.45.</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 xml:space="preserve">Dichter, A. </w:t>
      </w:r>
      <w:r>
        <w:rPr>
          <w:rFonts w:ascii="Times New Roman" w:hAnsi="Times New Roman" w:cs="Times New Roman"/>
          <w:i/>
          <w:iCs/>
          <w:kern w:val="0"/>
          <w:sz w:val="24"/>
          <w:szCs w:val="24"/>
        </w:rPr>
        <w:t>et al.</w:t>
      </w:r>
      <w:r>
        <w:rPr>
          <w:rFonts w:ascii="Times New Roman" w:hAnsi="Times New Roman" w:cs="Times New Roman"/>
          <w:kern w:val="0"/>
          <w:sz w:val="24"/>
          <w:szCs w:val="24"/>
        </w:rPr>
        <w:t xml:space="preserve"> (2018) ‘Chinese tourists: Dispelling the myths Chinese tourists: Dispelling the myths An in-depth look at China’s outbound tourist market’, (September).</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 xml:space="preserve">Dychtwald, Z. (2018) </w:t>
      </w:r>
      <w:r>
        <w:rPr>
          <w:rFonts w:ascii="Times New Roman" w:hAnsi="Times New Roman" w:cs="Times New Roman"/>
          <w:i/>
          <w:iCs/>
          <w:kern w:val="0"/>
          <w:sz w:val="24"/>
          <w:szCs w:val="24"/>
        </w:rPr>
        <w:t>Young China: How the Restless Generation Will Change Their Country and the World</w:t>
      </w:r>
      <w:r>
        <w:rPr>
          <w:rFonts w:ascii="Times New Roman" w:hAnsi="Times New Roman" w:cs="Times New Roman"/>
          <w:kern w:val="0"/>
          <w:sz w:val="24"/>
          <w:szCs w:val="24"/>
        </w:rPr>
        <w:t>. St. Martin’s Press.</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 xml:space="preserve">Erfurt-Cooper, P. and Cooper, P. M. (2009) </w:t>
      </w:r>
      <w:r>
        <w:rPr>
          <w:rFonts w:ascii="Times New Roman" w:hAnsi="Times New Roman" w:cs="Times New Roman"/>
          <w:i/>
          <w:iCs/>
          <w:kern w:val="0"/>
          <w:sz w:val="24"/>
          <w:szCs w:val="24"/>
        </w:rPr>
        <w:t>Health and Wellness Tourism: Spas and Hot Springs</w:t>
      </w:r>
      <w:r>
        <w:rPr>
          <w:rFonts w:ascii="Times New Roman" w:hAnsi="Times New Roman" w:cs="Times New Roman"/>
          <w:kern w:val="0"/>
          <w:sz w:val="24"/>
          <w:szCs w:val="24"/>
        </w:rPr>
        <w:t>. Channel View Publications (Aspects of Tourism).</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Global Wellness Institute (2018) ‘Global Wellness Tourism Economy’, (November), p. 102.</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 xml:space="preserve">Heberer, T. and Schubert, G. (2008) </w:t>
      </w:r>
      <w:r>
        <w:rPr>
          <w:rFonts w:ascii="Times New Roman" w:hAnsi="Times New Roman" w:cs="Times New Roman"/>
          <w:i/>
          <w:iCs/>
          <w:kern w:val="0"/>
          <w:sz w:val="24"/>
          <w:szCs w:val="24"/>
        </w:rPr>
        <w:t>Regime legitimacy in contemporary China: Institutional change and stability</w:t>
      </w:r>
      <w:r>
        <w:rPr>
          <w:rFonts w:ascii="Times New Roman" w:hAnsi="Times New Roman" w:cs="Times New Roman"/>
          <w:kern w:val="0"/>
          <w:sz w:val="24"/>
          <w:szCs w:val="24"/>
        </w:rPr>
        <w:t>. Routledge.</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Ke, B., Liu, N. and Tang, S. (2017) ‘The effect of anti-corruption campaign on shareholder value in a weak institutional environment: Evidence from China’.</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 xml:space="preserve">Liang, M. Z. and Wang, W. (2010) ‘A study of government regulation of public tourism resources: Developing and protecting [J]’, </w:t>
      </w:r>
      <w:r>
        <w:rPr>
          <w:rFonts w:ascii="Times New Roman" w:hAnsi="Times New Roman" w:cs="Times New Roman"/>
          <w:i/>
          <w:iCs/>
          <w:kern w:val="0"/>
          <w:sz w:val="24"/>
          <w:szCs w:val="24"/>
        </w:rPr>
        <w:t>Human Geography</w:t>
      </w:r>
      <w:r>
        <w:rPr>
          <w:rFonts w:ascii="Times New Roman" w:hAnsi="Times New Roman" w:cs="Times New Roman"/>
          <w:kern w:val="0"/>
          <w:sz w:val="24"/>
          <w:szCs w:val="24"/>
        </w:rPr>
        <w:t>, 6, p. 31.</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 xml:space="preserve">LU, L. and YU, F. (2005) ‘A study on the spatial characteristic of provincial difference of tourism economy [J]’, </w:t>
      </w:r>
      <w:r>
        <w:rPr>
          <w:rFonts w:ascii="Times New Roman" w:hAnsi="Times New Roman" w:cs="Times New Roman"/>
          <w:i/>
          <w:iCs/>
          <w:kern w:val="0"/>
          <w:sz w:val="24"/>
          <w:szCs w:val="24"/>
        </w:rPr>
        <w:t>Economic Geography</w:t>
      </w:r>
      <w:r>
        <w:rPr>
          <w:rFonts w:ascii="Times New Roman" w:hAnsi="Times New Roman" w:cs="Times New Roman"/>
          <w:kern w:val="0"/>
          <w:sz w:val="24"/>
          <w:szCs w:val="24"/>
        </w:rPr>
        <w:t>, 3, pp. 406–410.</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 xml:space="preserve">McKinsey (2018) </w:t>
      </w:r>
      <w:r>
        <w:rPr>
          <w:rFonts w:ascii="Times New Roman" w:hAnsi="Times New Roman" w:cs="Times New Roman"/>
          <w:i/>
          <w:iCs/>
          <w:kern w:val="0"/>
          <w:sz w:val="24"/>
          <w:szCs w:val="24"/>
        </w:rPr>
        <w:t>China and the world: Inside a changing economic relationship | McKinsey</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McKinsey</w:t>
      </w:r>
      <w:r>
        <w:rPr>
          <w:rFonts w:ascii="Times New Roman" w:hAnsi="Times New Roman" w:cs="Times New Roman"/>
          <w:kern w:val="0"/>
          <w:sz w:val="24"/>
          <w:szCs w:val="24"/>
        </w:rPr>
        <w:t>. Available at: https://www.mckinsey.com/featured-insights/asia-pacific/china-and-the-world-inside-a-changing-economic-relationship (Accessed: 7 May 2019).</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lang w:val="da-DK"/>
        </w:rPr>
        <w:t xml:space="preserve">Miah, S. J. </w:t>
      </w:r>
      <w:r>
        <w:rPr>
          <w:rFonts w:ascii="Times New Roman" w:hAnsi="Times New Roman" w:cs="Times New Roman"/>
          <w:i/>
          <w:iCs/>
          <w:kern w:val="0"/>
          <w:sz w:val="24"/>
          <w:szCs w:val="24"/>
          <w:lang w:val="da-DK"/>
        </w:rPr>
        <w:t>et al.</w:t>
      </w:r>
      <w:r>
        <w:rPr>
          <w:rFonts w:ascii="Times New Roman" w:hAnsi="Times New Roman" w:cs="Times New Roman"/>
          <w:kern w:val="0"/>
          <w:sz w:val="24"/>
          <w:szCs w:val="24"/>
          <w:lang w:val="da-DK"/>
        </w:rPr>
        <w:t xml:space="preserve"> </w:t>
      </w:r>
      <w:r>
        <w:rPr>
          <w:rFonts w:ascii="Times New Roman" w:hAnsi="Times New Roman" w:cs="Times New Roman"/>
          <w:kern w:val="0"/>
          <w:sz w:val="24"/>
          <w:szCs w:val="24"/>
        </w:rPr>
        <w:t xml:space="preserve">(2017) ‘A big data analytics method for tourist behaviour analysis’, </w:t>
      </w:r>
      <w:r>
        <w:rPr>
          <w:rFonts w:ascii="Times New Roman" w:hAnsi="Times New Roman" w:cs="Times New Roman"/>
          <w:i/>
          <w:iCs/>
          <w:kern w:val="0"/>
          <w:sz w:val="24"/>
          <w:szCs w:val="24"/>
        </w:rPr>
        <w:t>Information &amp; Management</w:t>
      </w:r>
      <w:r>
        <w:rPr>
          <w:rFonts w:ascii="Times New Roman" w:hAnsi="Times New Roman" w:cs="Times New Roman"/>
          <w:kern w:val="0"/>
          <w:sz w:val="24"/>
          <w:szCs w:val="24"/>
        </w:rPr>
        <w:t>. Elsevier, 54(6), pp. 771–785.</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 xml:space="preserve">Perera, R. (2017) </w:t>
      </w:r>
      <w:r>
        <w:rPr>
          <w:rFonts w:ascii="Times New Roman" w:hAnsi="Times New Roman" w:cs="Times New Roman"/>
          <w:i/>
          <w:iCs/>
          <w:kern w:val="0"/>
          <w:sz w:val="24"/>
          <w:szCs w:val="24"/>
        </w:rPr>
        <w:t>The PESTLE Analysis</w:t>
      </w:r>
      <w:r>
        <w:rPr>
          <w:rFonts w:ascii="Times New Roman" w:hAnsi="Times New Roman" w:cs="Times New Roman"/>
          <w:kern w:val="0"/>
          <w:sz w:val="24"/>
          <w:szCs w:val="24"/>
        </w:rPr>
        <w:t>. Independently Published.</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 xml:space="preserve">PRC State Council (2019) </w:t>
      </w:r>
      <w:r>
        <w:rPr>
          <w:rFonts w:ascii="Times New Roman" w:hAnsi="Times New Roman" w:cs="Times New Roman"/>
          <w:i/>
          <w:iCs/>
          <w:kern w:val="0"/>
          <w:sz w:val="24"/>
          <w:szCs w:val="24"/>
        </w:rPr>
        <w:t>China’s inbound tourism remains steady in 2018</w:t>
      </w:r>
      <w:r>
        <w:rPr>
          <w:rFonts w:ascii="Times New Roman" w:hAnsi="Times New Roman" w:cs="Times New Roman"/>
          <w:kern w:val="0"/>
          <w:sz w:val="24"/>
          <w:szCs w:val="24"/>
        </w:rPr>
        <w:t>. Available at: http://english.gov.cn/archive/statistics/2019/02/06/content_281476510410482.htm (Accessed: 7 May 2019).</w:t>
      </w:r>
    </w:p>
    <w:p>
      <w:pPr>
        <w:autoSpaceDE w:val="0"/>
        <w:autoSpaceDN w:val="0"/>
        <w:adjustRightInd w:val="0"/>
        <w:spacing w:before="312" w:beforeLines="100" w:after="312" w:afterLines="100"/>
        <w:jc w:val="left"/>
        <w:rPr>
          <w:rFonts w:ascii="Times New Roman" w:hAnsi="Times New Roman" w:cs="Times New Roman"/>
          <w:kern w:val="0"/>
          <w:sz w:val="24"/>
          <w:szCs w:val="24"/>
        </w:rPr>
      </w:pPr>
      <w:r>
        <w:rPr>
          <w:rFonts w:ascii="Times New Roman" w:hAnsi="Times New Roman" w:cs="Times New Roman"/>
          <w:kern w:val="0"/>
          <w:sz w:val="24"/>
          <w:szCs w:val="24"/>
        </w:rPr>
        <w:t xml:space="preserve">Wang, X. </w:t>
      </w:r>
      <w:r>
        <w:rPr>
          <w:rFonts w:ascii="Times New Roman" w:hAnsi="Times New Roman" w:cs="Times New Roman"/>
          <w:i/>
          <w:iCs/>
          <w:kern w:val="0"/>
          <w:sz w:val="24"/>
          <w:szCs w:val="24"/>
        </w:rPr>
        <w:t>et al.</w:t>
      </w:r>
      <w:r>
        <w:rPr>
          <w:rFonts w:ascii="Times New Roman" w:hAnsi="Times New Roman" w:cs="Times New Roman"/>
          <w:kern w:val="0"/>
          <w:sz w:val="24"/>
          <w:szCs w:val="24"/>
        </w:rPr>
        <w:t xml:space="preserve"> (2012) ‘Effects of the high speed rail network on China’s regional tourism development’, </w:t>
      </w:r>
      <w:r>
        <w:rPr>
          <w:rFonts w:ascii="Times New Roman" w:hAnsi="Times New Roman" w:cs="Times New Roman"/>
          <w:i/>
          <w:iCs/>
          <w:kern w:val="0"/>
          <w:sz w:val="24"/>
          <w:szCs w:val="24"/>
        </w:rPr>
        <w:t>Tourism Management Perspectives</w:t>
      </w:r>
      <w:r>
        <w:rPr>
          <w:rFonts w:ascii="Times New Roman" w:hAnsi="Times New Roman" w:cs="Times New Roman"/>
          <w:kern w:val="0"/>
          <w:sz w:val="24"/>
          <w:szCs w:val="24"/>
        </w:rPr>
        <w:t>. Elsevier, 1, pp. 34–38.</w:t>
      </w:r>
    </w:p>
    <w:p>
      <w:pPr>
        <w:autoSpaceDE w:val="0"/>
        <w:autoSpaceDN w:val="0"/>
        <w:adjustRightInd w:val="0"/>
        <w:spacing w:before="312" w:beforeLines="100" w:after="312" w:afterLines="100"/>
        <w:jc w:val="left"/>
        <w:rPr>
          <w:rFonts w:ascii="Times New Roman" w:hAnsi="Times New Roman" w:cs="Times New Roman"/>
          <w:sz w:val="24"/>
        </w:rPr>
      </w:pPr>
      <w:r>
        <w:rPr>
          <w:rFonts w:ascii="Times New Roman" w:hAnsi="Times New Roman" w:cs="Times New Roman"/>
          <w:kern w:val="0"/>
          <w:sz w:val="24"/>
          <w:szCs w:val="24"/>
        </w:rPr>
        <w:t xml:space="preserve">Yu, L., Asur, S. and Huberman, B. (2011) </w:t>
      </w:r>
      <w:r>
        <w:rPr>
          <w:rFonts w:ascii="Times New Roman" w:hAnsi="Times New Roman" w:cs="Times New Roman"/>
          <w:i/>
          <w:iCs/>
          <w:kern w:val="0"/>
          <w:sz w:val="24"/>
          <w:szCs w:val="24"/>
        </w:rPr>
        <w:t>What Trends in Chinese Social Media</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Soc. Influ.</w:t>
      </w:r>
      <w:r>
        <w:rPr>
          <w:rFonts w:ascii="Times New Roman" w:hAnsi="Times New Roman" w:cs="Times New Roman"/>
          <w:kern w:val="0"/>
          <w:sz w:val="24"/>
          <w:szCs w:val="24"/>
        </w:rPr>
        <w:t xml:space="preserve"> doi: 10.2139/ssrn.1888779.</w:t>
      </w:r>
    </w:p>
    <w:p>
      <w:pPr>
        <w:spacing w:before="312" w:beforeLines="100" w:after="312" w:afterLines="100"/>
        <w:rPr>
          <w:rFonts w:ascii="Times New Roman" w:hAnsi="Times New Roman" w:cs="Times New Roman"/>
          <w:sz w:val="24"/>
          <w:szCs w:val="24"/>
          <w:lang w:val="en-US"/>
        </w:rPr>
      </w:pPr>
      <w:r>
        <w:rPr>
          <w:rFonts w:ascii="Times New Roman" w:hAnsi="Times New Roman" w:cs="Times New Roman"/>
          <w:sz w:val="24"/>
          <w:szCs w:val="24"/>
          <w:lang w:val="en-US"/>
        </w:rPr>
        <w:fldChar w:fldCharType="end"/>
      </w:r>
    </w:p>
    <w:p>
      <w:pPr>
        <w:rPr>
          <w:rFonts w:ascii="Times New Roman" w:hAnsi="Times New Roman" w:cs="Times New Roman"/>
          <w:sz w:val="24"/>
          <w:szCs w:val="24"/>
          <w:lang w:val="en-US"/>
        </w:rPr>
      </w:pPr>
    </w:p>
    <w:sectPr>
      <w:footerReference r:id="rId4"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Raleway Medium">
    <w:altName w:val="Trebuchet MS"/>
    <w:panose1 w:val="00000000000000000000"/>
    <w:charset w:val="00"/>
    <w:family w:val="swiss"/>
    <w:pitch w:val="default"/>
    <w:sig w:usb0="00000000" w:usb1="00000000" w:usb2="00000000" w:usb3="00000000" w:csb0="00000097" w:csb1="00000000"/>
  </w:font>
  <w:font w:name="Futura Lt BT">
    <w:altName w:val="Segoe Print"/>
    <w:panose1 w:val="00000000000000000000"/>
    <w:charset w:val="00"/>
    <w:family w:val="swiss"/>
    <w:pitch w:val="default"/>
    <w:sig w:usb0="00000000" w:usb1="00000000" w:usb2="00000000" w:usb3="00000000" w:csb0="0000001B" w:csb1="00000000"/>
  </w:font>
  <w:font w:name="Futura CondensedLight">
    <w:altName w:val="Segoe Print"/>
    <w:panose1 w:val="00000000000000000000"/>
    <w:charset w:val="00"/>
    <w:family w:val="swiss"/>
    <w:pitch w:val="default"/>
    <w:sig w:usb0="00000000" w:usb1="00000000" w:usb2="00000000" w:usb3="00000000" w:csb0="00000001" w:csb1="00000000"/>
  </w:font>
  <w:font w:name="Arial Narrow">
    <w:altName w:val="Arial"/>
    <w:panose1 w:val="020B0606020202030204"/>
    <w:charset w:val="00"/>
    <w:family w:val="swiss"/>
    <w:pitch w:val="default"/>
    <w:sig w:usb0="00000000" w:usb1="00000000" w:usb2="00000000" w:usb3="00000000" w:csb0="0000009F" w:csb1="00000000"/>
  </w:font>
  <w:font w:name="Trebuchet MS">
    <w:panose1 w:val="020B0603020202020204"/>
    <w:charset w:val="00"/>
    <w:family w:val="auto"/>
    <w:pitch w:val="default"/>
    <w:sig w:usb0="00000687" w:usb1="00000000" w:usb2="00000000" w:usb3="00000000" w:csb0="2000009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right"/>
    </w:pPr>
  </w:p>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46719871"/>
      <w:docPartObj>
        <w:docPartGallery w:val="AutoText"/>
      </w:docPartObj>
    </w:sdtPr>
    <w:sdtEndPr>
      <w:rPr>
        <w:rFonts w:ascii="Raleway Medium" w:hAnsi="Raleway Medium"/>
        <w:b/>
        <w:i/>
        <w:sz w:val="23"/>
        <w:szCs w:val="23"/>
      </w:rPr>
    </w:sdtEndPr>
    <w:sdtContent>
      <w:p>
        <w:pPr>
          <w:pStyle w:val="4"/>
          <w:jc w:val="right"/>
          <w:rPr>
            <w:rFonts w:ascii="Raleway Medium" w:hAnsi="Raleway Medium"/>
            <w:b/>
            <w:i/>
            <w:sz w:val="23"/>
            <w:szCs w:val="23"/>
          </w:rPr>
        </w:pPr>
        <w:r>
          <w:rPr>
            <w:rFonts w:ascii="Raleway Medium" w:hAnsi="Raleway Medium"/>
            <w:b/>
            <w:i/>
            <w:sz w:val="23"/>
            <w:szCs w:val="23"/>
          </w:rPr>
          <w:fldChar w:fldCharType="begin"/>
        </w:r>
        <w:r>
          <w:rPr>
            <w:rFonts w:ascii="Raleway Medium" w:hAnsi="Raleway Medium"/>
            <w:b/>
            <w:i/>
            <w:sz w:val="23"/>
            <w:szCs w:val="23"/>
          </w:rPr>
          <w:instrText xml:space="preserve">PAGE   \* MERGEFORMAT</w:instrText>
        </w:r>
        <w:r>
          <w:rPr>
            <w:rFonts w:ascii="Raleway Medium" w:hAnsi="Raleway Medium"/>
            <w:b/>
            <w:i/>
            <w:sz w:val="23"/>
            <w:szCs w:val="23"/>
          </w:rPr>
          <w:fldChar w:fldCharType="separate"/>
        </w:r>
        <w:r>
          <w:rPr>
            <w:rFonts w:ascii="Raleway Medium" w:hAnsi="Raleway Medium"/>
            <w:b/>
            <w:i/>
            <w:sz w:val="23"/>
            <w:szCs w:val="23"/>
            <w:lang w:val="zh-CN"/>
          </w:rPr>
          <w:t>2</w:t>
        </w:r>
        <w:r>
          <w:rPr>
            <w:rFonts w:ascii="Raleway Medium" w:hAnsi="Raleway Medium"/>
            <w:b/>
            <w:i/>
            <w:sz w:val="23"/>
            <w:szCs w:val="23"/>
          </w:rPr>
          <w:fldChar w:fldCharType="end"/>
        </w:r>
      </w:p>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FC30A89"/>
    <w:multiLevelType w:val="multilevel"/>
    <w:tmpl w:val="2FC30A89"/>
    <w:lvl w:ilvl="0" w:tentative="0">
      <w:start w:val="1"/>
      <w:numFmt w:val="decimal"/>
      <w:lvlText w:val="%1."/>
      <w:lvlJc w:val="left"/>
      <w:pPr>
        <w:ind w:left="425" w:hanging="425"/>
      </w:pPr>
    </w:lvl>
    <w:lvl w:ilvl="1" w:tentative="0">
      <w:start w:val="1"/>
      <w:numFmt w:val="decimal"/>
      <w:lvlText w:val="%1.%2."/>
      <w:lvlJc w:val="left"/>
      <w:pPr>
        <w:ind w:left="567" w:hanging="567"/>
      </w:pPr>
    </w:lvl>
    <w:lvl w:ilvl="2" w:tentative="0">
      <w:start w:val="1"/>
      <w:numFmt w:val="decimal"/>
      <w:lvlText w:val="%1.%2.%3."/>
      <w:lvlJc w:val="left"/>
      <w:pPr>
        <w:ind w:left="709" w:hanging="709"/>
      </w:pPr>
    </w:lvl>
    <w:lvl w:ilvl="3" w:tentative="0">
      <w:start w:val="1"/>
      <w:numFmt w:val="decimal"/>
      <w:lvlText w:val="%1.%2.%3.%4."/>
      <w:lvlJc w:val="left"/>
      <w:pPr>
        <w:ind w:left="851" w:hanging="851"/>
      </w:pPr>
    </w:lvl>
    <w:lvl w:ilvl="4" w:tentative="0">
      <w:start w:val="1"/>
      <w:numFmt w:val="decimal"/>
      <w:lvlText w:val="%1.%2.%3.%4.%5."/>
      <w:lvlJc w:val="left"/>
      <w:pPr>
        <w:ind w:left="992" w:hanging="992"/>
      </w:pPr>
    </w:lvl>
    <w:lvl w:ilvl="5" w:tentative="0">
      <w:start w:val="1"/>
      <w:numFmt w:val="decimal"/>
      <w:lvlText w:val="%1.%2.%3.%4.%5.%6."/>
      <w:lvlJc w:val="left"/>
      <w:pPr>
        <w:ind w:left="1134" w:hanging="1134"/>
      </w:pPr>
    </w:lvl>
    <w:lvl w:ilvl="6" w:tentative="0">
      <w:start w:val="1"/>
      <w:numFmt w:val="decimal"/>
      <w:lvlText w:val="%1.%2.%3.%4.%5.%6.%7."/>
      <w:lvlJc w:val="left"/>
      <w:pPr>
        <w:ind w:left="1276" w:hanging="1276"/>
      </w:pPr>
    </w:lvl>
    <w:lvl w:ilvl="7" w:tentative="0">
      <w:start w:val="1"/>
      <w:numFmt w:val="decimal"/>
      <w:lvlText w:val="%1.%2.%3.%4.%5.%6.%7.%8."/>
      <w:lvlJc w:val="left"/>
      <w:pPr>
        <w:ind w:left="1418" w:hanging="1418"/>
      </w:pPr>
    </w:lvl>
    <w:lvl w:ilvl="8" w:tentative="0">
      <w:start w:val="1"/>
      <w:numFmt w:val="decimal"/>
      <w:lvlText w:val="%1.%2.%3.%4.%5.%6.%7.%8.%9."/>
      <w:lvlJc w:val="left"/>
      <w:pPr>
        <w:ind w:left="1559" w:hanging="1559"/>
      </w:pPr>
    </w:lvl>
  </w:abstractNum>
  <w:abstractNum w:abstractNumId="1">
    <w:nsid w:val="3D215DAA"/>
    <w:multiLevelType w:val="multilevel"/>
    <w:tmpl w:val="3D215DAA"/>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2">
    <w:nsid w:val="57A87F90"/>
    <w:multiLevelType w:val="multilevel"/>
    <w:tmpl w:val="57A87F90"/>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3">
    <w:nsid w:val="5CB00E0F"/>
    <w:multiLevelType w:val="multilevel"/>
    <w:tmpl w:val="5CB00E0F"/>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4">
    <w:nsid w:val="78EC3C84"/>
    <w:multiLevelType w:val="multilevel"/>
    <w:tmpl w:val="78EC3C84"/>
    <w:lvl w:ilvl="0" w:tentative="0">
      <w:start w:val="1"/>
      <w:numFmt w:val="decimal"/>
      <w:lvlText w:val="%1."/>
      <w:lvlJc w:val="left"/>
      <w:pPr>
        <w:ind w:left="360" w:hanging="360"/>
      </w:pPr>
      <w:rPr>
        <w:rFonts w:hint="default" w:ascii="Times New Roman" w:hAnsi="Times New Roman" w:cs="Times New Roman"/>
        <w:color w:val="000000" w:themeColor="text1"/>
        <w:sz w:val="32"/>
        <w:u w:val="none"/>
        <w14:textFill>
          <w14:solidFill>
            <w14:schemeClr w14:val="tx1"/>
          </w14:solidFill>
        </w14:textFill>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hideSpellingErrors/>
  <w:hideGrammaticalErrors/>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S3NDU0szQ1MTIxMjZT0lEKTi0uzszPAykwrgUA6BnrvywAAAA="/>
  </w:docVars>
  <w:rsids>
    <w:rsidRoot w:val="0027650D"/>
    <w:rsid w:val="00007804"/>
    <w:rsid w:val="00010BCB"/>
    <w:rsid w:val="0003724A"/>
    <w:rsid w:val="000456CA"/>
    <w:rsid w:val="000467C1"/>
    <w:rsid w:val="00057256"/>
    <w:rsid w:val="00057F68"/>
    <w:rsid w:val="00061C37"/>
    <w:rsid w:val="000744E3"/>
    <w:rsid w:val="00077131"/>
    <w:rsid w:val="000815EF"/>
    <w:rsid w:val="000941BE"/>
    <w:rsid w:val="000B695C"/>
    <w:rsid w:val="000C64C2"/>
    <w:rsid w:val="000F7A9A"/>
    <w:rsid w:val="00105529"/>
    <w:rsid w:val="001315C0"/>
    <w:rsid w:val="00132C4E"/>
    <w:rsid w:val="001604C7"/>
    <w:rsid w:val="001623BC"/>
    <w:rsid w:val="001718E8"/>
    <w:rsid w:val="001727E2"/>
    <w:rsid w:val="0017487D"/>
    <w:rsid w:val="00176B44"/>
    <w:rsid w:val="00181CAE"/>
    <w:rsid w:val="001A44E1"/>
    <w:rsid w:val="001A4624"/>
    <w:rsid w:val="001A58A4"/>
    <w:rsid w:val="001B44C3"/>
    <w:rsid w:val="001B6673"/>
    <w:rsid w:val="001C2D40"/>
    <w:rsid w:val="001D4DC5"/>
    <w:rsid w:val="001F0073"/>
    <w:rsid w:val="001F2D91"/>
    <w:rsid w:val="001F46AD"/>
    <w:rsid w:val="00242890"/>
    <w:rsid w:val="00263D8B"/>
    <w:rsid w:val="00264C08"/>
    <w:rsid w:val="00266340"/>
    <w:rsid w:val="0027032C"/>
    <w:rsid w:val="00273987"/>
    <w:rsid w:val="00274054"/>
    <w:rsid w:val="0027650D"/>
    <w:rsid w:val="00282303"/>
    <w:rsid w:val="00284B85"/>
    <w:rsid w:val="002A0F3F"/>
    <w:rsid w:val="002A535B"/>
    <w:rsid w:val="002C65FF"/>
    <w:rsid w:val="002C7035"/>
    <w:rsid w:val="002D084E"/>
    <w:rsid w:val="002D0D96"/>
    <w:rsid w:val="002D22F6"/>
    <w:rsid w:val="002D58A0"/>
    <w:rsid w:val="002E25AB"/>
    <w:rsid w:val="002E57B7"/>
    <w:rsid w:val="003272F4"/>
    <w:rsid w:val="00343810"/>
    <w:rsid w:val="00345069"/>
    <w:rsid w:val="00355718"/>
    <w:rsid w:val="00383B1B"/>
    <w:rsid w:val="003872B4"/>
    <w:rsid w:val="003B7BAF"/>
    <w:rsid w:val="003C51F6"/>
    <w:rsid w:val="003D08B0"/>
    <w:rsid w:val="003F391D"/>
    <w:rsid w:val="003F456F"/>
    <w:rsid w:val="0041473C"/>
    <w:rsid w:val="00423A39"/>
    <w:rsid w:val="00430658"/>
    <w:rsid w:val="00430CA3"/>
    <w:rsid w:val="0044027D"/>
    <w:rsid w:val="00441B84"/>
    <w:rsid w:val="00441E9F"/>
    <w:rsid w:val="00441FF9"/>
    <w:rsid w:val="0044626E"/>
    <w:rsid w:val="0045249E"/>
    <w:rsid w:val="004659F3"/>
    <w:rsid w:val="00467E6A"/>
    <w:rsid w:val="00480636"/>
    <w:rsid w:val="004813E9"/>
    <w:rsid w:val="00481E00"/>
    <w:rsid w:val="004820AE"/>
    <w:rsid w:val="00484283"/>
    <w:rsid w:val="0049048C"/>
    <w:rsid w:val="00490CCE"/>
    <w:rsid w:val="004955A3"/>
    <w:rsid w:val="00496E50"/>
    <w:rsid w:val="004971F1"/>
    <w:rsid w:val="004A40A6"/>
    <w:rsid w:val="004A4B23"/>
    <w:rsid w:val="004A6662"/>
    <w:rsid w:val="004B0F7E"/>
    <w:rsid w:val="004B7F10"/>
    <w:rsid w:val="004C0253"/>
    <w:rsid w:val="004C2417"/>
    <w:rsid w:val="004D5472"/>
    <w:rsid w:val="00504E2F"/>
    <w:rsid w:val="00511E2F"/>
    <w:rsid w:val="00512358"/>
    <w:rsid w:val="00522519"/>
    <w:rsid w:val="005233D4"/>
    <w:rsid w:val="00527CF4"/>
    <w:rsid w:val="0053284D"/>
    <w:rsid w:val="00554622"/>
    <w:rsid w:val="0055492B"/>
    <w:rsid w:val="005745F4"/>
    <w:rsid w:val="00577C94"/>
    <w:rsid w:val="00581D9A"/>
    <w:rsid w:val="0059424B"/>
    <w:rsid w:val="005A642D"/>
    <w:rsid w:val="005A75C9"/>
    <w:rsid w:val="005B3943"/>
    <w:rsid w:val="005B6F6A"/>
    <w:rsid w:val="005D2DDC"/>
    <w:rsid w:val="005F0BD9"/>
    <w:rsid w:val="005F102A"/>
    <w:rsid w:val="005F63AA"/>
    <w:rsid w:val="005F74B5"/>
    <w:rsid w:val="006230A4"/>
    <w:rsid w:val="00633E91"/>
    <w:rsid w:val="006634CD"/>
    <w:rsid w:val="006808BC"/>
    <w:rsid w:val="006860B5"/>
    <w:rsid w:val="006B5D30"/>
    <w:rsid w:val="006C27DB"/>
    <w:rsid w:val="006C2E1F"/>
    <w:rsid w:val="006D58F5"/>
    <w:rsid w:val="006E518C"/>
    <w:rsid w:val="006F02A7"/>
    <w:rsid w:val="006F2755"/>
    <w:rsid w:val="006F4775"/>
    <w:rsid w:val="006F767C"/>
    <w:rsid w:val="00707F4E"/>
    <w:rsid w:val="00714179"/>
    <w:rsid w:val="00714F43"/>
    <w:rsid w:val="00755DB0"/>
    <w:rsid w:val="00764E4E"/>
    <w:rsid w:val="007661B4"/>
    <w:rsid w:val="00770A86"/>
    <w:rsid w:val="007757CB"/>
    <w:rsid w:val="00783429"/>
    <w:rsid w:val="007A675B"/>
    <w:rsid w:val="007B2EA3"/>
    <w:rsid w:val="007E7822"/>
    <w:rsid w:val="007F7EFF"/>
    <w:rsid w:val="00812796"/>
    <w:rsid w:val="00814726"/>
    <w:rsid w:val="008201ED"/>
    <w:rsid w:val="008414D8"/>
    <w:rsid w:val="00845BD6"/>
    <w:rsid w:val="0087014A"/>
    <w:rsid w:val="00870DED"/>
    <w:rsid w:val="00885038"/>
    <w:rsid w:val="008B1581"/>
    <w:rsid w:val="008B31D2"/>
    <w:rsid w:val="008C7C4C"/>
    <w:rsid w:val="008D6BB3"/>
    <w:rsid w:val="008E125F"/>
    <w:rsid w:val="0090785A"/>
    <w:rsid w:val="00917AF9"/>
    <w:rsid w:val="009374B4"/>
    <w:rsid w:val="009526CC"/>
    <w:rsid w:val="00982D81"/>
    <w:rsid w:val="009875FB"/>
    <w:rsid w:val="00994F2B"/>
    <w:rsid w:val="009A0460"/>
    <w:rsid w:val="009E00EF"/>
    <w:rsid w:val="009E6002"/>
    <w:rsid w:val="009F638A"/>
    <w:rsid w:val="00A139B7"/>
    <w:rsid w:val="00A21A03"/>
    <w:rsid w:val="00A23800"/>
    <w:rsid w:val="00A35F98"/>
    <w:rsid w:val="00A43A8B"/>
    <w:rsid w:val="00A82B68"/>
    <w:rsid w:val="00A82E61"/>
    <w:rsid w:val="00A94E10"/>
    <w:rsid w:val="00AA4053"/>
    <w:rsid w:val="00AB4452"/>
    <w:rsid w:val="00AD36ED"/>
    <w:rsid w:val="00AE16D6"/>
    <w:rsid w:val="00AF4190"/>
    <w:rsid w:val="00B0038D"/>
    <w:rsid w:val="00B06A75"/>
    <w:rsid w:val="00B362C1"/>
    <w:rsid w:val="00B56BB6"/>
    <w:rsid w:val="00B62B2A"/>
    <w:rsid w:val="00B67DA1"/>
    <w:rsid w:val="00B74CE7"/>
    <w:rsid w:val="00B77B3B"/>
    <w:rsid w:val="00B866D4"/>
    <w:rsid w:val="00B94B2A"/>
    <w:rsid w:val="00BB3BC9"/>
    <w:rsid w:val="00BD058C"/>
    <w:rsid w:val="00BD1712"/>
    <w:rsid w:val="00BF7FF3"/>
    <w:rsid w:val="00C01EEC"/>
    <w:rsid w:val="00C11853"/>
    <w:rsid w:val="00C27CD3"/>
    <w:rsid w:val="00C31C80"/>
    <w:rsid w:val="00C31F82"/>
    <w:rsid w:val="00C35155"/>
    <w:rsid w:val="00C41DB7"/>
    <w:rsid w:val="00C43F90"/>
    <w:rsid w:val="00C47976"/>
    <w:rsid w:val="00C6004D"/>
    <w:rsid w:val="00C607D9"/>
    <w:rsid w:val="00C74A1D"/>
    <w:rsid w:val="00C92B33"/>
    <w:rsid w:val="00CC65F0"/>
    <w:rsid w:val="00CE7843"/>
    <w:rsid w:val="00CF498B"/>
    <w:rsid w:val="00D04943"/>
    <w:rsid w:val="00D064C8"/>
    <w:rsid w:val="00D10C0C"/>
    <w:rsid w:val="00D14B64"/>
    <w:rsid w:val="00D27DD3"/>
    <w:rsid w:val="00D50E10"/>
    <w:rsid w:val="00D53F01"/>
    <w:rsid w:val="00D61474"/>
    <w:rsid w:val="00D61953"/>
    <w:rsid w:val="00D632B3"/>
    <w:rsid w:val="00D72237"/>
    <w:rsid w:val="00D806D8"/>
    <w:rsid w:val="00DA2748"/>
    <w:rsid w:val="00DA34E7"/>
    <w:rsid w:val="00DA7C12"/>
    <w:rsid w:val="00DB53AB"/>
    <w:rsid w:val="00DB67CA"/>
    <w:rsid w:val="00DC2662"/>
    <w:rsid w:val="00DD7000"/>
    <w:rsid w:val="00DE02E0"/>
    <w:rsid w:val="00E0249F"/>
    <w:rsid w:val="00E03578"/>
    <w:rsid w:val="00E03A58"/>
    <w:rsid w:val="00E07070"/>
    <w:rsid w:val="00E47FE5"/>
    <w:rsid w:val="00E509FE"/>
    <w:rsid w:val="00E53064"/>
    <w:rsid w:val="00E539B1"/>
    <w:rsid w:val="00E67F5F"/>
    <w:rsid w:val="00E75065"/>
    <w:rsid w:val="00E924F0"/>
    <w:rsid w:val="00EB4E80"/>
    <w:rsid w:val="00EC4169"/>
    <w:rsid w:val="00ED047F"/>
    <w:rsid w:val="00ED1399"/>
    <w:rsid w:val="00EE1518"/>
    <w:rsid w:val="00EE42C4"/>
    <w:rsid w:val="00EE6BC1"/>
    <w:rsid w:val="00EE7804"/>
    <w:rsid w:val="00F004FC"/>
    <w:rsid w:val="00F27841"/>
    <w:rsid w:val="00F31FD0"/>
    <w:rsid w:val="00F41A82"/>
    <w:rsid w:val="00F4389C"/>
    <w:rsid w:val="00F467D8"/>
    <w:rsid w:val="00F51D52"/>
    <w:rsid w:val="00F52CD4"/>
    <w:rsid w:val="00F54BC3"/>
    <w:rsid w:val="00F551E3"/>
    <w:rsid w:val="00F55840"/>
    <w:rsid w:val="00F5659F"/>
    <w:rsid w:val="00F5730C"/>
    <w:rsid w:val="00F64BE8"/>
    <w:rsid w:val="00F661BD"/>
    <w:rsid w:val="00F82624"/>
    <w:rsid w:val="00F848C8"/>
    <w:rsid w:val="00F8750D"/>
    <w:rsid w:val="00F87FBE"/>
    <w:rsid w:val="00F90796"/>
    <w:rsid w:val="00FC1328"/>
    <w:rsid w:val="00FD3762"/>
    <w:rsid w:val="00FD56C9"/>
    <w:rsid w:val="3C3F797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5"/>
    <w:qFormat/>
    <w:uiPriority w:val="9"/>
    <w:pPr>
      <w:keepNext/>
      <w:keepLines/>
      <w:spacing w:before="340" w:after="330" w:line="578" w:lineRule="auto"/>
      <w:outlineLvl w:val="0"/>
    </w:pPr>
    <w:rPr>
      <w:b/>
      <w:bCs/>
      <w:kern w:val="44"/>
      <w:sz w:val="44"/>
      <w:szCs w:val="44"/>
    </w:rPr>
  </w:style>
  <w:style w:type="character" w:default="1" w:styleId="10">
    <w:name w:val="Default Paragraph Font"/>
    <w:semiHidden/>
    <w:unhideWhenUsed/>
    <w:uiPriority w:val="1"/>
  </w:style>
  <w:style w:type="table" w:default="1" w:styleId="9">
    <w:name w:val="Normal Table"/>
    <w:semiHidden/>
    <w:unhideWhenUsed/>
    <w:uiPriority w:val="99"/>
    <w:tblPr>
      <w:tblLayout w:type="fixed"/>
      <w:tblCellMar>
        <w:top w:w="0" w:type="dxa"/>
        <w:left w:w="108" w:type="dxa"/>
        <w:bottom w:w="0" w:type="dxa"/>
        <w:right w:w="108" w:type="dxa"/>
      </w:tblCellMar>
    </w:tblPr>
  </w:style>
  <w:style w:type="paragraph" w:styleId="3">
    <w:name w:val="toc 3"/>
    <w:basedOn w:val="1"/>
    <w:next w:val="1"/>
    <w:unhideWhenUsed/>
    <w:uiPriority w:val="39"/>
    <w:pPr>
      <w:ind w:left="840" w:leftChars="400"/>
    </w:pPr>
  </w:style>
  <w:style w:type="paragraph" w:styleId="4">
    <w:name w:val="footer"/>
    <w:basedOn w:val="1"/>
    <w:link w:val="13"/>
    <w:unhideWhenUsed/>
    <w:uiPriority w:val="99"/>
    <w:pPr>
      <w:tabs>
        <w:tab w:val="center" w:pos="4153"/>
        <w:tab w:val="right" w:pos="8306"/>
      </w:tabs>
      <w:snapToGrid w:val="0"/>
      <w:jc w:val="left"/>
    </w:pPr>
    <w:rPr>
      <w:sz w:val="18"/>
      <w:szCs w:val="18"/>
    </w:rPr>
  </w:style>
  <w:style w:type="paragraph" w:styleId="5">
    <w:name w:val="header"/>
    <w:basedOn w:val="1"/>
    <w:link w:val="12"/>
    <w:unhideWhenUsed/>
    <w:uiPriority w:val="99"/>
    <w:pPr>
      <w:pBdr>
        <w:bottom w:val="single" w:color="auto" w:sz="6" w:space="1"/>
      </w:pBdr>
      <w:tabs>
        <w:tab w:val="center" w:pos="4153"/>
        <w:tab w:val="right" w:pos="8306"/>
      </w:tabs>
      <w:snapToGrid w:val="0"/>
      <w:jc w:val="center"/>
    </w:pPr>
    <w:rPr>
      <w:sz w:val="18"/>
      <w:szCs w:val="18"/>
    </w:rPr>
  </w:style>
  <w:style w:type="paragraph" w:styleId="6">
    <w:name w:val="toc 1"/>
    <w:basedOn w:val="1"/>
    <w:next w:val="1"/>
    <w:unhideWhenUsed/>
    <w:uiPriority w:val="39"/>
    <w:pPr>
      <w:tabs>
        <w:tab w:val="left" w:pos="420"/>
        <w:tab w:val="right" w:leader="dot" w:pos="8296"/>
      </w:tabs>
      <w:spacing w:before="156" w:beforeLines="50" w:after="156" w:afterLines="50"/>
    </w:pPr>
    <w:rPr>
      <w:rFonts w:ascii="Raleway Medium" w:hAnsi="Raleway Medium"/>
      <w:b/>
      <w:i/>
      <w:sz w:val="24"/>
    </w:rPr>
  </w:style>
  <w:style w:type="paragraph" w:styleId="7">
    <w:name w:val="toc 2"/>
    <w:basedOn w:val="1"/>
    <w:next w:val="1"/>
    <w:unhideWhenUsed/>
    <w:uiPriority w:val="39"/>
    <w:pPr>
      <w:ind w:left="420" w:leftChars="200"/>
    </w:pPr>
  </w:style>
  <w:style w:type="paragraph" w:styleId="8">
    <w:name w:val="Normal (Web)"/>
    <w:basedOn w:val="1"/>
    <w:unhideWhenUsed/>
    <w:uiPriority w:val="99"/>
    <w:pPr>
      <w:widowControl/>
      <w:spacing w:before="100" w:beforeAutospacing="1" w:after="100" w:afterAutospacing="1"/>
      <w:jc w:val="left"/>
    </w:pPr>
    <w:rPr>
      <w:rFonts w:ascii="宋体" w:hAnsi="宋体" w:eastAsia="宋体" w:cs="宋体"/>
      <w:kern w:val="0"/>
      <w:sz w:val="24"/>
      <w:szCs w:val="24"/>
      <w:lang w:val="en-US"/>
    </w:rPr>
  </w:style>
  <w:style w:type="character" w:styleId="11">
    <w:name w:val="Hyperlink"/>
    <w:basedOn w:val="10"/>
    <w:unhideWhenUsed/>
    <w:uiPriority w:val="99"/>
    <w:rPr>
      <w:color w:val="0563C1" w:themeColor="hyperlink"/>
      <w:u w:val="single"/>
      <w14:textFill>
        <w14:solidFill>
          <w14:schemeClr w14:val="hlink"/>
        </w14:solidFill>
      </w14:textFill>
    </w:rPr>
  </w:style>
  <w:style w:type="character" w:customStyle="1" w:styleId="12">
    <w:name w:val="页眉 字符"/>
    <w:basedOn w:val="10"/>
    <w:link w:val="5"/>
    <w:uiPriority w:val="99"/>
    <w:rPr>
      <w:sz w:val="18"/>
      <w:szCs w:val="18"/>
      <w:lang w:val="en-GB"/>
    </w:rPr>
  </w:style>
  <w:style w:type="character" w:customStyle="1" w:styleId="13">
    <w:name w:val="页脚 字符"/>
    <w:basedOn w:val="10"/>
    <w:link w:val="4"/>
    <w:uiPriority w:val="99"/>
    <w:rPr>
      <w:sz w:val="18"/>
      <w:szCs w:val="18"/>
      <w:lang w:val="en-GB"/>
    </w:rPr>
  </w:style>
  <w:style w:type="paragraph" w:styleId="14">
    <w:name w:val="List Paragraph"/>
    <w:basedOn w:val="1"/>
    <w:qFormat/>
    <w:uiPriority w:val="34"/>
    <w:pPr>
      <w:ind w:firstLine="420" w:firstLineChars="200"/>
    </w:pPr>
  </w:style>
  <w:style w:type="character" w:customStyle="1" w:styleId="15">
    <w:name w:val="标题 1 字符"/>
    <w:basedOn w:val="10"/>
    <w:link w:val="2"/>
    <w:uiPriority w:val="9"/>
    <w:rPr>
      <w:b/>
      <w:bCs/>
      <w:kern w:val="44"/>
      <w:sz w:val="44"/>
      <w:szCs w:val="44"/>
      <w:lang w:val="en-GB"/>
    </w:rPr>
  </w:style>
  <w:style w:type="paragraph" w:customStyle="1" w:styleId="16">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tiff"/><Relationship Id="rId8" Type="http://schemas.openxmlformats.org/officeDocument/2006/relationships/image" Target="media/image2.tiff"/><Relationship Id="rId7" Type="http://schemas.openxmlformats.org/officeDocument/2006/relationships/image" Target="media/image1.png"/><Relationship Id="rId6" Type="http://schemas.openxmlformats.org/officeDocument/2006/relationships/image" Target="media/image1.tiff"/><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customXml" Target="../customXml/item2.xml"/><Relationship Id="rId16" Type="http://schemas.openxmlformats.org/officeDocument/2006/relationships/numbering" Target="numbering.xml"/><Relationship Id="rId15" Type="http://schemas.openxmlformats.org/officeDocument/2006/relationships/customXml" Target="../customXml/item1.xml"/><Relationship Id="rId14" Type="http://schemas.microsoft.com/office/2007/relationships/hdphoto" Target="media/image5.wdp"/><Relationship Id="rId13" Type="http://schemas.openxmlformats.org/officeDocument/2006/relationships/image" Target="media/image4.png"/><Relationship Id="rId12" Type="http://schemas.microsoft.com/office/2007/relationships/hdphoto" Target="media/image3.wdp"/><Relationship Id="rId11" Type="http://schemas.openxmlformats.org/officeDocument/2006/relationships/image" Target="media/image2.png"/><Relationship Id="rId10" Type="http://schemas.openxmlformats.org/officeDocument/2006/relationships/image" Target="media/image4.tiff"/><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62648D5-BD79-4FC9-8982-E139AF2BA06C}">
  <ds:schemaRefs/>
</ds:datastoreItem>
</file>

<file path=docProps/app.xml><?xml version="1.0" encoding="utf-8"?>
<Properties xmlns="http://schemas.openxmlformats.org/officeDocument/2006/extended-properties" xmlns:vt="http://schemas.openxmlformats.org/officeDocument/2006/docPropsVTypes">
  <Template>Normal</Template>
  <Pages>24</Pages>
  <Words>7362</Words>
  <Characters>41964</Characters>
  <Lines>349</Lines>
  <Paragraphs>98</Paragraphs>
  <TotalTime>2</TotalTime>
  <ScaleCrop>false</ScaleCrop>
  <LinksUpToDate>false</LinksUpToDate>
  <CharactersWithSpaces>49228</CharactersWithSpaces>
  <Application>WPS Office_11.1.0.8597_F1E327BC-269C-435d-A152-05C5408002CA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2019-05-08T13:27:00Z</dcterms:created>
  <dc:creator>he lan</dc:creator>
  <cp:lastModifiedBy>10173</cp:lastModifiedBy>
  <dcterms:modified xsi:type="dcterms:W3CDTF">2019-05-08T17:36:46Z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http://www.zotero.org/styles/harvard-coventry-university</vt:lpwstr>
  </property>
  <property fmtid="{D5CDD505-2E9C-101B-9397-08002B2CF9AE}" pid="11" name="Mendeley Recent Style Name 4_1">
    <vt:lpwstr>Coventry University - Harvard</vt:lpwstr>
  </property>
  <property fmtid="{D5CDD505-2E9C-101B-9397-08002B2CF9AE}" pid="12" name="Mendeley Recent Style Id 5_1">
    <vt:lpwstr>http://csl.mendeley.com/styles/19284421/harvard-coventry-university</vt:lpwstr>
  </property>
  <property fmtid="{D5CDD505-2E9C-101B-9397-08002B2CF9AE}" pid="13" name="Mendeley Recent Style Name 5_1">
    <vt:lpwstr>Harvard - Coventry University (for Mendeley)</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072aee80-d7c5-3866-b96b-d829895a52cf</vt:lpwstr>
  </property>
  <property fmtid="{D5CDD505-2E9C-101B-9397-08002B2CF9AE}" pid="24" name="Mendeley Citation Style_1">
    <vt:lpwstr>http://www.zotero.org/styles/harvard-cite-them-right</vt:lpwstr>
  </property>
  <property fmtid="{D5CDD505-2E9C-101B-9397-08002B2CF9AE}" pid="25" name="KSOProductBuildVer">
    <vt:lpwstr>2052-11.1.0.8597</vt:lpwstr>
  </property>
</Properties>
</file>