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06FB4" w:rsidP="72670F06" w:rsidRDefault="00CD537C" w14:paraId="4DB28DC4" w14:textId="5F3E0104">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3E12E7E1" w14:textId="400DB0A8">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4E2C8AE2" w14:textId="6C790A63">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2615E015" w14:textId="752770BC">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75B14227" w14:textId="372E2EEA">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3D70B96B" w14:textId="0137B11F">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1129A020" w14:textId="5C0B017E">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5A9E1BC2" w14:textId="08587FD3">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03E508A2" w14:textId="46420F7D">
      <w:pPr>
        <w:jc w:val="center"/>
        <w:rPr>
          <w:rFonts w:ascii="Arial" w:hAnsi="Arial" w:eastAsia="Arial" w:cs="Arial"/>
          <w:b w:val="1"/>
          <w:bCs w:val="1"/>
          <w:i w:val="0"/>
          <w:iCs w:val="0"/>
          <w:caps w:val="0"/>
          <w:smallCaps w:val="0"/>
          <w:noProof w:val="0"/>
          <w:color w:val="000000" w:themeColor="text1" w:themeTint="FF" w:themeShade="FF"/>
          <w:sz w:val="22"/>
          <w:szCs w:val="22"/>
          <w:lang w:val="en"/>
        </w:rPr>
      </w:pPr>
    </w:p>
    <w:p w:rsidR="00306FB4" w:rsidP="72670F06" w:rsidRDefault="00CD537C" w14:paraId="688FD4F7" w14:textId="2A5718B2">
      <w:pPr>
        <w:spacing w:before="0" w:beforeAutospacing="off" w:after="0" w:afterAutospacing="off" w:line="480" w:lineRule="auto"/>
        <w:jc w:val="both"/>
      </w:pPr>
      <w:r w:rsidRPr="72670F06" w:rsidR="3D0DA40D">
        <w:rPr>
          <w:rFonts w:ascii="Times New Roman" w:hAnsi="Times New Roman" w:eastAsia="Times New Roman" w:cs="Times New Roman"/>
          <w:b w:val="1"/>
          <w:bCs w:val="1"/>
          <w:noProof w:val="0"/>
          <w:sz w:val="24"/>
          <w:szCs w:val="24"/>
          <w:lang w:val="en"/>
        </w:rPr>
        <w:t xml:space="preserve">                                           University of Wales Trinity Saint David</w:t>
      </w:r>
    </w:p>
    <w:p w:rsidR="00306FB4" w:rsidP="72670F06" w:rsidRDefault="00CD537C" w14:paraId="0A4C9EF6" w14:textId="5DDF2F73">
      <w:pPr>
        <w:spacing w:before="0" w:beforeAutospacing="off" w:after="0" w:afterAutospacing="off" w:line="480" w:lineRule="auto"/>
        <w:jc w:val="both"/>
      </w:pPr>
      <w:r w:rsidRPr="72670F06" w:rsidR="3D0DA40D">
        <w:rPr>
          <w:rFonts w:ascii="Times New Roman" w:hAnsi="Times New Roman" w:eastAsia="Times New Roman" w:cs="Times New Roman"/>
          <w:b w:val="1"/>
          <w:bCs w:val="1"/>
          <w:noProof w:val="0"/>
          <w:sz w:val="24"/>
          <w:szCs w:val="24"/>
          <w:lang w:val="en"/>
        </w:rPr>
        <w:t xml:space="preserve"> </w:t>
      </w:r>
    </w:p>
    <w:p w:rsidR="00306FB4" w:rsidP="72670F06" w:rsidRDefault="00CD537C" w14:paraId="2D5D9A0A" w14:textId="2697CB7D">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Student Name: Svetlana Spinu</w:t>
      </w:r>
    </w:p>
    <w:p w:rsidR="00306FB4" w:rsidP="72670F06" w:rsidRDefault="00CD537C" w14:paraId="0EFC28F0" w14:textId="2E473925">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Student Number: 2419396</w:t>
      </w:r>
    </w:p>
    <w:p w:rsidR="00306FB4" w:rsidP="72670F06" w:rsidRDefault="00CD537C" w14:paraId="7F99C2B1" w14:textId="4987C26E">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US"/>
        </w:rPr>
        <w:t xml:space="preserve">Lecture Name: </w:t>
      </w:r>
      <w:r w:rsidRPr="72670F06" w:rsidR="3D0DA40D">
        <w:rPr>
          <w:rFonts w:ascii="Times New Roman" w:hAnsi="Times New Roman" w:eastAsia="Times New Roman" w:cs="Times New Roman"/>
          <w:b w:val="1"/>
          <w:bCs w:val="1"/>
          <w:noProof w:val="0"/>
          <w:sz w:val="24"/>
          <w:szCs w:val="24"/>
          <w:lang w:val="en-US"/>
        </w:rPr>
        <w:t>Tsiwani</w:t>
      </w:r>
      <w:r w:rsidRPr="72670F06" w:rsidR="3D0DA40D">
        <w:rPr>
          <w:rFonts w:ascii="Times New Roman" w:hAnsi="Times New Roman" w:eastAsia="Times New Roman" w:cs="Times New Roman"/>
          <w:b w:val="1"/>
          <w:bCs w:val="1"/>
          <w:noProof w:val="0"/>
          <w:sz w:val="24"/>
          <w:szCs w:val="24"/>
          <w:lang w:val="en-US"/>
        </w:rPr>
        <w:t xml:space="preserve"> Khumalo</w:t>
      </w:r>
    </w:p>
    <w:p w:rsidR="00306FB4" w:rsidP="72670F06" w:rsidRDefault="00CD537C" w14:paraId="78280D94" w14:textId="41868BCC">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Module Title: Principles of Health and Social Care Practice</w:t>
      </w:r>
    </w:p>
    <w:p w:rsidR="00306FB4" w:rsidP="72670F06" w:rsidRDefault="00CD537C" w14:paraId="2A9A3864" w14:textId="74B57F90">
      <w:pPr>
        <w:spacing w:before="0" w:beforeAutospacing="off" w:after="0" w:afterAutospacing="off" w:line="480" w:lineRule="auto"/>
        <w:jc w:val="center"/>
      </w:pPr>
      <w:r w:rsidRPr="72670F06" w:rsidR="3D0DA40D">
        <w:rPr>
          <w:rFonts w:ascii="Times New Roman" w:hAnsi="Times New Roman" w:eastAsia="Times New Roman" w:cs="Times New Roman"/>
          <w:b w:val="1"/>
          <w:bCs w:val="1"/>
          <w:noProof w:val="0"/>
          <w:sz w:val="24"/>
          <w:szCs w:val="24"/>
          <w:lang w:val="en"/>
        </w:rPr>
        <w:t>Module Code: BMHP5016</w:t>
      </w:r>
    </w:p>
    <w:p w:rsidR="00306FB4" w:rsidP="72670F06" w:rsidRDefault="00CD537C" w14:paraId="00000006" w14:textId="37EA2AD4">
      <w:pPr>
        <w:pStyle w:val="Normal"/>
        <w:jc w:val="center"/>
        <w:rPr>
          <w:b w:val="1"/>
          <w:bCs w:val="1"/>
          <w:lang w:val="en-US"/>
        </w:rPr>
      </w:pPr>
      <w:r w:rsidRPr="72670F06" w:rsidR="00CD537C">
        <w:rPr>
          <w:b w:val="1"/>
          <w:bCs w:val="1"/>
          <w:lang w:val="en-US"/>
        </w:rPr>
        <w:t>An Evaluation of Person-</w:t>
      </w:r>
      <w:r w:rsidRPr="72670F06" w:rsidR="00CD537C">
        <w:rPr>
          <w:b w:val="1"/>
          <w:bCs w:val="1"/>
          <w:lang w:val="en-US"/>
        </w:rPr>
        <w:t>Centred</w:t>
      </w:r>
      <w:r w:rsidRPr="72670F06" w:rsidR="00CD537C">
        <w:rPr>
          <w:b w:val="1"/>
          <w:bCs w:val="1"/>
          <w:lang w:val="en-US"/>
        </w:rPr>
        <w:t xml:space="preserve"> Care (PCC) and Partnership Working (PW): A Focus on Physiotherapy within Elderly Community Care settings</w:t>
      </w:r>
    </w:p>
    <w:p w:rsidR="00306FB4" w:rsidRDefault="00306FB4" w14:paraId="00000007" w14:textId="77777777">
      <w:pPr>
        <w:jc w:val="center"/>
        <w:rPr>
          <w:b/>
          <w:bCs/>
        </w:rPr>
      </w:pPr>
    </w:p>
    <w:p w:rsidR="00306FB4" w:rsidRDefault="00306FB4" w14:paraId="00000008" w14:textId="77777777">
      <w:pPr>
        <w:jc w:val="center"/>
        <w:rPr>
          <w:b/>
          <w:bCs/>
        </w:rPr>
      </w:pPr>
    </w:p>
    <w:p w:rsidR="00306FB4" w:rsidRDefault="00306FB4" w14:paraId="00000009" w14:textId="77777777">
      <w:pPr>
        <w:jc w:val="center"/>
        <w:rPr>
          <w:b/>
          <w:bCs/>
        </w:rPr>
      </w:pPr>
    </w:p>
    <w:p w:rsidR="00306FB4" w:rsidRDefault="00306FB4" w14:paraId="0000000A" w14:textId="77777777">
      <w:pPr>
        <w:jc w:val="center"/>
        <w:rPr>
          <w:b/>
          <w:bCs/>
        </w:rPr>
      </w:pPr>
    </w:p>
    <w:p w:rsidR="00306FB4" w:rsidRDefault="00306FB4" w14:paraId="0000000B" w14:textId="77777777">
      <w:pPr>
        <w:jc w:val="center"/>
        <w:rPr>
          <w:b/>
          <w:bCs/>
        </w:rPr>
      </w:pPr>
    </w:p>
    <w:p w:rsidR="00306FB4" w:rsidRDefault="00306FB4" w14:paraId="0000000C" w14:textId="77777777">
      <w:pPr>
        <w:jc w:val="center"/>
        <w:rPr>
          <w:b/>
          <w:bCs/>
        </w:rPr>
      </w:pPr>
    </w:p>
    <w:p w:rsidR="00306FB4" w:rsidRDefault="00306FB4" w14:paraId="0000000D" w14:textId="77777777">
      <w:pPr>
        <w:jc w:val="center"/>
        <w:rPr>
          <w:b/>
          <w:bCs/>
        </w:rPr>
      </w:pPr>
    </w:p>
    <w:p w:rsidR="00306FB4" w:rsidRDefault="00306FB4" w14:paraId="0000000E" w14:textId="77777777">
      <w:pPr>
        <w:jc w:val="center"/>
        <w:rPr>
          <w:b/>
          <w:bCs/>
        </w:rPr>
      </w:pPr>
    </w:p>
    <w:p w:rsidR="00306FB4" w:rsidRDefault="00306FB4" w14:paraId="0000000F" w14:textId="77777777">
      <w:pPr>
        <w:jc w:val="center"/>
        <w:rPr>
          <w:b/>
          <w:bCs/>
        </w:rPr>
      </w:pPr>
    </w:p>
    <w:p w:rsidR="00306FB4" w:rsidRDefault="00306FB4" w14:paraId="00000010" w14:textId="77777777">
      <w:pPr>
        <w:jc w:val="center"/>
        <w:rPr>
          <w:b/>
          <w:bCs/>
        </w:rPr>
      </w:pPr>
    </w:p>
    <w:p w:rsidR="00306FB4" w:rsidRDefault="00306FB4" w14:paraId="00000011" w14:textId="77777777">
      <w:pPr>
        <w:jc w:val="center"/>
        <w:rPr>
          <w:b/>
          <w:bCs/>
        </w:rPr>
      </w:pPr>
    </w:p>
    <w:p w:rsidR="00306FB4" w:rsidRDefault="00CD537C" w14:paraId="00000014" w14:textId="513E5C3D">
      <w:pPr>
        <w:jc w:val="center"/>
        <w:rPr>
          <w:b/>
          <w:bCs/>
        </w:rPr>
      </w:pPr>
      <w:r>
        <w:br w:type="page"/>
      </w:r>
    </w:p>
    <w:p w:rsidR="00306FB4" w:rsidRDefault="00CD537C" w14:paraId="00000015" w14:textId="77777777">
      <w:pPr>
        <w:jc w:val="center"/>
        <w:rPr>
          <w:b/>
          <w:bCs/>
          <w:sz w:val="28"/>
          <w:szCs w:val="28"/>
        </w:rPr>
      </w:pPr>
      <w:r>
        <w:rPr>
          <w:b/>
          <w:bCs/>
          <w:sz w:val="28"/>
          <w:szCs w:val="28"/>
        </w:rPr>
        <w:t>Abstract</w:t>
      </w:r>
    </w:p>
    <w:p w:rsidR="00306FB4" w:rsidP="5DDB30B6" w:rsidRDefault="00CD537C" w14:paraId="770E288C" w14:textId="6F79C1F1">
      <w:pPr>
        <w:rPr>
          <w:sz w:val="22"/>
          <w:szCs w:val="22"/>
          <w:lang w:val="en-US"/>
        </w:rPr>
      </w:pPr>
      <w:r w:rsidRPr="5DDB30B6" w:rsidR="00CD537C">
        <w:rPr>
          <w:sz w:val="22"/>
          <w:szCs w:val="22"/>
          <w:lang w:val="en-US"/>
        </w:rPr>
        <w:t>This report strongly analyses the aspects of implementing person-</w:t>
      </w:r>
      <w:r w:rsidRPr="5DDB30B6" w:rsidR="00CD537C">
        <w:rPr>
          <w:sz w:val="22"/>
          <w:szCs w:val="22"/>
          <w:lang w:val="en-US"/>
        </w:rPr>
        <w:t>centred</w:t>
      </w:r>
      <w:r w:rsidRPr="5DDB30B6" w:rsidR="00CD537C">
        <w:rPr>
          <w:sz w:val="22"/>
          <w:szCs w:val="22"/>
          <w:lang w:val="en-US"/>
        </w:rPr>
        <w:t xml:space="preserve"> care (PCC) and partnership working (PW) in the context of physiotherapy and </w:t>
      </w:r>
      <w:r w:rsidRPr="5DDB30B6" w:rsidR="00CD537C">
        <w:rPr>
          <w:sz w:val="22"/>
          <w:szCs w:val="22"/>
          <w:lang w:val="en-US"/>
        </w:rPr>
        <w:t>the elderly</w:t>
      </w:r>
      <w:r w:rsidRPr="5DDB30B6" w:rsidR="00CD537C">
        <w:rPr>
          <w:sz w:val="22"/>
          <w:szCs w:val="22"/>
          <w:lang w:val="en-US"/>
        </w:rPr>
        <w:t xml:space="preserve"> community care. PCC </w:t>
      </w:r>
      <w:r w:rsidRPr="5DDB30B6" w:rsidR="39F3070E">
        <w:rPr>
          <w:sz w:val="22"/>
          <w:szCs w:val="22"/>
          <w:lang w:val="en-US"/>
        </w:rPr>
        <w:t>essentialy</w:t>
      </w:r>
      <w:r w:rsidRPr="5DDB30B6" w:rsidR="00CD537C">
        <w:rPr>
          <w:sz w:val="22"/>
          <w:szCs w:val="22"/>
          <w:lang w:val="en-US"/>
        </w:rPr>
        <w:t xml:space="preserve"> adapts the practice approach heavily based on distinct biomedical approaches to holistic and </w:t>
      </w:r>
      <w:r w:rsidRPr="5DDB30B6" w:rsidR="00CD537C">
        <w:rPr>
          <w:sz w:val="22"/>
          <w:szCs w:val="22"/>
          <w:lang w:val="en-US"/>
        </w:rPr>
        <w:t>personalised</w:t>
      </w:r>
      <w:r w:rsidRPr="5DDB30B6" w:rsidR="00CD537C">
        <w:rPr>
          <w:sz w:val="22"/>
          <w:szCs w:val="22"/>
          <w:lang w:val="en-US"/>
        </w:rPr>
        <w:t xml:space="preserve"> approaches, </w:t>
      </w:r>
      <w:r w:rsidRPr="5DDB30B6" w:rsidR="00CD537C">
        <w:rPr>
          <w:sz w:val="22"/>
          <w:szCs w:val="22"/>
          <w:lang w:val="en-US"/>
        </w:rPr>
        <w:t>whereas</w:t>
      </w:r>
      <w:r w:rsidRPr="5DDB30B6" w:rsidR="00CD537C">
        <w:rPr>
          <w:sz w:val="22"/>
          <w:szCs w:val="22"/>
          <w:lang w:val="en-US"/>
        </w:rPr>
        <w:t xml:space="preserve"> PW highlights the need to provide interprofessional collaboration between health and social care sectors. The implementation of concepts that have been supported by the Biopsychosocial model and the Person-</w:t>
      </w:r>
      <w:r w:rsidRPr="5DDB30B6" w:rsidR="00CD537C">
        <w:rPr>
          <w:sz w:val="22"/>
          <w:szCs w:val="22"/>
          <w:lang w:val="en-US"/>
        </w:rPr>
        <w:t>Centred</w:t>
      </w:r>
      <w:r w:rsidRPr="5DDB30B6" w:rsidR="00CD537C">
        <w:rPr>
          <w:sz w:val="22"/>
          <w:szCs w:val="22"/>
          <w:lang w:val="en-US"/>
        </w:rPr>
        <w:t xml:space="preserve"> Practice Framework is not </w:t>
      </w:r>
      <w:r w:rsidRPr="5DDB30B6" w:rsidR="2A0D7090">
        <w:rPr>
          <w:sz w:val="22"/>
          <w:szCs w:val="22"/>
          <w:lang w:val="en-US"/>
        </w:rPr>
        <w:t>only</w:t>
      </w:r>
      <w:r w:rsidRPr="5DDB30B6" w:rsidR="00CD537C">
        <w:rPr>
          <w:sz w:val="22"/>
          <w:szCs w:val="22"/>
          <w:lang w:val="en-US"/>
        </w:rPr>
        <w:t xml:space="preserve"> essential but also required by the legislature, including the Care Act 2014 and Health a</w:t>
      </w:r>
      <w:r w:rsidRPr="5DDB30B6" w:rsidR="00CD537C">
        <w:rPr>
          <w:sz w:val="22"/>
          <w:szCs w:val="22"/>
          <w:lang w:val="en-US"/>
        </w:rPr>
        <w:t xml:space="preserve">nd Care Act 2022. </w:t>
      </w:r>
    </w:p>
    <w:p w:rsidR="00306FB4" w:rsidP="5DDB30B6" w:rsidRDefault="00CD537C" w14:paraId="572876EC" w14:textId="5D68C46A">
      <w:pPr>
        <w:rPr>
          <w:sz w:val="22"/>
          <w:szCs w:val="22"/>
          <w:lang w:val="en-US"/>
        </w:rPr>
      </w:pPr>
    </w:p>
    <w:p w:rsidR="00306FB4" w:rsidP="5DDB30B6" w:rsidRDefault="00CD537C" w14:paraId="00000016" w14:textId="20E3A2C1">
      <w:pPr>
        <w:rPr>
          <w:sz w:val="22"/>
          <w:szCs w:val="22"/>
          <w:lang w:val="en-US"/>
        </w:rPr>
      </w:pPr>
      <w:r w:rsidRPr="5DDB30B6" w:rsidR="00CD537C">
        <w:rPr>
          <w:sz w:val="22"/>
          <w:szCs w:val="22"/>
          <w:lang w:val="en-US"/>
        </w:rPr>
        <w:t xml:space="preserve">Nevertheless, the greatest implications of the discovery include the fact that systemic problems, more specifically, the lack of cohesion when using interagency communication and the extreme shortage of resources, are major obstacles to successful implementation. This report proposes addressing these gaps in practice by </w:t>
      </w:r>
      <w:r w:rsidRPr="5DDB30B6" w:rsidR="00CD537C">
        <w:rPr>
          <w:sz w:val="22"/>
          <w:szCs w:val="22"/>
          <w:lang w:val="en-US"/>
        </w:rPr>
        <w:t>expediting</w:t>
      </w:r>
      <w:r w:rsidRPr="5DDB30B6" w:rsidR="00CD537C">
        <w:rPr>
          <w:sz w:val="22"/>
          <w:szCs w:val="22"/>
          <w:lang w:val="en-US"/>
        </w:rPr>
        <w:t xml:space="preserve"> the use of </w:t>
      </w:r>
      <w:r w:rsidRPr="5DDB30B6" w:rsidR="654D4D0B">
        <w:rPr>
          <w:sz w:val="22"/>
          <w:szCs w:val="22"/>
          <w:lang w:val="en-US"/>
        </w:rPr>
        <w:t>compatible</w:t>
      </w:r>
      <w:r w:rsidRPr="5DDB30B6" w:rsidR="00CD537C">
        <w:rPr>
          <w:sz w:val="22"/>
          <w:szCs w:val="22"/>
          <w:lang w:val="en-US"/>
        </w:rPr>
        <w:t xml:space="preserve"> digital health records and joint interprofessional training with specific emphasis on the necessity of specific funding to </w:t>
      </w:r>
      <w:r w:rsidRPr="5DDB30B6" w:rsidR="00CD537C">
        <w:rPr>
          <w:sz w:val="22"/>
          <w:szCs w:val="22"/>
          <w:lang w:val="en-US"/>
        </w:rPr>
        <w:t>eliminate</w:t>
      </w:r>
      <w:r w:rsidRPr="5DDB30B6" w:rsidR="00CD537C">
        <w:rPr>
          <w:sz w:val="22"/>
          <w:szCs w:val="22"/>
          <w:lang w:val="en-US"/>
        </w:rPr>
        <w:t xml:space="preserve"> any</w:t>
      </w:r>
      <w:r w:rsidRPr="5DDB30B6" w:rsidR="00CD537C">
        <w:rPr>
          <w:sz w:val="22"/>
          <w:szCs w:val="22"/>
          <w:lang w:val="en-US"/>
        </w:rPr>
        <w:t xml:space="preserve"> existing barriers to the current </w:t>
      </w:r>
      <w:r w:rsidRPr="5DDB30B6" w:rsidR="00CD537C">
        <w:rPr>
          <w:sz w:val="22"/>
          <w:szCs w:val="22"/>
          <w:lang w:val="en-US"/>
        </w:rPr>
        <w:t>operation.</w:t>
      </w:r>
      <w:r w:rsidRPr="5DDB30B6">
        <w:rPr>
          <w:sz w:val="22"/>
          <w:szCs w:val="22"/>
          <w:lang w:val="en-US"/>
        </w:rPr>
        <w:br w:type="page"/>
      </w:r>
    </w:p>
    <w:p w:rsidR="00306FB4" w:rsidP="5DDB30B6" w:rsidRDefault="00CD537C" w14:paraId="00000017" w14:textId="77777777">
      <w:pPr>
        <w:jc w:val="center"/>
        <w:rPr>
          <w:sz w:val="22"/>
          <w:szCs w:val="22"/>
        </w:rPr>
      </w:pPr>
      <w:r w:rsidRPr="5DDB30B6" w:rsidR="00CD537C">
        <w:rPr>
          <w:b w:val="1"/>
          <w:bCs w:val="1"/>
          <w:sz w:val="22"/>
          <w:szCs w:val="22"/>
        </w:rPr>
        <w:t>Table of Contents</w:t>
      </w:r>
      <w:r w:rsidRPr="5DDB30B6" w:rsidR="00CD537C">
        <w:rPr>
          <w:sz w:val="22"/>
          <w:szCs w:val="22"/>
        </w:rPr>
        <w:t xml:space="preserve"> </w:t>
      </w:r>
    </w:p>
    <w:sdt>
      <w:sdtPr>
        <w:id w:val="-1109417240"/>
        <w:docPartObj>
          <w:docPartGallery w:val="Table of Contents"/>
          <w:docPartUnique/>
        </w:docPartObj>
        <w:rPr>
          <w:rStyle w:val="Hyperlink"/>
          <w:noProof/>
          <w:sz w:val="22"/>
          <w:szCs w:val="22"/>
        </w:rPr>
      </w:sdtPr>
      <w:sdtEndPr/>
      <w:sdtContent>
        <w:p w:rsidR="001F7B86" w:rsidP="5DDB30B6" w:rsidRDefault="00CD537C" w14:paraId="3EEA8343" w14:textId="77D3D16D">
          <w:pPr>
            <w:pStyle w:val="TOC1"/>
            <w:tabs>
              <w:tab w:val="right" w:pos="9350"/>
            </w:tabs>
            <w:rPr>
              <w:noProof/>
              <w:sz w:val="22"/>
              <w:szCs w:val="22"/>
            </w:rPr>
          </w:pPr>
          <w:r>
            <w:fldChar w:fldCharType="begin"/>
          </w:r>
          <w:r>
            <w:instrText xml:space="preserve"> TOC \h \u \z \t "Heading 1,1,Heading 2,2,Heading 3,3,Heading 4,4,Heading 5,5,Heading 6,6,"</w:instrText>
          </w:r>
          <w:r>
            <w:fldChar w:fldCharType="separate"/>
          </w:r>
          <w:hyperlink w:history="1" w:anchor="_Toc224139199">
            <w:r w:rsidRPr="5DDB30B6" w:rsidR="001F7B86">
              <w:rPr>
                <w:rStyle w:val="Hyperlink"/>
                <w:noProof/>
                <w:sz w:val="22"/>
                <w:szCs w:val="22"/>
              </w:rPr>
              <w:t>Introduction</w:t>
            </w:r>
            <w:r w:rsidR="001F7B86">
              <w:rPr>
                <w:noProof/>
                <w:webHidden/>
              </w:rPr>
              <w:tab/>
            </w:r>
            <w:r w:rsidR="001F7B86">
              <w:rPr>
                <w:noProof/>
                <w:webHidden/>
              </w:rPr>
              <w:fldChar w:fldCharType="begin"/>
            </w:r>
            <w:r w:rsidR="001F7B86">
              <w:rPr>
                <w:noProof/>
                <w:webHidden/>
              </w:rPr>
              <w:instrText xml:space="preserve"> PAGEREF _Toc224139199 \h </w:instrText>
            </w:r>
            <w:r w:rsidR="001F7B86">
              <w:rPr>
                <w:noProof/>
                <w:webHidden/>
              </w:rPr>
            </w:r>
            <w:r w:rsidR="001F7B86">
              <w:rPr>
                <w:noProof/>
                <w:webHidden/>
              </w:rPr>
              <w:fldChar w:fldCharType="separate"/>
            </w:r>
            <w:r w:rsidR="001F7B86">
              <w:rPr>
                <w:noProof/>
                <w:webHidden/>
              </w:rPr>
              <w:t>3</w:t>
            </w:r>
            <w:r w:rsidR="001F7B86">
              <w:rPr>
                <w:noProof/>
                <w:webHidden/>
              </w:rPr>
              <w:fldChar w:fldCharType="end"/>
            </w:r>
          </w:hyperlink>
        </w:p>
        <w:p w:rsidR="001F7B86" w:rsidP="5DDB30B6" w:rsidRDefault="001F7B86" w14:paraId="45BA69CC" w14:textId="339AB4FA">
          <w:pPr>
            <w:pStyle w:val="TOC1"/>
            <w:tabs>
              <w:tab w:val="right" w:pos="9350"/>
            </w:tabs>
            <w:rPr>
              <w:noProof/>
              <w:sz w:val="22"/>
              <w:szCs w:val="22"/>
            </w:rPr>
          </w:pPr>
          <w:hyperlink w:history="1" w:anchor="_Toc224139200">
            <w:r w:rsidRPr="5DDB30B6" w:rsidR="001F7B86">
              <w:rPr>
                <w:rStyle w:val="Hyperlink"/>
                <w:noProof/>
                <w:sz w:val="22"/>
                <w:szCs w:val="22"/>
              </w:rPr>
              <w:t>Definition of PCC</w:t>
            </w:r>
            <w:r>
              <w:rPr>
                <w:noProof/>
                <w:webHidden/>
              </w:rPr>
              <w:tab/>
            </w:r>
            <w:r>
              <w:rPr>
                <w:noProof/>
                <w:webHidden/>
              </w:rPr>
              <w:fldChar w:fldCharType="begin"/>
            </w:r>
            <w:r>
              <w:rPr>
                <w:noProof/>
                <w:webHidden/>
              </w:rPr>
              <w:instrText xml:space="preserve"> PAGEREF _Toc224139200 \h </w:instrText>
            </w:r>
            <w:r>
              <w:rPr>
                <w:noProof/>
                <w:webHidden/>
              </w:rPr>
            </w:r>
            <w:r>
              <w:rPr>
                <w:noProof/>
                <w:webHidden/>
              </w:rPr>
              <w:fldChar w:fldCharType="separate"/>
            </w:r>
            <w:r w:rsidR="001F7B86">
              <w:rPr>
                <w:noProof/>
                <w:webHidden/>
              </w:rPr>
              <w:t>3</w:t>
            </w:r>
            <w:r>
              <w:rPr>
                <w:noProof/>
                <w:webHidden/>
              </w:rPr>
              <w:fldChar w:fldCharType="end"/>
            </w:r>
          </w:hyperlink>
        </w:p>
        <w:p w:rsidR="001F7B86" w:rsidP="5DDB30B6" w:rsidRDefault="001F7B86" w14:paraId="1B798364" w14:textId="7CDC1B3A">
          <w:pPr>
            <w:pStyle w:val="TOC1"/>
            <w:tabs>
              <w:tab w:val="right" w:pos="9350"/>
            </w:tabs>
            <w:rPr>
              <w:noProof/>
              <w:sz w:val="22"/>
              <w:szCs w:val="22"/>
            </w:rPr>
          </w:pPr>
          <w:hyperlink w:history="1" w:anchor="_Toc224139201">
            <w:r w:rsidRPr="5DDB30B6" w:rsidR="001F7B86">
              <w:rPr>
                <w:rStyle w:val="Hyperlink"/>
                <w:noProof/>
                <w:sz w:val="22"/>
                <w:szCs w:val="22"/>
              </w:rPr>
              <w:t>Relevant Theories</w:t>
            </w:r>
            <w:r>
              <w:rPr>
                <w:noProof/>
                <w:webHidden/>
              </w:rPr>
              <w:tab/>
            </w:r>
            <w:r>
              <w:rPr>
                <w:noProof/>
                <w:webHidden/>
              </w:rPr>
              <w:fldChar w:fldCharType="begin"/>
            </w:r>
            <w:r>
              <w:rPr>
                <w:noProof/>
                <w:webHidden/>
              </w:rPr>
              <w:instrText xml:space="preserve"> PAGEREF _Toc224139201 \h </w:instrText>
            </w:r>
            <w:r>
              <w:rPr>
                <w:noProof/>
                <w:webHidden/>
              </w:rPr>
            </w:r>
            <w:r>
              <w:rPr>
                <w:noProof/>
                <w:webHidden/>
              </w:rPr>
              <w:fldChar w:fldCharType="separate"/>
            </w:r>
            <w:r w:rsidR="001F7B86">
              <w:rPr>
                <w:noProof/>
                <w:webHidden/>
              </w:rPr>
              <w:t>4</w:t>
            </w:r>
            <w:r>
              <w:rPr>
                <w:noProof/>
                <w:webHidden/>
              </w:rPr>
              <w:fldChar w:fldCharType="end"/>
            </w:r>
          </w:hyperlink>
        </w:p>
        <w:p w:rsidR="001F7B86" w:rsidP="5DDB30B6" w:rsidRDefault="001F7B86" w14:paraId="1FB2435C" w14:textId="55165099">
          <w:pPr>
            <w:pStyle w:val="TOC1"/>
            <w:tabs>
              <w:tab w:val="right" w:pos="9350"/>
            </w:tabs>
            <w:rPr>
              <w:noProof/>
              <w:sz w:val="22"/>
              <w:szCs w:val="22"/>
            </w:rPr>
          </w:pPr>
          <w:hyperlink w:history="1" w:anchor="_Toc224139202">
            <w:r w:rsidRPr="5DDB30B6" w:rsidR="001F7B86">
              <w:rPr>
                <w:rStyle w:val="Hyperlink"/>
                <w:noProof/>
                <w:sz w:val="22"/>
                <w:szCs w:val="22"/>
              </w:rPr>
              <w:t>Ethical Fundamentals</w:t>
            </w:r>
            <w:r>
              <w:rPr>
                <w:noProof/>
                <w:webHidden/>
              </w:rPr>
              <w:tab/>
            </w:r>
            <w:r>
              <w:rPr>
                <w:noProof/>
                <w:webHidden/>
              </w:rPr>
              <w:fldChar w:fldCharType="begin"/>
            </w:r>
            <w:r>
              <w:rPr>
                <w:noProof/>
                <w:webHidden/>
              </w:rPr>
              <w:instrText xml:space="preserve"> PAGEREF _Toc224139202 \h </w:instrText>
            </w:r>
            <w:r>
              <w:rPr>
                <w:noProof/>
                <w:webHidden/>
              </w:rPr>
            </w:r>
            <w:r>
              <w:rPr>
                <w:noProof/>
                <w:webHidden/>
              </w:rPr>
              <w:fldChar w:fldCharType="separate"/>
            </w:r>
            <w:r w:rsidR="001F7B86">
              <w:rPr>
                <w:noProof/>
                <w:webHidden/>
              </w:rPr>
              <w:t>5</w:t>
            </w:r>
            <w:r>
              <w:rPr>
                <w:noProof/>
                <w:webHidden/>
              </w:rPr>
              <w:fldChar w:fldCharType="end"/>
            </w:r>
          </w:hyperlink>
        </w:p>
        <w:p w:rsidR="001F7B86" w:rsidP="5DDB30B6" w:rsidRDefault="001F7B86" w14:paraId="14CEE476" w14:textId="3D244874">
          <w:pPr>
            <w:pStyle w:val="TOC1"/>
            <w:tabs>
              <w:tab w:val="right" w:pos="9350"/>
            </w:tabs>
            <w:rPr>
              <w:noProof/>
              <w:sz w:val="22"/>
              <w:szCs w:val="22"/>
            </w:rPr>
          </w:pPr>
          <w:hyperlink w:history="1" w:anchor="_Toc224139203">
            <w:r w:rsidRPr="5DDB30B6" w:rsidR="001F7B86">
              <w:rPr>
                <w:rStyle w:val="Hyperlink"/>
                <w:noProof/>
                <w:sz w:val="22"/>
                <w:szCs w:val="22"/>
              </w:rPr>
              <w:t>Evaluation of Partnership Working</w:t>
            </w:r>
            <w:r>
              <w:rPr>
                <w:noProof/>
                <w:webHidden/>
              </w:rPr>
              <w:tab/>
            </w:r>
            <w:r>
              <w:rPr>
                <w:noProof/>
                <w:webHidden/>
              </w:rPr>
              <w:fldChar w:fldCharType="begin"/>
            </w:r>
            <w:r>
              <w:rPr>
                <w:noProof/>
                <w:webHidden/>
              </w:rPr>
              <w:instrText xml:space="preserve"> PAGEREF _Toc224139203 \h </w:instrText>
            </w:r>
            <w:r>
              <w:rPr>
                <w:noProof/>
                <w:webHidden/>
              </w:rPr>
            </w:r>
            <w:r>
              <w:rPr>
                <w:noProof/>
                <w:webHidden/>
              </w:rPr>
              <w:fldChar w:fldCharType="separate"/>
            </w:r>
            <w:r w:rsidR="001F7B86">
              <w:rPr>
                <w:noProof/>
                <w:webHidden/>
              </w:rPr>
              <w:t>6</w:t>
            </w:r>
            <w:r>
              <w:rPr>
                <w:noProof/>
                <w:webHidden/>
              </w:rPr>
              <w:fldChar w:fldCharType="end"/>
            </w:r>
          </w:hyperlink>
        </w:p>
        <w:p w:rsidR="001F7B86" w:rsidP="5DDB30B6" w:rsidRDefault="001F7B86" w14:paraId="601F33A5" w14:textId="712D6D0A">
          <w:pPr>
            <w:pStyle w:val="TOC1"/>
            <w:tabs>
              <w:tab w:val="right" w:pos="9350"/>
            </w:tabs>
            <w:rPr>
              <w:noProof/>
              <w:sz w:val="22"/>
              <w:szCs w:val="22"/>
            </w:rPr>
          </w:pPr>
          <w:hyperlink w:history="1" w:anchor="_Toc224139204">
            <w:r w:rsidRPr="5DDB30B6" w:rsidR="001F7B86">
              <w:rPr>
                <w:rStyle w:val="Hyperlink"/>
                <w:noProof/>
                <w:sz w:val="22"/>
                <w:szCs w:val="22"/>
              </w:rPr>
              <w:t>Policy and Legislation</w:t>
            </w:r>
            <w:r>
              <w:rPr>
                <w:noProof/>
                <w:webHidden/>
              </w:rPr>
              <w:tab/>
            </w:r>
            <w:r>
              <w:rPr>
                <w:noProof/>
                <w:webHidden/>
              </w:rPr>
              <w:fldChar w:fldCharType="begin"/>
            </w:r>
            <w:r>
              <w:rPr>
                <w:noProof/>
                <w:webHidden/>
              </w:rPr>
              <w:instrText xml:space="preserve"> PAGEREF _Toc224139204 \h </w:instrText>
            </w:r>
            <w:r>
              <w:rPr>
                <w:noProof/>
                <w:webHidden/>
              </w:rPr>
            </w:r>
            <w:r>
              <w:rPr>
                <w:noProof/>
                <w:webHidden/>
              </w:rPr>
              <w:fldChar w:fldCharType="separate"/>
            </w:r>
            <w:r w:rsidR="001F7B86">
              <w:rPr>
                <w:noProof/>
                <w:webHidden/>
              </w:rPr>
              <w:t>8</w:t>
            </w:r>
            <w:r>
              <w:rPr>
                <w:noProof/>
                <w:webHidden/>
              </w:rPr>
              <w:fldChar w:fldCharType="end"/>
            </w:r>
          </w:hyperlink>
        </w:p>
        <w:p w:rsidR="001F7B86" w:rsidP="5DDB30B6" w:rsidRDefault="001F7B86" w14:paraId="280D244C" w14:textId="4CC55A37">
          <w:pPr>
            <w:pStyle w:val="TOC1"/>
            <w:tabs>
              <w:tab w:val="right" w:pos="9350"/>
            </w:tabs>
            <w:rPr>
              <w:noProof/>
              <w:sz w:val="22"/>
              <w:szCs w:val="22"/>
            </w:rPr>
          </w:pPr>
          <w:hyperlink w:history="1" w:anchor="_Toc224139205">
            <w:r w:rsidRPr="5DDB30B6" w:rsidR="001F7B86">
              <w:rPr>
                <w:rStyle w:val="Hyperlink"/>
                <w:noProof/>
                <w:sz w:val="22"/>
                <w:szCs w:val="22"/>
              </w:rPr>
              <w:t>Recommendations</w:t>
            </w:r>
            <w:r>
              <w:rPr>
                <w:noProof/>
                <w:webHidden/>
              </w:rPr>
              <w:tab/>
            </w:r>
            <w:r>
              <w:rPr>
                <w:noProof/>
                <w:webHidden/>
              </w:rPr>
              <w:fldChar w:fldCharType="begin"/>
            </w:r>
            <w:r>
              <w:rPr>
                <w:noProof/>
                <w:webHidden/>
              </w:rPr>
              <w:instrText xml:space="preserve"> PAGEREF _Toc224139205 \h </w:instrText>
            </w:r>
            <w:r>
              <w:rPr>
                <w:noProof/>
                <w:webHidden/>
              </w:rPr>
            </w:r>
            <w:r>
              <w:rPr>
                <w:noProof/>
                <w:webHidden/>
              </w:rPr>
              <w:fldChar w:fldCharType="separate"/>
            </w:r>
            <w:r w:rsidR="001F7B86">
              <w:rPr>
                <w:noProof/>
                <w:webHidden/>
              </w:rPr>
              <w:t>9</w:t>
            </w:r>
            <w:r>
              <w:rPr>
                <w:noProof/>
                <w:webHidden/>
              </w:rPr>
              <w:fldChar w:fldCharType="end"/>
            </w:r>
          </w:hyperlink>
        </w:p>
        <w:p w:rsidR="001F7B86" w:rsidP="5DDB30B6" w:rsidRDefault="001F7B86" w14:paraId="1B364BE8" w14:textId="32915B61">
          <w:pPr>
            <w:pStyle w:val="TOC1"/>
            <w:tabs>
              <w:tab w:val="right" w:pos="9350"/>
            </w:tabs>
            <w:rPr>
              <w:noProof/>
              <w:sz w:val="22"/>
              <w:szCs w:val="22"/>
            </w:rPr>
          </w:pPr>
          <w:hyperlink w:history="1" w:anchor="_Toc224139206">
            <w:r w:rsidRPr="5DDB30B6" w:rsidR="001F7B86">
              <w:rPr>
                <w:rStyle w:val="Hyperlink"/>
                <w:noProof/>
                <w:sz w:val="22"/>
                <w:szCs w:val="22"/>
              </w:rPr>
              <w:t>Conclusion</w:t>
            </w:r>
            <w:r>
              <w:rPr>
                <w:noProof/>
                <w:webHidden/>
              </w:rPr>
              <w:tab/>
            </w:r>
            <w:r>
              <w:rPr>
                <w:noProof/>
                <w:webHidden/>
              </w:rPr>
              <w:fldChar w:fldCharType="begin"/>
            </w:r>
            <w:r>
              <w:rPr>
                <w:noProof/>
                <w:webHidden/>
              </w:rPr>
              <w:instrText xml:space="preserve"> PAGEREF _Toc224139206 \h </w:instrText>
            </w:r>
            <w:r>
              <w:rPr>
                <w:noProof/>
                <w:webHidden/>
              </w:rPr>
            </w:r>
            <w:r>
              <w:rPr>
                <w:noProof/>
                <w:webHidden/>
              </w:rPr>
              <w:fldChar w:fldCharType="separate"/>
            </w:r>
            <w:r w:rsidR="001F7B86">
              <w:rPr>
                <w:noProof/>
                <w:webHidden/>
              </w:rPr>
              <w:t>10</w:t>
            </w:r>
            <w:r>
              <w:rPr>
                <w:noProof/>
                <w:webHidden/>
              </w:rPr>
              <w:fldChar w:fldCharType="end"/>
            </w:r>
          </w:hyperlink>
        </w:p>
        <w:p w:rsidR="001F7B86" w:rsidP="5DDB30B6" w:rsidRDefault="001F7B86" w14:paraId="0D0AC406" w14:textId="69FF293C">
          <w:pPr>
            <w:pStyle w:val="TOC1"/>
            <w:tabs>
              <w:tab w:val="right" w:pos="9350"/>
            </w:tabs>
            <w:rPr>
              <w:noProof/>
              <w:sz w:val="22"/>
              <w:szCs w:val="22"/>
            </w:rPr>
          </w:pPr>
          <w:hyperlink w:history="1" w:anchor="_Toc224139207">
            <w:r w:rsidRPr="5DDB30B6" w:rsidR="001F7B86">
              <w:rPr>
                <w:rStyle w:val="Hyperlink"/>
                <w:noProof/>
                <w:sz w:val="22"/>
                <w:szCs w:val="22"/>
              </w:rPr>
              <w:t>References</w:t>
            </w:r>
            <w:r>
              <w:rPr>
                <w:noProof/>
                <w:webHidden/>
              </w:rPr>
              <w:tab/>
            </w:r>
            <w:r>
              <w:rPr>
                <w:noProof/>
                <w:webHidden/>
              </w:rPr>
              <w:fldChar w:fldCharType="begin"/>
            </w:r>
            <w:r>
              <w:rPr>
                <w:noProof/>
                <w:webHidden/>
              </w:rPr>
              <w:instrText xml:space="preserve"> PAGEREF _Toc224139207 \h </w:instrText>
            </w:r>
            <w:r>
              <w:rPr>
                <w:noProof/>
                <w:webHidden/>
              </w:rPr>
            </w:r>
            <w:r>
              <w:rPr>
                <w:noProof/>
                <w:webHidden/>
              </w:rPr>
              <w:fldChar w:fldCharType="separate"/>
            </w:r>
            <w:r w:rsidR="001F7B86">
              <w:rPr>
                <w:noProof/>
                <w:webHidden/>
              </w:rPr>
              <w:t>11</w:t>
            </w:r>
            <w:r>
              <w:rPr>
                <w:noProof/>
                <w:webHidden/>
              </w:rPr>
              <w:fldChar w:fldCharType="end"/>
            </w:r>
          </w:hyperlink>
        </w:p>
        <w:p w:rsidR="00306FB4" w:rsidP="5DDB30B6" w:rsidRDefault="00CD537C" w14:paraId="00000020" w14:textId="710ECB41">
          <w:pPr>
            <w:widowControl w:val="0"/>
            <w:tabs>
              <w:tab w:val="right" w:pos="9360"/>
            </w:tabs>
            <w:spacing w:before="60" w:line="240" w:lineRule="auto"/>
            <w:jc w:val="left"/>
            <w:rPr>
              <w:color w:val="000000"/>
              <w:sz w:val="22"/>
              <w:szCs w:val="22"/>
            </w:rPr>
          </w:pPr>
          <w:r>
            <w:fldChar w:fldCharType="end"/>
          </w:r>
        </w:p>
      </w:sdtContent>
    </w:sdt>
    <w:p w:rsidR="00306FB4" w:rsidP="5DDB30B6" w:rsidRDefault="00CD537C" w14:paraId="00000021" w14:textId="77777777">
      <w:pPr>
        <w:rPr>
          <w:sz w:val="22"/>
          <w:szCs w:val="22"/>
        </w:rPr>
      </w:pPr>
      <w:r w:rsidRPr="5DDB30B6">
        <w:rPr>
          <w:sz w:val="22"/>
          <w:szCs w:val="22"/>
        </w:rPr>
        <w:br w:type="page"/>
      </w:r>
    </w:p>
    <w:p w:rsidR="00306FB4" w:rsidP="5DDB30B6" w:rsidRDefault="00CD537C" w14:paraId="00000022" w14:textId="6432E737">
      <w:pPr>
        <w:pStyle w:val="Heading1"/>
        <w:rPr>
          <w:sz w:val="22"/>
          <w:szCs w:val="22"/>
        </w:rPr>
      </w:pPr>
      <w:bookmarkStart w:name="_Toc224139199" w:id="0"/>
      <w:r w:rsidRPr="5DDB30B6" w:rsidR="00CD537C">
        <w:rPr>
          <w:sz w:val="22"/>
          <w:szCs w:val="22"/>
        </w:rPr>
        <w:t>Introduction</w:t>
      </w:r>
      <w:r w:rsidRPr="5DDB30B6" w:rsidR="2AB69C32">
        <w:rPr>
          <w:sz w:val="22"/>
          <w:szCs w:val="22"/>
        </w:rPr>
        <w:t xml:space="preserve"> </w:t>
      </w:r>
      <w:bookmarkEnd w:id="0"/>
    </w:p>
    <w:p w:rsidR="00306FB4" w:rsidP="5DDB30B6" w:rsidRDefault="00CD537C" w14:paraId="00000024" w14:textId="32B48757">
      <w:pPr>
        <w:rPr>
          <w:sz w:val="22"/>
          <w:szCs w:val="22"/>
          <w:lang w:val="en-US"/>
        </w:rPr>
      </w:pPr>
      <w:r w:rsidRPr="5DDB30B6" w:rsidR="56A677CB">
        <w:rPr>
          <w:sz w:val="22"/>
          <w:szCs w:val="22"/>
          <w:lang w:val="en-US"/>
        </w:rPr>
        <w:t xml:space="preserve">  </w:t>
      </w:r>
      <w:r w:rsidRPr="5DDB30B6" w:rsidR="00CD537C">
        <w:rPr>
          <w:sz w:val="22"/>
          <w:szCs w:val="22"/>
          <w:lang w:val="en-US"/>
        </w:rPr>
        <w:t>The two key pillars to the modern-day practice of health and social care are person-</w:t>
      </w:r>
      <w:r w:rsidRPr="5DDB30B6" w:rsidR="00CD537C">
        <w:rPr>
          <w:sz w:val="22"/>
          <w:szCs w:val="22"/>
          <w:lang w:val="en-US"/>
        </w:rPr>
        <w:t>centred</w:t>
      </w:r>
      <w:r w:rsidRPr="5DDB30B6" w:rsidR="00CD537C">
        <w:rPr>
          <w:sz w:val="22"/>
          <w:szCs w:val="22"/>
          <w:lang w:val="en-US"/>
        </w:rPr>
        <w:t xml:space="preserve"> care (PCC) and partnership working </w:t>
      </w:r>
      <w:r w:rsidRPr="5DDB30B6" w:rsidR="001F7B86">
        <w:rPr>
          <w:sz w:val="22"/>
          <w:szCs w:val="22"/>
          <w:lang w:val="en-US"/>
        </w:rPr>
        <w:t>(PW</w:t>
      </w:r>
      <w:r w:rsidRPr="5DDB30B6" w:rsidR="00CD537C">
        <w:rPr>
          <w:sz w:val="22"/>
          <w:szCs w:val="22"/>
          <w:lang w:val="en-US"/>
        </w:rPr>
        <w:t>). PCC does not view strictly as a biomedical model but rather as one that places personal needs, values, and life exp</w:t>
      </w:r>
      <w:r w:rsidRPr="5DDB30B6" w:rsidR="00CD537C">
        <w:rPr>
          <w:sz w:val="22"/>
          <w:szCs w:val="22"/>
          <w:lang w:val="en-US"/>
        </w:rPr>
        <w:t>erience</w:t>
      </w:r>
      <w:r w:rsidRPr="5DDB30B6" w:rsidR="00CD537C">
        <w:rPr>
          <w:sz w:val="22"/>
          <w:szCs w:val="22"/>
          <w:lang w:val="en-US"/>
        </w:rPr>
        <w:t xml:space="preserve">s as a proactive transformation in the therapeutic process of individuals (Hansen et al., 2025). Simultaneously, PW also focuses on the importance of interprofessional engagement, meaning that various practitioners will combine their knowledge to introduce seamless interprofessional integration of their skills and provide comprehensive support (Anwari et al., 2022). The main </w:t>
      </w:r>
      <w:r w:rsidRPr="5DDB30B6" w:rsidR="00CD537C">
        <w:rPr>
          <w:sz w:val="22"/>
          <w:szCs w:val="22"/>
          <w:lang w:val="en-US"/>
        </w:rPr>
        <w:t>o</w:t>
      </w:r>
      <w:r w:rsidRPr="5DDB30B6" w:rsidR="00CD537C">
        <w:rPr>
          <w:sz w:val="22"/>
          <w:szCs w:val="22"/>
          <w:lang w:val="en-US"/>
        </w:rPr>
        <w:t>bject</w:t>
      </w:r>
      <w:r w:rsidRPr="5DDB30B6" w:rsidR="00CD537C">
        <w:rPr>
          <w:sz w:val="22"/>
          <w:szCs w:val="22"/>
          <w:lang w:val="en-US"/>
        </w:rPr>
        <w:t>ive</w:t>
      </w:r>
      <w:r w:rsidRPr="5DDB30B6" w:rsidR="00CD537C">
        <w:rPr>
          <w:sz w:val="22"/>
          <w:szCs w:val="22"/>
          <w:lang w:val="en-US"/>
        </w:rPr>
        <w:t xml:space="preserve"> of the report </w:t>
      </w:r>
      <w:r w:rsidRPr="5DDB30B6" w:rsidR="3A251AE7">
        <w:rPr>
          <w:sz w:val="22"/>
          <w:szCs w:val="22"/>
          <w:lang w:val="en-US"/>
        </w:rPr>
        <w:t>is to develop</w:t>
      </w:r>
      <w:r w:rsidRPr="5DDB30B6" w:rsidR="1E442BA4">
        <w:rPr>
          <w:sz w:val="22"/>
          <w:szCs w:val="22"/>
          <w:lang w:val="en-US"/>
        </w:rPr>
        <w:t xml:space="preserve"> </w:t>
      </w:r>
      <w:r w:rsidRPr="5DDB30B6" w:rsidR="185C6C8F">
        <w:rPr>
          <w:sz w:val="22"/>
          <w:szCs w:val="22"/>
          <w:lang w:val="en-US"/>
        </w:rPr>
        <w:t>a</w:t>
      </w:r>
      <w:r w:rsidRPr="5DDB30B6" w:rsidR="00CD537C">
        <w:rPr>
          <w:sz w:val="22"/>
          <w:szCs w:val="22"/>
          <w:lang w:val="en-US"/>
        </w:rPr>
        <w:t xml:space="preserve"> </w:t>
      </w:r>
      <w:r w:rsidRPr="5DDB30B6" w:rsidR="00CD537C">
        <w:rPr>
          <w:sz w:val="22"/>
          <w:szCs w:val="22"/>
          <w:lang w:val="en-US"/>
        </w:rPr>
        <w:t xml:space="preserve">critical </w:t>
      </w:r>
      <w:r w:rsidRPr="5DDB30B6" w:rsidR="00CD537C">
        <w:rPr>
          <w:sz w:val="22"/>
          <w:szCs w:val="22"/>
          <w:lang w:val="en-US"/>
        </w:rPr>
        <w:t>review</w:t>
      </w:r>
      <w:r w:rsidRPr="5DDB30B6" w:rsidR="00CD537C">
        <w:rPr>
          <w:sz w:val="22"/>
          <w:szCs w:val="22"/>
          <w:lang w:val="en-US"/>
        </w:rPr>
        <w:t xml:space="preserve"> of PCC and PW theoretical frameworks, ethical principles, and practice. Moreover, in outlining the corresponding policy and legislation, this assignment shall examine the interaction of these elements to obtain service delivery and make evidence-based recommendations for further research in the UK.</w:t>
      </w:r>
    </w:p>
    <w:p w:rsidR="00306FB4" w:rsidP="5DDB30B6" w:rsidRDefault="00CD537C" w14:paraId="00000025" w14:textId="77777777">
      <w:pPr>
        <w:pStyle w:val="Heading1"/>
        <w:rPr>
          <w:sz w:val="22"/>
          <w:szCs w:val="22"/>
        </w:rPr>
      </w:pPr>
      <w:bookmarkStart w:name="_Toc224139200" w:id="1"/>
      <w:r w:rsidRPr="5DDB30B6" w:rsidR="00CD537C">
        <w:rPr>
          <w:sz w:val="22"/>
          <w:szCs w:val="22"/>
        </w:rPr>
        <w:t>Definition of PCC</w:t>
      </w:r>
      <w:bookmarkEnd w:id="1"/>
    </w:p>
    <w:p w:rsidR="005F0BDA" w:rsidP="5DDB30B6" w:rsidRDefault="00CD537C" w14:paraId="1FDD0ACF" w14:textId="57AE7A0D">
      <w:pPr>
        <w:rPr>
          <w:sz w:val="22"/>
          <w:szCs w:val="22"/>
          <w:lang w:val="en-US"/>
        </w:rPr>
      </w:pPr>
      <w:r w:rsidRPr="5DDB30B6" w:rsidR="5F8BCD93">
        <w:rPr>
          <w:sz w:val="22"/>
          <w:szCs w:val="22"/>
          <w:lang w:val="en-US"/>
        </w:rPr>
        <w:t xml:space="preserve">  </w:t>
      </w:r>
      <w:r w:rsidRPr="5DDB30B6" w:rsidR="00CD537C">
        <w:rPr>
          <w:sz w:val="22"/>
          <w:szCs w:val="22"/>
          <w:lang w:val="en-US"/>
        </w:rPr>
        <w:t>Person-</w:t>
      </w:r>
      <w:r w:rsidRPr="5DDB30B6" w:rsidR="00CD537C">
        <w:rPr>
          <w:sz w:val="22"/>
          <w:szCs w:val="22"/>
          <w:lang w:val="en-US"/>
        </w:rPr>
        <w:t>centred</w:t>
      </w:r>
      <w:r w:rsidRPr="5DDB30B6" w:rsidR="00CD537C">
        <w:rPr>
          <w:sz w:val="22"/>
          <w:szCs w:val="22"/>
          <w:lang w:val="en-US"/>
        </w:rPr>
        <w:t xml:space="preserve"> care (PCC) is </w:t>
      </w:r>
      <w:r w:rsidRPr="5DDB30B6" w:rsidR="00CD537C">
        <w:rPr>
          <w:sz w:val="22"/>
          <w:szCs w:val="22"/>
          <w:lang w:val="en-US"/>
        </w:rPr>
        <w:t>a paradigm shift</w:t>
      </w:r>
      <w:r w:rsidRPr="5DDB30B6" w:rsidR="00CD537C">
        <w:rPr>
          <w:sz w:val="22"/>
          <w:szCs w:val="22"/>
          <w:lang w:val="en-US"/>
        </w:rPr>
        <w:t xml:space="preserve"> </w:t>
      </w:r>
      <w:r w:rsidRPr="5DDB30B6" w:rsidR="005F0BDA">
        <w:rPr>
          <w:sz w:val="22"/>
          <w:szCs w:val="22"/>
          <w:lang w:val="en-US"/>
        </w:rPr>
        <w:t>from</w:t>
      </w:r>
      <w:r w:rsidRPr="5DDB30B6" w:rsidR="00CD537C">
        <w:rPr>
          <w:sz w:val="22"/>
          <w:szCs w:val="22"/>
          <w:lang w:val="en-US"/>
        </w:rPr>
        <w:t xml:space="preserve"> the old, disease-</w:t>
      </w:r>
      <w:r w:rsidRPr="5DDB30B6" w:rsidR="00CD537C">
        <w:rPr>
          <w:sz w:val="22"/>
          <w:szCs w:val="22"/>
          <w:lang w:val="en-US"/>
        </w:rPr>
        <w:t>centred</w:t>
      </w:r>
      <w:r w:rsidRPr="5DDB30B6" w:rsidR="00CD537C">
        <w:rPr>
          <w:sz w:val="22"/>
          <w:szCs w:val="22"/>
          <w:lang w:val="en-US"/>
        </w:rPr>
        <w:t xml:space="preserve"> biomedical </w:t>
      </w:r>
      <w:r w:rsidRPr="5DDB30B6" w:rsidR="005F0BDA">
        <w:rPr>
          <w:sz w:val="22"/>
          <w:szCs w:val="22"/>
          <w:lang w:val="en-US"/>
        </w:rPr>
        <w:t xml:space="preserve">model </w:t>
      </w:r>
      <w:r w:rsidRPr="5DDB30B6" w:rsidR="00CD537C">
        <w:rPr>
          <w:sz w:val="22"/>
          <w:szCs w:val="22"/>
          <w:lang w:val="en-US"/>
        </w:rPr>
        <w:t xml:space="preserve">to a complete, holistic model where the individual will be the </w:t>
      </w:r>
      <w:r w:rsidRPr="5DDB30B6" w:rsidR="00CD537C">
        <w:rPr>
          <w:sz w:val="22"/>
          <w:szCs w:val="22"/>
          <w:lang w:val="en-US"/>
        </w:rPr>
        <w:t>centre</w:t>
      </w:r>
      <w:r w:rsidRPr="5DDB30B6" w:rsidR="00CD537C">
        <w:rPr>
          <w:sz w:val="22"/>
          <w:szCs w:val="22"/>
          <w:lang w:val="en-US"/>
        </w:rPr>
        <w:t xml:space="preserve"> of their own health (Jayasinghe, 2025). This can be defined as care that is responsive and respectful to the patient's preferences, needs, and values, and that all clinical decisions are made according to those values (Grover et al., 2022).</w:t>
      </w:r>
    </w:p>
    <w:p w:rsidR="00306FB4" w:rsidP="5DDB30B6" w:rsidRDefault="00CD537C" w14:paraId="00000027" w14:textId="0855C4AC">
      <w:pPr>
        <w:pStyle w:val="Normal"/>
        <w:suppressLineNumbers w:val="0"/>
        <w:bidi w:val="0"/>
        <w:spacing w:before="0" w:beforeAutospacing="off" w:after="0" w:afterAutospacing="off" w:line="480" w:lineRule="auto"/>
        <w:ind w:left="0" w:right="0"/>
        <w:jc w:val="both"/>
        <w:rPr>
          <w:color w:val="FF0000"/>
          <w:sz w:val="22"/>
          <w:szCs w:val="22"/>
          <w:lang w:val="en-US"/>
        </w:rPr>
      </w:pPr>
      <w:r w:rsidRPr="5DDB30B6" w:rsidR="00CD537C">
        <w:rPr>
          <w:color w:val="auto"/>
          <w:sz w:val="22"/>
          <w:szCs w:val="22"/>
          <w:lang w:val="en-US"/>
        </w:rPr>
        <w:t>Possible advantages</w:t>
      </w:r>
      <w:r w:rsidRPr="5DDB30B6" w:rsidR="00CD537C">
        <w:rPr>
          <w:color w:val="auto"/>
          <w:sz w:val="22"/>
          <w:szCs w:val="22"/>
          <w:lang w:val="en-US"/>
        </w:rPr>
        <w:t xml:space="preserve"> of the PCC implementation are high. The ability to design an intervention according to a particular home environment of an older adult and personal </w:t>
      </w:r>
      <w:r w:rsidRPr="5DDB30B6" w:rsidR="00CD537C">
        <w:rPr>
          <w:color w:val="auto"/>
          <w:sz w:val="22"/>
          <w:szCs w:val="22"/>
          <w:lang w:val="en-US"/>
        </w:rPr>
        <w:t>objectives</w:t>
      </w:r>
      <w:r w:rsidRPr="5DDB30B6" w:rsidR="00CD537C">
        <w:rPr>
          <w:color w:val="auto"/>
          <w:sz w:val="22"/>
          <w:szCs w:val="22"/>
          <w:lang w:val="en-US"/>
        </w:rPr>
        <w:t xml:space="preserve"> of that individua</w:t>
      </w:r>
      <w:r w:rsidRPr="5DDB30B6" w:rsidR="00CD537C">
        <w:rPr>
          <w:color w:val="auto"/>
          <w:sz w:val="22"/>
          <w:szCs w:val="22"/>
          <w:lang w:val="en-US"/>
        </w:rPr>
        <w:t>l</w:t>
      </w:r>
      <w:r w:rsidRPr="5DDB30B6" w:rsidR="1E14BBCF">
        <w:rPr>
          <w:sz w:val="22"/>
          <w:szCs w:val="22"/>
          <w:lang w:val="en-US"/>
        </w:rPr>
        <w:t xml:space="preserve"> </w:t>
      </w:r>
      <w:r w:rsidRPr="5DDB30B6" w:rsidR="0024650B">
        <w:rPr>
          <w:sz w:val="22"/>
          <w:szCs w:val="22"/>
          <w:lang w:val="en-US"/>
        </w:rPr>
        <w:t>(being</w:t>
      </w:r>
      <w:r w:rsidRPr="5DDB30B6" w:rsidR="00CD537C">
        <w:rPr>
          <w:sz w:val="22"/>
          <w:szCs w:val="22"/>
          <w:lang w:val="en-US"/>
        </w:rPr>
        <w:t xml:space="preserve"> able to walk to a local store by oneself), in community-level physiotherapy, leads to a far more robust therapeutic relationship. This interprofessional practice has the advantage of increasing patient satisfaction, intrinsic motivation, and adherence to rehabilitation programs, and eventually resulting in improved functional health outcomes (Ebrahimi et al., 2021).</w:t>
      </w:r>
    </w:p>
    <w:p w:rsidR="60458B6D" w:rsidP="5DDB30B6" w:rsidRDefault="60458B6D" w14:paraId="421A7C85" w14:textId="7CF954AD">
      <w:pPr>
        <w:pStyle w:val="Normal"/>
        <w:suppressLineNumbers w:val="0"/>
        <w:bidi w:val="0"/>
        <w:spacing w:before="0" w:beforeAutospacing="off" w:after="0" w:afterAutospacing="off" w:line="480" w:lineRule="auto"/>
        <w:ind w:left="0" w:right="0"/>
        <w:jc w:val="both"/>
        <w:rPr>
          <w:color w:val="FF0000"/>
          <w:sz w:val="22"/>
          <w:szCs w:val="22"/>
          <w:lang w:val="en-US"/>
        </w:rPr>
      </w:pPr>
    </w:p>
    <w:p w:rsidR="00306FB4" w:rsidP="5DDB30B6" w:rsidRDefault="00CD537C" w14:paraId="00000028" w14:textId="56857722">
      <w:pPr>
        <w:rPr>
          <w:sz w:val="22"/>
          <w:szCs w:val="22"/>
          <w:lang w:val="en-US"/>
        </w:rPr>
      </w:pPr>
      <w:r w:rsidRPr="5DDB30B6" w:rsidR="00CD537C">
        <w:rPr>
          <w:sz w:val="22"/>
          <w:szCs w:val="22"/>
          <w:lang w:val="en-US"/>
        </w:rPr>
        <w:t xml:space="preserve">Adoption of PCC has significant limitations, </w:t>
      </w:r>
      <w:r w:rsidRPr="5DDB30B6" w:rsidR="00CD537C">
        <w:rPr>
          <w:sz w:val="22"/>
          <w:szCs w:val="22"/>
          <w:lang w:val="en-US"/>
        </w:rPr>
        <w:t>notwithstanding</w:t>
      </w:r>
      <w:r w:rsidRPr="5DDB30B6" w:rsidR="00CD537C">
        <w:rPr>
          <w:sz w:val="22"/>
          <w:szCs w:val="22"/>
          <w:lang w:val="en-US"/>
        </w:rPr>
        <w:t xml:space="preserve"> the demonstrated benefits. It demands a systemic conceptual change that may face resistance to change by the practitioners who are used to the directive and protocol-driven routines (Jayasinghe, 2025). More so, a real PCC is time-consuming in nature. Physiotherapists working within the stretched community care environments often have very few resources at their disposal; high </w:t>
      </w:r>
      <w:r w:rsidRPr="5DDB30B6" w:rsidR="00E95B6A">
        <w:rPr>
          <w:sz w:val="22"/>
          <w:szCs w:val="22"/>
          <w:lang w:val="en-US"/>
        </w:rPr>
        <w:t xml:space="preserve">pressure of cases </w:t>
      </w:r>
      <w:r w:rsidRPr="5DDB30B6" w:rsidR="00CD537C">
        <w:rPr>
          <w:sz w:val="22"/>
          <w:szCs w:val="22"/>
          <w:lang w:val="en-US"/>
        </w:rPr>
        <w:t xml:space="preserve">tend to reduce the long consultation time </w:t>
      </w:r>
      <w:r w:rsidRPr="5DDB30B6" w:rsidR="00CD537C">
        <w:rPr>
          <w:sz w:val="22"/>
          <w:szCs w:val="22"/>
          <w:lang w:val="en-US"/>
        </w:rPr>
        <w:t>required</w:t>
      </w:r>
      <w:r w:rsidRPr="5DDB30B6" w:rsidR="00CD537C">
        <w:rPr>
          <w:sz w:val="22"/>
          <w:szCs w:val="22"/>
          <w:lang w:val="en-US"/>
        </w:rPr>
        <w:t xml:space="preserve"> to properly explore and incorporate the psychosocial needs of an older patient, in addition to his or her physical rehabilitation.</w:t>
      </w:r>
    </w:p>
    <w:p w:rsidR="00306FB4" w:rsidP="5DDB30B6" w:rsidRDefault="00CD537C" w14:paraId="00000029" w14:textId="77777777">
      <w:pPr>
        <w:pStyle w:val="Heading1"/>
        <w:rPr>
          <w:sz w:val="22"/>
          <w:szCs w:val="22"/>
        </w:rPr>
      </w:pPr>
      <w:bookmarkStart w:name="_Toc224139201" w:id="2"/>
      <w:r w:rsidRPr="5DDB30B6" w:rsidR="00CD537C">
        <w:rPr>
          <w:sz w:val="22"/>
          <w:szCs w:val="22"/>
        </w:rPr>
        <w:t>Relevant Theories</w:t>
      </w:r>
      <w:bookmarkEnd w:id="2"/>
    </w:p>
    <w:p w:rsidR="00306FB4" w:rsidP="5DDB30B6" w:rsidRDefault="00CD537C" w14:paraId="0000002A" w14:textId="1E4B33C8">
      <w:pPr>
        <w:pStyle w:val="Normal"/>
        <w:rPr>
          <w:sz w:val="22"/>
          <w:szCs w:val="22"/>
          <w:lang w:val="en-US"/>
        </w:rPr>
      </w:pPr>
      <w:r w:rsidRPr="5DDB30B6" w:rsidR="5153F49E">
        <w:rPr>
          <w:sz w:val="22"/>
          <w:szCs w:val="22"/>
          <w:lang w:val="en-US"/>
        </w:rPr>
        <w:t xml:space="preserve">  </w:t>
      </w:r>
      <w:r w:rsidRPr="5DDB30B6" w:rsidR="00CD537C">
        <w:rPr>
          <w:sz w:val="22"/>
          <w:szCs w:val="22"/>
          <w:lang w:val="en-US"/>
        </w:rPr>
        <w:t>Biopsychosocial</w:t>
      </w:r>
      <w:r w:rsidRPr="5DDB30B6" w:rsidR="1FB842D4">
        <w:rPr>
          <w:sz w:val="22"/>
          <w:szCs w:val="22"/>
          <w:lang w:val="en-US"/>
        </w:rPr>
        <w:t xml:space="preserve"> </w:t>
      </w:r>
      <w:r w:rsidRPr="5DDB30B6" w:rsidR="00CD537C">
        <w:rPr>
          <w:sz w:val="22"/>
          <w:szCs w:val="22"/>
          <w:lang w:val="en-US"/>
        </w:rPr>
        <w:t>model</w:t>
      </w:r>
      <w:r w:rsidRPr="5DDB30B6" w:rsidR="49939251">
        <w:rPr>
          <w:sz w:val="22"/>
          <w:szCs w:val="22"/>
          <w:lang w:val="en-US"/>
        </w:rPr>
        <w:t xml:space="preserve"> (BPS)</w:t>
      </w:r>
      <w:r w:rsidRPr="5DDB30B6" w:rsidR="00CD537C">
        <w:rPr>
          <w:sz w:val="22"/>
          <w:szCs w:val="22"/>
          <w:lang w:val="en-US"/>
        </w:rPr>
        <w:t xml:space="preserve"> and the Person-</w:t>
      </w:r>
      <w:r w:rsidRPr="5DDB30B6" w:rsidR="00CD537C">
        <w:rPr>
          <w:sz w:val="22"/>
          <w:szCs w:val="22"/>
          <w:lang w:val="en-US"/>
        </w:rPr>
        <w:t>Centred</w:t>
      </w:r>
      <w:r w:rsidRPr="5DDB30B6" w:rsidR="00CD537C">
        <w:rPr>
          <w:sz w:val="22"/>
          <w:szCs w:val="22"/>
          <w:lang w:val="en-US"/>
        </w:rPr>
        <w:t xml:space="preserve"> Practice Framework (PCPF). The BPS model goes beyond the conventional reductionist approach of biomedical research because it assumes that the aspects of biological, psychological, and social factors are closely interconnected in causing human health and illness (Bolton, 2023). This justifies the principles of PCC in that it requires professionals to acknowledge the complexity of the lived life of an individual and not just focus on physical pathology (Phil</w:t>
      </w:r>
      <w:r w:rsidRPr="5DDB30B6" w:rsidR="00CD537C">
        <w:rPr>
          <w:sz w:val="22"/>
          <w:szCs w:val="22"/>
          <w:lang w:val="en-US"/>
        </w:rPr>
        <w:t>ip and Cherian, 2020).</w:t>
      </w:r>
    </w:p>
    <w:p w:rsidR="00306FB4" w:rsidP="5DDB30B6" w:rsidRDefault="005F0BDA" w14:paraId="0000002B" w14:textId="085A619E">
      <w:pPr>
        <w:pStyle w:val="Normal"/>
        <w:suppressLineNumbers w:val="0"/>
        <w:bidi w:val="0"/>
        <w:spacing w:before="0" w:beforeAutospacing="off" w:after="0" w:afterAutospacing="off" w:line="480" w:lineRule="auto"/>
        <w:ind w:left="0" w:right="0"/>
        <w:jc w:val="both"/>
        <w:rPr>
          <w:sz w:val="22"/>
          <w:szCs w:val="22"/>
          <w:lang w:val="en-US"/>
        </w:rPr>
      </w:pPr>
      <w:r w:rsidRPr="5DDB30B6" w:rsidR="005F0BDA">
        <w:rPr>
          <w:sz w:val="22"/>
          <w:szCs w:val="22"/>
          <w:lang w:val="en-US"/>
        </w:rPr>
        <w:t xml:space="preserve">To operationalize this holistic vision, </w:t>
      </w:r>
      <w:r w:rsidRPr="5DDB30B6" w:rsidR="382CEEA8">
        <w:rPr>
          <w:sz w:val="22"/>
          <w:szCs w:val="22"/>
          <w:lang w:val="en-US"/>
        </w:rPr>
        <w:t xml:space="preserve">the </w:t>
      </w:r>
      <w:r w:rsidRPr="5DDB30B6" w:rsidR="1E0C93F0">
        <w:rPr>
          <w:sz w:val="22"/>
          <w:szCs w:val="22"/>
          <w:lang w:val="en-US"/>
        </w:rPr>
        <w:t>Person-</w:t>
      </w:r>
      <w:r w:rsidRPr="5DDB30B6" w:rsidR="1E0C93F0">
        <w:rPr>
          <w:sz w:val="22"/>
          <w:szCs w:val="22"/>
          <w:lang w:val="en-US"/>
        </w:rPr>
        <w:t>centred</w:t>
      </w:r>
      <w:r w:rsidRPr="5DDB30B6" w:rsidR="1E0C93F0">
        <w:rPr>
          <w:sz w:val="22"/>
          <w:szCs w:val="22"/>
          <w:lang w:val="en-US"/>
        </w:rPr>
        <w:t xml:space="preserve"> Practice</w:t>
      </w:r>
      <w:r w:rsidRPr="5DDB30B6" w:rsidR="65E44627">
        <w:rPr>
          <w:sz w:val="22"/>
          <w:szCs w:val="22"/>
          <w:lang w:val="en-US"/>
        </w:rPr>
        <w:t xml:space="preserve"> </w:t>
      </w:r>
      <w:r w:rsidRPr="5DDB30B6" w:rsidR="06EB013A">
        <w:rPr>
          <w:sz w:val="22"/>
          <w:szCs w:val="22"/>
          <w:lang w:val="en-US"/>
        </w:rPr>
        <w:t xml:space="preserve">Framework </w:t>
      </w:r>
      <w:r w:rsidRPr="5DDB30B6" w:rsidR="65E44627">
        <w:rPr>
          <w:sz w:val="22"/>
          <w:szCs w:val="22"/>
          <w:lang w:val="en-US"/>
        </w:rPr>
        <w:t>(</w:t>
      </w:r>
      <w:r w:rsidRPr="5DDB30B6" w:rsidR="005F0BDA">
        <w:rPr>
          <w:sz w:val="22"/>
          <w:szCs w:val="22"/>
          <w:lang w:val="en-US"/>
        </w:rPr>
        <w:t>PCPF</w:t>
      </w:r>
      <w:r w:rsidRPr="5DDB30B6" w:rsidR="31B6A83F">
        <w:rPr>
          <w:sz w:val="22"/>
          <w:szCs w:val="22"/>
          <w:lang w:val="en-US"/>
        </w:rPr>
        <w:t>)</w:t>
      </w:r>
      <w:r w:rsidRPr="5DDB30B6" w:rsidR="005F0BDA">
        <w:rPr>
          <w:sz w:val="22"/>
          <w:szCs w:val="22"/>
          <w:lang w:val="en-US"/>
        </w:rPr>
        <w:t xml:space="preserve"> serves as a mid-range theory that organizes the care provision with the emphasis on the requirements of practitioners, the nature of the care environment, and the person-</w:t>
      </w:r>
      <w:r w:rsidRPr="5DDB30B6" w:rsidR="005F0BDA">
        <w:rPr>
          <w:sz w:val="22"/>
          <w:szCs w:val="22"/>
          <w:lang w:val="en-US"/>
        </w:rPr>
        <w:t>centred</w:t>
      </w:r>
      <w:r w:rsidRPr="5DDB30B6" w:rsidR="005F0BDA">
        <w:rPr>
          <w:sz w:val="22"/>
          <w:szCs w:val="22"/>
          <w:lang w:val="en-US"/>
        </w:rPr>
        <w:t xml:space="preserve"> process (McCance and McCormack, 2025). </w:t>
      </w:r>
      <w:r w:rsidRPr="5DDB30B6" w:rsidR="005F0BDA">
        <w:rPr>
          <w:sz w:val="22"/>
          <w:szCs w:val="22"/>
          <w:lang w:val="en-US"/>
        </w:rPr>
        <w:t>The two theories are very applicable in aged community care.</w:t>
      </w:r>
      <w:r w:rsidRPr="5DDB30B6" w:rsidR="005F0BDA">
        <w:rPr>
          <w:sz w:val="22"/>
          <w:szCs w:val="22"/>
          <w:lang w:val="en-US"/>
        </w:rPr>
        <w:t xml:space="preserve"> A physiotherapist who employs the BPS model assesses the biological degradation of the older adult (e.g., osteoarthritis) and the psychological fear of falling by the person and any social isolation </w:t>
      </w:r>
      <w:bookmarkStart w:name="_Int_XAVJmUV8" w:id="433110104"/>
      <w:r w:rsidRPr="5DDB30B6" w:rsidR="005F0BDA">
        <w:rPr>
          <w:sz w:val="22"/>
          <w:szCs w:val="22"/>
          <w:lang w:val="en-US"/>
        </w:rPr>
        <w:t>as a result of</w:t>
      </w:r>
      <w:bookmarkEnd w:id="433110104"/>
      <w:r w:rsidRPr="5DDB30B6" w:rsidR="005F0BDA">
        <w:rPr>
          <w:sz w:val="22"/>
          <w:szCs w:val="22"/>
          <w:lang w:val="en-US"/>
        </w:rPr>
        <w:t xml:space="preserve"> the living circumstances of the older adult. The use of PCPF makes the practitioner actively involved with the patient in his/her home setup, where some rehabilitation goals are negotiated together and of meaning.</w:t>
      </w:r>
    </w:p>
    <w:p w:rsidR="00306FB4" w:rsidP="5DDB30B6" w:rsidRDefault="00CD537C" w14:paraId="0000002C" w14:textId="35EEB1FE">
      <w:pPr>
        <w:rPr>
          <w:sz w:val="22"/>
          <w:szCs w:val="22"/>
          <w:lang w:val="en-US"/>
        </w:rPr>
      </w:pPr>
      <w:r w:rsidRPr="5DDB30B6" w:rsidR="00CD537C">
        <w:rPr>
          <w:sz w:val="22"/>
          <w:szCs w:val="22"/>
          <w:lang w:val="en-US"/>
        </w:rPr>
        <w:t xml:space="preserve">A critical examination of these theories </w:t>
      </w:r>
      <w:r w:rsidRPr="5DDB30B6" w:rsidR="00CD537C">
        <w:rPr>
          <w:sz w:val="22"/>
          <w:szCs w:val="22"/>
          <w:lang w:val="en-US"/>
        </w:rPr>
        <w:t>demonstrates</w:t>
      </w:r>
      <w:r w:rsidRPr="5DDB30B6" w:rsidR="00CD537C">
        <w:rPr>
          <w:sz w:val="22"/>
          <w:szCs w:val="22"/>
          <w:lang w:val="en-US"/>
        </w:rPr>
        <w:t xml:space="preserve"> theoretically complementary strengths and limitations in practice. The BPS model concept has a necessary holistic perspective, but at times, its general paradigms can make clinical application and research more difficult (Bolton, 2023; Philip and Cherian, 2020). This is the gap that the PCPF helps to fill by providing a straightforward methodological framework of practice (McCance and McCormack, 2025). Nevertheless, the dependence of the PCPF on a suppor</w:t>
      </w:r>
      <w:r w:rsidRPr="5DDB30B6" w:rsidR="00CD537C">
        <w:rPr>
          <w:sz w:val="22"/>
          <w:szCs w:val="22"/>
          <w:lang w:val="en-US"/>
        </w:rPr>
        <w:t xml:space="preserve">tive care environment may be argued in the community, in which there are disrupted resources and insufficient time to foster therapeutic relationships. </w:t>
      </w:r>
    </w:p>
    <w:p w:rsidR="00F61471" w:rsidP="5DDB30B6" w:rsidRDefault="00F61471" w14:paraId="2848C8E7" w14:textId="77777777">
      <w:pPr>
        <w:rPr>
          <w:sz w:val="22"/>
          <w:szCs w:val="22"/>
        </w:rPr>
      </w:pPr>
    </w:p>
    <w:p w:rsidR="00306FB4" w:rsidP="5DDB30B6" w:rsidRDefault="00CD537C" w14:paraId="0000002D" w14:textId="77777777">
      <w:pPr>
        <w:pStyle w:val="Heading1"/>
        <w:rPr>
          <w:sz w:val="22"/>
          <w:szCs w:val="22"/>
        </w:rPr>
      </w:pPr>
      <w:bookmarkStart w:name="_Toc224139202" w:id="3"/>
      <w:r w:rsidRPr="5DDB30B6" w:rsidR="00CD537C">
        <w:rPr>
          <w:sz w:val="22"/>
          <w:szCs w:val="22"/>
        </w:rPr>
        <w:t>Ethical Fundamentals</w:t>
      </w:r>
      <w:bookmarkEnd w:id="3"/>
    </w:p>
    <w:p w:rsidR="00306FB4" w:rsidP="5DDB30B6" w:rsidRDefault="00CD537C" w14:paraId="0000002E" w14:textId="1DE3C622">
      <w:pPr>
        <w:rPr>
          <w:sz w:val="22"/>
          <w:szCs w:val="22"/>
          <w:lang w:val="en-US"/>
        </w:rPr>
      </w:pPr>
      <w:r w:rsidRPr="5DDB30B6" w:rsidR="6F3E150A">
        <w:rPr>
          <w:sz w:val="22"/>
          <w:szCs w:val="22"/>
          <w:lang w:val="en-US"/>
        </w:rPr>
        <w:t xml:space="preserve">  </w:t>
      </w:r>
      <w:r w:rsidRPr="5DDB30B6" w:rsidR="00CD537C">
        <w:rPr>
          <w:sz w:val="22"/>
          <w:szCs w:val="22"/>
          <w:lang w:val="en-US"/>
        </w:rPr>
        <w:t xml:space="preserve">Ethical health and social care practice is based on four main biomedical concepts, namely, autonomy, beneficence, non-maleficence, and justice (Beauchamp, </w:t>
      </w:r>
      <w:r w:rsidRPr="5DDB30B6" w:rsidR="00CD537C">
        <w:rPr>
          <w:sz w:val="22"/>
          <w:szCs w:val="22"/>
          <w:lang w:val="en-US"/>
        </w:rPr>
        <w:t>2026</w:t>
      </w:r>
      <w:r w:rsidRPr="5DDB30B6" w:rsidR="00CD537C">
        <w:rPr>
          <w:sz w:val="22"/>
          <w:szCs w:val="22"/>
          <w:lang w:val="en-US"/>
        </w:rPr>
        <w:t>). These ideals have fundamental connections with the effective administration of person-</w:t>
      </w:r>
      <w:r w:rsidRPr="5DDB30B6" w:rsidR="00CD537C">
        <w:rPr>
          <w:sz w:val="22"/>
          <w:szCs w:val="22"/>
          <w:lang w:val="en-US"/>
        </w:rPr>
        <w:t>centred</w:t>
      </w:r>
      <w:r w:rsidRPr="5DDB30B6" w:rsidR="00CD537C">
        <w:rPr>
          <w:sz w:val="22"/>
          <w:szCs w:val="22"/>
          <w:lang w:val="en-US"/>
        </w:rPr>
        <w:t xml:space="preserve"> care (PCC) and partnership working (PW). PCC is a strong advocate of autonomy and patients to make informed choices about their care, </w:t>
      </w:r>
      <w:r w:rsidRPr="5DDB30B6" w:rsidR="00CD537C">
        <w:rPr>
          <w:sz w:val="22"/>
          <w:szCs w:val="22"/>
          <w:lang w:val="en-US"/>
        </w:rPr>
        <w:t>whereas</w:t>
      </w:r>
      <w:r w:rsidRPr="5DDB30B6" w:rsidR="00CD537C">
        <w:rPr>
          <w:sz w:val="22"/>
          <w:szCs w:val="22"/>
          <w:lang w:val="en-US"/>
        </w:rPr>
        <w:t xml:space="preserve"> the principle of beneficence and non-maleficence helps practitioners to act in the best interests of the patient (</w:t>
      </w:r>
      <w:r w:rsidRPr="5DDB30B6" w:rsidR="00CD537C">
        <w:rPr>
          <w:sz w:val="22"/>
          <w:szCs w:val="22"/>
          <w:lang w:val="en-US"/>
        </w:rPr>
        <w:t xml:space="preserve">Marks, Predescu, and Dunn, 2021). Moreover, justice guarantees equal access to resources, which can often be achieved with the use of efficient PW and community involvement (Rong, </w:t>
      </w:r>
      <w:r w:rsidRPr="5DDB30B6" w:rsidR="00CD537C">
        <w:rPr>
          <w:sz w:val="22"/>
          <w:szCs w:val="22"/>
          <w:lang w:val="en-US"/>
        </w:rPr>
        <w:t>Ristevski</w:t>
      </w:r>
      <w:r w:rsidRPr="5DDB30B6" w:rsidR="00CD537C">
        <w:rPr>
          <w:sz w:val="22"/>
          <w:szCs w:val="22"/>
          <w:lang w:val="en-US"/>
        </w:rPr>
        <w:t xml:space="preserve"> and Carroll, 2023).</w:t>
      </w:r>
    </w:p>
    <w:p w:rsidR="00306FB4" w:rsidP="5DDB30B6" w:rsidRDefault="00CD537C" w14:paraId="0000002F" w14:textId="1E41CD24">
      <w:pPr>
        <w:rPr>
          <w:sz w:val="22"/>
          <w:szCs w:val="22"/>
          <w:lang w:val="en-US"/>
        </w:rPr>
      </w:pPr>
      <w:r w:rsidRPr="5DDB30B6" w:rsidR="00CD537C">
        <w:rPr>
          <w:sz w:val="22"/>
          <w:szCs w:val="22"/>
          <w:lang w:val="en-US"/>
        </w:rPr>
        <w:t xml:space="preserve">Another ethical problem that can be </w:t>
      </w:r>
      <w:r w:rsidRPr="5DDB30B6" w:rsidR="00CD537C">
        <w:rPr>
          <w:sz w:val="22"/>
          <w:szCs w:val="22"/>
          <w:lang w:val="en-US"/>
        </w:rPr>
        <w:t>frequently</w:t>
      </w:r>
      <w:r w:rsidRPr="5DDB30B6" w:rsidR="00CD537C">
        <w:rPr>
          <w:sz w:val="22"/>
          <w:szCs w:val="22"/>
          <w:lang w:val="en-US"/>
        </w:rPr>
        <w:t xml:space="preserve"> </w:t>
      </w:r>
      <w:r w:rsidRPr="5DDB30B6" w:rsidR="00CD537C">
        <w:rPr>
          <w:sz w:val="22"/>
          <w:szCs w:val="22"/>
          <w:lang w:val="en-US"/>
        </w:rPr>
        <w:t>encountered</w:t>
      </w:r>
      <w:r w:rsidRPr="5DDB30B6" w:rsidR="00CD537C">
        <w:rPr>
          <w:sz w:val="22"/>
          <w:szCs w:val="22"/>
          <w:lang w:val="en-US"/>
        </w:rPr>
        <w:t xml:space="preserve"> in the field of elderly community care is the necessity to weigh the independence of the patient and the significance of the duty of beneficence and non-maleficence that the practitioner cannot disregard. As an example, a community physiotherapist can examine </w:t>
      </w:r>
      <w:r w:rsidRPr="5DDB30B6" w:rsidR="00F61471">
        <w:rPr>
          <w:sz w:val="22"/>
          <w:szCs w:val="22"/>
          <w:lang w:val="en-US"/>
        </w:rPr>
        <w:t>older adults</w:t>
      </w:r>
      <w:r w:rsidRPr="5DDB30B6" w:rsidR="00CD537C">
        <w:rPr>
          <w:sz w:val="22"/>
          <w:szCs w:val="22"/>
          <w:lang w:val="en-US"/>
        </w:rPr>
        <w:t xml:space="preserve"> and find them at </w:t>
      </w:r>
      <w:r w:rsidRPr="5DDB30B6" w:rsidR="00CD537C">
        <w:rPr>
          <w:sz w:val="22"/>
          <w:szCs w:val="22"/>
          <w:lang w:val="en-US"/>
        </w:rPr>
        <w:t>high risk</w:t>
      </w:r>
      <w:r w:rsidRPr="5DDB30B6" w:rsidR="00CD537C">
        <w:rPr>
          <w:sz w:val="22"/>
          <w:szCs w:val="22"/>
          <w:lang w:val="en-US"/>
        </w:rPr>
        <w:t xml:space="preserve"> of </w:t>
      </w:r>
      <w:r w:rsidRPr="5DDB30B6" w:rsidR="00CD537C">
        <w:rPr>
          <w:sz w:val="22"/>
          <w:szCs w:val="22"/>
          <w:lang w:val="en-US"/>
        </w:rPr>
        <w:t>falls</w:t>
      </w:r>
      <w:r w:rsidRPr="5DDB30B6" w:rsidR="00CD537C">
        <w:rPr>
          <w:sz w:val="22"/>
          <w:szCs w:val="22"/>
          <w:lang w:val="en-US"/>
        </w:rPr>
        <w:t xml:space="preserve"> at home. A purely clinical perspective, which emphasizes non-maleficence, could promote </w:t>
      </w:r>
      <w:r w:rsidRPr="5DDB30B6" w:rsidR="00F61471">
        <w:rPr>
          <w:sz w:val="22"/>
          <w:szCs w:val="22"/>
          <w:lang w:val="en-US"/>
        </w:rPr>
        <w:t>a shift toward residential care or the use of restrictive mobility aids to enhance</w:t>
      </w:r>
      <w:r w:rsidRPr="5DDB30B6" w:rsidR="00CD537C">
        <w:rPr>
          <w:sz w:val="22"/>
          <w:szCs w:val="22"/>
          <w:lang w:val="en-US"/>
        </w:rPr>
        <w:t xml:space="preserve"> physical security. </w:t>
      </w:r>
      <w:r w:rsidRPr="5DDB30B6" w:rsidR="00F61471">
        <w:rPr>
          <w:sz w:val="22"/>
          <w:szCs w:val="22"/>
          <w:lang w:val="en-US"/>
        </w:rPr>
        <w:t>However</w:t>
      </w:r>
      <w:r w:rsidRPr="5DDB30B6" w:rsidR="00CD537C">
        <w:rPr>
          <w:sz w:val="22"/>
          <w:szCs w:val="22"/>
          <w:lang w:val="en-US"/>
        </w:rPr>
        <w:t xml:space="preserve">, the patient can </w:t>
      </w:r>
      <w:r w:rsidRPr="5DDB30B6" w:rsidR="00F61471">
        <w:rPr>
          <w:sz w:val="22"/>
          <w:szCs w:val="22"/>
          <w:lang w:val="en-US"/>
        </w:rPr>
        <w:t>relinquish their freedom and choose not to undergo such interventions, instead appealing</w:t>
      </w:r>
      <w:r w:rsidRPr="5DDB30B6" w:rsidR="00CD537C">
        <w:rPr>
          <w:sz w:val="22"/>
          <w:szCs w:val="22"/>
          <w:lang w:val="en-US"/>
        </w:rPr>
        <w:t xml:space="preserve"> to the psychological comfort and autonomy of staying at home (Marks, Predescu and Dunn, 2021).</w:t>
      </w:r>
    </w:p>
    <w:p w:rsidR="00306FB4" w:rsidP="5DDB30B6" w:rsidRDefault="00CD537C" w14:paraId="00000030" w14:textId="4C6B6720">
      <w:pPr>
        <w:rPr>
          <w:sz w:val="22"/>
          <w:szCs w:val="22"/>
          <w:lang w:val="en-US"/>
        </w:rPr>
      </w:pPr>
      <w:r w:rsidRPr="5DDB30B6" w:rsidR="00CD537C">
        <w:rPr>
          <w:sz w:val="22"/>
          <w:szCs w:val="22"/>
          <w:lang w:val="en-US"/>
        </w:rPr>
        <w:t xml:space="preserve">To solve this tension, it is necessary to have strong PW and recognition of divergent opinions. </w:t>
      </w:r>
      <w:r w:rsidRPr="5DDB30B6" w:rsidR="2FE6C381">
        <w:rPr>
          <w:sz w:val="22"/>
          <w:szCs w:val="22"/>
          <w:lang w:val="en-US"/>
        </w:rPr>
        <w:t xml:space="preserve">Community </w:t>
      </w:r>
      <w:r w:rsidRPr="5DDB30B6" w:rsidR="2FE6C381">
        <w:rPr>
          <w:sz w:val="22"/>
          <w:szCs w:val="22"/>
          <w:lang w:val="en-US"/>
        </w:rPr>
        <w:t>settings</w:t>
      </w:r>
      <w:r w:rsidRPr="5DDB30B6" w:rsidR="2FE6C381">
        <w:rPr>
          <w:sz w:val="22"/>
          <w:szCs w:val="22"/>
          <w:lang w:val="en-US"/>
        </w:rPr>
        <w:t xml:space="preserve"> </w:t>
      </w:r>
      <w:r w:rsidRPr="5DDB30B6" w:rsidR="00CD537C">
        <w:rPr>
          <w:sz w:val="22"/>
          <w:szCs w:val="22"/>
          <w:lang w:val="en-US"/>
        </w:rPr>
        <w:t>will have to work with social workers, occupational therapists, and the family of the patient instead of enacting an entirely medicalized safety measure. The two can also negotiate a risk-reduction plan, including arranging selective home adjustments or creating a community support system (Rong, Ristevski and Carroll, 2023). This joint decision respects the autonomy and right-to-</w:t>
      </w:r>
      <w:r w:rsidRPr="5DDB30B6" w:rsidR="00CD537C">
        <w:rPr>
          <w:sz w:val="22"/>
          <w:szCs w:val="22"/>
          <w:lang w:val="en-US"/>
        </w:rPr>
        <w:t>die</w:t>
      </w:r>
      <w:r w:rsidRPr="5DDB30B6" w:rsidR="00CD537C">
        <w:rPr>
          <w:sz w:val="22"/>
          <w:szCs w:val="22"/>
          <w:lang w:val="en-US"/>
        </w:rPr>
        <w:t xml:space="preserve"> of the pat</w:t>
      </w:r>
      <w:r w:rsidRPr="5DDB30B6" w:rsidR="00CD537C">
        <w:rPr>
          <w:sz w:val="22"/>
          <w:szCs w:val="22"/>
          <w:lang w:val="en-US"/>
        </w:rPr>
        <w:t>ient and achieves the role of the multidisciplinary team in actus reus of advancing well-being and reducing harm.</w:t>
      </w:r>
    </w:p>
    <w:p w:rsidR="00306FB4" w:rsidP="5DDB30B6" w:rsidRDefault="00CD537C" w14:paraId="00000031" w14:textId="77777777">
      <w:pPr>
        <w:pStyle w:val="Heading1"/>
        <w:rPr>
          <w:sz w:val="22"/>
          <w:szCs w:val="22"/>
        </w:rPr>
      </w:pPr>
      <w:bookmarkStart w:name="_Toc224139203" w:id="4"/>
      <w:r w:rsidRPr="5DDB30B6" w:rsidR="00CD537C">
        <w:rPr>
          <w:sz w:val="22"/>
          <w:szCs w:val="22"/>
        </w:rPr>
        <w:t>Evaluation of Partnership Working</w:t>
      </w:r>
      <w:bookmarkEnd w:id="4"/>
    </w:p>
    <w:p w:rsidR="00306FB4" w:rsidP="5DDB30B6" w:rsidRDefault="00CD537C" w14:paraId="00000032" w14:textId="0728FB9C">
      <w:pPr>
        <w:rPr>
          <w:sz w:val="22"/>
          <w:szCs w:val="22"/>
          <w:lang w:val="en-US"/>
        </w:rPr>
      </w:pPr>
      <w:r w:rsidRPr="5DDB30B6" w:rsidR="37F1FA2C">
        <w:rPr>
          <w:sz w:val="22"/>
          <w:szCs w:val="22"/>
          <w:lang w:val="en-US"/>
        </w:rPr>
        <w:t xml:space="preserve">  </w:t>
      </w:r>
      <w:r w:rsidRPr="5DDB30B6" w:rsidR="00CD537C">
        <w:rPr>
          <w:sz w:val="22"/>
          <w:szCs w:val="22"/>
          <w:lang w:val="en-US"/>
        </w:rPr>
        <w:t xml:space="preserve">Partnership working (PW) can be defined as collaborative practice or interagency practice of health, social care, local authorities, and the voluntary sector to serve in a holistic and unified manner. The statutory introduction of Integrated Care Systems (ICSs) throughout the UK heavily </w:t>
      </w:r>
      <w:r w:rsidRPr="5DDB30B6" w:rsidR="00CD537C">
        <w:rPr>
          <w:sz w:val="22"/>
          <w:szCs w:val="22"/>
          <w:lang w:val="en-US"/>
        </w:rPr>
        <w:t>emphasises</w:t>
      </w:r>
      <w:r w:rsidRPr="5DDB30B6" w:rsidR="00CD537C">
        <w:rPr>
          <w:sz w:val="22"/>
          <w:szCs w:val="22"/>
          <w:lang w:val="en-US"/>
        </w:rPr>
        <w:t xml:space="preserve"> their critical importance in modern healthcare. ICSs were to break the historical silo, and the perspective on the independent goals of organizations was changed to common population-related health goals (Bliss, W</w:t>
      </w:r>
      <w:r w:rsidRPr="5DDB30B6" w:rsidR="00CD537C">
        <w:rPr>
          <w:sz w:val="22"/>
          <w:szCs w:val="22"/>
          <w:lang w:val="en-US"/>
        </w:rPr>
        <w:t>illiamson</w:t>
      </w:r>
      <w:r w:rsidRPr="5DDB30B6" w:rsidR="00F61471">
        <w:rPr>
          <w:sz w:val="22"/>
          <w:szCs w:val="22"/>
          <w:lang w:val="en-US"/>
        </w:rPr>
        <w:t>,</w:t>
      </w:r>
      <w:r w:rsidRPr="5DDB30B6" w:rsidR="00CD537C">
        <w:rPr>
          <w:sz w:val="22"/>
          <w:szCs w:val="22"/>
          <w:lang w:val="en-US"/>
        </w:rPr>
        <w:t xml:space="preserve"> and Alayo, 2023).</w:t>
      </w:r>
    </w:p>
    <w:p w:rsidR="00306FB4" w:rsidP="5DDB30B6" w:rsidRDefault="00CD537C" w14:paraId="00000033" w14:textId="7AEA2B28">
      <w:pPr>
        <w:rPr>
          <w:sz w:val="22"/>
          <w:szCs w:val="22"/>
        </w:rPr>
      </w:pPr>
      <w:r w:rsidRPr="5DDB30B6" w:rsidR="00CD537C">
        <w:rPr>
          <w:sz w:val="22"/>
          <w:szCs w:val="22"/>
        </w:rPr>
        <w:t xml:space="preserve">The advantages of a good PW are </w:t>
      </w:r>
      <w:r w:rsidRPr="5DDB30B6" w:rsidR="00F61471">
        <w:rPr>
          <w:sz w:val="22"/>
          <w:szCs w:val="22"/>
        </w:rPr>
        <w:t>obvious</w:t>
      </w:r>
      <w:r w:rsidRPr="5DDB30B6" w:rsidR="00CD537C">
        <w:rPr>
          <w:sz w:val="22"/>
          <w:szCs w:val="22"/>
        </w:rPr>
        <w:t xml:space="preserve"> in community care among the elderly. Considering the example, the cohesive treatment of a frail older adult to rehabilitate will ensure that the mobility plans applied by the physiotherapist are proactively supported by social care workers on a daily visit to the home. This all-encompassing, multidisciplinary integration is directly associated with better patient outcomes, which encourages more independence, reduces the risk of falls, and minimizes preventable hospital admissions (Naylor et al., 202</w:t>
      </w:r>
      <w:r w:rsidRPr="5DDB30B6" w:rsidR="00CD537C">
        <w:rPr>
          <w:sz w:val="22"/>
          <w:szCs w:val="22"/>
        </w:rPr>
        <w:t>4).</w:t>
      </w:r>
    </w:p>
    <w:p w:rsidR="00306FB4" w:rsidP="5DDB30B6" w:rsidRDefault="00CD537C" w14:paraId="00000034" w14:textId="77777777">
      <w:pPr>
        <w:rPr>
          <w:sz w:val="22"/>
          <w:szCs w:val="22"/>
          <w:lang w:val="en-US"/>
        </w:rPr>
      </w:pPr>
      <w:r w:rsidRPr="5DDB30B6" w:rsidR="00CD537C">
        <w:rPr>
          <w:sz w:val="22"/>
          <w:szCs w:val="22"/>
          <w:lang w:val="en-US"/>
        </w:rPr>
        <w:t xml:space="preserve">Nevertheless, successful PW implies that it involves overcoming considerable challenges. The first obstacle is coordination issues, which can be further worsened by a fragmented IT infrastructure that cannot </w:t>
      </w:r>
      <w:r w:rsidRPr="5DDB30B6" w:rsidR="00CD537C">
        <w:rPr>
          <w:sz w:val="22"/>
          <w:szCs w:val="22"/>
          <w:lang w:val="en-US"/>
        </w:rPr>
        <w:t>facilitate</w:t>
      </w:r>
      <w:r w:rsidRPr="5DDB30B6" w:rsidR="00CD537C">
        <w:rPr>
          <w:sz w:val="22"/>
          <w:szCs w:val="22"/>
          <w:lang w:val="en-US"/>
        </w:rPr>
        <w:t xml:space="preserve"> the exchange of real-time data between the NHS health trusts and local authorities' social care providers (Bliss, </w:t>
      </w:r>
      <w:r w:rsidRPr="5DDB30B6" w:rsidR="00CD537C">
        <w:rPr>
          <w:sz w:val="22"/>
          <w:szCs w:val="22"/>
          <w:lang w:val="en-US"/>
        </w:rPr>
        <w:t>Williamson</w:t>
      </w:r>
      <w:r w:rsidRPr="5DDB30B6" w:rsidR="00CD537C">
        <w:rPr>
          <w:sz w:val="22"/>
          <w:szCs w:val="22"/>
          <w:lang w:val="en-US"/>
        </w:rPr>
        <w:t xml:space="preserve"> and Alayo, 2023). These communication obstacles may result in discontinuous care; when the new weight-bearing precautionary measures taken by a physiotherapist are not </w:t>
      </w:r>
      <w:r w:rsidRPr="5DDB30B6" w:rsidR="00CD537C">
        <w:rPr>
          <w:sz w:val="22"/>
          <w:szCs w:val="22"/>
          <w:lang w:val="en-US"/>
        </w:rPr>
        <w:t>promptly communicated to the home care givers, the elderly individual is put under extreme risk of harm. Moreover, the continuous workforce shortage and varying organizational cultures make joint work more complicated and burden the possibilities of the frontline professionals to meaningfully cooperate in interprofessional collaboration (Naylor et al., 2024).</w:t>
      </w:r>
    </w:p>
    <w:p w:rsidR="00306FB4" w:rsidP="5DDB30B6" w:rsidRDefault="00CD537C" w14:paraId="00000035" w14:textId="61E00E5F">
      <w:pPr>
        <w:rPr>
          <w:sz w:val="22"/>
          <w:szCs w:val="22"/>
          <w:lang w:val="en-US"/>
        </w:rPr>
      </w:pPr>
      <w:r w:rsidRPr="5DDB30B6" w:rsidR="00CD537C">
        <w:rPr>
          <w:sz w:val="22"/>
          <w:szCs w:val="22"/>
          <w:lang w:val="en-US"/>
        </w:rPr>
        <w:t>Looking at the wider effect, it</w:t>
      </w:r>
      <w:r w:rsidRPr="5DDB30B6" w:rsidR="00CD537C">
        <w:rPr>
          <w:sz w:val="22"/>
          <w:szCs w:val="22"/>
          <w:lang w:val="en-US"/>
        </w:rPr>
        <w:t xml:space="preserve"> can be </w:t>
      </w:r>
      <w:r w:rsidRPr="5DDB30B6" w:rsidR="00CD537C">
        <w:rPr>
          <w:sz w:val="22"/>
          <w:szCs w:val="22"/>
          <w:lang w:val="en-US"/>
        </w:rPr>
        <w:t>observed</w:t>
      </w:r>
      <w:r w:rsidRPr="5DDB30B6" w:rsidR="00CD537C">
        <w:rPr>
          <w:sz w:val="22"/>
          <w:szCs w:val="22"/>
          <w:lang w:val="en-US"/>
        </w:rPr>
        <w:t xml:space="preserve"> that PW fundamentally transforms health and social care services from non-reactive and episodic treatment into reactive and non-reactive networks that are well integrated. In the case of community physiotherapy, this would require that they progress further than the isolated clinical practice and become merely a part of an inclusive support system.</w:t>
      </w:r>
    </w:p>
    <w:p w:rsidR="00F61471" w:rsidP="5DDB30B6" w:rsidRDefault="00F61471" w14:paraId="2F8A3DF4" w14:textId="77777777">
      <w:pPr>
        <w:rPr>
          <w:sz w:val="22"/>
          <w:szCs w:val="22"/>
        </w:rPr>
      </w:pPr>
    </w:p>
    <w:p w:rsidR="00306FB4" w:rsidP="5DDB30B6" w:rsidRDefault="00CD537C" w14:paraId="00000036" w14:textId="2CF7C752">
      <w:pPr>
        <w:pStyle w:val="Heading1"/>
        <w:rPr>
          <w:sz w:val="22"/>
          <w:szCs w:val="22"/>
        </w:rPr>
      </w:pPr>
      <w:bookmarkStart w:name="_Toc224139204" w:id="5"/>
      <w:r w:rsidRPr="5DDB30B6" w:rsidR="00CD537C">
        <w:rPr>
          <w:sz w:val="22"/>
          <w:szCs w:val="22"/>
        </w:rPr>
        <w:t>Policy and Legislation</w:t>
      </w:r>
      <w:bookmarkEnd w:id="5"/>
    </w:p>
    <w:p w:rsidR="00306FB4" w:rsidP="5DDB30B6" w:rsidRDefault="00CD537C" w14:paraId="00000037" w14:textId="7E54D848">
      <w:pPr>
        <w:rPr>
          <w:sz w:val="22"/>
          <w:szCs w:val="22"/>
          <w:lang w:val="en-US"/>
        </w:rPr>
      </w:pPr>
      <w:r w:rsidRPr="5DDB30B6" w:rsidR="10BF2A98">
        <w:rPr>
          <w:sz w:val="22"/>
          <w:szCs w:val="22"/>
          <w:lang w:val="en-US"/>
        </w:rPr>
        <w:t xml:space="preserve">  </w:t>
      </w:r>
      <w:r w:rsidRPr="5DDB30B6" w:rsidR="00CD537C">
        <w:rPr>
          <w:sz w:val="22"/>
          <w:szCs w:val="22"/>
          <w:lang w:val="en-US"/>
        </w:rPr>
        <w:t>The current legislative framework supports the provision of person-</w:t>
      </w:r>
      <w:r w:rsidRPr="5DDB30B6" w:rsidR="00CD537C">
        <w:rPr>
          <w:sz w:val="22"/>
          <w:szCs w:val="22"/>
          <w:lang w:val="en-US"/>
        </w:rPr>
        <w:t>centred</w:t>
      </w:r>
      <w:r w:rsidRPr="5DDB30B6" w:rsidR="00CD537C">
        <w:rPr>
          <w:sz w:val="22"/>
          <w:szCs w:val="22"/>
          <w:lang w:val="en-US"/>
        </w:rPr>
        <w:t xml:space="preserve"> care (PCC), as well as partnership working (PW) in the UK. The primary legal responsibility under the Care and Support Statutory Guidance is to </w:t>
      </w:r>
      <w:r w:rsidRPr="5DDB30B6" w:rsidR="00CD537C">
        <w:rPr>
          <w:sz w:val="22"/>
          <w:szCs w:val="22"/>
          <w:lang w:val="en-US"/>
        </w:rPr>
        <w:t>establish</w:t>
      </w:r>
      <w:r w:rsidRPr="5DDB30B6" w:rsidR="00CD537C">
        <w:rPr>
          <w:sz w:val="22"/>
          <w:szCs w:val="22"/>
          <w:lang w:val="en-US"/>
        </w:rPr>
        <w:t xml:space="preserve"> a legal obligation of the local authorities, which encourages individual wellbeing as in the Care Act 2014 (Government of UK, 2025)</w:t>
      </w:r>
      <w:r w:rsidRPr="5DDB30B6" w:rsidR="00CD537C">
        <w:rPr>
          <w:sz w:val="22"/>
          <w:szCs w:val="22"/>
          <w:lang w:val="en-US"/>
        </w:rPr>
        <w:t xml:space="preserve">.  </w:t>
      </w:r>
      <w:r w:rsidRPr="5DDB30B6" w:rsidR="00CD537C">
        <w:rPr>
          <w:sz w:val="22"/>
          <w:szCs w:val="22"/>
          <w:lang w:val="en-US"/>
        </w:rPr>
        <w:t xml:space="preserve">The implication in the context of elderly community care is that a physiotherapist needs to co-create recovery </w:t>
      </w:r>
      <w:r w:rsidRPr="5DDB30B6" w:rsidR="00CD537C">
        <w:rPr>
          <w:sz w:val="22"/>
          <w:szCs w:val="22"/>
          <w:lang w:val="en-US"/>
        </w:rPr>
        <w:t>objectives</w:t>
      </w:r>
      <w:r w:rsidRPr="5DDB30B6" w:rsidR="00CD537C">
        <w:rPr>
          <w:sz w:val="22"/>
          <w:szCs w:val="22"/>
          <w:lang w:val="en-US"/>
        </w:rPr>
        <w:t xml:space="preserve"> with the patient, e.g., bet</w:t>
      </w:r>
      <w:r w:rsidRPr="5DDB30B6" w:rsidR="00CD537C">
        <w:rPr>
          <w:sz w:val="22"/>
          <w:szCs w:val="22"/>
          <w:lang w:val="en-US"/>
        </w:rPr>
        <w:t xml:space="preserve">ter balance so that he or she easily moves around in his or her </w:t>
      </w:r>
      <w:r w:rsidRPr="5DDB30B6" w:rsidR="00F61471">
        <w:rPr>
          <w:sz w:val="22"/>
          <w:szCs w:val="22"/>
          <w:lang w:val="en-US"/>
        </w:rPr>
        <w:t>garden but</w:t>
      </w:r>
      <w:r w:rsidRPr="5DDB30B6" w:rsidR="00CD537C">
        <w:rPr>
          <w:sz w:val="22"/>
          <w:szCs w:val="22"/>
          <w:lang w:val="en-US"/>
        </w:rPr>
        <w:t xml:space="preserve"> not treating only its physical symptoms separately.</w:t>
      </w:r>
    </w:p>
    <w:p w:rsidR="60458B6D" w:rsidP="5DDB30B6" w:rsidRDefault="60458B6D" w14:paraId="618DEE84" w14:textId="2CF01225">
      <w:pPr>
        <w:rPr>
          <w:sz w:val="22"/>
          <w:szCs w:val="22"/>
          <w:lang w:val="en-US"/>
        </w:rPr>
      </w:pPr>
    </w:p>
    <w:p w:rsidR="00306FB4" w:rsidP="5DDB30B6" w:rsidRDefault="00E37A5F" w14:paraId="00000038" w14:textId="209AB2CF">
      <w:pPr>
        <w:rPr>
          <w:sz w:val="22"/>
          <w:szCs w:val="22"/>
          <w:lang w:val="en-US"/>
        </w:rPr>
      </w:pPr>
      <w:r w:rsidRPr="5DDB30B6" w:rsidR="00E37A5F">
        <w:rPr>
          <w:sz w:val="22"/>
          <w:szCs w:val="22"/>
          <w:lang w:val="en-US"/>
        </w:rPr>
        <w:t xml:space="preserve">The Equality Act 2010 ensures that people do not suffer discrimination and the making of reasonable adjustments (Government of </w:t>
      </w:r>
      <w:r w:rsidRPr="5DDB30B6" w:rsidR="00F61471">
        <w:rPr>
          <w:sz w:val="22"/>
          <w:szCs w:val="22"/>
          <w:lang w:val="en-US"/>
        </w:rPr>
        <w:t xml:space="preserve">the </w:t>
      </w:r>
      <w:r w:rsidRPr="5DDB30B6" w:rsidR="00E37A5F">
        <w:rPr>
          <w:sz w:val="22"/>
          <w:szCs w:val="22"/>
          <w:lang w:val="en-US"/>
        </w:rPr>
        <w:t xml:space="preserve">UK, 2015). The legislation guarantees the PCC since health and social care professionals are legally minded, which means that they </w:t>
      </w:r>
      <w:r w:rsidRPr="5DDB30B6" w:rsidR="00F61471">
        <w:rPr>
          <w:sz w:val="22"/>
          <w:szCs w:val="22"/>
          <w:lang w:val="en-US"/>
        </w:rPr>
        <w:t>must</w:t>
      </w:r>
      <w:r w:rsidRPr="5DDB30B6" w:rsidR="00E37A5F">
        <w:rPr>
          <w:sz w:val="22"/>
          <w:szCs w:val="22"/>
          <w:lang w:val="en-US"/>
        </w:rPr>
        <w:t xml:space="preserve"> </w:t>
      </w:r>
      <w:r w:rsidRPr="5DDB30B6" w:rsidR="00E37A5F">
        <w:rPr>
          <w:sz w:val="22"/>
          <w:szCs w:val="22"/>
          <w:lang w:val="en-US"/>
        </w:rPr>
        <w:t>modify</w:t>
      </w:r>
      <w:r w:rsidRPr="5DDB30B6" w:rsidR="00E37A5F">
        <w:rPr>
          <w:sz w:val="22"/>
          <w:szCs w:val="22"/>
          <w:lang w:val="en-US"/>
        </w:rPr>
        <w:t xml:space="preserve"> their practice to conform to individual needs. To a community physiotherapist, this could include adjusting exercise instructions in an elderly individual with cognitive impairment or sensory loss, hence ensuring that the older adult has fair access to the crucial rehabilitation services.</w:t>
      </w:r>
    </w:p>
    <w:p w:rsidR="0FCA05EB" w:rsidP="5DDB30B6" w:rsidRDefault="0FCA05EB" w14:paraId="348E4AE4" w14:textId="3B775095">
      <w:pPr>
        <w:rPr>
          <w:sz w:val="22"/>
          <w:szCs w:val="22"/>
          <w:lang w:val="en-US"/>
        </w:rPr>
      </w:pPr>
      <w:r w:rsidRPr="5DDB30B6" w:rsidR="0FCA05EB">
        <w:rPr>
          <w:sz w:val="22"/>
          <w:szCs w:val="22"/>
          <w:lang w:val="en-US"/>
        </w:rPr>
        <w:t xml:space="preserve"> </w:t>
      </w:r>
    </w:p>
    <w:p w:rsidR="00306FB4" w:rsidP="5DDB30B6" w:rsidRDefault="00CD537C" w14:paraId="00000039" w14:textId="77777777">
      <w:pPr>
        <w:rPr>
          <w:sz w:val="22"/>
          <w:szCs w:val="22"/>
          <w:lang w:val="en-US"/>
        </w:rPr>
      </w:pPr>
      <w:r w:rsidRPr="5DDB30B6" w:rsidR="00CD537C">
        <w:rPr>
          <w:sz w:val="22"/>
          <w:szCs w:val="22"/>
          <w:lang w:val="en-US"/>
        </w:rPr>
        <w:t xml:space="preserve">As far as PW is concerned, the Health and Care Act 2022 is </w:t>
      </w:r>
      <w:r w:rsidRPr="5DDB30B6" w:rsidR="00CD537C">
        <w:rPr>
          <w:sz w:val="22"/>
          <w:szCs w:val="22"/>
          <w:lang w:val="en-US"/>
        </w:rPr>
        <w:t>rather a</w:t>
      </w:r>
      <w:r w:rsidRPr="5DDB30B6" w:rsidR="00CD537C">
        <w:rPr>
          <w:sz w:val="22"/>
          <w:szCs w:val="22"/>
          <w:lang w:val="en-US"/>
        </w:rPr>
        <w:t xml:space="preserve"> legislative game changer as it officially introduces the concept of Integrated Care System (ICSs) and imposes the duty of cooperation between the NHS and the local authority organs (Toh and Haynes, 2022). This law is proactive in fulfilling the interests of PW as it </w:t>
      </w:r>
      <w:r w:rsidRPr="5DDB30B6" w:rsidR="00CD537C">
        <w:rPr>
          <w:sz w:val="22"/>
          <w:szCs w:val="22"/>
          <w:lang w:val="en-US"/>
        </w:rPr>
        <w:t>seeks</w:t>
      </w:r>
      <w:r w:rsidRPr="5DDB30B6" w:rsidR="00CD537C">
        <w:rPr>
          <w:sz w:val="22"/>
          <w:szCs w:val="22"/>
          <w:lang w:val="en-US"/>
        </w:rPr>
        <w:t xml:space="preserve"> to break the old organizational silos. This ideally would enable a physiotherapist to liaise smoothly with social care providers to organize instant home adaptations to en</w:t>
      </w:r>
      <w:r w:rsidRPr="5DDB30B6" w:rsidR="00CD537C">
        <w:rPr>
          <w:sz w:val="22"/>
          <w:szCs w:val="22"/>
          <w:lang w:val="en-US"/>
        </w:rPr>
        <w:t>able a safe hospital discharge of an elderly patient.</w:t>
      </w:r>
    </w:p>
    <w:p w:rsidR="00306FB4" w:rsidP="5DDB30B6" w:rsidRDefault="00CD537C" w14:paraId="0000003A" w14:textId="036B1070">
      <w:pPr>
        <w:rPr>
          <w:sz w:val="22"/>
          <w:szCs w:val="22"/>
        </w:rPr>
      </w:pPr>
      <w:r w:rsidRPr="5DDB30B6" w:rsidR="00CD537C">
        <w:rPr>
          <w:sz w:val="22"/>
          <w:szCs w:val="22"/>
        </w:rPr>
        <w:t xml:space="preserve">Nonetheless, these policies are theoretically in favor of PCC and PW; systemic limitations usually hamper their implementation in practical terms. Although the Health and Care Act 2022 is a collaborative body, there still exist ingrained cultural differences and unequal funding mechanisms between the NHS and social care (Toh and Haynes, 2022). </w:t>
      </w:r>
    </w:p>
    <w:p w:rsidR="00E37A5F" w:rsidP="5DDB30B6" w:rsidRDefault="00E37A5F" w14:paraId="7C3C5984" w14:textId="77777777">
      <w:pPr>
        <w:rPr>
          <w:sz w:val="22"/>
          <w:szCs w:val="22"/>
        </w:rPr>
      </w:pPr>
    </w:p>
    <w:p w:rsidR="00306FB4" w:rsidP="5DDB30B6" w:rsidRDefault="00CD537C" w14:paraId="0000003B" w14:textId="77777777">
      <w:pPr>
        <w:pStyle w:val="Heading1"/>
        <w:rPr>
          <w:sz w:val="22"/>
          <w:szCs w:val="22"/>
        </w:rPr>
      </w:pPr>
      <w:bookmarkStart w:name="_Toc224139205" w:id="6"/>
      <w:r w:rsidRPr="5DDB30B6" w:rsidR="00CD537C">
        <w:rPr>
          <w:sz w:val="22"/>
          <w:szCs w:val="22"/>
        </w:rPr>
        <w:t>Recommendations</w:t>
      </w:r>
      <w:bookmarkEnd w:id="6"/>
    </w:p>
    <w:p w:rsidR="00306FB4" w:rsidP="5DDB30B6" w:rsidRDefault="00CD537C" w14:paraId="0000003C" w14:textId="6E2CA3C1">
      <w:pPr>
        <w:rPr>
          <w:sz w:val="22"/>
          <w:szCs w:val="22"/>
          <w:lang w:val="en-US"/>
        </w:rPr>
      </w:pPr>
      <w:r w:rsidRPr="5DDB30B6" w:rsidR="0E35B764">
        <w:rPr>
          <w:sz w:val="22"/>
          <w:szCs w:val="22"/>
          <w:lang w:val="en-US"/>
        </w:rPr>
        <w:t xml:space="preserve">   </w:t>
      </w:r>
      <w:r w:rsidRPr="5DDB30B6" w:rsidR="00CD537C">
        <w:rPr>
          <w:sz w:val="22"/>
          <w:szCs w:val="22"/>
          <w:lang w:val="en-US"/>
        </w:rPr>
        <w:t xml:space="preserve">Although legislative frameworks are strong, there are </w:t>
      </w:r>
      <w:r w:rsidRPr="5DDB30B6" w:rsidR="00CD537C">
        <w:rPr>
          <w:sz w:val="22"/>
          <w:szCs w:val="22"/>
          <w:lang w:val="en-US"/>
        </w:rPr>
        <w:t>numerous</w:t>
      </w:r>
      <w:r w:rsidRPr="5DDB30B6" w:rsidR="00CD537C">
        <w:rPr>
          <w:sz w:val="22"/>
          <w:szCs w:val="22"/>
          <w:lang w:val="en-US"/>
        </w:rPr>
        <w:t xml:space="preserve"> gaps in the implementation of seamless person-</w:t>
      </w:r>
      <w:r w:rsidRPr="5DDB30B6" w:rsidR="00CD537C">
        <w:rPr>
          <w:sz w:val="22"/>
          <w:szCs w:val="22"/>
          <w:lang w:val="en-US"/>
        </w:rPr>
        <w:t>centred</w:t>
      </w:r>
      <w:r w:rsidRPr="5DDB30B6" w:rsidR="00CD537C">
        <w:rPr>
          <w:sz w:val="22"/>
          <w:szCs w:val="22"/>
          <w:lang w:val="en-US"/>
        </w:rPr>
        <w:t xml:space="preserve"> care (PCC) and partnership working (PW), </w:t>
      </w:r>
      <w:r w:rsidRPr="5DDB30B6" w:rsidR="00CD537C">
        <w:rPr>
          <w:sz w:val="22"/>
          <w:szCs w:val="22"/>
          <w:lang w:val="en-US"/>
        </w:rPr>
        <w:t>major issues</w:t>
      </w:r>
      <w:r w:rsidRPr="5DDB30B6" w:rsidR="00CD537C">
        <w:rPr>
          <w:sz w:val="22"/>
          <w:szCs w:val="22"/>
          <w:lang w:val="en-US"/>
        </w:rPr>
        <w:t xml:space="preserve"> of which are related to the inability to communicate between agencies and the lack of resources within the community.</w:t>
      </w:r>
    </w:p>
    <w:p w:rsidR="00306FB4" w:rsidP="5DDB30B6" w:rsidRDefault="00CD537C" w14:paraId="0000003D" w14:textId="77777777">
      <w:pPr>
        <w:rPr>
          <w:sz w:val="22"/>
          <w:szCs w:val="22"/>
        </w:rPr>
      </w:pPr>
      <w:r w:rsidRPr="5DDB30B6" w:rsidR="00CD537C">
        <w:rPr>
          <w:sz w:val="22"/>
          <w:szCs w:val="22"/>
        </w:rPr>
        <w:t xml:space="preserve">As one of the solutions to such gaps, one of the first recommendations placed in the future development in the UK is the preemptive adoption of shared digital health records within the boundaries of the NHS and local authorities (Bliss, </w:t>
      </w:r>
      <w:r w:rsidRPr="5DDB30B6" w:rsidR="00CD537C">
        <w:rPr>
          <w:sz w:val="22"/>
          <w:szCs w:val="22"/>
        </w:rPr>
        <w:t>Williamson</w:t>
      </w:r>
      <w:r w:rsidRPr="5DDB30B6" w:rsidR="00CD537C">
        <w:rPr>
          <w:sz w:val="22"/>
          <w:szCs w:val="22"/>
        </w:rPr>
        <w:t xml:space="preserve"> and Alayo, 2023). Practically, the use of this technology would enable community physiotherapists to send updated mobility risk assessments to domiciliary carers in real-time, which would result in stronger partnerships and reduced older </w:t>
      </w:r>
      <w:r w:rsidRPr="5DDB30B6" w:rsidR="00CD537C">
        <w:rPr>
          <w:sz w:val="22"/>
          <w:szCs w:val="22"/>
        </w:rPr>
        <w:t>adults '</w:t>
      </w:r>
      <w:r w:rsidRPr="5DDB30B6" w:rsidR="00CD537C">
        <w:rPr>
          <w:sz w:val="22"/>
          <w:szCs w:val="22"/>
        </w:rPr>
        <w:t xml:space="preserve"> exposure to fragmented care (Naylor et al., 2024).</w:t>
      </w:r>
    </w:p>
    <w:p w:rsidR="00306FB4" w:rsidP="5DDB30B6" w:rsidRDefault="00CD537C" w14:paraId="0000003E" w14:textId="3D263E9E">
      <w:pPr>
        <w:rPr>
          <w:sz w:val="22"/>
          <w:szCs w:val="22"/>
        </w:rPr>
      </w:pPr>
      <w:r w:rsidRPr="5DDB30B6" w:rsidR="00CD537C">
        <w:rPr>
          <w:sz w:val="22"/>
          <w:szCs w:val="22"/>
        </w:rPr>
        <w:t xml:space="preserve">Moreover, joint interprofessional education should be obligatory in terms of targeted policy development. Making physiotherapists teach together with social workers and family physicians can help to overcome the organizational </w:t>
      </w:r>
      <w:r w:rsidRPr="5DDB30B6" w:rsidR="3F736BE1">
        <w:rPr>
          <w:sz w:val="22"/>
          <w:szCs w:val="22"/>
        </w:rPr>
        <w:t>divisions</w:t>
      </w:r>
      <w:r w:rsidRPr="5DDB30B6" w:rsidR="00CD537C">
        <w:rPr>
          <w:sz w:val="22"/>
          <w:szCs w:val="22"/>
        </w:rPr>
        <w:t xml:space="preserve"> an</w:t>
      </w:r>
      <w:r w:rsidRPr="5DDB30B6" w:rsidR="79C906F1">
        <w:rPr>
          <w:sz w:val="22"/>
          <w:szCs w:val="22"/>
        </w:rPr>
        <w:t>d</w:t>
      </w:r>
      <w:r w:rsidRPr="5DDB30B6" w:rsidR="00CD537C">
        <w:rPr>
          <w:sz w:val="22"/>
          <w:szCs w:val="22"/>
        </w:rPr>
        <w:t xml:space="preserve"> promote the cohesive, strengths-based culture of PCC (Anwari et al., 2022; Hansen et al., 2025).</w:t>
      </w:r>
    </w:p>
    <w:p w:rsidR="00306FB4" w:rsidP="5DDB30B6" w:rsidRDefault="00CD537C" w14:paraId="0000003F" w14:textId="2656B8DF">
      <w:pPr>
        <w:rPr>
          <w:sz w:val="22"/>
          <w:szCs w:val="22"/>
          <w:lang w:val="en-US"/>
        </w:rPr>
      </w:pPr>
      <w:r w:rsidRPr="5DDB30B6" w:rsidR="00CD537C">
        <w:rPr>
          <w:sz w:val="22"/>
          <w:szCs w:val="22"/>
          <w:lang w:val="en-US"/>
        </w:rPr>
        <w:t xml:space="preserve">There are notable limitations to these recommendations. The development of interoperable technology takes a lot of </w:t>
      </w:r>
      <w:r w:rsidRPr="5DDB30B6" w:rsidR="00CD537C">
        <w:rPr>
          <w:sz w:val="22"/>
          <w:szCs w:val="22"/>
          <w:lang w:val="en-US"/>
        </w:rPr>
        <w:t>initial</w:t>
      </w:r>
      <w:r w:rsidRPr="5DDB30B6" w:rsidR="00CD537C">
        <w:rPr>
          <w:sz w:val="22"/>
          <w:szCs w:val="22"/>
          <w:lang w:val="en-US"/>
        </w:rPr>
        <w:t xml:space="preserve"> capital financing, which is </w:t>
      </w:r>
      <w:r w:rsidRPr="5DDB30B6" w:rsidR="00CD537C">
        <w:rPr>
          <w:sz w:val="22"/>
          <w:szCs w:val="22"/>
          <w:lang w:val="en-US"/>
        </w:rPr>
        <w:t>very difficult</w:t>
      </w:r>
      <w:r w:rsidRPr="5DDB30B6" w:rsidR="00CD537C">
        <w:rPr>
          <w:sz w:val="22"/>
          <w:szCs w:val="22"/>
          <w:lang w:val="en-US"/>
        </w:rPr>
        <w:t xml:space="preserve"> considering the present economic situation. Moreover, an already burdened clinical staff should be released to train in joints, which is also an important obstacle to operations. </w:t>
      </w:r>
    </w:p>
    <w:p w:rsidR="00306FB4" w:rsidP="5DDB30B6" w:rsidRDefault="00CD537C" w14:paraId="00000040" w14:textId="77777777">
      <w:pPr>
        <w:pStyle w:val="Heading1"/>
        <w:rPr>
          <w:sz w:val="22"/>
          <w:szCs w:val="22"/>
        </w:rPr>
      </w:pPr>
      <w:bookmarkStart w:name="_Toc224139206" w:id="7"/>
      <w:r w:rsidRPr="5DDB30B6" w:rsidR="00CD537C">
        <w:rPr>
          <w:sz w:val="22"/>
          <w:szCs w:val="22"/>
        </w:rPr>
        <w:t>Conclusion</w:t>
      </w:r>
      <w:bookmarkEnd w:id="7"/>
    </w:p>
    <w:p w:rsidR="00306FB4" w:rsidP="5DDB30B6" w:rsidRDefault="00CD537C" w14:paraId="00000041" w14:textId="57097271">
      <w:pPr>
        <w:rPr>
          <w:sz w:val="22"/>
          <w:szCs w:val="22"/>
          <w:lang w:val="en-US"/>
        </w:rPr>
      </w:pPr>
      <w:r w:rsidRPr="5DDB30B6" w:rsidR="28B88C0B">
        <w:rPr>
          <w:sz w:val="22"/>
          <w:szCs w:val="22"/>
          <w:lang w:val="en-US"/>
        </w:rPr>
        <w:t xml:space="preserve">  </w:t>
      </w:r>
      <w:r w:rsidRPr="5DDB30B6" w:rsidR="00CD537C">
        <w:rPr>
          <w:sz w:val="22"/>
          <w:szCs w:val="22"/>
          <w:lang w:val="en-US"/>
        </w:rPr>
        <w:t>This report has assessed the crucial nature of person-</w:t>
      </w:r>
      <w:r w:rsidRPr="5DDB30B6" w:rsidR="00CD537C">
        <w:rPr>
          <w:sz w:val="22"/>
          <w:szCs w:val="22"/>
          <w:lang w:val="en-US"/>
        </w:rPr>
        <w:t>centred</w:t>
      </w:r>
      <w:r w:rsidRPr="5DDB30B6" w:rsidR="00CD537C">
        <w:rPr>
          <w:sz w:val="22"/>
          <w:szCs w:val="22"/>
          <w:lang w:val="en-US"/>
        </w:rPr>
        <w:t xml:space="preserve"> care (PCC) and partnership working (PW) in the current health and social care, </w:t>
      </w:r>
      <w:r w:rsidRPr="5DDB30B6" w:rsidR="00E37A5F">
        <w:rPr>
          <w:sz w:val="22"/>
          <w:szCs w:val="22"/>
          <w:lang w:val="en-US"/>
        </w:rPr>
        <w:t>and in</w:t>
      </w:r>
      <w:r w:rsidRPr="5DDB30B6" w:rsidR="00CD537C">
        <w:rPr>
          <w:sz w:val="22"/>
          <w:szCs w:val="22"/>
          <w:lang w:val="en-US"/>
        </w:rPr>
        <w:t xml:space="preserve"> physiotherapy in the elderly community. It is also clear and supported by theoretical frameworks and ethical principles that unnecessary non-holistic and individualized care is essential. Although the existing laws are enforced in the integration process, there </w:t>
      </w:r>
      <w:r w:rsidRPr="5DDB30B6" w:rsidR="00CD537C">
        <w:rPr>
          <w:sz w:val="22"/>
          <w:szCs w:val="22"/>
          <w:lang w:val="en-US"/>
        </w:rPr>
        <w:t>remain</w:t>
      </w:r>
      <w:r w:rsidRPr="5DDB30B6" w:rsidR="00CD537C">
        <w:rPr>
          <w:sz w:val="22"/>
          <w:szCs w:val="22"/>
          <w:lang w:val="en-US"/>
        </w:rPr>
        <w:t xml:space="preserve"> systemic challenges, including fragmented communication and the lack of resources, that impede the real implementation process. </w:t>
      </w:r>
      <w:r w:rsidRPr="5DDB30B6" w:rsidR="00E37A5F">
        <w:rPr>
          <w:sz w:val="22"/>
          <w:szCs w:val="22"/>
          <w:lang w:val="en-US"/>
        </w:rPr>
        <w:t>To</w:t>
      </w:r>
      <w:r w:rsidRPr="5DDB30B6" w:rsidR="00CD537C">
        <w:rPr>
          <w:sz w:val="22"/>
          <w:szCs w:val="22"/>
          <w:lang w:val="en-US"/>
        </w:rPr>
        <w:t xml:space="preserve"> deal with such obstacles and improve service provision, the UK should focus on the interoperability of di</w:t>
      </w:r>
      <w:r w:rsidRPr="5DDB30B6" w:rsidR="00CD537C">
        <w:rPr>
          <w:sz w:val="22"/>
          <w:szCs w:val="22"/>
          <w:lang w:val="en-US"/>
        </w:rPr>
        <w:t xml:space="preserve">gital health records and collaborative interprofessional education that should be backed by ring-fenced funding. Finally, it is essential to incorporate sound PCC and PW as the ultimate means of the secure provision of the ageing </w:t>
      </w:r>
      <w:r w:rsidRPr="5DDB30B6" w:rsidR="0A74B0CF">
        <w:rPr>
          <w:sz w:val="22"/>
          <w:szCs w:val="22"/>
          <w:lang w:val="en-US"/>
        </w:rPr>
        <w:t xml:space="preserve">population. </w:t>
      </w:r>
    </w:p>
    <w:p w:rsidR="5DDB30B6" w:rsidP="5DDB30B6" w:rsidRDefault="5DDB30B6" w14:paraId="5BADE855" w14:textId="2FE8B4DB">
      <w:pPr>
        <w:rPr>
          <w:sz w:val="22"/>
          <w:szCs w:val="22"/>
          <w:lang w:val="en-US"/>
        </w:rPr>
      </w:pPr>
    </w:p>
    <w:p w:rsidR="5DDB30B6" w:rsidP="5DDB30B6" w:rsidRDefault="5DDB30B6" w14:paraId="5D8B2933" w14:textId="5851C373">
      <w:pPr>
        <w:rPr>
          <w:sz w:val="22"/>
          <w:szCs w:val="22"/>
          <w:lang w:val="en-US"/>
        </w:rPr>
      </w:pPr>
    </w:p>
    <w:p w:rsidR="5DDB30B6" w:rsidP="5DDB30B6" w:rsidRDefault="5DDB30B6" w14:paraId="0E47F510" w14:textId="1EE0FF31">
      <w:pPr>
        <w:rPr>
          <w:sz w:val="22"/>
          <w:szCs w:val="22"/>
          <w:lang w:val="en-US"/>
        </w:rPr>
      </w:pPr>
    </w:p>
    <w:p w:rsidR="5DDB30B6" w:rsidP="5DDB30B6" w:rsidRDefault="5DDB30B6" w14:paraId="31FA5B0F" w14:textId="5B33F8AC">
      <w:pPr>
        <w:rPr>
          <w:sz w:val="22"/>
          <w:szCs w:val="22"/>
          <w:lang w:val="en-US"/>
        </w:rPr>
      </w:pPr>
    </w:p>
    <w:p w:rsidR="5DDB30B6" w:rsidP="5DDB30B6" w:rsidRDefault="5DDB30B6" w14:paraId="43CEC4B4" w14:textId="5CF9CFE9">
      <w:pPr>
        <w:rPr>
          <w:sz w:val="22"/>
          <w:szCs w:val="22"/>
          <w:lang w:val="en-US"/>
        </w:rPr>
      </w:pPr>
    </w:p>
    <w:p w:rsidR="5DDB30B6" w:rsidP="5DDB30B6" w:rsidRDefault="5DDB30B6" w14:paraId="643EF6A4" w14:textId="4F825853">
      <w:pPr>
        <w:rPr>
          <w:sz w:val="22"/>
          <w:szCs w:val="22"/>
          <w:lang w:val="en-US"/>
        </w:rPr>
      </w:pPr>
    </w:p>
    <w:p w:rsidR="5DDB30B6" w:rsidP="5DDB30B6" w:rsidRDefault="5DDB30B6" w14:paraId="5658D453" w14:textId="4319642F">
      <w:pPr>
        <w:rPr>
          <w:sz w:val="22"/>
          <w:szCs w:val="22"/>
          <w:lang w:val="en-US"/>
        </w:rPr>
      </w:pPr>
    </w:p>
    <w:p w:rsidR="5DDB30B6" w:rsidP="5DDB30B6" w:rsidRDefault="5DDB30B6" w14:paraId="29680F5A" w14:textId="45072D18">
      <w:pPr>
        <w:rPr>
          <w:sz w:val="22"/>
          <w:szCs w:val="22"/>
          <w:lang w:val="en-US"/>
        </w:rPr>
      </w:pPr>
    </w:p>
    <w:p w:rsidR="5DDB30B6" w:rsidP="5DDB30B6" w:rsidRDefault="5DDB30B6" w14:paraId="796899F6" w14:textId="04E49E04">
      <w:pPr>
        <w:rPr>
          <w:sz w:val="22"/>
          <w:szCs w:val="22"/>
          <w:lang w:val="en-US"/>
        </w:rPr>
      </w:pPr>
    </w:p>
    <w:p w:rsidR="5DDB30B6" w:rsidP="5DDB30B6" w:rsidRDefault="5DDB30B6" w14:paraId="1ABD6AD0" w14:textId="03E728D6">
      <w:pPr>
        <w:rPr>
          <w:sz w:val="22"/>
          <w:szCs w:val="22"/>
          <w:lang w:val="en-US"/>
        </w:rPr>
      </w:pPr>
    </w:p>
    <w:p w:rsidR="5DDB30B6" w:rsidP="5DDB30B6" w:rsidRDefault="5DDB30B6" w14:paraId="24ECBE82" w14:textId="338A6F40">
      <w:pPr>
        <w:rPr>
          <w:sz w:val="22"/>
          <w:szCs w:val="22"/>
          <w:lang w:val="en-US"/>
        </w:rPr>
      </w:pPr>
    </w:p>
    <w:p w:rsidR="5DDB30B6" w:rsidP="5DDB30B6" w:rsidRDefault="5DDB30B6" w14:paraId="55473246" w14:textId="0F0A5AFE">
      <w:pPr>
        <w:rPr>
          <w:sz w:val="22"/>
          <w:szCs w:val="22"/>
          <w:lang w:val="en-US"/>
        </w:rPr>
      </w:pPr>
    </w:p>
    <w:p w:rsidR="5DDB30B6" w:rsidP="5DDB30B6" w:rsidRDefault="5DDB30B6" w14:paraId="4D28A31A" w14:textId="13AA4B9F">
      <w:pPr>
        <w:rPr>
          <w:sz w:val="22"/>
          <w:szCs w:val="22"/>
          <w:lang w:val="en-US"/>
        </w:rPr>
      </w:pPr>
    </w:p>
    <w:p w:rsidR="00306FB4" w:rsidP="5DDB30B6" w:rsidRDefault="00CD537C" w14:paraId="00000042" w14:textId="77777777">
      <w:pPr>
        <w:pStyle w:val="Heading1"/>
        <w:rPr>
          <w:sz w:val="22"/>
          <w:szCs w:val="22"/>
        </w:rPr>
      </w:pPr>
      <w:bookmarkStart w:name="_Toc224139207" w:id="8"/>
      <w:r w:rsidRPr="5DDB30B6" w:rsidR="00CD537C">
        <w:rPr>
          <w:sz w:val="22"/>
          <w:szCs w:val="22"/>
        </w:rPr>
        <w:t>References</w:t>
      </w:r>
      <w:bookmarkEnd w:id="8"/>
    </w:p>
    <w:p w:rsidR="00306FB4" w:rsidP="5DDB30B6" w:rsidRDefault="00CD537C" w14:paraId="00000043" w14:textId="2DF1EDC1">
      <w:pPr>
        <w:pStyle w:val="Normal"/>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Anwari, C</w:t>
      </w:r>
      <w:r w:rsidRPr="5DDB30B6" w:rsidR="217658D3">
        <w:rPr>
          <w:rFonts w:ascii="Times New Roman" w:hAnsi="Times New Roman" w:eastAsia="Times New Roman" w:cs="Times New Roman"/>
          <w:sz w:val="22"/>
          <w:szCs w:val="22"/>
          <w:lang w:val="en-US"/>
        </w:rPr>
        <w:t>,</w:t>
      </w:r>
      <w:r w:rsidRPr="5DDB30B6" w:rsidR="217658D3">
        <w:rPr>
          <w:rFonts w:ascii="Times New Roman" w:hAnsi="Times New Roman" w:eastAsia="Times New Roman" w:cs="Times New Roman"/>
          <w:b w:val="1"/>
          <w:bCs w:val="1"/>
          <w:i w:val="0"/>
          <w:iCs w:val="0"/>
          <w:caps w:val="0"/>
          <w:smallCaps w:val="0"/>
          <w:noProof w:val="0"/>
          <w:color w:val="212121"/>
          <w:sz w:val="22"/>
          <w:szCs w:val="22"/>
          <w:lang w:val="en-US"/>
        </w:rPr>
        <w:t xml:space="preserve"> </w:t>
      </w:r>
      <w:r w:rsidRPr="5DDB30B6" w:rsidR="217658D3">
        <w:rPr>
          <w:rFonts w:ascii="Times New Roman" w:hAnsi="Times New Roman" w:eastAsia="Times New Roman" w:cs="Times New Roman"/>
          <w:b w:val="0"/>
          <w:bCs w:val="0"/>
          <w:i w:val="0"/>
          <w:iCs w:val="0"/>
          <w:caps w:val="0"/>
          <w:smallCaps w:val="0"/>
          <w:noProof w:val="0"/>
          <w:color w:val="212121"/>
          <w:sz w:val="22"/>
          <w:szCs w:val="22"/>
          <w:lang w:val="en-US"/>
        </w:rPr>
        <w:t>Balasubramanian</w:t>
      </w:r>
      <w:r w:rsidRPr="5DDB30B6" w:rsidR="08047036">
        <w:rPr>
          <w:rFonts w:ascii="Times New Roman" w:hAnsi="Times New Roman" w:eastAsia="Times New Roman" w:cs="Times New Roman"/>
          <w:b w:val="0"/>
          <w:bCs w:val="0"/>
          <w:i w:val="0"/>
          <w:iCs w:val="0"/>
          <w:caps w:val="0"/>
          <w:smallCaps w:val="0"/>
          <w:noProof w:val="0"/>
          <w:color w:val="212121"/>
          <w:sz w:val="22"/>
          <w:szCs w:val="22"/>
          <w:lang w:val="en-US"/>
        </w:rPr>
        <w:t>, S.</w:t>
      </w:r>
      <w:r w:rsidRPr="5DDB30B6" w:rsidR="217658D3">
        <w:rPr>
          <w:rFonts w:ascii="Times New Roman" w:hAnsi="Times New Roman" w:eastAsia="Times New Roman" w:cs="Times New Roman"/>
          <w:b w:val="0"/>
          <w:bCs w:val="0"/>
          <w:i w:val="0"/>
          <w:iCs w:val="0"/>
          <w:caps w:val="0"/>
          <w:smallCaps w:val="0"/>
          <w:noProof w:val="0"/>
          <w:color w:val="212121"/>
          <w:sz w:val="22"/>
          <w:szCs w:val="22"/>
          <w:lang w:val="en-US"/>
        </w:rPr>
        <w:t>, Sawant</w:t>
      </w:r>
      <w:r w:rsidRPr="5DDB30B6" w:rsidR="43573781">
        <w:rPr>
          <w:rFonts w:ascii="Times New Roman" w:hAnsi="Times New Roman" w:eastAsia="Times New Roman" w:cs="Times New Roman"/>
          <w:b w:val="0"/>
          <w:bCs w:val="0"/>
          <w:i w:val="0"/>
          <w:iCs w:val="0"/>
          <w:caps w:val="0"/>
          <w:smallCaps w:val="0"/>
          <w:noProof w:val="0"/>
          <w:color w:val="212121"/>
          <w:sz w:val="22"/>
          <w:szCs w:val="22"/>
          <w:lang w:val="en-US"/>
        </w:rPr>
        <w:t>, P.S.</w:t>
      </w:r>
      <w:r w:rsidRPr="5DDB30B6" w:rsidR="217658D3">
        <w:rPr>
          <w:rFonts w:ascii="Times New Roman" w:hAnsi="Times New Roman" w:eastAsia="Times New Roman" w:cs="Times New Roman"/>
          <w:b w:val="0"/>
          <w:bCs w:val="0"/>
          <w:i w:val="0"/>
          <w:iCs w:val="0"/>
          <w:caps w:val="0"/>
          <w:smallCaps w:val="0"/>
          <w:noProof w:val="0"/>
          <w:color w:val="212121"/>
          <w:sz w:val="22"/>
          <w:szCs w:val="22"/>
          <w:lang w:val="en-US"/>
        </w:rPr>
        <w:t>, Kuri</w:t>
      </w:r>
      <w:r w:rsidRPr="5DDB30B6" w:rsidR="28FD9EC0">
        <w:rPr>
          <w:rFonts w:ascii="Times New Roman" w:hAnsi="Times New Roman" w:eastAsia="Times New Roman" w:cs="Times New Roman"/>
          <w:b w:val="0"/>
          <w:bCs w:val="0"/>
          <w:i w:val="0"/>
          <w:iCs w:val="0"/>
          <w:caps w:val="0"/>
          <w:smallCaps w:val="0"/>
          <w:noProof w:val="0"/>
          <w:color w:val="212121"/>
          <w:sz w:val="22"/>
          <w:szCs w:val="22"/>
          <w:lang w:val="en-US"/>
        </w:rPr>
        <w:t>, U.</w:t>
      </w:r>
      <w:r w:rsidRPr="5DDB30B6" w:rsidR="217658D3">
        <w:rPr>
          <w:rFonts w:ascii="Times New Roman" w:hAnsi="Times New Roman" w:eastAsia="Times New Roman" w:cs="Times New Roman"/>
          <w:b w:val="0"/>
          <w:bCs w:val="0"/>
          <w:i w:val="0"/>
          <w:iCs w:val="0"/>
          <w:caps w:val="0"/>
          <w:smallCaps w:val="0"/>
          <w:noProof w:val="0"/>
          <w:color w:val="212121"/>
          <w:sz w:val="22"/>
          <w:szCs w:val="22"/>
          <w:lang w:val="en-US"/>
        </w:rPr>
        <w:t>, Anand AK, Rao BC</w:t>
      </w:r>
      <w:r w:rsidRPr="5DDB30B6" w:rsidR="52359A97">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217658D3">
        <w:rPr>
          <w:rFonts w:ascii="Times New Roman" w:hAnsi="Times New Roman" w:eastAsia="Times New Roman" w:cs="Times New Roman"/>
          <w:b w:val="0"/>
          <w:bCs w:val="0"/>
          <w:i w:val="0"/>
          <w:iCs w:val="0"/>
          <w:caps w:val="0"/>
          <w:smallCaps w:val="0"/>
          <w:noProof w:val="0"/>
          <w:color w:val="212121"/>
          <w:sz w:val="22"/>
          <w:szCs w:val="22"/>
          <w:lang w:val="en-US"/>
        </w:rPr>
        <w:t>, Prasad</w:t>
      </w:r>
      <w:r w:rsidRPr="5DDB30B6" w:rsidR="791DD858">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217658D3">
        <w:rPr>
          <w:rFonts w:ascii="Times New Roman" w:hAnsi="Times New Roman" w:eastAsia="Times New Roman" w:cs="Times New Roman"/>
          <w:b w:val="0"/>
          <w:bCs w:val="0"/>
          <w:i w:val="0"/>
          <w:iCs w:val="0"/>
          <w:caps w:val="0"/>
          <w:smallCaps w:val="0"/>
          <w:noProof w:val="0"/>
          <w:color w:val="212121"/>
          <w:sz w:val="22"/>
          <w:szCs w:val="22"/>
          <w:lang w:val="en-US"/>
        </w:rPr>
        <w:t xml:space="preserve"> R.</w:t>
      </w:r>
      <w:r w:rsidRPr="5DDB30B6" w:rsidR="109824C8">
        <w:rPr>
          <w:rFonts w:ascii="Times New Roman" w:hAnsi="Times New Roman" w:eastAsia="Times New Roman" w:cs="Times New Roman"/>
          <w:b w:val="0"/>
          <w:bCs w:val="0"/>
          <w:i w:val="0"/>
          <w:iCs w:val="0"/>
          <w:caps w:val="0"/>
          <w:smallCaps w:val="0"/>
          <w:noProof w:val="0"/>
          <w:color w:val="212121"/>
          <w:sz w:val="22"/>
          <w:szCs w:val="22"/>
          <w:lang w:val="en-US"/>
        </w:rPr>
        <w:t>J.</w:t>
      </w:r>
      <w:r w:rsidRPr="5DDB30B6" w:rsidR="217658D3">
        <w:rPr>
          <w:rFonts w:ascii="Times New Roman" w:hAnsi="Times New Roman" w:eastAsia="Times New Roman" w:cs="Times New Roman"/>
          <w:b w:val="0"/>
          <w:bCs w:val="0"/>
          <w:i w:val="0"/>
          <w:iCs w:val="0"/>
          <w:caps w:val="0"/>
          <w:smallCaps w:val="0"/>
          <w:noProof w:val="0"/>
          <w:color w:val="4D8055"/>
          <w:sz w:val="22"/>
          <w:szCs w:val="22"/>
          <w:lang w:val="en-US"/>
        </w:rPr>
        <w:t xml:space="preserve">  </w:t>
      </w:r>
      <w:r w:rsidRPr="5DDB30B6" w:rsidR="00CD537C">
        <w:rPr>
          <w:rFonts w:ascii="Times New Roman" w:hAnsi="Times New Roman" w:eastAsia="Times New Roman" w:cs="Times New Roman"/>
          <w:sz w:val="22"/>
          <w:szCs w:val="22"/>
          <w:lang w:val="en-US"/>
        </w:rPr>
        <w:t>(</w:t>
      </w:r>
      <w:r w:rsidRPr="5DDB30B6" w:rsidR="00CD537C">
        <w:rPr>
          <w:rFonts w:ascii="Times New Roman" w:hAnsi="Times New Roman" w:eastAsia="Times New Roman" w:cs="Times New Roman"/>
          <w:sz w:val="22"/>
          <w:szCs w:val="22"/>
          <w:lang w:val="en-US"/>
        </w:rPr>
        <w:t>2022) ‘</w:t>
      </w:r>
      <w:r w:rsidRPr="5DDB30B6" w:rsidR="00CD537C">
        <w:rPr>
          <w:rFonts w:ascii="Times New Roman" w:hAnsi="Times New Roman" w:eastAsia="Times New Roman" w:cs="Times New Roman"/>
          <w:sz w:val="22"/>
          <w:szCs w:val="22"/>
          <w:lang w:val="en-US"/>
        </w:rPr>
        <w:t xml:space="preserve">Elder </w:t>
      </w:r>
      <w:r w:rsidRPr="5DDB30B6" w:rsidR="00CD537C">
        <w:rPr>
          <w:rFonts w:ascii="Times New Roman" w:hAnsi="Times New Roman" w:eastAsia="Times New Roman" w:cs="Times New Roman"/>
          <w:sz w:val="22"/>
          <w:szCs w:val="22"/>
          <w:lang w:val="en-US"/>
        </w:rPr>
        <w:t>care</w:t>
      </w:r>
      <w:r w:rsidRPr="5DDB30B6" w:rsidR="00CD537C">
        <w:rPr>
          <w:rFonts w:ascii="Times New Roman" w:hAnsi="Times New Roman" w:eastAsia="Times New Roman" w:cs="Times New Roman"/>
          <w:sz w:val="22"/>
          <w:szCs w:val="22"/>
          <w:lang w:val="en-US"/>
        </w:rPr>
        <w:t xml:space="preserve">: The </w:t>
      </w:r>
      <w:r w:rsidRPr="5DDB30B6" w:rsidR="00CD537C">
        <w:rPr>
          <w:rFonts w:ascii="Times New Roman" w:hAnsi="Times New Roman" w:eastAsia="Times New Roman" w:cs="Times New Roman"/>
          <w:sz w:val="22"/>
          <w:szCs w:val="22"/>
          <w:lang w:val="en-US"/>
        </w:rPr>
        <w:t>need</w:t>
      </w:r>
      <w:r w:rsidRPr="5DDB30B6" w:rsidR="00CD537C">
        <w:rPr>
          <w:rFonts w:ascii="Times New Roman" w:hAnsi="Times New Roman" w:eastAsia="Times New Roman" w:cs="Times New Roman"/>
          <w:sz w:val="22"/>
          <w:szCs w:val="22"/>
          <w:lang w:val="en-US"/>
        </w:rPr>
        <w:t xml:space="preserve"> for </w:t>
      </w:r>
      <w:r w:rsidRPr="5DDB30B6" w:rsidR="5CD0FF05">
        <w:rPr>
          <w:rFonts w:ascii="Times New Roman" w:hAnsi="Times New Roman" w:eastAsia="Times New Roman" w:cs="Times New Roman"/>
          <w:sz w:val="22"/>
          <w:szCs w:val="22"/>
          <w:lang w:val="en-US"/>
        </w:rPr>
        <w:t>Interprofessional</w:t>
      </w:r>
      <w:r w:rsidRPr="5DDB30B6" w:rsidR="00CD537C">
        <w:rPr>
          <w:rFonts w:ascii="Times New Roman" w:hAnsi="Times New Roman" w:eastAsia="Times New Roman" w:cs="Times New Roman"/>
          <w:sz w:val="22"/>
          <w:szCs w:val="22"/>
          <w:lang w:val="en-US"/>
        </w:rPr>
        <w:t xml:space="preserve"> collaboration between Family Physicians, Clinical Pharmacists, and Physiotherapists in </w:t>
      </w:r>
      <w:r w:rsidRPr="5DDB30B6" w:rsidR="00CD537C">
        <w:rPr>
          <w:rFonts w:ascii="Times New Roman" w:hAnsi="Times New Roman" w:eastAsia="Times New Roman" w:cs="Times New Roman"/>
          <w:sz w:val="22"/>
          <w:szCs w:val="22"/>
          <w:lang w:val="en-US"/>
        </w:rPr>
        <w:t>home</w:t>
      </w:r>
      <w:r w:rsidRPr="5DDB30B6" w:rsidR="00CD537C">
        <w:rPr>
          <w:rFonts w:ascii="Times New Roman" w:hAnsi="Times New Roman" w:eastAsia="Times New Roman" w:cs="Times New Roman"/>
          <w:sz w:val="22"/>
          <w:szCs w:val="22"/>
          <w:lang w:val="en-US"/>
        </w:rPr>
        <w:t>-</w:t>
      </w:r>
      <w:r w:rsidRPr="5DDB30B6" w:rsidR="60CB3E1A">
        <w:rPr>
          <w:rFonts w:ascii="Times New Roman" w:hAnsi="Times New Roman" w:eastAsia="Times New Roman" w:cs="Times New Roman"/>
          <w:sz w:val="22"/>
          <w:szCs w:val="22"/>
          <w:lang w:val="en-US"/>
        </w:rPr>
        <w:t>Based Primary Care Teams</w:t>
      </w:r>
      <w:r w:rsidRPr="5DDB30B6" w:rsidR="00CD537C">
        <w:rPr>
          <w:rFonts w:ascii="Times New Roman" w:hAnsi="Times New Roman" w:eastAsia="Times New Roman" w:cs="Times New Roman"/>
          <w:sz w:val="22"/>
          <w:szCs w:val="22"/>
          <w:lang w:val="en-US"/>
        </w:rPr>
        <w:t xml:space="preserve">’, </w:t>
      </w:r>
      <w:r w:rsidRPr="5DDB30B6" w:rsidR="00CD537C">
        <w:rPr>
          <w:rFonts w:ascii="Times New Roman" w:hAnsi="Times New Roman" w:eastAsia="Times New Roman" w:cs="Times New Roman"/>
          <w:i w:val="1"/>
          <w:iCs w:val="1"/>
          <w:sz w:val="22"/>
          <w:szCs w:val="22"/>
          <w:lang w:val="en-US"/>
        </w:rPr>
        <w:t xml:space="preserve">Journal of Family </w:t>
      </w:r>
      <w:r w:rsidRPr="5DDB30B6" w:rsidR="00CD537C">
        <w:rPr>
          <w:rFonts w:ascii="Times New Roman" w:hAnsi="Times New Roman" w:eastAsia="Times New Roman" w:cs="Times New Roman"/>
          <w:i w:val="1"/>
          <w:iCs w:val="1"/>
          <w:sz w:val="22"/>
          <w:szCs w:val="22"/>
          <w:lang w:val="en-US"/>
        </w:rPr>
        <w:t>Medicine</w:t>
      </w:r>
      <w:r w:rsidRPr="5DDB30B6" w:rsidR="00CD537C">
        <w:rPr>
          <w:rFonts w:ascii="Times New Roman" w:hAnsi="Times New Roman" w:eastAsia="Times New Roman" w:cs="Times New Roman"/>
          <w:i w:val="1"/>
          <w:iCs w:val="1"/>
          <w:sz w:val="22"/>
          <w:szCs w:val="22"/>
          <w:lang w:val="en-US"/>
        </w:rPr>
        <w:t xml:space="preserve"> and Primary Care</w:t>
      </w:r>
      <w:r w:rsidRPr="5DDB30B6" w:rsidR="00CD537C">
        <w:rPr>
          <w:rFonts w:ascii="Times New Roman" w:hAnsi="Times New Roman" w:eastAsia="Times New Roman" w:cs="Times New Roman"/>
          <w:sz w:val="22"/>
          <w:szCs w:val="22"/>
          <w:lang w:val="en-US"/>
        </w:rPr>
        <w:t xml:space="preserve">, 11(9), p. 5170. Available at: </w:t>
      </w:r>
      <w:hyperlink r:id="R5bf2386df8f54e20">
        <w:r w:rsidRPr="5DDB30B6" w:rsidR="00306FB4">
          <w:rPr>
            <w:rFonts w:ascii="Times New Roman" w:hAnsi="Times New Roman" w:eastAsia="Times New Roman" w:cs="Times New Roman"/>
            <w:color w:val="1155CC"/>
            <w:sz w:val="22"/>
            <w:szCs w:val="22"/>
            <w:u w:val="single"/>
            <w:lang w:val="en-US"/>
          </w:rPr>
          <w:t>https://doi.org/10.4103/jfmpc.jfmpc_2282_21</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44" w14:textId="77777777">
      <w:pPr>
        <w:spacing w:after="240" w:line="360" w:lineRule="auto"/>
        <w:rPr>
          <w:rFonts w:ascii="Times New Roman" w:hAnsi="Times New Roman" w:eastAsia="Times New Roman" w:cs="Times New Roman"/>
          <w:sz w:val="22"/>
          <w:szCs w:val="22"/>
        </w:rPr>
      </w:pPr>
      <w:r w:rsidRPr="5DDB30B6" w:rsidR="00CD537C">
        <w:rPr>
          <w:rFonts w:ascii="Times New Roman" w:hAnsi="Times New Roman" w:eastAsia="Times New Roman" w:cs="Times New Roman"/>
          <w:sz w:val="22"/>
          <w:szCs w:val="22"/>
        </w:rPr>
        <w:t>Beauchamp, T.L. (2026)</w:t>
      </w:r>
      <w:r w:rsidRPr="5DDB30B6" w:rsidR="00CD537C">
        <w:rPr>
          <w:rFonts w:ascii="Times New Roman" w:hAnsi="Times New Roman" w:eastAsia="Times New Roman" w:cs="Times New Roman"/>
          <w:sz w:val="22"/>
          <w:szCs w:val="22"/>
        </w:rPr>
        <w:t xml:space="preserve"> </w:t>
      </w:r>
      <w:r w:rsidRPr="5DDB30B6" w:rsidR="00CD537C">
        <w:rPr>
          <w:rFonts w:ascii="Times New Roman" w:hAnsi="Times New Roman" w:eastAsia="Times New Roman" w:cs="Times New Roman"/>
          <w:i w:val="1"/>
          <w:iCs w:val="1"/>
          <w:sz w:val="22"/>
          <w:szCs w:val="22"/>
        </w:rPr>
        <w:t>Principles</w:t>
      </w:r>
      <w:r w:rsidRPr="5DDB30B6" w:rsidR="00CD537C">
        <w:rPr>
          <w:rFonts w:ascii="Times New Roman" w:hAnsi="Times New Roman" w:eastAsia="Times New Roman" w:cs="Times New Roman"/>
          <w:i w:val="1"/>
          <w:iCs w:val="1"/>
          <w:sz w:val="22"/>
          <w:szCs w:val="22"/>
        </w:rPr>
        <w:t xml:space="preserve"> of Biomedical Ethics</w:t>
      </w:r>
      <w:r w:rsidRPr="5DDB30B6" w:rsidR="00CD537C">
        <w:rPr>
          <w:rFonts w:ascii="Times New Roman" w:hAnsi="Times New Roman" w:eastAsia="Times New Roman" w:cs="Times New Roman"/>
          <w:sz w:val="22"/>
          <w:szCs w:val="22"/>
        </w:rPr>
        <w:t xml:space="preserve">, </w:t>
      </w:r>
      <w:r w:rsidRPr="5DDB30B6" w:rsidR="00CD537C">
        <w:rPr>
          <w:rFonts w:ascii="Times New Roman" w:hAnsi="Times New Roman" w:eastAsia="Times New Roman" w:cs="Times New Roman"/>
          <w:i w:val="1"/>
          <w:iCs w:val="1"/>
          <w:sz w:val="22"/>
          <w:szCs w:val="22"/>
        </w:rPr>
        <w:t>VitalSource</w:t>
      </w:r>
      <w:r w:rsidRPr="5DDB30B6" w:rsidR="00CD537C">
        <w:rPr>
          <w:rFonts w:ascii="Times New Roman" w:hAnsi="Times New Roman" w:eastAsia="Times New Roman" w:cs="Times New Roman"/>
          <w:sz w:val="22"/>
          <w:szCs w:val="22"/>
        </w:rPr>
        <w:t xml:space="preserve">. Oxford University Press. Available at: </w:t>
      </w:r>
      <w:hyperlink r:id="Rc601f1454373477d">
        <w:r w:rsidRPr="5DDB30B6" w:rsidR="00306FB4">
          <w:rPr>
            <w:rFonts w:ascii="Times New Roman" w:hAnsi="Times New Roman" w:eastAsia="Times New Roman" w:cs="Times New Roman"/>
            <w:color w:val="1155CC"/>
            <w:sz w:val="22"/>
            <w:szCs w:val="22"/>
            <w:u w:val="single"/>
          </w:rPr>
          <w:t>https://www.vitalsource.com/en-uk/products/principles-of-biomedical-ethics-9e-tom-l-beauchamp-james-f-v9780197832646</w:t>
        </w:r>
      </w:hyperlink>
      <w:r w:rsidRPr="5DDB30B6" w:rsidR="00CD537C">
        <w:rPr>
          <w:rFonts w:ascii="Times New Roman" w:hAnsi="Times New Roman" w:eastAsia="Times New Roman" w:cs="Times New Roman"/>
          <w:sz w:val="22"/>
          <w:szCs w:val="22"/>
        </w:rPr>
        <w:t xml:space="preserve"> (Accessed: 11 March 2026). </w:t>
      </w:r>
    </w:p>
    <w:p w:rsidR="00306FB4" w:rsidP="5DDB30B6" w:rsidRDefault="00CD537C" w14:paraId="00000045" w14:textId="77777777">
      <w:pPr>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 xml:space="preserve">Bliss, A., Williamson, </w:t>
      </w:r>
      <w:r w:rsidRPr="5DDB30B6" w:rsidR="00CD537C">
        <w:rPr>
          <w:rFonts w:ascii="Times New Roman" w:hAnsi="Times New Roman" w:eastAsia="Times New Roman" w:cs="Times New Roman"/>
          <w:sz w:val="22"/>
          <w:szCs w:val="22"/>
          <w:lang w:val="en-US"/>
        </w:rPr>
        <w:t>S.</w:t>
      </w:r>
      <w:r w:rsidRPr="5DDB30B6" w:rsidR="00CD537C">
        <w:rPr>
          <w:rFonts w:ascii="Times New Roman" w:hAnsi="Times New Roman" w:eastAsia="Times New Roman" w:cs="Times New Roman"/>
          <w:sz w:val="22"/>
          <w:szCs w:val="22"/>
          <w:lang w:val="en-US"/>
        </w:rPr>
        <w:t xml:space="preserve"> and Alayo, L. (2023) </w:t>
      </w:r>
      <w:r w:rsidRPr="5DDB30B6" w:rsidR="00CD537C">
        <w:rPr>
          <w:rFonts w:ascii="Times New Roman" w:hAnsi="Times New Roman" w:eastAsia="Times New Roman" w:cs="Times New Roman"/>
          <w:i w:val="1"/>
          <w:iCs w:val="1"/>
          <w:sz w:val="22"/>
          <w:szCs w:val="22"/>
          <w:lang w:val="en-US"/>
        </w:rPr>
        <w:t>The state of integrated care systems 2023/24: tackling today while building for tomorrow</w:t>
      </w:r>
      <w:r w:rsidRPr="5DDB30B6" w:rsidR="00CD537C">
        <w:rPr>
          <w:rFonts w:ascii="Times New Roman" w:hAnsi="Times New Roman" w:eastAsia="Times New Roman" w:cs="Times New Roman"/>
          <w:sz w:val="22"/>
          <w:szCs w:val="22"/>
          <w:lang w:val="en-US"/>
        </w:rPr>
        <w:t xml:space="preserve">, </w:t>
      </w:r>
      <w:r w:rsidRPr="5DDB30B6" w:rsidR="00CD537C">
        <w:rPr>
          <w:rFonts w:ascii="Times New Roman" w:hAnsi="Times New Roman" w:eastAsia="Times New Roman" w:cs="Times New Roman"/>
          <w:i w:val="1"/>
          <w:iCs w:val="1"/>
          <w:sz w:val="22"/>
          <w:szCs w:val="22"/>
          <w:lang w:val="en-US"/>
        </w:rPr>
        <w:t>NHS Confederation</w:t>
      </w:r>
      <w:r w:rsidRPr="5DDB30B6" w:rsidR="00CD537C">
        <w:rPr>
          <w:rFonts w:ascii="Times New Roman" w:hAnsi="Times New Roman" w:eastAsia="Times New Roman" w:cs="Times New Roman"/>
          <w:sz w:val="22"/>
          <w:szCs w:val="22"/>
          <w:lang w:val="en-US"/>
        </w:rPr>
        <w:t xml:space="preserve">. Available at: </w:t>
      </w:r>
      <w:hyperlink r:id="R0b6d7eb1a71d46d5">
        <w:r w:rsidRPr="5DDB30B6" w:rsidR="00306FB4">
          <w:rPr>
            <w:rFonts w:ascii="Times New Roman" w:hAnsi="Times New Roman" w:eastAsia="Times New Roman" w:cs="Times New Roman"/>
            <w:color w:val="1155CC"/>
            <w:sz w:val="22"/>
            <w:szCs w:val="22"/>
            <w:u w:val="single"/>
            <w:lang w:val="en-US"/>
          </w:rPr>
          <w:t>https://www.nhsconfed.org/publications/state-integrated-care-systems-202324</w:t>
        </w:r>
      </w:hyperlink>
      <w:r w:rsidRPr="5DDB30B6" w:rsidR="00CD537C">
        <w:rPr>
          <w:rFonts w:ascii="Times New Roman" w:hAnsi="Times New Roman" w:eastAsia="Times New Roman" w:cs="Times New Roman"/>
          <w:sz w:val="22"/>
          <w:szCs w:val="22"/>
          <w:lang w:val="en-US"/>
        </w:rPr>
        <w:t xml:space="preserve">  (Accessed: 11 March 2026).</w:t>
      </w:r>
    </w:p>
    <w:p w:rsidR="00306FB4" w:rsidP="5DDB30B6" w:rsidRDefault="00CD537C" w14:paraId="00000046" w14:textId="77777777">
      <w:pPr>
        <w:spacing w:after="240" w:line="360" w:lineRule="auto"/>
        <w:rPr>
          <w:rFonts w:ascii="Times New Roman" w:hAnsi="Times New Roman" w:eastAsia="Times New Roman" w:cs="Times New Roman"/>
          <w:sz w:val="22"/>
          <w:szCs w:val="22"/>
        </w:rPr>
      </w:pPr>
      <w:r w:rsidRPr="5DDB30B6" w:rsidR="00CD537C">
        <w:rPr>
          <w:rFonts w:ascii="Times New Roman" w:hAnsi="Times New Roman" w:eastAsia="Times New Roman" w:cs="Times New Roman"/>
          <w:sz w:val="22"/>
          <w:szCs w:val="22"/>
        </w:rPr>
        <w:t xml:space="preserve">Bolton, D. (2023) ‘A Revitalized Biopsychosocial model: Core theory, Research paradigms, and Clinical Implications’, </w:t>
      </w:r>
      <w:r w:rsidRPr="5DDB30B6" w:rsidR="00CD537C">
        <w:rPr>
          <w:rFonts w:ascii="Times New Roman" w:hAnsi="Times New Roman" w:eastAsia="Times New Roman" w:cs="Times New Roman"/>
          <w:i w:val="1"/>
          <w:iCs w:val="1"/>
          <w:sz w:val="22"/>
          <w:szCs w:val="22"/>
        </w:rPr>
        <w:t>Psychological Medicine</w:t>
      </w:r>
      <w:r w:rsidRPr="5DDB30B6" w:rsidR="00CD537C">
        <w:rPr>
          <w:rFonts w:ascii="Times New Roman" w:hAnsi="Times New Roman" w:eastAsia="Times New Roman" w:cs="Times New Roman"/>
          <w:sz w:val="22"/>
          <w:szCs w:val="22"/>
        </w:rPr>
        <w:t xml:space="preserve">, 53(16), pp. 1–8. Available at: </w:t>
      </w:r>
      <w:hyperlink r:id="Rf83f10e935e9491c">
        <w:r w:rsidRPr="5DDB30B6" w:rsidR="00306FB4">
          <w:rPr>
            <w:rFonts w:ascii="Times New Roman" w:hAnsi="Times New Roman" w:eastAsia="Times New Roman" w:cs="Times New Roman"/>
            <w:color w:val="1155CC"/>
            <w:sz w:val="22"/>
            <w:szCs w:val="22"/>
            <w:u w:val="single"/>
          </w:rPr>
          <w:t>https://doi.org/10.1017/s0033291723002660</w:t>
        </w:r>
      </w:hyperlink>
      <w:r w:rsidRPr="5DDB30B6" w:rsidR="00CD537C">
        <w:rPr>
          <w:rFonts w:ascii="Times New Roman" w:hAnsi="Times New Roman" w:eastAsia="Times New Roman" w:cs="Times New Roman"/>
          <w:sz w:val="22"/>
          <w:szCs w:val="22"/>
        </w:rPr>
        <w:t xml:space="preserve">. </w:t>
      </w:r>
    </w:p>
    <w:p w:rsidR="00306FB4" w:rsidP="5DDB30B6" w:rsidRDefault="00CD537C" w14:paraId="00000047" w14:textId="7F22BE96">
      <w:pPr>
        <w:pStyle w:val="Normal"/>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Ebrahimi, Z</w:t>
      </w:r>
      <w:r w:rsidRPr="5DDB30B6" w:rsidR="78690B83">
        <w:rPr>
          <w:rFonts w:ascii="Times New Roman" w:hAnsi="Times New Roman" w:eastAsia="Times New Roman" w:cs="Times New Roman"/>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Patel</w:t>
      </w:r>
      <w:r w:rsidRPr="5DDB30B6" w:rsidR="77863F7B">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H</w:t>
      </w:r>
      <w:r w:rsidRPr="5DDB30B6" w:rsidR="3FFDE2E8">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Wijk</w:t>
      </w:r>
      <w:r w:rsidRPr="5DDB30B6" w:rsidR="76E457BF">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H</w:t>
      </w:r>
      <w:r w:rsidRPr="5DDB30B6" w:rsidR="7C2392FD">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27837E47">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Ekman</w:t>
      </w:r>
      <w:r w:rsidRPr="5DDB30B6" w:rsidR="2B8D64E1">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I</w:t>
      </w:r>
      <w:r w:rsidRPr="5DDB30B6" w:rsidR="7B0ED98B">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4195C8C3">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Olaya-Contreras</w:t>
      </w:r>
      <w:r w:rsidRPr="5DDB30B6" w:rsidR="19265958">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78690B83">
        <w:rPr>
          <w:rFonts w:ascii="Times New Roman" w:hAnsi="Times New Roman" w:eastAsia="Times New Roman" w:cs="Times New Roman"/>
          <w:b w:val="0"/>
          <w:bCs w:val="0"/>
          <w:i w:val="0"/>
          <w:iCs w:val="0"/>
          <w:caps w:val="0"/>
          <w:smallCaps w:val="0"/>
          <w:noProof w:val="0"/>
          <w:color w:val="212121"/>
          <w:sz w:val="22"/>
          <w:szCs w:val="22"/>
          <w:lang w:val="en-US"/>
        </w:rPr>
        <w:t xml:space="preserve"> </w:t>
      </w:r>
      <w:r w:rsidRPr="5DDB30B6" w:rsidR="70E9241F">
        <w:rPr>
          <w:rFonts w:ascii="Times New Roman" w:hAnsi="Times New Roman" w:eastAsia="Times New Roman" w:cs="Times New Roman"/>
          <w:b w:val="0"/>
          <w:bCs w:val="0"/>
          <w:i w:val="0"/>
          <w:iCs w:val="0"/>
          <w:caps w:val="0"/>
          <w:smallCaps w:val="0"/>
          <w:noProof w:val="0"/>
          <w:color w:val="212121"/>
          <w:sz w:val="22"/>
          <w:szCs w:val="22"/>
          <w:lang w:val="en-US"/>
        </w:rPr>
        <w:t>P.</w:t>
      </w:r>
      <w:r w:rsidRPr="5DDB30B6" w:rsidR="00CD537C">
        <w:rPr>
          <w:rFonts w:ascii="Times New Roman" w:hAnsi="Times New Roman" w:eastAsia="Times New Roman" w:cs="Times New Roman"/>
          <w:sz w:val="22"/>
          <w:szCs w:val="22"/>
          <w:lang w:val="en-US"/>
        </w:rPr>
        <w:t xml:space="preserve"> (2021) ‘A Systematic Review on Implementation of </w:t>
      </w:r>
      <w:r w:rsidRPr="5DDB30B6" w:rsidR="7429AEBF">
        <w:rPr>
          <w:rFonts w:ascii="Times New Roman" w:hAnsi="Times New Roman" w:eastAsia="Times New Roman" w:cs="Times New Roman"/>
          <w:sz w:val="22"/>
          <w:szCs w:val="22"/>
          <w:lang w:val="en-US"/>
        </w:rPr>
        <w:t>Person-C</w:t>
      </w:r>
      <w:r w:rsidRPr="5DDB30B6" w:rsidR="00CD537C">
        <w:rPr>
          <w:rFonts w:ascii="Times New Roman" w:hAnsi="Times New Roman" w:eastAsia="Times New Roman" w:cs="Times New Roman"/>
          <w:sz w:val="22"/>
          <w:szCs w:val="22"/>
          <w:lang w:val="en-US"/>
        </w:rPr>
        <w:t xml:space="preserve">entered Care Interventions for Older People in </w:t>
      </w:r>
      <w:r w:rsidRPr="5DDB30B6" w:rsidR="00CD537C">
        <w:rPr>
          <w:rFonts w:ascii="Times New Roman" w:hAnsi="Times New Roman" w:eastAsia="Times New Roman" w:cs="Times New Roman"/>
          <w:sz w:val="22"/>
          <w:szCs w:val="22"/>
          <w:lang w:val="en-US"/>
        </w:rPr>
        <w:t>out-</w:t>
      </w:r>
      <w:r w:rsidRPr="5DDB30B6" w:rsidR="00CD537C">
        <w:rPr>
          <w:rFonts w:ascii="Times New Roman" w:hAnsi="Times New Roman" w:eastAsia="Times New Roman" w:cs="Times New Roman"/>
          <w:sz w:val="22"/>
          <w:szCs w:val="22"/>
          <w:lang w:val="en-US"/>
        </w:rPr>
        <w:t xml:space="preserve">of-hospital Settings’, </w:t>
      </w:r>
      <w:r w:rsidRPr="5DDB30B6" w:rsidR="00CD537C">
        <w:rPr>
          <w:rFonts w:ascii="Times New Roman" w:hAnsi="Times New Roman" w:eastAsia="Times New Roman" w:cs="Times New Roman"/>
          <w:i w:val="1"/>
          <w:iCs w:val="1"/>
          <w:sz w:val="22"/>
          <w:szCs w:val="22"/>
          <w:lang w:val="en-US"/>
        </w:rPr>
        <w:t>Geriatric Nursing</w:t>
      </w:r>
      <w:r w:rsidRPr="5DDB30B6" w:rsidR="00CD537C">
        <w:rPr>
          <w:rFonts w:ascii="Times New Roman" w:hAnsi="Times New Roman" w:eastAsia="Times New Roman" w:cs="Times New Roman"/>
          <w:sz w:val="22"/>
          <w:szCs w:val="22"/>
          <w:lang w:val="en-US"/>
        </w:rPr>
        <w:t xml:space="preserve">, 42(1), pp. 213–224. Available at: </w:t>
      </w:r>
      <w:hyperlink r:id="R65259d8a859e415f">
        <w:r w:rsidRPr="5DDB30B6" w:rsidR="00306FB4">
          <w:rPr>
            <w:rFonts w:ascii="Times New Roman" w:hAnsi="Times New Roman" w:eastAsia="Times New Roman" w:cs="Times New Roman"/>
            <w:color w:val="1155CC"/>
            <w:sz w:val="22"/>
            <w:szCs w:val="22"/>
            <w:u w:val="single"/>
            <w:lang w:val="en-US"/>
          </w:rPr>
          <w:t>https://doi.org/10.1016/j.gerinurse.2020.08.004</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48" w14:textId="77777777">
      <w:pPr>
        <w:spacing w:after="240" w:line="360" w:lineRule="auto"/>
        <w:rPr>
          <w:rFonts w:ascii="Times New Roman" w:hAnsi="Times New Roman" w:eastAsia="Times New Roman" w:cs="Times New Roman"/>
          <w:sz w:val="22"/>
          <w:szCs w:val="22"/>
        </w:rPr>
      </w:pPr>
      <w:r w:rsidRPr="5DDB30B6" w:rsidR="00CD537C">
        <w:rPr>
          <w:rFonts w:ascii="Times New Roman" w:hAnsi="Times New Roman" w:eastAsia="Times New Roman" w:cs="Times New Roman"/>
          <w:sz w:val="22"/>
          <w:szCs w:val="22"/>
        </w:rPr>
        <w:t xml:space="preserve">Government of UK (2015) </w:t>
      </w:r>
      <w:r w:rsidRPr="5DDB30B6" w:rsidR="00CD537C">
        <w:rPr>
          <w:rFonts w:ascii="Times New Roman" w:hAnsi="Times New Roman" w:eastAsia="Times New Roman" w:cs="Times New Roman"/>
          <w:i w:val="1"/>
          <w:iCs w:val="1"/>
          <w:sz w:val="22"/>
          <w:szCs w:val="22"/>
        </w:rPr>
        <w:t>Equality Act 2010: guidance</w:t>
      </w:r>
      <w:r w:rsidRPr="5DDB30B6" w:rsidR="00CD537C">
        <w:rPr>
          <w:rFonts w:ascii="Times New Roman" w:hAnsi="Times New Roman" w:eastAsia="Times New Roman" w:cs="Times New Roman"/>
          <w:sz w:val="22"/>
          <w:szCs w:val="22"/>
        </w:rPr>
        <w:t xml:space="preserve">, </w:t>
      </w:r>
      <w:r w:rsidRPr="5DDB30B6" w:rsidR="00CD537C">
        <w:rPr>
          <w:rFonts w:ascii="Times New Roman" w:hAnsi="Times New Roman" w:eastAsia="Times New Roman" w:cs="Times New Roman"/>
          <w:i w:val="1"/>
          <w:iCs w:val="1"/>
          <w:sz w:val="22"/>
          <w:szCs w:val="22"/>
        </w:rPr>
        <w:t>www.gov.uk</w:t>
      </w:r>
      <w:r w:rsidRPr="5DDB30B6" w:rsidR="00CD537C">
        <w:rPr>
          <w:rFonts w:ascii="Times New Roman" w:hAnsi="Times New Roman" w:eastAsia="Times New Roman" w:cs="Times New Roman"/>
          <w:sz w:val="22"/>
          <w:szCs w:val="22"/>
        </w:rPr>
        <w:t xml:space="preserve">. Available at: Government Equalities Office (2010) Equality Act 2010: guidance. Available at: </w:t>
      </w:r>
      <w:hyperlink r:id="R1ecda10827d845f6">
        <w:r w:rsidRPr="5DDB30B6" w:rsidR="00306FB4">
          <w:rPr>
            <w:rFonts w:ascii="Times New Roman" w:hAnsi="Times New Roman" w:eastAsia="Times New Roman" w:cs="Times New Roman"/>
            <w:color w:val="1155CC"/>
            <w:sz w:val="22"/>
            <w:szCs w:val="22"/>
            <w:u w:val="single"/>
          </w:rPr>
          <w:t>https://www.gov.uk/guidance/equality-act-2010-guidance</w:t>
        </w:r>
      </w:hyperlink>
      <w:r w:rsidRPr="5DDB30B6" w:rsidR="00CD537C">
        <w:rPr>
          <w:rFonts w:ascii="Times New Roman" w:hAnsi="Times New Roman" w:eastAsia="Times New Roman" w:cs="Times New Roman"/>
          <w:sz w:val="22"/>
          <w:szCs w:val="22"/>
        </w:rPr>
        <w:t xml:space="preserve">  (Accessed: 11 March 2026).</w:t>
      </w:r>
    </w:p>
    <w:p w:rsidR="00306FB4" w:rsidP="5DDB30B6" w:rsidRDefault="00CD537C" w14:paraId="00000049" w14:textId="77777777">
      <w:pPr>
        <w:spacing w:after="240" w:line="360" w:lineRule="auto"/>
        <w:rPr>
          <w:rFonts w:ascii="Times New Roman" w:hAnsi="Times New Roman" w:eastAsia="Times New Roman" w:cs="Times New Roman"/>
          <w:sz w:val="22"/>
          <w:szCs w:val="22"/>
        </w:rPr>
      </w:pPr>
      <w:r w:rsidRPr="5DDB30B6" w:rsidR="00CD537C">
        <w:rPr>
          <w:rFonts w:ascii="Times New Roman" w:hAnsi="Times New Roman" w:eastAsia="Times New Roman" w:cs="Times New Roman"/>
          <w:sz w:val="22"/>
          <w:szCs w:val="22"/>
        </w:rPr>
        <w:t xml:space="preserve">Government of UK (2025) </w:t>
      </w:r>
      <w:r w:rsidRPr="5DDB30B6" w:rsidR="00CD537C">
        <w:rPr>
          <w:rFonts w:ascii="Times New Roman" w:hAnsi="Times New Roman" w:eastAsia="Times New Roman" w:cs="Times New Roman"/>
          <w:i w:val="1"/>
          <w:iCs w:val="1"/>
          <w:sz w:val="22"/>
          <w:szCs w:val="22"/>
        </w:rPr>
        <w:t>Care and Support Statutory Guidance</w:t>
      </w:r>
      <w:r w:rsidRPr="5DDB30B6" w:rsidR="00CD537C">
        <w:rPr>
          <w:rFonts w:ascii="Times New Roman" w:hAnsi="Times New Roman" w:eastAsia="Times New Roman" w:cs="Times New Roman"/>
          <w:sz w:val="22"/>
          <w:szCs w:val="22"/>
        </w:rPr>
        <w:t xml:space="preserve">, </w:t>
      </w:r>
      <w:r w:rsidRPr="5DDB30B6" w:rsidR="00CD537C">
        <w:rPr>
          <w:rFonts w:ascii="Times New Roman" w:hAnsi="Times New Roman" w:eastAsia="Times New Roman" w:cs="Times New Roman"/>
          <w:i w:val="1"/>
          <w:iCs w:val="1"/>
          <w:sz w:val="22"/>
          <w:szCs w:val="22"/>
        </w:rPr>
        <w:t>GOV.UK</w:t>
      </w:r>
      <w:r w:rsidRPr="5DDB30B6" w:rsidR="00CD537C">
        <w:rPr>
          <w:rFonts w:ascii="Times New Roman" w:hAnsi="Times New Roman" w:eastAsia="Times New Roman" w:cs="Times New Roman"/>
          <w:sz w:val="22"/>
          <w:szCs w:val="22"/>
        </w:rPr>
        <w:t xml:space="preserve">. Department of Health and Social Care. Available at: </w:t>
      </w:r>
      <w:hyperlink r:id="R46712292ddb141a3">
        <w:r w:rsidRPr="5DDB30B6" w:rsidR="00306FB4">
          <w:rPr>
            <w:rFonts w:ascii="Times New Roman" w:hAnsi="Times New Roman" w:eastAsia="Times New Roman" w:cs="Times New Roman"/>
            <w:color w:val="1155CC"/>
            <w:sz w:val="22"/>
            <w:szCs w:val="22"/>
            <w:u w:val="single"/>
          </w:rPr>
          <w:t>https://www.gov.uk/government/publications/care-act-statutory-guidance/care-and-support-statutory-guidance</w:t>
        </w:r>
      </w:hyperlink>
      <w:r w:rsidRPr="5DDB30B6" w:rsidR="00CD537C">
        <w:rPr>
          <w:rFonts w:ascii="Times New Roman" w:hAnsi="Times New Roman" w:eastAsia="Times New Roman" w:cs="Times New Roman"/>
          <w:sz w:val="22"/>
          <w:szCs w:val="22"/>
        </w:rPr>
        <w:t xml:space="preserve">  (Accessed: 11 March 2026).</w:t>
      </w:r>
    </w:p>
    <w:p w:rsidR="00306FB4" w:rsidP="5DDB30B6" w:rsidRDefault="00CD537C" w14:paraId="0000004A" w14:textId="22E3CAC5">
      <w:pPr>
        <w:pStyle w:val="Normal"/>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Grover, S</w:t>
      </w:r>
      <w:r w:rsidRPr="5DDB30B6" w:rsidR="4C2BAC03">
        <w:rPr>
          <w:rFonts w:ascii="Times New Roman" w:hAnsi="Times New Roman" w:eastAsia="Times New Roman" w:cs="Times New Roman"/>
          <w:sz w:val="22"/>
          <w:szCs w:val="22"/>
          <w:lang w:val="en-US"/>
        </w:rPr>
        <w:t>.</w:t>
      </w:r>
      <w:r w:rsidRPr="5DDB30B6" w:rsidR="46E9FFAA">
        <w:rPr>
          <w:rFonts w:ascii="Times New Roman" w:hAnsi="Times New Roman" w:eastAsia="Times New Roman" w:cs="Times New Roman"/>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Fitzpatrick</w:t>
      </w:r>
      <w:r w:rsidRPr="5DDB30B6" w:rsidR="292A9FBB">
        <w:rPr>
          <w:rFonts w:ascii="Times New Roman" w:hAnsi="Times New Roman" w:eastAsia="Times New Roman" w:cs="Times New Roman"/>
          <w:b w:val="0"/>
          <w:bCs w:val="0"/>
          <w:i w:val="0"/>
          <w:iCs w:val="0"/>
          <w:caps w:val="0"/>
          <w:smallCaps w:val="0"/>
          <w:noProof w:val="0"/>
          <w:color w:val="212121"/>
          <w:sz w:val="22"/>
          <w:szCs w:val="22"/>
          <w:lang w:val="en-US"/>
        </w:rPr>
        <w:t xml:space="preserve">, </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A</w:t>
      </w:r>
      <w:r w:rsidRPr="5DDB30B6" w:rsidR="7AC072F2">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7993033">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Azim</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F</w:t>
      </w:r>
      <w:r w:rsidRPr="5DDB30B6" w:rsidR="4C45378E">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T</w:t>
      </w:r>
      <w:r w:rsidRPr="5DDB30B6" w:rsidR="367A6D9C">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Ariza-Vega</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P</w:t>
      </w:r>
      <w:r w:rsidRPr="5DDB30B6" w:rsidR="2A62DFF8">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140A8650">
        <w:rPr>
          <w:rFonts w:ascii="Times New Roman" w:hAnsi="Times New Roman" w:eastAsia="Times New Roman" w:cs="Times New Roman"/>
          <w:b w:val="0"/>
          <w:bCs w:val="0"/>
          <w:i w:val="0"/>
          <w:iCs w:val="0"/>
          <w:caps w:val="0"/>
          <w:smallCaps w:val="0"/>
          <w:noProof w:val="0"/>
          <w:color w:val="212121"/>
          <w:sz w:val="22"/>
          <w:szCs w:val="22"/>
          <w:lang w:val="en-US"/>
        </w:rPr>
        <w:t xml:space="preserve">, </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Bellwood</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P</w:t>
      </w:r>
      <w:r w:rsidRPr="5DDB30B6" w:rsidR="69F0389D">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Burns</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Burton</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E</w:t>
      </w:r>
      <w:r w:rsidRPr="5DDB30B6" w:rsidR="35B96542">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Fleig L</w:t>
      </w:r>
      <w:r w:rsidRPr="5DDB30B6" w:rsidR="53369DD7">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0DEF9152">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Clemson</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L</w:t>
      </w:r>
      <w:r w:rsidRPr="5DDB30B6" w:rsidR="0718B41D">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003E1666">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Hoppmann</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C</w:t>
      </w:r>
      <w:r w:rsidRPr="5DDB30B6" w:rsidR="16FF1781">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A</w:t>
      </w:r>
      <w:r w:rsidRPr="5DDB30B6" w:rsidR="7F34E81E">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Madden, K.</w:t>
      </w:r>
      <w:r w:rsidRPr="5DDB30B6" w:rsidR="2A411541">
        <w:rPr>
          <w:rFonts w:ascii="Times New Roman" w:hAnsi="Times New Roman" w:eastAsia="Times New Roman" w:cs="Times New Roman"/>
          <w:b w:val="0"/>
          <w:bCs w:val="0"/>
          <w:i w:val="0"/>
          <w:iCs w:val="0"/>
          <w:caps w:val="0"/>
          <w:smallCaps w:val="0"/>
          <w:noProof w:val="0"/>
          <w:color w:val="212121"/>
          <w:sz w:val="22"/>
          <w:szCs w:val="22"/>
          <w:lang w:val="en-US"/>
        </w:rPr>
        <w:t>M</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Price</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M, Langford</w:t>
      </w:r>
      <w:r w:rsidRPr="5DDB30B6" w:rsidR="534C8CEE">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D</w:t>
      </w:r>
      <w:r w:rsidRPr="5DDB30B6" w:rsidR="4B6B50C9">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Ashe</w:t>
      </w:r>
      <w:r w:rsidRPr="5DDB30B6" w:rsidR="0F7E54DB">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 xml:space="preserve"> M</w:t>
      </w:r>
      <w:r w:rsidRPr="5DDB30B6" w:rsidR="14E5C988">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CA53F00">
        <w:rPr>
          <w:rFonts w:ascii="Times New Roman" w:hAnsi="Times New Roman" w:eastAsia="Times New Roman" w:cs="Times New Roman"/>
          <w:b w:val="0"/>
          <w:bCs w:val="0"/>
          <w:i w:val="0"/>
          <w:iCs w:val="0"/>
          <w:caps w:val="0"/>
          <w:smallCaps w:val="0"/>
          <w:noProof w:val="0"/>
          <w:color w:val="212121"/>
          <w:sz w:val="22"/>
          <w:szCs w:val="22"/>
          <w:lang w:val="en-US"/>
        </w:rPr>
        <w:t>C.</w:t>
      </w:r>
      <w:r w:rsidRPr="5DDB30B6" w:rsidR="00CD537C">
        <w:rPr>
          <w:rFonts w:ascii="Times New Roman" w:hAnsi="Times New Roman" w:eastAsia="Times New Roman" w:cs="Times New Roman"/>
          <w:i w:val="1"/>
          <w:iCs w:val="1"/>
          <w:sz w:val="22"/>
          <w:szCs w:val="22"/>
          <w:lang w:val="en-US"/>
        </w:rPr>
        <w:t xml:space="preserve"> </w:t>
      </w:r>
      <w:r w:rsidRPr="5DDB30B6" w:rsidR="00CD537C">
        <w:rPr>
          <w:rFonts w:ascii="Times New Roman" w:hAnsi="Times New Roman" w:eastAsia="Times New Roman" w:cs="Times New Roman"/>
          <w:sz w:val="22"/>
          <w:szCs w:val="22"/>
          <w:lang w:val="en-US"/>
        </w:rPr>
        <w:t>(2022) ‘Defining and implementing patient-centered care: An umbrella review</w:t>
      </w:r>
      <w:r w:rsidRPr="5DDB30B6" w:rsidR="00CD537C">
        <w:rPr>
          <w:rFonts w:ascii="Times New Roman" w:hAnsi="Times New Roman" w:eastAsia="Times New Roman" w:cs="Times New Roman"/>
          <w:sz w:val="22"/>
          <w:szCs w:val="22"/>
          <w:lang w:val="en-US"/>
        </w:rPr>
        <w:t xml:space="preserve">’, </w:t>
      </w:r>
      <w:r w:rsidRPr="5DDB30B6" w:rsidR="00CD537C">
        <w:rPr>
          <w:rFonts w:ascii="Times New Roman" w:hAnsi="Times New Roman" w:eastAsia="Times New Roman" w:cs="Times New Roman"/>
          <w:i w:val="1"/>
          <w:iCs w:val="1"/>
          <w:sz w:val="22"/>
          <w:szCs w:val="22"/>
          <w:lang w:val="en-US"/>
        </w:rPr>
        <w:t>Patient Education and Counseling</w:t>
      </w:r>
      <w:r w:rsidRPr="5DDB30B6" w:rsidR="00CD537C">
        <w:rPr>
          <w:rFonts w:ascii="Times New Roman" w:hAnsi="Times New Roman" w:eastAsia="Times New Roman" w:cs="Times New Roman"/>
          <w:sz w:val="22"/>
          <w:szCs w:val="22"/>
          <w:lang w:val="en-US"/>
        </w:rPr>
        <w:t xml:space="preserve">, 105(7), pp. 1679–1688. Available at: </w:t>
      </w:r>
      <w:hyperlink r:id="R91fadc2edb46447a">
        <w:r w:rsidRPr="5DDB30B6" w:rsidR="00306FB4">
          <w:rPr>
            <w:rFonts w:ascii="Times New Roman" w:hAnsi="Times New Roman" w:eastAsia="Times New Roman" w:cs="Times New Roman"/>
            <w:color w:val="1155CC"/>
            <w:sz w:val="22"/>
            <w:szCs w:val="22"/>
            <w:u w:val="single"/>
            <w:lang w:val="en-US"/>
          </w:rPr>
          <w:t>https://doi.org/10.1016/j.pec.2021.11.004</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4B" w14:textId="7D7CBD88">
      <w:pPr>
        <w:pStyle w:val="Normal"/>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Hansen, L.S</w:t>
      </w:r>
      <w:r w:rsidRPr="5DDB30B6" w:rsidR="4DB26879">
        <w:rPr>
          <w:rFonts w:ascii="Times New Roman" w:hAnsi="Times New Roman" w:eastAsia="Times New Roman" w:cs="Times New Roman"/>
          <w:sz w:val="22"/>
          <w:szCs w:val="22"/>
          <w:lang w:val="en-US"/>
        </w:rPr>
        <w:t>,</w:t>
      </w:r>
      <w:r w:rsidRPr="5DDB30B6" w:rsidR="6F74D284">
        <w:rPr>
          <w:rFonts w:ascii="Times New Roman" w:hAnsi="Times New Roman" w:eastAsia="Times New Roman" w:cs="Times New Roman"/>
          <w:sz w:val="22"/>
          <w:szCs w:val="22"/>
          <w:lang w:val="en-US"/>
        </w:rPr>
        <w:t xml:space="preserve"> </w:t>
      </w:r>
      <w:r w:rsidRPr="5DDB30B6" w:rsidR="6F74D284">
        <w:rPr>
          <w:rFonts w:ascii="Times New Roman" w:hAnsi="Times New Roman" w:eastAsia="Times New Roman" w:cs="Times New Roman"/>
          <w:b w:val="0"/>
          <w:bCs w:val="0"/>
          <w:i w:val="0"/>
          <w:iCs w:val="0"/>
          <w:caps w:val="0"/>
          <w:smallCaps w:val="0"/>
          <w:noProof w:val="0"/>
          <w:color w:val="212121"/>
          <w:sz w:val="22"/>
          <w:szCs w:val="22"/>
          <w:lang w:val="en-US"/>
        </w:rPr>
        <w:t>Fadyl, J</w:t>
      </w:r>
      <w:r w:rsidRPr="5DDB30B6" w:rsidR="7049DCF0">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F74D284">
        <w:rPr>
          <w:rFonts w:ascii="Times New Roman" w:hAnsi="Times New Roman" w:eastAsia="Times New Roman" w:cs="Times New Roman"/>
          <w:b w:val="0"/>
          <w:bCs w:val="0"/>
          <w:i w:val="0"/>
          <w:iCs w:val="0"/>
          <w:caps w:val="0"/>
          <w:smallCaps w:val="0"/>
          <w:noProof w:val="0"/>
          <w:color w:val="212121"/>
          <w:sz w:val="22"/>
          <w:szCs w:val="22"/>
          <w:lang w:val="en-US"/>
        </w:rPr>
        <w:t xml:space="preserve"> Cummins</w:t>
      </w:r>
      <w:r w:rsidRPr="5DDB30B6" w:rsidR="54DF0B99">
        <w:rPr>
          <w:rFonts w:ascii="Times New Roman" w:hAnsi="Times New Roman" w:eastAsia="Times New Roman" w:cs="Times New Roman"/>
          <w:b w:val="0"/>
          <w:bCs w:val="0"/>
          <w:i w:val="0"/>
          <w:iCs w:val="0"/>
          <w:caps w:val="0"/>
          <w:smallCaps w:val="0"/>
          <w:noProof w:val="0"/>
          <w:color w:val="212121"/>
          <w:sz w:val="22"/>
          <w:szCs w:val="22"/>
          <w:lang w:val="en-US"/>
        </w:rPr>
        <w:t>, C.</w:t>
      </w:r>
      <w:r w:rsidRPr="5DDB30B6" w:rsidR="6F74D284">
        <w:rPr>
          <w:rFonts w:ascii="Times New Roman" w:hAnsi="Times New Roman" w:eastAsia="Times New Roman" w:cs="Times New Roman"/>
          <w:b w:val="0"/>
          <w:bCs w:val="0"/>
          <w:i w:val="0"/>
          <w:iCs w:val="0"/>
          <w:caps w:val="0"/>
          <w:smallCaps w:val="0"/>
          <w:noProof w:val="0"/>
          <w:color w:val="212121"/>
          <w:sz w:val="22"/>
          <w:szCs w:val="22"/>
          <w:lang w:val="en-US"/>
        </w:rPr>
        <w:t>, Terry G Kayes</w:t>
      </w:r>
      <w:r w:rsidRPr="5DDB30B6" w:rsidR="55EE8AB8">
        <w:rPr>
          <w:rFonts w:ascii="Times New Roman" w:hAnsi="Times New Roman" w:eastAsia="Times New Roman" w:cs="Times New Roman"/>
          <w:b w:val="0"/>
          <w:bCs w:val="0"/>
          <w:i w:val="0"/>
          <w:iCs w:val="0"/>
          <w:caps w:val="0"/>
          <w:smallCaps w:val="0"/>
          <w:noProof w:val="0"/>
          <w:color w:val="212121"/>
          <w:sz w:val="22"/>
          <w:szCs w:val="22"/>
          <w:lang w:val="en-US"/>
        </w:rPr>
        <w:t>,</w:t>
      </w:r>
      <w:r w:rsidRPr="5DDB30B6" w:rsidR="6F74D284">
        <w:rPr>
          <w:rFonts w:ascii="Times New Roman" w:hAnsi="Times New Roman" w:eastAsia="Times New Roman" w:cs="Times New Roman"/>
          <w:b w:val="0"/>
          <w:bCs w:val="0"/>
          <w:i w:val="0"/>
          <w:iCs w:val="0"/>
          <w:caps w:val="0"/>
          <w:smallCaps w:val="0"/>
          <w:noProof w:val="0"/>
          <w:color w:val="212121"/>
          <w:sz w:val="22"/>
          <w:szCs w:val="22"/>
          <w:lang w:val="en-US"/>
        </w:rPr>
        <w:t xml:space="preserve"> N.</w:t>
      </w:r>
      <w:r w:rsidRPr="5DDB30B6" w:rsidR="00CD537C">
        <w:rPr>
          <w:rFonts w:ascii="Times New Roman" w:hAnsi="Times New Roman" w:eastAsia="Times New Roman" w:cs="Times New Roman"/>
          <w:sz w:val="22"/>
          <w:szCs w:val="22"/>
          <w:lang w:val="en-US"/>
        </w:rPr>
        <w:t xml:space="preserve"> (2025) ‘</w:t>
      </w:r>
      <w:r w:rsidRPr="5DDB30B6" w:rsidR="5BE3151D">
        <w:rPr>
          <w:rFonts w:ascii="Times New Roman" w:hAnsi="Times New Roman" w:eastAsia="Times New Roman" w:cs="Times New Roman"/>
          <w:sz w:val="22"/>
          <w:szCs w:val="22"/>
          <w:lang w:val="en-US"/>
        </w:rPr>
        <w:t>Practicing's</w:t>
      </w:r>
      <w:r w:rsidRPr="5DDB30B6" w:rsidR="00CD537C">
        <w:rPr>
          <w:rFonts w:ascii="Times New Roman" w:hAnsi="Times New Roman" w:eastAsia="Times New Roman" w:cs="Times New Roman"/>
          <w:sz w:val="22"/>
          <w:szCs w:val="22"/>
          <w:lang w:val="en-US"/>
        </w:rPr>
        <w:t xml:space="preserve"> of Person‐</w:t>
      </w:r>
      <w:r w:rsidRPr="5DDB30B6" w:rsidR="00CD537C">
        <w:rPr>
          <w:rFonts w:ascii="Times New Roman" w:hAnsi="Times New Roman" w:eastAsia="Times New Roman" w:cs="Times New Roman"/>
          <w:sz w:val="22"/>
          <w:szCs w:val="22"/>
          <w:lang w:val="en-US"/>
        </w:rPr>
        <w:t>Centred</w:t>
      </w:r>
      <w:r w:rsidRPr="5DDB30B6" w:rsidR="00CD537C">
        <w:rPr>
          <w:rFonts w:ascii="Times New Roman" w:hAnsi="Times New Roman" w:eastAsia="Times New Roman" w:cs="Times New Roman"/>
          <w:sz w:val="22"/>
          <w:szCs w:val="22"/>
          <w:lang w:val="en-US"/>
        </w:rPr>
        <w:t xml:space="preserve"> Care in Physiotherapy’, </w:t>
      </w:r>
      <w:r w:rsidRPr="5DDB30B6" w:rsidR="00CD537C">
        <w:rPr>
          <w:rFonts w:ascii="Times New Roman" w:hAnsi="Times New Roman" w:eastAsia="Times New Roman" w:cs="Times New Roman"/>
          <w:i w:val="1"/>
          <w:iCs w:val="1"/>
          <w:sz w:val="22"/>
          <w:szCs w:val="22"/>
          <w:lang w:val="en-US"/>
        </w:rPr>
        <w:t>Sociology of Health &amp; Illness</w:t>
      </w:r>
      <w:r w:rsidRPr="5DDB30B6" w:rsidR="00CD537C">
        <w:rPr>
          <w:rFonts w:ascii="Times New Roman" w:hAnsi="Times New Roman" w:eastAsia="Times New Roman" w:cs="Times New Roman"/>
          <w:sz w:val="22"/>
          <w:szCs w:val="22"/>
          <w:lang w:val="en-US"/>
        </w:rPr>
        <w:t xml:space="preserve">, 47(8). Available at: </w:t>
      </w:r>
      <w:hyperlink r:id="Rc6e788834e844210">
        <w:r w:rsidRPr="5DDB30B6" w:rsidR="00306FB4">
          <w:rPr>
            <w:rFonts w:ascii="Times New Roman" w:hAnsi="Times New Roman" w:eastAsia="Times New Roman" w:cs="Times New Roman"/>
            <w:color w:val="1155CC"/>
            <w:sz w:val="22"/>
            <w:szCs w:val="22"/>
            <w:u w:val="single"/>
            <w:lang w:val="en-US"/>
          </w:rPr>
          <w:t>https://doi.org/10.1111/1467-9566.70109</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4C" w14:textId="77777777">
      <w:pPr>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Jayasinghe, S. (</w:t>
      </w:r>
      <w:r w:rsidRPr="5DDB30B6" w:rsidR="00CD537C">
        <w:rPr>
          <w:rFonts w:ascii="Times New Roman" w:hAnsi="Times New Roman" w:eastAsia="Times New Roman" w:cs="Times New Roman"/>
          <w:sz w:val="22"/>
          <w:szCs w:val="22"/>
          <w:lang w:val="en-US"/>
        </w:rPr>
        <w:t>2025) ‘</w:t>
      </w:r>
      <w:r w:rsidRPr="5DDB30B6" w:rsidR="00CD537C">
        <w:rPr>
          <w:rFonts w:ascii="Times New Roman" w:hAnsi="Times New Roman" w:eastAsia="Times New Roman" w:cs="Times New Roman"/>
          <w:sz w:val="22"/>
          <w:szCs w:val="22"/>
          <w:lang w:val="en-US"/>
        </w:rPr>
        <w:t>People-</w:t>
      </w:r>
      <w:r w:rsidRPr="5DDB30B6" w:rsidR="00CD537C">
        <w:rPr>
          <w:rFonts w:ascii="Times New Roman" w:hAnsi="Times New Roman" w:eastAsia="Times New Roman" w:cs="Times New Roman"/>
          <w:sz w:val="22"/>
          <w:szCs w:val="22"/>
          <w:lang w:val="en-US"/>
        </w:rPr>
        <w:t>centred</w:t>
      </w:r>
      <w:r w:rsidRPr="5DDB30B6" w:rsidR="00CD537C">
        <w:rPr>
          <w:rFonts w:ascii="Times New Roman" w:hAnsi="Times New Roman" w:eastAsia="Times New Roman" w:cs="Times New Roman"/>
          <w:sz w:val="22"/>
          <w:szCs w:val="22"/>
          <w:lang w:val="en-US"/>
        </w:rPr>
        <w:t xml:space="preserve"> care: a systems view of a new paradigm’, </w:t>
      </w:r>
      <w:r w:rsidRPr="5DDB30B6" w:rsidR="00CD537C">
        <w:rPr>
          <w:rFonts w:ascii="Times New Roman" w:hAnsi="Times New Roman" w:eastAsia="Times New Roman" w:cs="Times New Roman"/>
          <w:i w:val="1"/>
          <w:iCs w:val="1"/>
          <w:sz w:val="22"/>
          <w:szCs w:val="22"/>
          <w:lang w:val="en-US"/>
        </w:rPr>
        <w:t>Discover Health Systems</w:t>
      </w:r>
      <w:r w:rsidRPr="5DDB30B6" w:rsidR="00CD537C">
        <w:rPr>
          <w:rFonts w:ascii="Times New Roman" w:hAnsi="Times New Roman" w:eastAsia="Times New Roman" w:cs="Times New Roman"/>
          <w:sz w:val="22"/>
          <w:szCs w:val="22"/>
          <w:lang w:val="en-US"/>
        </w:rPr>
        <w:t xml:space="preserve">, 4(1). Available at: </w:t>
      </w:r>
      <w:hyperlink r:id="R2b93d17b28bc4a9f">
        <w:r w:rsidRPr="5DDB30B6" w:rsidR="00306FB4">
          <w:rPr>
            <w:rFonts w:ascii="Times New Roman" w:hAnsi="Times New Roman" w:eastAsia="Times New Roman" w:cs="Times New Roman"/>
            <w:color w:val="1155CC"/>
            <w:sz w:val="22"/>
            <w:szCs w:val="22"/>
            <w:u w:val="single"/>
            <w:lang w:val="en-US"/>
          </w:rPr>
          <w:t>https://doi.org/10.1007/s44250-025-00215-9</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4D" w14:textId="3477DA7E">
      <w:pPr>
        <w:spacing w:after="240" w:line="360" w:lineRule="auto"/>
        <w:rPr>
          <w:rFonts w:ascii="Times New Roman" w:hAnsi="Times New Roman" w:eastAsia="Times New Roman" w:cs="Times New Roman"/>
          <w:sz w:val="22"/>
          <w:szCs w:val="22"/>
        </w:rPr>
      </w:pPr>
      <w:r w:rsidRPr="5DDB30B6" w:rsidR="00CD537C">
        <w:rPr>
          <w:rFonts w:ascii="Times New Roman" w:hAnsi="Times New Roman" w:eastAsia="Times New Roman" w:cs="Times New Roman"/>
          <w:sz w:val="22"/>
          <w:szCs w:val="22"/>
        </w:rPr>
        <w:t>Marks, J., Predescu, I.</w:t>
      </w:r>
      <w:r w:rsidRPr="5DDB30B6" w:rsidR="3922678E">
        <w:rPr>
          <w:rFonts w:ascii="Times New Roman" w:hAnsi="Times New Roman" w:eastAsia="Times New Roman" w:cs="Times New Roman"/>
          <w:sz w:val="22"/>
          <w:szCs w:val="22"/>
        </w:rPr>
        <w:t>,</w:t>
      </w:r>
      <w:r w:rsidRPr="5DDB30B6" w:rsidR="00CD537C">
        <w:rPr>
          <w:rFonts w:ascii="Times New Roman" w:hAnsi="Times New Roman" w:eastAsia="Times New Roman" w:cs="Times New Roman"/>
          <w:sz w:val="22"/>
          <w:szCs w:val="22"/>
        </w:rPr>
        <w:t xml:space="preserve"> and Dunn, L.B. (2021) ‘Ethical Issues in Caring for Older Adults’, </w:t>
      </w:r>
      <w:r w:rsidRPr="5DDB30B6" w:rsidR="00CD537C">
        <w:rPr>
          <w:rFonts w:ascii="Times New Roman" w:hAnsi="Times New Roman" w:eastAsia="Times New Roman" w:cs="Times New Roman"/>
          <w:i w:val="1"/>
          <w:iCs w:val="1"/>
          <w:sz w:val="22"/>
          <w:szCs w:val="22"/>
        </w:rPr>
        <w:t>FOCUS</w:t>
      </w:r>
      <w:r w:rsidRPr="5DDB30B6" w:rsidR="00CD537C">
        <w:rPr>
          <w:rFonts w:ascii="Times New Roman" w:hAnsi="Times New Roman" w:eastAsia="Times New Roman" w:cs="Times New Roman"/>
          <w:sz w:val="22"/>
          <w:szCs w:val="22"/>
        </w:rPr>
        <w:t xml:space="preserve">, 19(3), pp. 325–329. Available at: </w:t>
      </w:r>
      <w:hyperlink r:id="R6804f3dabb0b411b">
        <w:r w:rsidRPr="5DDB30B6" w:rsidR="00306FB4">
          <w:rPr>
            <w:rFonts w:ascii="Times New Roman" w:hAnsi="Times New Roman" w:eastAsia="Times New Roman" w:cs="Times New Roman"/>
            <w:color w:val="1155CC"/>
            <w:sz w:val="22"/>
            <w:szCs w:val="22"/>
            <w:u w:val="single"/>
          </w:rPr>
          <w:t>https://doi.org/10.1176/appi.focus.20210011</w:t>
        </w:r>
      </w:hyperlink>
      <w:r w:rsidRPr="5DDB30B6" w:rsidR="00CD537C">
        <w:rPr>
          <w:rFonts w:ascii="Times New Roman" w:hAnsi="Times New Roman" w:eastAsia="Times New Roman" w:cs="Times New Roman"/>
          <w:sz w:val="22"/>
          <w:szCs w:val="22"/>
        </w:rPr>
        <w:t xml:space="preserve">. </w:t>
      </w:r>
    </w:p>
    <w:p w:rsidR="00306FB4" w:rsidP="5DDB30B6" w:rsidRDefault="00CD537C" w14:paraId="0000004E" w14:textId="77777777">
      <w:pPr>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McCance, T. and McCormack, B. (2025) ‘The person-</w:t>
      </w:r>
      <w:r w:rsidRPr="5DDB30B6" w:rsidR="00CD537C">
        <w:rPr>
          <w:rFonts w:ascii="Times New Roman" w:hAnsi="Times New Roman" w:eastAsia="Times New Roman" w:cs="Times New Roman"/>
          <w:sz w:val="22"/>
          <w:szCs w:val="22"/>
          <w:lang w:val="en-US"/>
        </w:rPr>
        <w:t>centred</w:t>
      </w:r>
      <w:r w:rsidRPr="5DDB30B6" w:rsidR="00CD537C">
        <w:rPr>
          <w:rFonts w:ascii="Times New Roman" w:hAnsi="Times New Roman" w:eastAsia="Times New Roman" w:cs="Times New Roman"/>
          <w:sz w:val="22"/>
          <w:szCs w:val="22"/>
          <w:lang w:val="en-US"/>
        </w:rPr>
        <w:t xml:space="preserve"> nursing framework: A mid-range theory for nursing practice’, </w:t>
      </w:r>
      <w:r w:rsidRPr="5DDB30B6" w:rsidR="00CD537C">
        <w:rPr>
          <w:rFonts w:ascii="Times New Roman" w:hAnsi="Times New Roman" w:eastAsia="Times New Roman" w:cs="Times New Roman"/>
          <w:i w:val="1"/>
          <w:iCs w:val="1"/>
          <w:sz w:val="22"/>
          <w:szCs w:val="22"/>
          <w:lang w:val="en-US"/>
        </w:rPr>
        <w:t>Journal of Research in Nursing</w:t>
      </w:r>
      <w:r w:rsidRPr="5DDB30B6" w:rsidR="00CD537C">
        <w:rPr>
          <w:rFonts w:ascii="Times New Roman" w:hAnsi="Times New Roman" w:eastAsia="Times New Roman" w:cs="Times New Roman"/>
          <w:sz w:val="22"/>
          <w:szCs w:val="22"/>
          <w:lang w:val="en-US"/>
        </w:rPr>
        <w:t xml:space="preserve">, 30(1), pp. 47–60. Available at: </w:t>
      </w:r>
      <w:hyperlink r:id="R34422c2ad740493c">
        <w:r w:rsidRPr="5DDB30B6" w:rsidR="00306FB4">
          <w:rPr>
            <w:rFonts w:ascii="Times New Roman" w:hAnsi="Times New Roman" w:eastAsia="Times New Roman" w:cs="Times New Roman"/>
            <w:color w:val="1155CC"/>
            <w:sz w:val="22"/>
            <w:szCs w:val="22"/>
            <w:u w:val="single"/>
            <w:lang w:val="en-US"/>
          </w:rPr>
          <w:t>https://doi.org/10.1177/17449871241281428</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4F" w14:textId="2949AB8E">
      <w:pPr>
        <w:pStyle w:val="Normal"/>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Naylor, C</w:t>
      </w:r>
      <w:r w:rsidRPr="5DDB30B6" w:rsidR="6783140D">
        <w:rPr>
          <w:rFonts w:ascii="Times New Roman" w:hAnsi="Times New Roman" w:eastAsia="Times New Roman" w:cs="Times New Roman"/>
          <w:sz w:val="22"/>
          <w:szCs w:val="22"/>
          <w:lang w:val="en-US"/>
        </w:rPr>
        <w:t>.</w:t>
      </w:r>
      <w:r w:rsidRPr="5DDB30B6" w:rsidR="1825DC76">
        <w:rPr>
          <w:rFonts w:ascii="Times New Roman" w:hAnsi="Times New Roman" w:eastAsia="Times New Roman" w:cs="Times New Roman"/>
          <w:sz w:val="22"/>
          <w:szCs w:val="22"/>
          <w:lang w:val="en-US"/>
        </w:rPr>
        <w:t>,</w:t>
      </w:r>
      <w:r w:rsidRPr="5DDB30B6" w:rsidR="0C941379">
        <w:rPr>
          <w:rFonts w:ascii="Times New Roman" w:hAnsi="Times New Roman" w:eastAsia="Times New Roman" w:cs="Times New Roman"/>
          <w:noProof w:val="0"/>
          <w:sz w:val="22"/>
          <w:szCs w:val="22"/>
          <w:lang w:val="en-US"/>
        </w:rPr>
        <w:t xml:space="preserve"> Julia</w:t>
      </w:r>
      <w:r w:rsidRPr="5DDB30B6" w:rsidR="14AC59A7">
        <w:rPr>
          <w:rFonts w:ascii="Times New Roman" w:hAnsi="Times New Roman" w:eastAsia="Times New Roman" w:cs="Times New Roman"/>
          <w:noProof w:val="0"/>
          <w:sz w:val="22"/>
          <w:szCs w:val="22"/>
          <w:lang w:val="en-US"/>
        </w:rPr>
        <w:t>,</w:t>
      </w:r>
      <w:r w:rsidRPr="5DDB30B6" w:rsidR="0C941379">
        <w:rPr>
          <w:rFonts w:ascii="Times New Roman" w:hAnsi="Times New Roman" w:eastAsia="Times New Roman" w:cs="Times New Roman"/>
          <w:noProof w:val="0"/>
          <w:sz w:val="22"/>
          <w:szCs w:val="22"/>
          <w:lang w:val="en-US"/>
        </w:rPr>
        <w:t xml:space="preserve"> C</w:t>
      </w:r>
      <w:r w:rsidRPr="5DDB30B6" w:rsidR="0F42EF13">
        <w:rPr>
          <w:rFonts w:ascii="Times New Roman" w:hAnsi="Times New Roman" w:eastAsia="Times New Roman" w:cs="Times New Roman"/>
          <w:noProof w:val="0"/>
          <w:sz w:val="22"/>
          <w:szCs w:val="22"/>
          <w:lang w:val="en-US"/>
        </w:rPr>
        <w:t>.</w:t>
      </w:r>
      <w:r w:rsidRPr="5DDB30B6" w:rsidR="0C941379">
        <w:rPr>
          <w:rFonts w:ascii="Times New Roman" w:hAnsi="Times New Roman" w:eastAsia="Times New Roman" w:cs="Times New Roman"/>
          <w:noProof w:val="0"/>
          <w:sz w:val="22"/>
          <w:szCs w:val="22"/>
          <w:lang w:val="en-US"/>
        </w:rPr>
        <w:t>, Loreen</w:t>
      </w:r>
      <w:r w:rsidRPr="5DDB30B6" w:rsidR="603FF7E1">
        <w:rPr>
          <w:rFonts w:ascii="Times New Roman" w:hAnsi="Times New Roman" w:eastAsia="Times New Roman" w:cs="Times New Roman"/>
          <w:noProof w:val="0"/>
          <w:sz w:val="22"/>
          <w:szCs w:val="22"/>
          <w:lang w:val="en-US"/>
        </w:rPr>
        <w:t>,</w:t>
      </w:r>
      <w:r w:rsidRPr="5DDB30B6" w:rsidR="0C941379">
        <w:rPr>
          <w:rFonts w:ascii="Times New Roman" w:hAnsi="Times New Roman" w:eastAsia="Times New Roman" w:cs="Times New Roman"/>
          <w:noProof w:val="0"/>
          <w:sz w:val="22"/>
          <w:szCs w:val="22"/>
          <w:lang w:val="en-US"/>
        </w:rPr>
        <w:t xml:space="preserve"> C</w:t>
      </w:r>
      <w:r w:rsidRPr="5DDB30B6" w:rsidR="6DC8EC6C">
        <w:rPr>
          <w:rFonts w:ascii="Times New Roman" w:hAnsi="Times New Roman" w:eastAsia="Times New Roman" w:cs="Times New Roman"/>
          <w:noProof w:val="0"/>
          <w:sz w:val="22"/>
          <w:szCs w:val="22"/>
          <w:lang w:val="en-US"/>
        </w:rPr>
        <w:t>.</w:t>
      </w:r>
      <w:r w:rsidRPr="5DDB30B6" w:rsidR="0C941379">
        <w:rPr>
          <w:rFonts w:ascii="Times New Roman" w:hAnsi="Times New Roman" w:eastAsia="Times New Roman" w:cs="Times New Roman"/>
          <w:noProof w:val="0"/>
          <w:sz w:val="22"/>
          <w:szCs w:val="22"/>
          <w:lang w:val="en-US"/>
        </w:rPr>
        <w:t xml:space="preserve">, </w:t>
      </w:r>
      <w:r w:rsidRPr="5DDB30B6" w:rsidR="2D4D03DA">
        <w:rPr>
          <w:rFonts w:ascii="Times New Roman" w:hAnsi="Times New Roman" w:eastAsia="Times New Roman" w:cs="Times New Roman"/>
          <w:noProof w:val="0"/>
          <w:sz w:val="22"/>
          <w:szCs w:val="22"/>
          <w:lang w:val="en-US"/>
        </w:rPr>
        <w:t>and</w:t>
      </w:r>
      <w:r w:rsidRPr="5DDB30B6" w:rsidR="19050CC4">
        <w:rPr>
          <w:rFonts w:ascii="Times New Roman" w:hAnsi="Times New Roman" w:eastAsia="Times New Roman" w:cs="Times New Roman"/>
          <w:noProof w:val="0"/>
          <w:sz w:val="22"/>
          <w:szCs w:val="22"/>
          <w:lang w:val="en-US"/>
        </w:rPr>
        <w:t xml:space="preserve"> </w:t>
      </w:r>
      <w:r w:rsidRPr="5DDB30B6" w:rsidR="0C941379">
        <w:rPr>
          <w:rFonts w:ascii="Times New Roman" w:hAnsi="Times New Roman" w:eastAsia="Times New Roman" w:cs="Times New Roman"/>
          <w:noProof w:val="0"/>
          <w:sz w:val="22"/>
          <w:szCs w:val="22"/>
          <w:lang w:val="en-US"/>
        </w:rPr>
        <w:t>Cheryl</w:t>
      </w:r>
      <w:r w:rsidRPr="5DDB30B6" w:rsidR="0BE35DE9">
        <w:rPr>
          <w:rFonts w:ascii="Times New Roman" w:hAnsi="Times New Roman" w:eastAsia="Times New Roman" w:cs="Times New Roman"/>
          <w:noProof w:val="0"/>
          <w:sz w:val="22"/>
          <w:szCs w:val="22"/>
          <w:lang w:val="en-US"/>
        </w:rPr>
        <w:t>,</w:t>
      </w:r>
      <w:r w:rsidRPr="5DDB30B6" w:rsidR="0C941379">
        <w:rPr>
          <w:rFonts w:ascii="Times New Roman" w:hAnsi="Times New Roman" w:eastAsia="Times New Roman" w:cs="Times New Roman"/>
          <w:noProof w:val="0"/>
          <w:sz w:val="22"/>
          <w:szCs w:val="22"/>
          <w:lang w:val="en-US"/>
        </w:rPr>
        <w:t xml:space="preserve"> G</w:t>
      </w:r>
      <w:r w:rsidRPr="5DDB30B6" w:rsidR="68F860BF">
        <w:rPr>
          <w:rFonts w:ascii="Times New Roman" w:hAnsi="Times New Roman" w:eastAsia="Times New Roman" w:cs="Times New Roman"/>
          <w:noProof w:val="0"/>
          <w:sz w:val="22"/>
          <w:szCs w:val="22"/>
          <w:lang w:val="en-US"/>
        </w:rPr>
        <w:t>.</w:t>
      </w:r>
      <w:r w:rsidRPr="5DDB30B6" w:rsidR="00CD537C">
        <w:rPr>
          <w:rFonts w:ascii="Times New Roman" w:hAnsi="Times New Roman" w:eastAsia="Times New Roman" w:cs="Times New Roman"/>
          <w:sz w:val="22"/>
          <w:szCs w:val="22"/>
          <w:lang w:val="en-US"/>
        </w:rPr>
        <w:t xml:space="preserve"> (2024)</w:t>
      </w:r>
      <w:r w:rsidRPr="5DDB30B6" w:rsidR="2E9D6AE6">
        <w:rPr>
          <w:rFonts w:ascii="Times New Roman" w:hAnsi="Times New Roman" w:eastAsia="Times New Roman" w:cs="Times New Roman"/>
          <w:sz w:val="22"/>
          <w:szCs w:val="22"/>
          <w:lang w:val="en-US"/>
        </w:rPr>
        <w:t>,</w:t>
      </w:r>
      <w:r w:rsidRPr="5DDB30B6" w:rsidR="00CD537C">
        <w:rPr>
          <w:rFonts w:ascii="Times New Roman" w:hAnsi="Times New Roman" w:eastAsia="Times New Roman" w:cs="Times New Roman"/>
          <w:sz w:val="22"/>
          <w:szCs w:val="22"/>
          <w:lang w:val="en-US"/>
        </w:rPr>
        <w:t xml:space="preserve"> </w:t>
      </w:r>
      <w:r w:rsidRPr="5DDB30B6" w:rsidR="00CD537C">
        <w:rPr>
          <w:rFonts w:ascii="Times New Roman" w:hAnsi="Times New Roman" w:eastAsia="Times New Roman" w:cs="Times New Roman"/>
          <w:i w:val="1"/>
          <w:iCs w:val="1"/>
          <w:sz w:val="22"/>
          <w:szCs w:val="22"/>
          <w:lang w:val="en-US"/>
        </w:rPr>
        <w:t>Realising</w:t>
      </w:r>
      <w:r w:rsidRPr="5DDB30B6" w:rsidR="00CD537C">
        <w:rPr>
          <w:rFonts w:ascii="Times New Roman" w:hAnsi="Times New Roman" w:eastAsia="Times New Roman" w:cs="Times New Roman"/>
          <w:i w:val="1"/>
          <w:iCs w:val="1"/>
          <w:sz w:val="22"/>
          <w:szCs w:val="22"/>
          <w:lang w:val="en-US"/>
        </w:rPr>
        <w:t xml:space="preserve"> the potential of integrated care systems: Developing system-wide solutions to workforce challenges</w:t>
      </w:r>
      <w:r w:rsidRPr="5DDB30B6" w:rsidR="00CD537C">
        <w:rPr>
          <w:rFonts w:ascii="Times New Roman" w:hAnsi="Times New Roman" w:eastAsia="Times New Roman" w:cs="Times New Roman"/>
          <w:sz w:val="22"/>
          <w:szCs w:val="22"/>
          <w:lang w:val="en-US"/>
        </w:rPr>
        <w:t xml:space="preserve">. Available at: </w:t>
      </w:r>
      <w:hyperlink r:id="R51becc3636d347c1">
        <w:r w:rsidRPr="5DDB30B6" w:rsidR="00306FB4">
          <w:rPr>
            <w:rFonts w:ascii="Times New Roman" w:hAnsi="Times New Roman" w:eastAsia="Times New Roman" w:cs="Times New Roman"/>
            <w:color w:val="1155CC"/>
            <w:sz w:val="22"/>
            <w:szCs w:val="22"/>
            <w:u w:val="single"/>
            <w:lang w:val="en-US"/>
          </w:rPr>
          <w:t>https://assets.kingsfund.org.uk/f/256914/x/6709372a21/realising_potential_ics_report_2024.pdf</w:t>
        </w:r>
      </w:hyperlink>
      <w:r w:rsidRPr="5DDB30B6" w:rsidR="00CD537C">
        <w:rPr>
          <w:rFonts w:ascii="Times New Roman" w:hAnsi="Times New Roman" w:eastAsia="Times New Roman" w:cs="Times New Roman"/>
          <w:sz w:val="22"/>
          <w:szCs w:val="22"/>
          <w:lang w:val="en-US"/>
        </w:rPr>
        <w:t xml:space="preserve">  (Accessed: 11 March 2026).</w:t>
      </w:r>
    </w:p>
    <w:p w:rsidR="00306FB4" w:rsidP="5DDB30B6" w:rsidRDefault="00CD537C" w14:paraId="00000050" w14:textId="77777777">
      <w:pPr>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 xml:space="preserve">Philip, </w:t>
      </w:r>
      <w:r w:rsidRPr="5DDB30B6" w:rsidR="00CD537C">
        <w:rPr>
          <w:rFonts w:ascii="Times New Roman" w:hAnsi="Times New Roman" w:eastAsia="Times New Roman" w:cs="Times New Roman"/>
          <w:sz w:val="22"/>
          <w:szCs w:val="22"/>
          <w:lang w:val="en-US"/>
        </w:rPr>
        <w:t>J.</w:t>
      </w:r>
      <w:r w:rsidRPr="5DDB30B6" w:rsidR="00CD537C">
        <w:rPr>
          <w:rFonts w:ascii="Times New Roman" w:hAnsi="Times New Roman" w:eastAsia="Times New Roman" w:cs="Times New Roman"/>
          <w:sz w:val="22"/>
          <w:szCs w:val="22"/>
          <w:lang w:val="en-US"/>
        </w:rPr>
        <w:t xml:space="preserve"> and Cherian, V. (2020) ‘Validity of the biopsychosocial model in contemporary psychiatry’, </w:t>
      </w:r>
      <w:r w:rsidRPr="5DDB30B6" w:rsidR="00CD537C">
        <w:rPr>
          <w:rFonts w:ascii="Times New Roman" w:hAnsi="Times New Roman" w:eastAsia="Times New Roman" w:cs="Times New Roman"/>
          <w:i w:val="1"/>
          <w:iCs w:val="1"/>
          <w:sz w:val="22"/>
          <w:szCs w:val="22"/>
          <w:lang w:val="en-US"/>
        </w:rPr>
        <w:t>Annals of Indian Psychiatry</w:t>
      </w:r>
      <w:r w:rsidRPr="5DDB30B6" w:rsidR="00CD537C">
        <w:rPr>
          <w:rFonts w:ascii="Times New Roman" w:hAnsi="Times New Roman" w:eastAsia="Times New Roman" w:cs="Times New Roman"/>
          <w:sz w:val="22"/>
          <w:szCs w:val="22"/>
          <w:lang w:val="en-US"/>
        </w:rPr>
        <w:t xml:space="preserve">, 4(2), p. 219. Available at: </w:t>
      </w:r>
      <w:hyperlink r:id="Rbe20c6a98f6044a3">
        <w:r w:rsidRPr="5DDB30B6" w:rsidR="00306FB4">
          <w:rPr>
            <w:rFonts w:ascii="Times New Roman" w:hAnsi="Times New Roman" w:eastAsia="Times New Roman" w:cs="Times New Roman"/>
            <w:color w:val="1155CC"/>
            <w:sz w:val="22"/>
            <w:szCs w:val="22"/>
            <w:u w:val="single"/>
            <w:lang w:val="en-US"/>
          </w:rPr>
          <w:t>https://doi.org/10.4103/aip.aip_47_20</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51" w14:textId="77777777">
      <w:pPr>
        <w:spacing w:after="240" w:line="360" w:lineRule="auto"/>
        <w:rPr>
          <w:rFonts w:ascii="Times New Roman" w:hAnsi="Times New Roman" w:eastAsia="Times New Roman" w:cs="Times New Roman"/>
          <w:sz w:val="22"/>
          <w:szCs w:val="22"/>
          <w:lang w:val="en-US"/>
        </w:rPr>
      </w:pPr>
      <w:r w:rsidRPr="5DDB30B6" w:rsidR="00CD537C">
        <w:rPr>
          <w:rFonts w:ascii="Times New Roman" w:hAnsi="Times New Roman" w:eastAsia="Times New Roman" w:cs="Times New Roman"/>
          <w:sz w:val="22"/>
          <w:szCs w:val="22"/>
          <w:lang w:val="en-US"/>
        </w:rPr>
        <w:t xml:space="preserve">Rong, T., Ristevski, </w:t>
      </w:r>
      <w:r w:rsidRPr="5DDB30B6" w:rsidR="00CD537C">
        <w:rPr>
          <w:rFonts w:ascii="Times New Roman" w:hAnsi="Times New Roman" w:eastAsia="Times New Roman" w:cs="Times New Roman"/>
          <w:sz w:val="22"/>
          <w:szCs w:val="22"/>
          <w:lang w:val="en-US"/>
        </w:rPr>
        <w:t>E.</w:t>
      </w:r>
      <w:r w:rsidRPr="5DDB30B6" w:rsidR="00CD537C">
        <w:rPr>
          <w:rFonts w:ascii="Times New Roman" w:hAnsi="Times New Roman" w:eastAsia="Times New Roman" w:cs="Times New Roman"/>
          <w:sz w:val="22"/>
          <w:szCs w:val="22"/>
          <w:lang w:val="en-US"/>
        </w:rPr>
        <w:t xml:space="preserve"> and Carroll, M. (</w:t>
      </w:r>
      <w:r w:rsidRPr="5DDB30B6" w:rsidR="00CD537C">
        <w:rPr>
          <w:rFonts w:ascii="Times New Roman" w:hAnsi="Times New Roman" w:eastAsia="Times New Roman" w:cs="Times New Roman"/>
          <w:sz w:val="22"/>
          <w:szCs w:val="22"/>
          <w:lang w:val="en-US"/>
        </w:rPr>
        <w:t>2023) ‘</w:t>
      </w:r>
      <w:r w:rsidRPr="5DDB30B6" w:rsidR="00CD537C">
        <w:rPr>
          <w:rFonts w:ascii="Times New Roman" w:hAnsi="Times New Roman" w:eastAsia="Times New Roman" w:cs="Times New Roman"/>
          <w:sz w:val="22"/>
          <w:szCs w:val="22"/>
          <w:lang w:val="en-US"/>
        </w:rPr>
        <w:t xml:space="preserve">Exploring community engagement in place-based approaches in areas of poor health and disadvantage: A scoping </w:t>
      </w:r>
      <w:r w:rsidRPr="5DDB30B6" w:rsidR="00CD537C">
        <w:rPr>
          <w:rFonts w:ascii="Times New Roman" w:hAnsi="Times New Roman" w:eastAsia="Times New Roman" w:cs="Times New Roman"/>
          <w:sz w:val="22"/>
          <w:szCs w:val="22"/>
          <w:lang w:val="en-US"/>
        </w:rPr>
        <w:t>review’,</w:t>
      </w:r>
      <w:r w:rsidRPr="5DDB30B6" w:rsidR="00CD537C">
        <w:rPr>
          <w:rFonts w:ascii="Times New Roman" w:hAnsi="Times New Roman" w:eastAsia="Times New Roman" w:cs="Times New Roman"/>
          <w:sz w:val="22"/>
          <w:szCs w:val="22"/>
          <w:lang w:val="en-US"/>
        </w:rPr>
        <w:t xml:space="preserve"> </w:t>
      </w:r>
      <w:r w:rsidRPr="5DDB30B6" w:rsidR="00CD537C">
        <w:rPr>
          <w:rFonts w:ascii="Times New Roman" w:hAnsi="Times New Roman" w:eastAsia="Times New Roman" w:cs="Times New Roman"/>
          <w:i w:val="1"/>
          <w:iCs w:val="1"/>
          <w:sz w:val="22"/>
          <w:szCs w:val="22"/>
          <w:lang w:val="en-US"/>
        </w:rPr>
        <w:t>Health &amp; Place</w:t>
      </w:r>
      <w:r w:rsidRPr="5DDB30B6" w:rsidR="00CD537C">
        <w:rPr>
          <w:rFonts w:ascii="Times New Roman" w:hAnsi="Times New Roman" w:eastAsia="Times New Roman" w:cs="Times New Roman"/>
          <w:sz w:val="22"/>
          <w:szCs w:val="22"/>
          <w:lang w:val="en-US"/>
        </w:rPr>
        <w:t xml:space="preserve">, 81(81), p. 103026. Available at: </w:t>
      </w:r>
      <w:hyperlink r:id="R48cd6b0bef964a7e">
        <w:r w:rsidRPr="5DDB30B6" w:rsidR="00306FB4">
          <w:rPr>
            <w:rFonts w:ascii="Times New Roman" w:hAnsi="Times New Roman" w:eastAsia="Times New Roman" w:cs="Times New Roman"/>
            <w:color w:val="1155CC"/>
            <w:sz w:val="22"/>
            <w:szCs w:val="22"/>
            <w:u w:val="single"/>
            <w:lang w:val="en-US"/>
          </w:rPr>
          <w:t>https://doi.org/10.1016/j.healthplace.2023.103026</w:t>
        </w:r>
      </w:hyperlink>
      <w:r w:rsidRPr="5DDB30B6" w:rsidR="00CD537C">
        <w:rPr>
          <w:rFonts w:ascii="Times New Roman" w:hAnsi="Times New Roman" w:eastAsia="Times New Roman" w:cs="Times New Roman"/>
          <w:sz w:val="22"/>
          <w:szCs w:val="22"/>
          <w:lang w:val="en-US"/>
        </w:rPr>
        <w:t xml:space="preserve">. </w:t>
      </w:r>
    </w:p>
    <w:p w:rsidR="00306FB4" w:rsidP="5DDB30B6" w:rsidRDefault="00CD537C" w14:paraId="00000052" w14:textId="77777777">
      <w:pPr>
        <w:spacing w:after="240" w:line="360" w:lineRule="auto"/>
        <w:rPr>
          <w:rFonts w:ascii="Times New Roman" w:hAnsi="Times New Roman" w:eastAsia="Times New Roman" w:cs="Times New Roman"/>
          <w:b w:val="1"/>
          <w:bCs w:val="1"/>
          <w:sz w:val="22"/>
          <w:szCs w:val="22"/>
          <w:lang w:val="en-US"/>
        </w:rPr>
      </w:pPr>
      <w:r w:rsidRPr="5DDB30B6" w:rsidR="00CD537C">
        <w:rPr>
          <w:rFonts w:ascii="Times New Roman" w:hAnsi="Times New Roman" w:eastAsia="Times New Roman" w:cs="Times New Roman"/>
          <w:sz w:val="22"/>
          <w:szCs w:val="22"/>
          <w:lang w:val="en-US"/>
        </w:rPr>
        <w:t>Toh, C.H. and Haynes, R. (</w:t>
      </w:r>
      <w:r w:rsidRPr="5DDB30B6" w:rsidR="00CD537C">
        <w:rPr>
          <w:rFonts w:ascii="Times New Roman" w:hAnsi="Times New Roman" w:eastAsia="Times New Roman" w:cs="Times New Roman"/>
          <w:sz w:val="22"/>
          <w:szCs w:val="22"/>
          <w:lang w:val="en-US"/>
        </w:rPr>
        <w:t>2022) ‘</w:t>
      </w:r>
      <w:r w:rsidRPr="5DDB30B6" w:rsidR="00CD537C">
        <w:rPr>
          <w:rFonts w:ascii="Times New Roman" w:hAnsi="Times New Roman" w:eastAsia="Times New Roman" w:cs="Times New Roman"/>
          <w:sz w:val="22"/>
          <w:szCs w:val="22"/>
          <w:lang w:val="en-US"/>
        </w:rPr>
        <w:t xml:space="preserve">The Health and Care Act 2022: </w:t>
      </w:r>
      <w:r w:rsidRPr="5DDB30B6" w:rsidR="00CD537C">
        <w:rPr>
          <w:rFonts w:ascii="Times New Roman" w:hAnsi="Times New Roman" w:eastAsia="Times New Roman" w:cs="Times New Roman"/>
          <w:sz w:val="22"/>
          <w:szCs w:val="22"/>
          <w:lang w:val="en-US"/>
        </w:rPr>
        <w:t>challenges</w:t>
      </w:r>
      <w:r w:rsidRPr="5DDB30B6" w:rsidR="00CD537C">
        <w:rPr>
          <w:rFonts w:ascii="Times New Roman" w:hAnsi="Times New Roman" w:eastAsia="Times New Roman" w:cs="Times New Roman"/>
          <w:sz w:val="22"/>
          <w:szCs w:val="22"/>
          <w:lang w:val="en-US"/>
        </w:rPr>
        <w:t xml:space="preserve"> and </w:t>
      </w:r>
      <w:r w:rsidRPr="5DDB30B6" w:rsidR="00CD537C">
        <w:rPr>
          <w:rFonts w:ascii="Times New Roman" w:hAnsi="Times New Roman" w:eastAsia="Times New Roman" w:cs="Times New Roman"/>
          <w:sz w:val="22"/>
          <w:szCs w:val="22"/>
          <w:lang w:val="en-US"/>
        </w:rPr>
        <w:t>priorities</w:t>
      </w:r>
      <w:r w:rsidRPr="5DDB30B6" w:rsidR="00CD537C">
        <w:rPr>
          <w:rFonts w:ascii="Times New Roman" w:hAnsi="Times New Roman" w:eastAsia="Times New Roman" w:cs="Times New Roman"/>
          <w:sz w:val="22"/>
          <w:szCs w:val="22"/>
          <w:lang w:val="en-US"/>
        </w:rPr>
        <w:t xml:space="preserve"> for embedding research in the NHS’, </w:t>
      </w:r>
      <w:r w:rsidRPr="5DDB30B6" w:rsidR="00CD537C">
        <w:rPr>
          <w:rFonts w:ascii="Times New Roman" w:hAnsi="Times New Roman" w:eastAsia="Times New Roman" w:cs="Times New Roman"/>
          <w:i w:val="1"/>
          <w:iCs w:val="1"/>
          <w:sz w:val="22"/>
          <w:szCs w:val="22"/>
          <w:lang w:val="en-US"/>
        </w:rPr>
        <w:t>The Lancet</w:t>
      </w:r>
      <w:r w:rsidRPr="5DDB30B6" w:rsidR="00CD537C">
        <w:rPr>
          <w:rFonts w:ascii="Times New Roman" w:hAnsi="Times New Roman" w:eastAsia="Times New Roman" w:cs="Times New Roman"/>
          <w:sz w:val="22"/>
          <w:szCs w:val="22"/>
          <w:lang w:val="en-US"/>
        </w:rPr>
        <w:t xml:space="preserve">, 0(0). Available at: </w:t>
      </w:r>
      <w:hyperlink r:id="R2438f226e5d446c1">
        <w:r w:rsidRPr="5DDB30B6" w:rsidR="00306FB4">
          <w:rPr>
            <w:rFonts w:ascii="Times New Roman" w:hAnsi="Times New Roman" w:eastAsia="Times New Roman" w:cs="Times New Roman"/>
            <w:color w:val="1155CC"/>
            <w:sz w:val="22"/>
            <w:szCs w:val="22"/>
            <w:u w:val="single"/>
            <w:lang w:val="en-US"/>
          </w:rPr>
          <w:t>https://doi.org/10.1016/S0140-6736(22)01195-3</w:t>
        </w:r>
      </w:hyperlink>
      <w:r w:rsidRPr="5DDB30B6" w:rsidR="00CD537C">
        <w:rPr>
          <w:rFonts w:ascii="Times New Roman" w:hAnsi="Times New Roman" w:eastAsia="Times New Roman" w:cs="Times New Roman"/>
          <w:sz w:val="22"/>
          <w:szCs w:val="22"/>
          <w:lang w:val="en-US"/>
        </w:rPr>
        <w:t xml:space="preserve">. </w:t>
      </w:r>
    </w:p>
    <w:p w:rsidR="00306FB4" w:rsidP="5DDB30B6" w:rsidRDefault="00306FB4" w14:paraId="00000053" w14:textId="77777777">
      <w:pPr>
        <w:rPr>
          <w:rFonts w:ascii="Times New Roman" w:hAnsi="Times New Roman" w:eastAsia="Times New Roman" w:cs="Times New Roman"/>
          <w:b w:val="1"/>
          <w:bCs w:val="1"/>
          <w:sz w:val="22"/>
          <w:szCs w:val="22"/>
        </w:rPr>
      </w:pPr>
    </w:p>
    <w:p w:rsidR="5DDB30B6" w:rsidP="5DDB30B6" w:rsidRDefault="5DDB30B6" w14:paraId="50DC95E8" w14:textId="777437B6">
      <w:pPr>
        <w:rPr>
          <w:rFonts w:ascii="Times New Roman" w:hAnsi="Times New Roman" w:eastAsia="Times New Roman" w:cs="Times New Roman"/>
          <w:b w:val="1"/>
          <w:bCs w:val="1"/>
          <w:sz w:val="22"/>
          <w:szCs w:val="22"/>
        </w:rPr>
      </w:pPr>
    </w:p>
    <w:p w:rsidR="5DDB30B6" w:rsidP="5DDB30B6" w:rsidRDefault="5DDB30B6" w14:paraId="121D9C6E" w14:textId="3FD802C9">
      <w:pPr>
        <w:rPr>
          <w:rFonts w:ascii="Times New Roman" w:hAnsi="Times New Roman" w:eastAsia="Times New Roman" w:cs="Times New Roman"/>
          <w:b w:val="1"/>
          <w:bCs w:val="1"/>
          <w:sz w:val="22"/>
          <w:szCs w:val="22"/>
        </w:rPr>
      </w:pPr>
    </w:p>
    <w:p w:rsidR="5DDB30B6" w:rsidP="5DDB30B6" w:rsidRDefault="5DDB30B6" w14:paraId="7731D801" w14:textId="45E6DA19">
      <w:pPr>
        <w:pStyle w:val="Normal"/>
        <w:rPr>
          <w:rFonts w:ascii="Times New Roman" w:hAnsi="Times New Roman" w:eastAsia="Times New Roman" w:cs="Times New Roman"/>
          <w:b w:val="1"/>
          <w:bCs w:val="1"/>
          <w:sz w:val="22"/>
          <w:szCs w:val="22"/>
        </w:rPr>
      </w:pPr>
    </w:p>
    <w:p w:rsidR="5DDB30B6" w:rsidP="5DDB30B6" w:rsidRDefault="5DDB30B6" w14:paraId="5A1A5BC2" w14:textId="0769DF69">
      <w:pPr>
        <w:pStyle w:val="Normal"/>
        <w:rPr>
          <w:rFonts w:ascii="Times New Roman" w:hAnsi="Times New Roman" w:eastAsia="Times New Roman" w:cs="Times New Roman"/>
          <w:b w:val="1"/>
          <w:bCs w:val="1"/>
          <w:sz w:val="22"/>
          <w:szCs w:val="22"/>
        </w:rPr>
      </w:pPr>
    </w:p>
    <w:sectPr w:rsidR="00306FB4">
      <w:headerReference w:type="default" r:id="rId22"/>
      <w:footerReference w:type="default" r:id="rId23"/>
      <w:headerReference w:type="first" r:id="rId24"/>
      <w:footerReference w:type="first" r:id="rId25"/>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537C" w:rsidRDefault="00CD537C" w14:paraId="2CB62B47" w14:textId="77777777">
      <w:pPr>
        <w:spacing w:line="240" w:lineRule="auto"/>
      </w:pPr>
      <w:r>
        <w:separator/>
      </w:r>
    </w:p>
  </w:endnote>
  <w:endnote w:type="continuationSeparator" w:id="0">
    <w:p w:rsidR="00CD537C" w:rsidRDefault="00CD537C" w14:paraId="17F79E9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36071CA6-B51A-4A65-AF50-209CF34EE711}"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6A09A50E-0816-49CC-ABA1-E4B3F1A9DD93}"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CD537C" w14:paraId="00000057" w14:textId="282B4493">
    <w:pPr>
      <w:jc w:val="right"/>
    </w:pPr>
    <w:r>
      <w:fldChar w:fldCharType="begin"/>
    </w:r>
    <w:r>
      <w:instrText>PAGE</w:instrText>
    </w:r>
    <w:r>
      <w:fldChar w:fldCharType="separate"/>
    </w:r>
    <w:r w:rsidR="001F7B8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306FB4" w14:paraId="00000056" w14:textId="77777777">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537C" w:rsidRDefault="00CD537C" w14:paraId="77926587" w14:textId="77777777">
      <w:pPr>
        <w:spacing w:line="240" w:lineRule="auto"/>
      </w:pPr>
      <w:r>
        <w:separator/>
      </w:r>
    </w:p>
  </w:footnote>
  <w:footnote w:type="continuationSeparator" w:id="0">
    <w:p w:rsidR="00CD537C" w:rsidRDefault="00CD537C" w14:paraId="33CC5CE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CD537C" w14:paraId="00000054" w14:textId="77777777">
    <w:pPr>
      <w:jc w:val="right"/>
    </w:pPr>
    <w:r>
      <w:t>WRITTEN ASSIGNMENT-REPORT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6FB4" w:rsidRDefault="00306FB4" w14:paraId="00000055" w14:textId="77777777"/>
</w:hdr>
</file>

<file path=word/intelligence2.xml><?xml version="1.0" encoding="utf-8"?>
<int2:intelligence xmlns:int2="http://schemas.microsoft.com/office/intelligence/2020/intelligence">
  <int2:observations>
    <int2:bookmark int2:bookmarkName="_Int_XAVJmUV8" int2:invalidationBookmarkName="" int2:hashCode="VRd/LyDcPFdCnc" int2:id="HvB3TH5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FB4"/>
    <w:rsid w:val="000A1F5A"/>
    <w:rsid w:val="001F7B86"/>
    <w:rsid w:val="0024650B"/>
    <w:rsid w:val="00306FB4"/>
    <w:rsid w:val="003E1666"/>
    <w:rsid w:val="005F0BDA"/>
    <w:rsid w:val="0066511D"/>
    <w:rsid w:val="00696760"/>
    <w:rsid w:val="00700A08"/>
    <w:rsid w:val="007746AD"/>
    <w:rsid w:val="007E1232"/>
    <w:rsid w:val="007E5B76"/>
    <w:rsid w:val="00844153"/>
    <w:rsid w:val="00A95601"/>
    <w:rsid w:val="00CD537C"/>
    <w:rsid w:val="00D43FBC"/>
    <w:rsid w:val="00E37A5F"/>
    <w:rsid w:val="00E95B6A"/>
    <w:rsid w:val="00F61471"/>
    <w:rsid w:val="06EB013A"/>
    <w:rsid w:val="0718B41D"/>
    <w:rsid w:val="08047036"/>
    <w:rsid w:val="094824C1"/>
    <w:rsid w:val="09E7174D"/>
    <w:rsid w:val="0A74B0CF"/>
    <w:rsid w:val="0B145C5C"/>
    <w:rsid w:val="0B25C7CF"/>
    <w:rsid w:val="0BE35DE9"/>
    <w:rsid w:val="0C26B25B"/>
    <w:rsid w:val="0C824615"/>
    <w:rsid w:val="0C941379"/>
    <w:rsid w:val="0DEF9152"/>
    <w:rsid w:val="0E17E8AC"/>
    <w:rsid w:val="0E1A8DF5"/>
    <w:rsid w:val="0E35B764"/>
    <w:rsid w:val="0E639D5E"/>
    <w:rsid w:val="0F42EF13"/>
    <w:rsid w:val="0F7E54DB"/>
    <w:rsid w:val="0FCA05EB"/>
    <w:rsid w:val="109500C3"/>
    <w:rsid w:val="109824C8"/>
    <w:rsid w:val="10BF2A98"/>
    <w:rsid w:val="10DA2D2F"/>
    <w:rsid w:val="1235A79D"/>
    <w:rsid w:val="13C4FD55"/>
    <w:rsid w:val="140A8650"/>
    <w:rsid w:val="14AC59A7"/>
    <w:rsid w:val="14E5C988"/>
    <w:rsid w:val="159CD547"/>
    <w:rsid w:val="15D617CF"/>
    <w:rsid w:val="16FF1781"/>
    <w:rsid w:val="1732306F"/>
    <w:rsid w:val="1825DC76"/>
    <w:rsid w:val="185C6C8F"/>
    <w:rsid w:val="185FD5B8"/>
    <w:rsid w:val="18D940C9"/>
    <w:rsid w:val="19050CC4"/>
    <w:rsid w:val="19265958"/>
    <w:rsid w:val="1935EB05"/>
    <w:rsid w:val="1A33C30A"/>
    <w:rsid w:val="1A35C924"/>
    <w:rsid w:val="1AC232FA"/>
    <w:rsid w:val="1B5BA1A0"/>
    <w:rsid w:val="1E0C93F0"/>
    <w:rsid w:val="1E14BBCF"/>
    <w:rsid w:val="1E223D79"/>
    <w:rsid w:val="1E442BA4"/>
    <w:rsid w:val="1E62F5BD"/>
    <w:rsid w:val="1E9C1B3E"/>
    <w:rsid w:val="1EFD0C7F"/>
    <w:rsid w:val="1FB842D4"/>
    <w:rsid w:val="20D61BF3"/>
    <w:rsid w:val="20EF2956"/>
    <w:rsid w:val="217658D3"/>
    <w:rsid w:val="21C8A17F"/>
    <w:rsid w:val="22A0D7E0"/>
    <w:rsid w:val="22CCB67D"/>
    <w:rsid w:val="233E89D9"/>
    <w:rsid w:val="23BE03E7"/>
    <w:rsid w:val="247C0232"/>
    <w:rsid w:val="26A691D2"/>
    <w:rsid w:val="27837E47"/>
    <w:rsid w:val="2794991F"/>
    <w:rsid w:val="28B88C0B"/>
    <w:rsid w:val="28FD9EC0"/>
    <w:rsid w:val="292A9FBB"/>
    <w:rsid w:val="2A0D7090"/>
    <w:rsid w:val="2A2B65AF"/>
    <w:rsid w:val="2A411541"/>
    <w:rsid w:val="2A62DFF8"/>
    <w:rsid w:val="2AB69C32"/>
    <w:rsid w:val="2B8D64E1"/>
    <w:rsid w:val="2BBFD965"/>
    <w:rsid w:val="2C3ED49D"/>
    <w:rsid w:val="2CD78587"/>
    <w:rsid w:val="2D4D03DA"/>
    <w:rsid w:val="2E9D6AE6"/>
    <w:rsid w:val="2FE6C381"/>
    <w:rsid w:val="31B6A83F"/>
    <w:rsid w:val="323611D2"/>
    <w:rsid w:val="345C9D57"/>
    <w:rsid w:val="3483B9C4"/>
    <w:rsid w:val="34C3C8E8"/>
    <w:rsid w:val="357925CA"/>
    <w:rsid w:val="35B6034E"/>
    <w:rsid w:val="35B96542"/>
    <w:rsid w:val="367A6D9C"/>
    <w:rsid w:val="36F436E4"/>
    <w:rsid w:val="37F1FA2C"/>
    <w:rsid w:val="382CEEA8"/>
    <w:rsid w:val="391E9834"/>
    <w:rsid w:val="3922678E"/>
    <w:rsid w:val="39F3070E"/>
    <w:rsid w:val="39FEF5C9"/>
    <w:rsid w:val="3A251AE7"/>
    <w:rsid w:val="3BB57155"/>
    <w:rsid w:val="3BB9D7F3"/>
    <w:rsid w:val="3D0DA40D"/>
    <w:rsid w:val="3E6AF5DA"/>
    <w:rsid w:val="3F736BE1"/>
    <w:rsid w:val="3FFDE2E8"/>
    <w:rsid w:val="4195C8C3"/>
    <w:rsid w:val="43573781"/>
    <w:rsid w:val="4377CDE1"/>
    <w:rsid w:val="43DA5F43"/>
    <w:rsid w:val="4544D330"/>
    <w:rsid w:val="4631FD78"/>
    <w:rsid w:val="46B44B59"/>
    <w:rsid w:val="46B9B419"/>
    <w:rsid w:val="46E9FFAA"/>
    <w:rsid w:val="492E8247"/>
    <w:rsid w:val="49939251"/>
    <w:rsid w:val="4B508299"/>
    <w:rsid w:val="4B6B50C9"/>
    <w:rsid w:val="4C2A3E6D"/>
    <w:rsid w:val="4C2BAC03"/>
    <w:rsid w:val="4C3FF926"/>
    <w:rsid w:val="4C45378E"/>
    <w:rsid w:val="4CE318A3"/>
    <w:rsid w:val="4D135CC3"/>
    <w:rsid w:val="4D9DAEA9"/>
    <w:rsid w:val="4DB26879"/>
    <w:rsid w:val="4ED49ADC"/>
    <w:rsid w:val="4ED87DEA"/>
    <w:rsid w:val="50C39EB8"/>
    <w:rsid w:val="51494E21"/>
    <w:rsid w:val="5153F49E"/>
    <w:rsid w:val="5166818D"/>
    <w:rsid w:val="52359A97"/>
    <w:rsid w:val="5256023F"/>
    <w:rsid w:val="52BB4EF7"/>
    <w:rsid w:val="53369DD7"/>
    <w:rsid w:val="534C8CEE"/>
    <w:rsid w:val="53944064"/>
    <w:rsid w:val="54DF0B99"/>
    <w:rsid w:val="550BCA51"/>
    <w:rsid w:val="55EE8AB8"/>
    <w:rsid w:val="56A677CB"/>
    <w:rsid w:val="579D7E8A"/>
    <w:rsid w:val="58CE9AB9"/>
    <w:rsid w:val="5A8DE5F9"/>
    <w:rsid w:val="5BE3151D"/>
    <w:rsid w:val="5CD0FF05"/>
    <w:rsid w:val="5DB79F2C"/>
    <w:rsid w:val="5DDB30B6"/>
    <w:rsid w:val="5DF1C482"/>
    <w:rsid w:val="5E7D9DBD"/>
    <w:rsid w:val="5F8BCD93"/>
    <w:rsid w:val="5FAC8631"/>
    <w:rsid w:val="603FF7E1"/>
    <w:rsid w:val="60458B6D"/>
    <w:rsid w:val="60875A12"/>
    <w:rsid w:val="608C335A"/>
    <w:rsid w:val="60CB3E1A"/>
    <w:rsid w:val="61D6EE97"/>
    <w:rsid w:val="62B12B5E"/>
    <w:rsid w:val="62D677FC"/>
    <w:rsid w:val="63B2CFF5"/>
    <w:rsid w:val="653A96B5"/>
    <w:rsid w:val="654D4D0B"/>
    <w:rsid w:val="655765A8"/>
    <w:rsid w:val="65BD2E96"/>
    <w:rsid w:val="65E44627"/>
    <w:rsid w:val="6783140D"/>
    <w:rsid w:val="67993033"/>
    <w:rsid w:val="68F860BF"/>
    <w:rsid w:val="69F0389D"/>
    <w:rsid w:val="6B7856CD"/>
    <w:rsid w:val="6C3330D5"/>
    <w:rsid w:val="6CA53F00"/>
    <w:rsid w:val="6D2351C0"/>
    <w:rsid w:val="6DC8EC6C"/>
    <w:rsid w:val="6F3E150A"/>
    <w:rsid w:val="6F74D284"/>
    <w:rsid w:val="7049DCF0"/>
    <w:rsid w:val="7081DC98"/>
    <w:rsid w:val="70E9241F"/>
    <w:rsid w:val="7239D474"/>
    <w:rsid w:val="72488139"/>
    <w:rsid w:val="72670F06"/>
    <w:rsid w:val="72B728A2"/>
    <w:rsid w:val="72CF45F5"/>
    <w:rsid w:val="7429AEBF"/>
    <w:rsid w:val="74AC4542"/>
    <w:rsid w:val="75A75CFE"/>
    <w:rsid w:val="75F791F6"/>
    <w:rsid w:val="76C2EC6F"/>
    <w:rsid w:val="76E457BF"/>
    <w:rsid w:val="77863F7B"/>
    <w:rsid w:val="785EB6FE"/>
    <w:rsid w:val="785FCBB5"/>
    <w:rsid w:val="78690B83"/>
    <w:rsid w:val="7887AED5"/>
    <w:rsid w:val="791DD858"/>
    <w:rsid w:val="79C906F1"/>
    <w:rsid w:val="79FF97FE"/>
    <w:rsid w:val="7A4F56E8"/>
    <w:rsid w:val="7A60AD6B"/>
    <w:rsid w:val="7A8ABC21"/>
    <w:rsid w:val="7AC072F2"/>
    <w:rsid w:val="7B0ED98B"/>
    <w:rsid w:val="7BA1092C"/>
    <w:rsid w:val="7BFAAA61"/>
    <w:rsid w:val="7C2392FD"/>
    <w:rsid w:val="7F1AD913"/>
    <w:rsid w:val="7F34E81E"/>
    <w:rsid w:val="7F49B53E"/>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F0EB8"/>
  <w15:docId w15:val="{52D975A5-4D76-428B-9274-536A1F8D7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1F7B86"/>
    <w:pPr>
      <w:spacing w:after="100"/>
    </w:pPr>
  </w:style>
  <w:style w:type="character" w:styleId="Hyperlink">
    <w:name w:val="Hyperlink"/>
    <w:basedOn w:val="DefaultParagraphFont"/>
    <w:uiPriority w:val="99"/>
    <w:unhideWhenUsed/>
    <w:rsid w:val="001F7B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26" /><Relationship Type="http://schemas.openxmlformats.org/officeDocument/2006/relationships/webSettings" Target="webSettings.xml" Id="rId3" /><Relationship Type="http://schemas.openxmlformats.org/officeDocument/2006/relationships/footer" Target="footer2.xml" Id="rId25"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2.xml" Id="rId24" /><Relationship Type="http://schemas.openxmlformats.org/officeDocument/2006/relationships/endnotes" Target="endnotes.xml" Id="rId5" /><Relationship Type="http://schemas.openxmlformats.org/officeDocument/2006/relationships/footer" Target="footer1.xml" Id="rId23" /><Relationship Type="http://schemas.openxmlformats.org/officeDocument/2006/relationships/footnotes" Target="footnotes.xml" Id="rId4" /><Relationship Type="http://schemas.openxmlformats.org/officeDocument/2006/relationships/header" Target="header1.xml" Id="rId22" /><Relationship Type="http://schemas.openxmlformats.org/officeDocument/2006/relationships/theme" Target="theme/theme1.xml" Id="rId27" /><Relationship Type="http://schemas.openxmlformats.org/officeDocument/2006/relationships/hyperlink" Target="https://doi.org/10.4103/jfmpc.jfmpc_2282_21" TargetMode="External" Id="R5bf2386df8f54e20" /><Relationship Type="http://schemas.openxmlformats.org/officeDocument/2006/relationships/hyperlink" Target="https://www.vitalsource.com/en-uk/products/principles-of-biomedical-ethics-9e-tom-l-beauchamp-james-f-v9780197832646" TargetMode="External" Id="Rc601f1454373477d" /><Relationship Type="http://schemas.openxmlformats.org/officeDocument/2006/relationships/hyperlink" Target="https://www.nhsconfed.org/publications/state-integrated-care-systems-202324" TargetMode="External" Id="R0b6d7eb1a71d46d5" /><Relationship Type="http://schemas.openxmlformats.org/officeDocument/2006/relationships/hyperlink" Target="https://doi.org/10.1017/s0033291723002660" TargetMode="External" Id="Rf83f10e935e9491c" /><Relationship Type="http://schemas.openxmlformats.org/officeDocument/2006/relationships/hyperlink" Target="https://doi.org/10.1016/j.gerinurse.2020.08.004" TargetMode="External" Id="R65259d8a859e415f" /><Relationship Type="http://schemas.openxmlformats.org/officeDocument/2006/relationships/hyperlink" Target="https://www.gov.uk/guidance/equality-act-2010-guidance" TargetMode="External" Id="R1ecda10827d845f6" /><Relationship Type="http://schemas.openxmlformats.org/officeDocument/2006/relationships/hyperlink" Target="https://www.gov.uk/government/publications/care-act-statutory-guidance/care-and-support-statutory-guidance" TargetMode="External" Id="R46712292ddb141a3" /><Relationship Type="http://schemas.openxmlformats.org/officeDocument/2006/relationships/hyperlink" Target="https://doi.org/10.1016/j.pec.2021.11.004" TargetMode="External" Id="R91fadc2edb46447a" /><Relationship Type="http://schemas.openxmlformats.org/officeDocument/2006/relationships/hyperlink" Target="https://doi.org/10.1111/1467-9566.70109" TargetMode="External" Id="Rc6e788834e844210" /><Relationship Type="http://schemas.openxmlformats.org/officeDocument/2006/relationships/hyperlink" Target="https://doi.org/10.1007/s44250-025-00215-9" TargetMode="External" Id="R2b93d17b28bc4a9f" /><Relationship Type="http://schemas.openxmlformats.org/officeDocument/2006/relationships/hyperlink" Target="https://doi.org/10.1176/appi.focus.20210011" TargetMode="External" Id="R6804f3dabb0b411b" /><Relationship Type="http://schemas.openxmlformats.org/officeDocument/2006/relationships/hyperlink" Target="https://doi.org/10.1177/17449871241281428" TargetMode="External" Id="R34422c2ad740493c" /><Relationship Type="http://schemas.openxmlformats.org/officeDocument/2006/relationships/hyperlink" Target="https://assets.kingsfund.org.uk/f/256914/x/6709372a21/realising_potential_ics_report_2024.pdf" TargetMode="External" Id="R51becc3636d347c1" /><Relationship Type="http://schemas.openxmlformats.org/officeDocument/2006/relationships/hyperlink" Target="https://doi.org/10.4103/aip.aip_47_20" TargetMode="External" Id="Rbe20c6a98f6044a3" /><Relationship Type="http://schemas.openxmlformats.org/officeDocument/2006/relationships/hyperlink" Target="https://doi.org/10.1016/j.healthplace.2023.103026" TargetMode="External" Id="R48cd6b0bef964a7e" /><Relationship Type="http://schemas.openxmlformats.org/officeDocument/2006/relationships/hyperlink" Target="https://doi.org/10.1016/S0140-6736(22)01195-3" TargetMode="External" Id="R2438f226e5d446c1" /><Relationship Type="http://schemas.microsoft.com/office/2020/10/relationships/intelligence" Target="intelligence2.xml" Id="R1b78a20b332e4ade"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Svetlana Spinu (2419396)</lastModifiedBy>
  <revision>6</revision>
  <dcterms:created xsi:type="dcterms:W3CDTF">2026-03-20T21:36:00.0000000Z</dcterms:created>
  <dcterms:modified xsi:type="dcterms:W3CDTF">2026-03-28T19:43:30.6792656Z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361a97bb-8916-49bc-ac95-c64d00a39817</vt:lpwstr>
  </property>
</Properties>
</file>