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3370181"/>
        <w:docPartObj>
          <w:docPartGallery w:val="Cover Pages"/>
          <w:docPartUnique/>
        </w:docPartObj>
      </w:sdtPr>
      <w:sdtEndPr>
        <w:rPr>
          <w:color w:val="000000" w:themeColor="text1"/>
        </w:rPr>
      </w:sdtEndPr>
      <w:sdtContent>
        <w:p w14:paraId="2D08E82A" w14:textId="2CA11ACA" w:rsidR="00610CC9" w:rsidRDefault="005B235F">
          <w:r>
            <w:rPr>
              <w:noProof/>
            </w:rPr>
            <mc:AlternateContent>
              <mc:Choice Requires="wpg">
                <w:drawing>
                  <wp:anchor distT="0" distB="0" distL="114300" distR="114300" simplePos="0" relativeHeight="251660288" behindDoc="0" locked="0" layoutInCell="1" allowOverlap="1" wp14:anchorId="79C30555" wp14:editId="748E246E">
                    <wp:simplePos x="0" y="0"/>
                    <wp:positionH relativeFrom="page">
                      <wp:posOffset>263787</wp:posOffset>
                    </wp:positionH>
                    <wp:positionV relativeFrom="page">
                      <wp:posOffset>241300</wp:posOffset>
                    </wp:positionV>
                    <wp:extent cx="6395211" cy="3401060"/>
                    <wp:effectExtent l="0" t="0" r="5715" b="254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95211" cy="3401060"/>
                              <a:chOff x="0" y="0"/>
                              <a:chExt cx="6394448"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84223" y="780415"/>
                                <a:ext cx="5610225" cy="2591435"/>
                              </a:xfrm>
                              <a:prstGeom prst="rect">
                                <a:avLst/>
                              </a:prstGeom>
                              <a:noFill/>
                              <a:ln w="6350">
                                <a:noFill/>
                              </a:ln>
                            </wps:spPr>
                            <wps:txbx>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E083052" w14:textId="602834FD" w:rsidR="00610CC9" w:rsidRDefault="00DD6207">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r w:rsidR="00223DFE">
                                        <w:rPr>
                                          <w:rFonts w:asciiTheme="majorHAnsi" w:hAnsiTheme="majorHAnsi"/>
                                          <w:color w:val="0E2841" w:themeColor="text2"/>
                                          <w:spacing w:val="10"/>
                                          <w:sz w:val="36"/>
                                          <w:szCs w:val="36"/>
                                        </w:rPr>
                                        <w:t>sustainability</w:t>
                                      </w:r>
                                    </w:p>
                                  </w:sdtContent>
                                </w:sdt>
                                <w:bookmarkStart w:id="0" w:name="_GoBack" w:displacedByCustomXml="next"/>
                                <w:sdt>
                                  <w:sdtPr>
                                    <w:rPr>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B328AF1" w14:textId="26D6FB5F" w:rsidR="00610CC9" w:rsidRPr="00DD6525" w:rsidRDefault="005B235F">
                                      <w:pPr>
                                        <w:pStyle w:val="NoSpacing"/>
                                        <w:spacing w:line="216" w:lineRule="auto"/>
                                        <w:rPr>
                                          <w:rFonts w:asciiTheme="majorHAnsi" w:hAnsiTheme="majorHAnsi"/>
                                          <w:caps/>
                                          <w:color w:val="0E2841" w:themeColor="text2"/>
                                          <w:sz w:val="36"/>
                                          <w:szCs w:val="36"/>
                                        </w:rPr>
                                      </w:pPr>
                                      <w:r w:rsidRPr="00DD6525">
                                        <w:rPr>
                                          <w:sz w:val="36"/>
                                          <w:szCs w:val="36"/>
                                        </w:rPr>
                                        <w:t>Balancing Growth and Sustainability: Environmental, Cultural, and CSR Dimensions of Tourism in Asia</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C30555" id="Group 39" o:spid="_x0000_s1026" alt="Title: Title and subtitle with crop mark graphic" style="position:absolute;margin-left:20.75pt;margin-top:19pt;width:503.55pt;height:267.8pt;z-index:251660288;mso-position-horizontal-relative:page;mso-position-vertical-relative:page;mso-width-relative:margin;mso-height-relative:margin" coordsize="63944,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842;top:7804;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2E083052" w14:textId="602834FD" w:rsidR="00610CC9" w:rsidRDefault="00DD6207">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 xml:space="preserve"> </w:t>
                                </w:r>
                                <w:r w:rsidR="00223DFE">
                                  <w:rPr>
                                    <w:rFonts w:asciiTheme="majorHAnsi" w:hAnsiTheme="majorHAnsi"/>
                                    <w:color w:val="0E2841" w:themeColor="text2"/>
                                    <w:spacing w:val="10"/>
                                    <w:sz w:val="36"/>
                                    <w:szCs w:val="36"/>
                                  </w:rPr>
                                  <w:t>sustainability</w:t>
                                </w:r>
                              </w:p>
                            </w:sdtContent>
                          </w:sdt>
                          <w:bookmarkStart w:id="1" w:name="_GoBack" w:displacedByCustomXml="next"/>
                          <w:sdt>
                            <w:sdtPr>
                              <w:rPr>
                                <w:sz w:val="36"/>
                                <w:szCs w:val="3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B328AF1" w14:textId="26D6FB5F" w:rsidR="00610CC9" w:rsidRPr="00DD6525" w:rsidRDefault="005B235F">
                                <w:pPr>
                                  <w:pStyle w:val="NoSpacing"/>
                                  <w:spacing w:line="216" w:lineRule="auto"/>
                                  <w:rPr>
                                    <w:rFonts w:asciiTheme="majorHAnsi" w:hAnsiTheme="majorHAnsi"/>
                                    <w:caps/>
                                    <w:color w:val="0E2841" w:themeColor="text2"/>
                                    <w:sz w:val="36"/>
                                    <w:szCs w:val="36"/>
                                  </w:rPr>
                                </w:pPr>
                                <w:r w:rsidRPr="00DD6525">
                                  <w:rPr>
                                    <w:sz w:val="36"/>
                                    <w:szCs w:val="36"/>
                                  </w:rPr>
                                  <w:t>Balancing Growth and Sustainability: Environmental, Cultural, and CSR Dimensions of Tourism in Asia</w:t>
                                </w:r>
                              </w:p>
                            </w:sdtContent>
                          </w:sdt>
                          <w:bookmarkEnd w:id="1" w:displacedByCustomXml="prev"/>
                        </w:txbxContent>
                      </v:textbox>
                    </v:shape>
                    <w10:wrap anchorx="page" anchory="page"/>
                  </v:group>
                </w:pict>
              </mc:Fallback>
            </mc:AlternateContent>
          </w:r>
          <w:r w:rsidR="00610CC9">
            <w:rPr>
              <w:noProof/>
            </w:rPr>
            <mc:AlternateContent>
              <mc:Choice Requires="wpg">
                <w:drawing>
                  <wp:anchor distT="0" distB="0" distL="114300" distR="114300" simplePos="0" relativeHeight="251661312" behindDoc="0" locked="0" layoutInCell="1" allowOverlap="1" wp14:anchorId="49BF57F7" wp14:editId="503E3AF0">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170586F" w14:textId="05F5C150" w:rsidR="00610CC9" w:rsidRDefault="00DD6525">
                                      <w:pPr>
                                        <w:pStyle w:val="NoSpacing"/>
                                        <w:spacing w:after="240"/>
                                        <w:jc w:val="right"/>
                                        <w:rPr>
                                          <w:color w:val="0E2841" w:themeColor="text2"/>
                                          <w:spacing w:val="10"/>
                                          <w:sz w:val="36"/>
                                          <w:szCs w:val="36"/>
                                        </w:rPr>
                                      </w:pPr>
                                      <w:r>
                                        <w:rPr>
                                          <w:color w:val="0E2841" w:themeColor="text2"/>
                                          <w:spacing w:val="10"/>
                                          <w:sz w:val="36"/>
                                          <w:szCs w:val="36"/>
                                        </w:rPr>
                                        <w:t>Judikaël</w:t>
                                      </w:r>
                                      <w:r w:rsidR="00610CC9">
                                        <w:rPr>
                                          <w:color w:val="0E2841" w:themeColor="text2"/>
                                          <w:spacing w:val="10"/>
                                          <w:sz w:val="36"/>
                                          <w:szCs w:val="36"/>
                                        </w:rPr>
                                        <w:t xml:space="preserve"> Fongang (2232549)</w:t>
                                      </w:r>
                                    </w:p>
                                  </w:sdtContent>
                                </w:sdt>
                                <w:p w14:paraId="6DFD6B3F" w14:textId="28D8BDE0" w:rsidR="00610CC9" w:rsidRDefault="00610CC9">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84F4E">
                                        <w:rPr>
                                          <w:color w:val="0E2841" w:themeColor="text2"/>
                                          <w:spacing w:val="10"/>
                                          <w:sz w:val="28"/>
                                          <w:szCs w:val="28"/>
                                        </w:rPr>
                                        <w:t>L</w:t>
                                      </w:r>
                                      <w:r w:rsidR="00D00E20">
                                        <w:rPr>
                                          <w:color w:val="0E2841" w:themeColor="text2"/>
                                          <w:spacing w:val="10"/>
                                          <w:sz w:val="28"/>
                                          <w:szCs w:val="28"/>
                                        </w:rPr>
                                        <w:t>ecture</w:t>
                                      </w:r>
                                      <w:r w:rsidR="00284F4E">
                                        <w:rPr>
                                          <w:color w:val="0E2841" w:themeColor="text2"/>
                                          <w:spacing w:val="10"/>
                                          <w:sz w:val="28"/>
                                          <w:szCs w:val="28"/>
                                        </w:rPr>
                                        <w:t>r: Debbie Jenkins</w:t>
                                      </w:r>
                                    </w:sdtContent>
                                  </w:sdt>
                                </w:p>
                                <w:p w14:paraId="72ACABA6" w14:textId="6B652DDD" w:rsidR="00284F4E" w:rsidRDefault="00BC5495">
                                  <w:pPr>
                                    <w:pStyle w:val="NoSpacing"/>
                                    <w:jc w:val="right"/>
                                    <w:rPr>
                                      <w:color w:val="0E2841" w:themeColor="text2"/>
                                      <w:spacing w:val="10"/>
                                      <w:sz w:val="28"/>
                                      <w:szCs w:val="28"/>
                                    </w:rPr>
                                  </w:pPr>
                                  <w:r>
                                    <w:rPr>
                                      <w:color w:val="0E2841" w:themeColor="text2"/>
                                      <w:spacing w:val="10"/>
                                      <w:sz w:val="28"/>
                                      <w:szCs w:val="28"/>
                                    </w:rPr>
                                    <w:t xml:space="preserve">Word count: </w:t>
                                  </w:r>
                                  <w:r w:rsidR="00F618DA">
                                    <w:rPr>
                                      <w:color w:val="0E2841" w:themeColor="text2"/>
                                      <w:spacing w:val="10"/>
                                      <w:sz w:val="28"/>
                                      <w:szCs w:val="28"/>
                                    </w:rPr>
                                    <w:t>1864</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9BF57F7"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170586F" w14:textId="05F5C150" w:rsidR="00610CC9" w:rsidRDefault="00DD6525">
                                <w:pPr>
                                  <w:pStyle w:val="NoSpacing"/>
                                  <w:spacing w:after="240"/>
                                  <w:jc w:val="right"/>
                                  <w:rPr>
                                    <w:color w:val="0E2841" w:themeColor="text2"/>
                                    <w:spacing w:val="10"/>
                                    <w:sz w:val="36"/>
                                    <w:szCs w:val="36"/>
                                  </w:rPr>
                                </w:pPr>
                                <w:r>
                                  <w:rPr>
                                    <w:color w:val="0E2841" w:themeColor="text2"/>
                                    <w:spacing w:val="10"/>
                                    <w:sz w:val="36"/>
                                    <w:szCs w:val="36"/>
                                  </w:rPr>
                                  <w:t>Judikaël</w:t>
                                </w:r>
                                <w:r w:rsidR="00610CC9">
                                  <w:rPr>
                                    <w:color w:val="0E2841" w:themeColor="text2"/>
                                    <w:spacing w:val="10"/>
                                    <w:sz w:val="36"/>
                                    <w:szCs w:val="36"/>
                                  </w:rPr>
                                  <w:t xml:space="preserve"> Fongang (2232549)</w:t>
                                </w:r>
                              </w:p>
                            </w:sdtContent>
                          </w:sdt>
                          <w:p w14:paraId="6DFD6B3F" w14:textId="28D8BDE0" w:rsidR="00610CC9" w:rsidRDefault="00610CC9">
                            <w:pPr>
                              <w:pStyle w:val="NoSpacing"/>
                              <w:jc w:val="right"/>
                              <w:rPr>
                                <w:color w:val="0E2841" w:themeColor="text2"/>
                                <w:spacing w:val="10"/>
                                <w:sz w:val="28"/>
                                <w:szCs w:val="28"/>
                              </w:rPr>
                            </w:pPr>
                            <w:sdt>
                              <w:sdtPr>
                                <w:rPr>
                                  <w:color w:val="0E284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284F4E">
                                  <w:rPr>
                                    <w:color w:val="0E2841" w:themeColor="text2"/>
                                    <w:spacing w:val="10"/>
                                    <w:sz w:val="28"/>
                                    <w:szCs w:val="28"/>
                                  </w:rPr>
                                  <w:t>L</w:t>
                                </w:r>
                                <w:r w:rsidR="00D00E20">
                                  <w:rPr>
                                    <w:color w:val="0E2841" w:themeColor="text2"/>
                                    <w:spacing w:val="10"/>
                                    <w:sz w:val="28"/>
                                    <w:szCs w:val="28"/>
                                  </w:rPr>
                                  <w:t>ecture</w:t>
                                </w:r>
                                <w:r w:rsidR="00284F4E">
                                  <w:rPr>
                                    <w:color w:val="0E2841" w:themeColor="text2"/>
                                    <w:spacing w:val="10"/>
                                    <w:sz w:val="28"/>
                                    <w:szCs w:val="28"/>
                                  </w:rPr>
                                  <w:t>r: Debbie Jenkins</w:t>
                                </w:r>
                              </w:sdtContent>
                            </w:sdt>
                          </w:p>
                          <w:p w14:paraId="72ACABA6" w14:textId="6B652DDD" w:rsidR="00284F4E" w:rsidRDefault="00BC5495">
                            <w:pPr>
                              <w:pStyle w:val="NoSpacing"/>
                              <w:jc w:val="right"/>
                              <w:rPr>
                                <w:color w:val="0E2841" w:themeColor="text2"/>
                                <w:spacing w:val="10"/>
                                <w:sz w:val="28"/>
                                <w:szCs w:val="28"/>
                              </w:rPr>
                            </w:pPr>
                            <w:r>
                              <w:rPr>
                                <w:color w:val="0E2841" w:themeColor="text2"/>
                                <w:spacing w:val="10"/>
                                <w:sz w:val="28"/>
                                <w:szCs w:val="28"/>
                              </w:rPr>
                              <w:t xml:space="preserve">Word count: </w:t>
                            </w:r>
                            <w:r w:rsidR="00F618DA">
                              <w:rPr>
                                <w:color w:val="0E2841" w:themeColor="text2"/>
                                <w:spacing w:val="10"/>
                                <w:sz w:val="28"/>
                                <w:szCs w:val="28"/>
                              </w:rPr>
                              <w:t>1864</w:t>
                            </w:r>
                          </w:p>
                        </w:txbxContent>
                      </v:textbox>
                    </v:shape>
                    <w10:wrap anchorx="page" anchory="page"/>
                  </v:group>
                </w:pict>
              </mc:Fallback>
            </mc:AlternateContent>
          </w:r>
          <w:r w:rsidR="00610CC9">
            <w:rPr>
              <w:noProof/>
            </w:rPr>
            <mc:AlternateContent>
              <mc:Choice Requires="wps">
                <w:drawing>
                  <wp:anchor distT="0" distB="0" distL="114300" distR="114300" simplePos="0" relativeHeight="251659264" behindDoc="1" locked="0" layoutInCell="1" allowOverlap="1" wp14:anchorId="14F4310E" wp14:editId="770A9D88">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389797C3"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8e8e8 [3214]" stroked="f">
                    <w10:wrap anchorx="page" anchory="page"/>
                  </v:rect>
                </w:pict>
              </mc:Fallback>
            </mc:AlternateContent>
          </w:r>
        </w:p>
        <w:p w14:paraId="0FDB6016" w14:textId="1AA9D963" w:rsidR="00430C08" w:rsidRPr="003422CE" w:rsidRDefault="00610CC9" w:rsidP="00BB38C0">
          <w:pPr>
            <w:rPr>
              <w:color w:val="000000" w:themeColor="text1"/>
            </w:rPr>
          </w:pPr>
          <w:r w:rsidRPr="003422CE">
            <w:rPr>
              <w:color w:val="000000" w:themeColor="text1"/>
            </w:rPr>
            <w:br w:type="page"/>
          </w:r>
        </w:p>
      </w:sdtContent>
    </w:sdt>
    <w:p w14:paraId="5FE7496D" w14:textId="77777777" w:rsidR="0039027E" w:rsidRPr="007611C0" w:rsidRDefault="0039027E" w:rsidP="00F30286">
      <w:pPr>
        <w:spacing w:before="240" w:after="240"/>
        <w:rPr>
          <w:sz w:val="28"/>
          <w:szCs w:val="28"/>
        </w:rPr>
      </w:pPr>
    </w:p>
    <w:p w14:paraId="2DC3E648" w14:textId="41E1CC93" w:rsidR="00814DE1" w:rsidRPr="00062EC1" w:rsidRDefault="00814DE1" w:rsidP="00814DE1">
      <w:pPr>
        <w:pStyle w:val="NormalWeb"/>
        <w:rPr>
          <w:rFonts w:asciiTheme="minorHAnsi" w:hAnsiTheme="minorHAnsi"/>
          <w:sz w:val="36"/>
          <w:szCs w:val="36"/>
        </w:rPr>
      </w:pPr>
      <w:r w:rsidRPr="00062EC1">
        <w:rPr>
          <w:rFonts w:asciiTheme="minorHAnsi" w:hAnsiTheme="minorHAnsi"/>
          <w:sz w:val="36"/>
          <w:szCs w:val="36"/>
        </w:rPr>
        <w:t>Sustainable tourism refers to forms of tourism that meet the economic, socio-cultural, and environmental needs of present generations without compromising the ability of future generations to meet their own needs (UNWTO, 2015). Achieving sustainability requires the balanced integration of the three core pillars of sustainability</w:t>
      </w:r>
      <w:r w:rsidR="00062EC1">
        <w:rPr>
          <w:rFonts w:asciiTheme="minorHAnsi" w:hAnsiTheme="minorHAnsi"/>
          <w:sz w:val="36"/>
          <w:szCs w:val="36"/>
        </w:rPr>
        <w:t xml:space="preserve"> </w:t>
      </w:r>
      <w:r w:rsidRPr="00062EC1">
        <w:rPr>
          <w:rFonts w:asciiTheme="minorHAnsi" w:hAnsiTheme="minorHAnsi"/>
          <w:sz w:val="36"/>
          <w:szCs w:val="36"/>
        </w:rPr>
        <w:t xml:space="preserve">environmental protection, socio-cultural integrity, and economic viability (Hall &amp; Page, 2016). Asia represents one of the world’s most diverse and rapidly expanding tourism regions, encompassing mass-tourism destinations such as Bali and Phuket, densely populated heritage cities such as Kyoto, and remote rural and island communities. This rapid expansion has generated substantial economic benefits but has also intensified sustainability challenges, including environmental degradation, </w:t>
      </w:r>
      <w:r w:rsidR="00E93A56" w:rsidRPr="00062EC1">
        <w:rPr>
          <w:rFonts w:asciiTheme="minorHAnsi" w:hAnsiTheme="minorHAnsi"/>
          <w:sz w:val="36"/>
          <w:szCs w:val="36"/>
        </w:rPr>
        <w:t>over tourism</w:t>
      </w:r>
      <w:r w:rsidRPr="00062EC1">
        <w:rPr>
          <w:rFonts w:asciiTheme="minorHAnsi" w:hAnsiTheme="minorHAnsi"/>
          <w:sz w:val="36"/>
          <w:szCs w:val="36"/>
        </w:rPr>
        <w:t>, cultural commodification, and governance weaknesses (Cole, 2012; Hampton, 2018). Within this complex context, Corporate Social Responsibility (CSR) has emerged as a prominent approach through which private-sector actors claim to mitigate tourism-related impacts. However, the effectiveness of CSR remains uneven and heavily dependent on context, motivation, and governance quality (Carroll, 1991; Font &amp; Lynes, 2018).</w:t>
      </w:r>
    </w:p>
    <w:p w14:paraId="4F661380" w14:textId="476396F2" w:rsidR="00814DE1" w:rsidRDefault="00814DE1" w:rsidP="00814DE1">
      <w:pPr>
        <w:pStyle w:val="NormalWeb"/>
        <w:rPr>
          <w:rFonts w:asciiTheme="minorHAnsi" w:hAnsiTheme="minorHAnsi"/>
          <w:sz w:val="36"/>
          <w:szCs w:val="36"/>
        </w:rPr>
      </w:pPr>
      <w:r w:rsidRPr="00062EC1">
        <w:rPr>
          <w:rFonts w:asciiTheme="minorHAnsi" w:hAnsiTheme="minorHAnsi"/>
          <w:sz w:val="36"/>
          <w:szCs w:val="36"/>
        </w:rPr>
        <w:t xml:space="preserve">This study critically evaluates sustainable tourism practices, policies, and CSR in Asia, drawing comparative insights from other island contexts to highlight variations in vulnerability, governance capacity, and policy adaptability. The discussion clarifies key concepts, </w:t>
      </w:r>
      <w:r w:rsidRPr="00062EC1">
        <w:rPr>
          <w:rFonts w:asciiTheme="minorHAnsi" w:hAnsiTheme="minorHAnsi"/>
          <w:sz w:val="36"/>
          <w:szCs w:val="36"/>
        </w:rPr>
        <w:lastRenderedPageBreak/>
        <w:t>analyses environmental and socio-cultural pressures, examines policy responses, and assesses the role of CSR in shaping more equitable and resilient tourism systems. The findings emphasise the importance of context</w:t>
      </w:r>
      <w:r w:rsidR="00BB38C0">
        <w:rPr>
          <w:rFonts w:asciiTheme="minorHAnsi" w:hAnsiTheme="minorHAnsi"/>
          <w:sz w:val="36"/>
          <w:szCs w:val="36"/>
        </w:rPr>
        <w:t xml:space="preserve"> </w:t>
      </w:r>
      <w:r w:rsidRPr="00062EC1">
        <w:rPr>
          <w:rFonts w:asciiTheme="minorHAnsi" w:hAnsiTheme="minorHAnsi"/>
          <w:sz w:val="36"/>
          <w:szCs w:val="36"/>
        </w:rPr>
        <w:t>specific strategies and the need for stronger integration of international sustainability frameworks, including the UN Sustainable Development Goals (SDGs) and UNWTO sustainability principles.</w:t>
      </w:r>
    </w:p>
    <w:p w14:paraId="401AEA0B" w14:textId="7B54445D" w:rsidR="00D7232D" w:rsidRPr="005F2391" w:rsidRDefault="00D7232D" w:rsidP="00814DE1">
      <w:pPr>
        <w:pStyle w:val="NormalWeb"/>
        <w:rPr>
          <w:rFonts w:asciiTheme="minorHAnsi" w:hAnsiTheme="minorHAnsi"/>
          <w:sz w:val="36"/>
          <w:szCs w:val="36"/>
        </w:rPr>
      </w:pPr>
      <w:r w:rsidRPr="005F2391">
        <w:rPr>
          <w:rFonts w:asciiTheme="minorHAnsi" w:hAnsiTheme="minorHAnsi"/>
          <w:sz w:val="36"/>
          <w:szCs w:val="36"/>
        </w:rPr>
        <w:t>The COVID-19 pandemic also exposed structural weaknesses in Asia’s tourism governance systems. Heavy economic dependence on international arrivals left many destinations economically vulnerable during border closures, revealing the need for diversification into domestic tourism, digital services, and non-tourism sectors (UNWTO, 2022). The post-pandemic period has accelerated interest in “regenerative tourism,” a model emphasising restoration of ecosystems and community wellbeing rather than merely reducing harm. This shift presents an important opportunity for Asian governments to</w:t>
      </w:r>
      <w:r w:rsidR="005F2391">
        <w:rPr>
          <w:rFonts w:asciiTheme="minorHAnsi" w:hAnsiTheme="minorHAnsi"/>
          <w:sz w:val="36"/>
          <w:szCs w:val="36"/>
        </w:rPr>
        <w:t xml:space="preserve"> </w:t>
      </w:r>
      <w:r w:rsidR="005F2391" w:rsidRPr="005F2391">
        <w:rPr>
          <w:rFonts w:asciiTheme="minorHAnsi" w:hAnsiTheme="minorHAnsi"/>
          <w:sz w:val="36"/>
          <w:szCs w:val="36"/>
        </w:rPr>
        <w:t xml:space="preserve">embed </w:t>
      </w:r>
      <w:r w:rsidR="008C15FE" w:rsidRPr="005F2391">
        <w:rPr>
          <w:rFonts w:asciiTheme="minorHAnsi" w:hAnsiTheme="minorHAnsi"/>
          <w:sz w:val="36"/>
          <w:szCs w:val="36"/>
        </w:rPr>
        <w:t>resilience</w:t>
      </w:r>
      <w:r w:rsidR="008C15FE">
        <w:rPr>
          <w:rFonts w:asciiTheme="minorHAnsi" w:hAnsiTheme="minorHAnsi"/>
          <w:sz w:val="36"/>
          <w:szCs w:val="36"/>
        </w:rPr>
        <w:t>-oriented</w:t>
      </w:r>
      <w:r w:rsidR="005F2391" w:rsidRPr="005F2391">
        <w:rPr>
          <w:rFonts w:asciiTheme="minorHAnsi" w:hAnsiTheme="minorHAnsi"/>
          <w:sz w:val="36"/>
          <w:szCs w:val="36"/>
        </w:rPr>
        <w:t xml:space="preserve"> tourism planning into long-term policy frameworks.</w:t>
      </w:r>
    </w:p>
    <w:p w14:paraId="1A06E9F2" w14:textId="07399F13" w:rsidR="00814DE1" w:rsidRPr="00062EC1" w:rsidRDefault="00814DE1" w:rsidP="00814DE1">
      <w:pPr>
        <w:pStyle w:val="NormalWeb"/>
        <w:rPr>
          <w:rFonts w:asciiTheme="minorHAnsi" w:hAnsiTheme="minorHAnsi"/>
          <w:sz w:val="36"/>
          <w:szCs w:val="36"/>
        </w:rPr>
      </w:pPr>
      <w:r w:rsidRPr="00062EC1">
        <w:rPr>
          <w:rFonts w:asciiTheme="minorHAnsi" w:hAnsiTheme="minorHAnsi"/>
          <w:sz w:val="36"/>
          <w:szCs w:val="36"/>
        </w:rPr>
        <w:t>Asia receives a major share of global tourism arrivals; prior to COVID</w:t>
      </w:r>
      <w:r w:rsidR="008C15FE">
        <w:rPr>
          <w:rFonts w:asciiTheme="minorHAnsi" w:hAnsiTheme="minorHAnsi"/>
          <w:sz w:val="36"/>
          <w:szCs w:val="36"/>
        </w:rPr>
        <w:t xml:space="preserve"> </w:t>
      </w:r>
      <w:r w:rsidRPr="00062EC1">
        <w:rPr>
          <w:rFonts w:asciiTheme="minorHAnsi" w:hAnsiTheme="minorHAnsi"/>
          <w:sz w:val="36"/>
          <w:szCs w:val="36"/>
        </w:rPr>
        <w:t>19, Southeast Asia alone attracted hundreds of millions of annual visitors, driving rapid infrastructural and commercial development (</w:t>
      </w:r>
      <w:proofErr w:type="spellStart"/>
      <w:r w:rsidRPr="00062EC1">
        <w:rPr>
          <w:rFonts w:asciiTheme="minorHAnsi" w:hAnsiTheme="minorHAnsi"/>
          <w:sz w:val="36"/>
          <w:szCs w:val="36"/>
        </w:rPr>
        <w:t>Gössling</w:t>
      </w:r>
      <w:proofErr w:type="spellEnd"/>
      <w:r w:rsidRPr="00062EC1">
        <w:rPr>
          <w:rFonts w:asciiTheme="minorHAnsi" w:hAnsiTheme="minorHAnsi"/>
          <w:sz w:val="36"/>
          <w:szCs w:val="36"/>
        </w:rPr>
        <w:t xml:space="preserve"> et al., 2020). The region’s combination of high-density coastal resorts, fragile island ecosystems, and culturally rich communities makes it a critical arena for examining tensions between economic growth and environmental limits. Comparative evidence from island destinations </w:t>
      </w:r>
      <w:r w:rsidRPr="00062EC1">
        <w:rPr>
          <w:rFonts w:asciiTheme="minorHAnsi" w:hAnsiTheme="minorHAnsi"/>
          <w:sz w:val="36"/>
          <w:szCs w:val="36"/>
        </w:rPr>
        <w:lastRenderedPageBreak/>
        <w:t>such as the Maldives and Caribbean islands demonstrates that ecological fragility, limited land resources, and dependence on tourism revenue significantly increase exposure to climate risks and market disruptions (IPCC, 2021; UNDP, 2020). These comparisons highlight the need for adaptive, locally grounded governance in Asia’s own island and coastal destinations.</w:t>
      </w:r>
    </w:p>
    <w:p w14:paraId="1649B797" w14:textId="659D4E1F" w:rsidR="00814DE1" w:rsidRPr="00B14A0A" w:rsidRDefault="00814DE1" w:rsidP="00814DE1">
      <w:pPr>
        <w:pStyle w:val="NormalWeb"/>
      </w:pPr>
      <w:r w:rsidRPr="00062EC1">
        <w:rPr>
          <w:rFonts w:asciiTheme="minorHAnsi" w:hAnsiTheme="minorHAnsi"/>
          <w:sz w:val="36"/>
          <w:szCs w:val="36"/>
        </w:rPr>
        <w:t xml:space="preserve">Environmental pressures are profound in high-volume destinations. In Bali, rapid resort development has contributed to water scarcity, competing with agricultural </w:t>
      </w:r>
      <w:r w:rsidR="002A0598" w:rsidRPr="00062EC1">
        <w:rPr>
          <w:rFonts w:asciiTheme="minorHAnsi" w:hAnsiTheme="minorHAnsi"/>
          <w:sz w:val="36"/>
          <w:szCs w:val="36"/>
        </w:rPr>
        <w:t>demand,</w:t>
      </w:r>
      <w:r w:rsidRPr="00062EC1">
        <w:rPr>
          <w:rFonts w:asciiTheme="minorHAnsi" w:hAnsiTheme="minorHAnsi"/>
          <w:sz w:val="36"/>
          <w:szCs w:val="36"/>
        </w:rPr>
        <w:t xml:space="preserve"> and placing pressure on freshwater supplies (Cole, 2012). Similarly, coral reefs around Phuket and Maya Bay have suffered extensive degradation </w:t>
      </w:r>
      <w:r w:rsidR="00FF5C39" w:rsidRPr="00EF6329">
        <w:rPr>
          <w:rFonts w:asciiTheme="minorHAnsi" w:hAnsiTheme="minorHAnsi"/>
          <w:sz w:val="36"/>
          <w:szCs w:val="36"/>
        </w:rPr>
        <w:t>in</w:t>
      </w:r>
      <w:r w:rsidR="00F4286B" w:rsidRPr="00EF6329">
        <w:rPr>
          <w:rFonts w:asciiTheme="minorHAnsi" w:hAnsiTheme="minorHAnsi"/>
          <w:sz w:val="36"/>
          <w:szCs w:val="36"/>
        </w:rPr>
        <w:t xml:space="preserve"> addition to land- and marine-based impacts, tourism significantly contributes to </w:t>
      </w:r>
      <w:r w:rsidR="00F4286B" w:rsidRPr="00EF6329">
        <w:rPr>
          <w:rStyle w:val="Strong"/>
          <w:rFonts w:asciiTheme="minorHAnsi" w:eastAsiaTheme="majorEastAsia" w:hAnsiTheme="minorHAnsi"/>
          <w:b w:val="0"/>
          <w:bCs w:val="0"/>
          <w:sz w:val="36"/>
          <w:szCs w:val="36"/>
        </w:rPr>
        <w:t>air pollution and greenhouse gas</w:t>
      </w:r>
      <w:r w:rsidR="00F4286B" w:rsidRPr="00EF6329">
        <w:rPr>
          <w:rStyle w:val="Strong"/>
          <w:rFonts w:asciiTheme="minorHAnsi" w:eastAsiaTheme="majorEastAsia" w:hAnsiTheme="minorHAnsi"/>
          <w:sz w:val="36"/>
          <w:szCs w:val="36"/>
        </w:rPr>
        <w:t xml:space="preserve"> </w:t>
      </w:r>
      <w:r w:rsidR="00F4286B" w:rsidRPr="00EF6329">
        <w:rPr>
          <w:rStyle w:val="Strong"/>
          <w:rFonts w:asciiTheme="minorHAnsi" w:eastAsiaTheme="majorEastAsia" w:hAnsiTheme="minorHAnsi"/>
          <w:b w:val="0"/>
          <w:bCs w:val="0"/>
          <w:sz w:val="36"/>
          <w:szCs w:val="36"/>
        </w:rPr>
        <w:t>emissions</w:t>
      </w:r>
      <w:r w:rsidR="00F4286B" w:rsidRPr="00EF6329">
        <w:rPr>
          <w:rFonts w:asciiTheme="minorHAnsi" w:hAnsiTheme="minorHAnsi"/>
          <w:b/>
          <w:bCs/>
          <w:sz w:val="36"/>
          <w:szCs w:val="36"/>
        </w:rPr>
        <w:t xml:space="preserve"> </w:t>
      </w:r>
      <w:r w:rsidR="00F4286B" w:rsidRPr="00EF6329">
        <w:rPr>
          <w:rFonts w:asciiTheme="minorHAnsi" w:hAnsiTheme="minorHAnsi"/>
          <w:sz w:val="36"/>
          <w:szCs w:val="36"/>
        </w:rPr>
        <w:t>in Asia. The region’s high dependency on short-haul flights, motorbike rentals, and fossil-fuel-based transport intensifies carbon footprints in already congested cities such as Bangkok, Hanoi, and Manila. Aviation emissions alone account for a large proportion of tourism-related carbon output, posing major challenges for Asia’s net-zero commitments (</w:t>
      </w:r>
      <w:proofErr w:type="spellStart"/>
      <w:r w:rsidR="00F4286B" w:rsidRPr="00EF6329">
        <w:rPr>
          <w:rFonts w:asciiTheme="minorHAnsi" w:hAnsiTheme="minorHAnsi"/>
          <w:sz w:val="36"/>
          <w:szCs w:val="36"/>
        </w:rPr>
        <w:t>Becken</w:t>
      </w:r>
      <w:proofErr w:type="spellEnd"/>
      <w:r w:rsidR="00F4286B" w:rsidRPr="00EF6329">
        <w:rPr>
          <w:rFonts w:asciiTheme="minorHAnsi" w:hAnsiTheme="minorHAnsi"/>
          <w:sz w:val="36"/>
          <w:szCs w:val="36"/>
        </w:rPr>
        <w:t>, 2017). While some destinations have introduced electric buses, cycling infrastructure, or low-emission zones, these efforts remain small-scale and insufficient to counter rapid tourism growth</w:t>
      </w:r>
      <w:r w:rsidR="00F4286B">
        <w:t>.</w:t>
      </w:r>
      <w:r w:rsidR="00B14A0A">
        <w:t xml:space="preserve"> </w:t>
      </w:r>
      <w:r w:rsidR="00B14A0A">
        <w:rPr>
          <w:rFonts w:asciiTheme="minorHAnsi" w:hAnsiTheme="minorHAnsi"/>
          <w:sz w:val="36"/>
          <w:szCs w:val="36"/>
        </w:rPr>
        <w:t>D</w:t>
      </w:r>
      <w:r w:rsidRPr="00062EC1">
        <w:rPr>
          <w:rFonts w:asciiTheme="minorHAnsi" w:hAnsiTheme="minorHAnsi"/>
          <w:sz w:val="36"/>
          <w:szCs w:val="36"/>
        </w:rPr>
        <w:t xml:space="preserve">ue to uncontrolled visitor numbers and marine traffic; the temporary closure of Maya Bay in 2018 illustrates the severity of ecological decline and the necessity for strict regulatory intervention (Department of National Parks Thailand, 2019). Across Southeast Asia, </w:t>
      </w:r>
      <w:r w:rsidRPr="00062EC1">
        <w:rPr>
          <w:rFonts w:asciiTheme="minorHAnsi" w:hAnsiTheme="minorHAnsi"/>
          <w:sz w:val="36"/>
          <w:szCs w:val="36"/>
        </w:rPr>
        <w:lastRenderedPageBreak/>
        <w:t>coastal development has driven sand mining, landfill expansion, and beach erosion, further undermining long-term destination resilience (</w:t>
      </w:r>
      <w:proofErr w:type="spellStart"/>
      <w:r w:rsidRPr="00062EC1">
        <w:rPr>
          <w:rFonts w:asciiTheme="minorHAnsi" w:hAnsiTheme="minorHAnsi"/>
          <w:sz w:val="36"/>
          <w:szCs w:val="36"/>
        </w:rPr>
        <w:t>Gössling</w:t>
      </w:r>
      <w:proofErr w:type="spellEnd"/>
      <w:r w:rsidRPr="00062EC1">
        <w:rPr>
          <w:rFonts w:asciiTheme="minorHAnsi" w:hAnsiTheme="minorHAnsi"/>
          <w:sz w:val="36"/>
          <w:szCs w:val="36"/>
        </w:rPr>
        <w:t xml:space="preserve"> et al., 2020).</w:t>
      </w:r>
    </w:p>
    <w:p w14:paraId="2514EB0F" w14:textId="77777777" w:rsidR="00814DE1" w:rsidRPr="00062EC1" w:rsidRDefault="00814DE1" w:rsidP="00814DE1">
      <w:pPr>
        <w:pStyle w:val="NormalWeb"/>
        <w:rPr>
          <w:rFonts w:asciiTheme="minorHAnsi" w:hAnsiTheme="minorHAnsi"/>
          <w:sz w:val="36"/>
          <w:szCs w:val="36"/>
        </w:rPr>
      </w:pPr>
      <w:r w:rsidRPr="00062EC1">
        <w:rPr>
          <w:rFonts w:asciiTheme="minorHAnsi" w:hAnsiTheme="minorHAnsi"/>
          <w:sz w:val="36"/>
          <w:szCs w:val="36"/>
        </w:rPr>
        <w:t>Governments have implemented various policy responses, including visitor caps, coastal zoning regulations, environmental levies, and tourist taxes aimed at funding conservation efforts. Bali’s recent tourism tax, for instance, seeks to direct revenue toward waste management and environmental protection. However, the effectiveness of these policies is frequently constrained by limited administrative capacity, investor influence, and fragmented governance structures (Hampton, 2018). As a result, enforcement remains uneven, and environmental degradation continues despite the presence of formal regulations.</w:t>
      </w:r>
    </w:p>
    <w:p w14:paraId="2E8A51B4" w14:textId="405C8D56" w:rsidR="00814DE1" w:rsidRPr="00062EC1" w:rsidRDefault="00814DE1" w:rsidP="00814DE1">
      <w:pPr>
        <w:pStyle w:val="NormalWeb"/>
        <w:rPr>
          <w:rFonts w:asciiTheme="minorHAnsi" w:hAnsiTheme="minorHAnsi"/>
          <w:sz w:val="36"/>
          <w:szCs w:val="36"/>
        </w:rPr>
      </w:pPr>
      <w:r w:rsidRPr="00062EC1">
        <w:rPr>
          <w:rFonts w:asciiTheme="minorHAnsi" w:hAnsiTheme="minorHAnsi"/>
          <w:sz w:val="36"/>
          <w:szCs w:val="36"/>
        </w:rPr>
        <w:t>Community-Based Tourism (CBT) presents an alternative model that prioritises community control, equitable benefit distribution, and cultural preservation. In northern Thailand and Vietnam, homestay programmes and community enterprises have generated locally controlled revenue streams, strengthened cultural revitalisation, and incentivised environmental stewardship. Nepal’s Annapurna Conservation Area provides a notable example of integrated conservation and tourism management, where revenue-sharing and community governance support both biodiversity protection and local livelihoods. Nevertheless, CBT also faces challenges, including vulnerability to market fluctuations, difficulties in scaling operations, and risks of cultural commodification (McKercher &amp; du Cros, 2002).</w:t>
      </w:r>
      <w:r w:rsidR="008E5A01">
        <w:rPr>
          <w:rFonts w:asciiTheme="minorHAnsi" w:hAnsiTheme="minorHAnsi"/>
          <w:sz w:val="36"/>
          <w:szCs w:val="36"/>
        </w:rPr>
        <w:t xml:space="preserve"> </w:t>
      </w:r>
      <w:r w:rsidR="00B02F6A" w:rsidRPr="00B02F6A">
        <w:rPr>
          <w:rFonts w:asciiTheme="minorHAnsi" w:hAnsiTheme="minorHAnsi"/>
          <w:sz w:val="36"/>
          <w:szCs w:val="36"/>
        </w:rPr>
        <w:t xml:space="preserve">A further concern relates to </w:t>
      </w:r>
      <w:r w:rsidR="00B02F6A" w:rsidRPr="00B02F6A">
        <w:rPr>
          <w:rStyle w:val="Strong"/>
          <w:rFonts w:asciiTheme="minorHAnsi" w:eastAsiaTheme="majorEastAsia" w:hAnsiTheme="minorHAnsi"/>
          <w:b w:val="0"/>
          <w:bCs w:val="0"/>
          <w:sz w:val="36"/>
          <w:szCs w:val="36"/>
        </w:rPr>
        <w:lastRenderedPageBreak/>
        <w:t>labour exploitation and inequitable working conditions</w:t>
      </w:r>
      <w:r w:rsidR="00B02F6A" w:rsidRPr="00B02F6A">
        <w:rPr>
          <w:rFonts w:asciiTheme="minorHAnsi" w:hAnsiTheme="minorHAnsi"/>
          <w:b/>
          <w:bCs/>
          <w:sz w:val="36"/>
          <w:szCs w:val="36"/>
        </w:rPr>
        <w:t xml:space="preserve"> </w:t>
      </w:r>
      <w:r w:rsidR="00B02F6A" w:rsidRPr="00B02F6A">
        <w:rPr>
          <w:rFonts w:asciiTheme="minorHAnsi" w:hAnsiTheme="minorHAnsi"/>
          <w:sz w:val="36"/>
          <w:szCs w:val="36"/>
        </w:rPr>
        <w:t>within the tourism sector. Women and migrant workers often occupy low-wage, precarious roles, including housekeeping, informal guiding, and food service, with limited social protection or career progression (</w:t>
      </w:r>
      <w:proofErr w:type="spellStart"/>
      <w:r w:rsidR="00B02F6A" w:rsidRPr="00B02F6A">
        <w:rPr>
          <w:rFonts w:asciiTheme="minorHAnsi" w:hAnsiTheme="minorHAnsi"/>
          <w:sz w:val="36"/>
          <w:szCs w:val="36"/>
        </w:rPr>
        <w:t>Scheyvens</w:t>
      </w:r>
      <w:proofErr w:type="spellEnd"/>
      <w:r w:rsidR="00B02F6A" w:rsidRPr="00B02F6A">
        <w:rPr>
          <w:rFonts w:asciiTheme="minorHAnsi" w:hAnsiTheme="minorHAnsi"/>
          <w:sz w:val="36"/>
          <w:szCs w:val="36"/>
        </w:rPr>
        <w:t xml:space="preserve"> &amp; Biddulph, 2018). The absence of effective labour regulation in many Asian destinations exacerbates vulnerabilities, particularly in post-pandemic recovery phases where businesses have sought to minimise operating costs. Integrating decent work standards, gender-sensitive employment policies, and skills development programmes is therefore essential to achieving socially sustainable tourism.</w:t>
      </w:r>
    </w:p>
    <w:p w14:paraId="0B6D2329" w14:textId="77777777" w:rsidR="00814DE1" w:rsidRDefault="00814DE1" w:rsidP="00814DE1">
      <w:pPr>
        <w:pStyle w:val="NormalWeb"/>
        <w:rPr>
          <w:rFonts w:asciiTheme="minorHAnsi" w:hAnsiTheme="minorHAnsi"/>
          <w:sz w:val="36"/>
          <w:szCs w:val="36"/>
        </w:rPr>
      </w:pPr>
      <w:r w:rsidRPr="00062EC1">
        <w:rPr>
          <w:rFonts w:asciiTheme="minorHAnsi" w:hAnsiTheme="minorHAnsi"/>
          <w:sz w:val="36"/>
          <w:szCs w:val="36"/>
        </w:rPr>
        <w:t>Cultural impacts remain a central concern across Asia. In Bali, some religious ceremonies have become partially commercialised for tourist audiences, raising concerns over the erosion of cultural meaning and community autonomy (Picard, 2011). Likewise, “hill tribe tourism” in Thailand has, in some cases, reinforced stereotypes and produced unequal benefit distribution (Hampton, 2018). These examples highlight the need for culturally sensitive tourism practices that respect local values, knowledge systems, and identities.</w:t>
      </w:r>
    </w:p>
    <w:p w14:paraId="50E19B55" w14:textId="180E95C1" w:rsidR="00AE22E4" w:rsidRDefault="00E133B3" w:rsidP="00814DE1">
      <w:pPr>
        <w:pStyle w:val="NormalWeb"/>
        <w:rPr>
          <w:rFonts w:asciiTheme="minorHAnsi" w:hAnsiTheme="minorHAnsi"/>
          <w:sz w:val="36"/>
          <w:szCs w:val="36"/>
        </w:rPr>
      </w:pPr>
      <w:r w:rsidRPr="00DE07FC">
        <w:rPr>
          <w:rFonts w:asciiTheme="minorHAnsi" w:hAnsiTheme="minorHAnsi"/>
          <w:sz w:val="36"/>
          <w:szCs w:val="36"/>
        </w:rPr>
        <w:t>Tourism growth also intensifies</w:t>
      </w:r>
      <w:r w:rsidRPr="00DE07FC">
        <w:rPr>
          <w:rFonts w:asciiTheme="minorHAnsi" w:hAnsiTheme="minorHAnsi"/>
          <w:b/>
          <w:bCs/>
          <w:sz w:val="36"/>
          <w:szCs w:val="36"/>
        </w:rPr>
        <w:t xml:space="preserve"> </w:t>
      </w:r>
      <w:r w:rsidRPr="00DE07FC">
        <w:rPr>
          <w:rStyle w:val="Strong"/>
          <w:rFonts w:asciiTheme="minorHAnsi" w:eastAsiaTheme="majorEastAsia" w:hAnsiTheme="minorHAnsi"/>
          <w:b w:val="0"/>
          <w:bCs w:val="0"/>
          <w:sz w:val="36"/>
          <w:szCs w:val="36"/>
        </w:rPr>
        <w:t>social displacement and housing pressures</w:t>
      </w:r>
      <w:r w:rsidRPr="00DE07FC">
        <w:rPr>
          <w:rFonts w:asciiTheme="minorHAnsi" w:hAnsiTheme="minorHAnsi"/>
          <w:b/>
          <w:bCs/>
          <w:sz w:val="36"/>
          <w:szCs w:val="36"/>
        </w:rPr>
        <w:t>,</w:t>
      </w:r>
      <w:r w:rsidRPr="00DE07FC">
        <w:rPr>
          <w:rFonts w:asciiTheme="minorHAnsi" w:hAnsiTheme="minorHAnsi"/>
          <w:sz w:val="36"/>
          <w:szCs w:val="36"/>
        </w:rPr>
        <w:t xml:space="preserve"> particularly in heritage cities and island communities. The rise of short-term rental platforms such as Airbnb has contributed to increased property prices and reduced availability of affordable housing for </w:t>
      </w:r>
      <w:r w:rsidR="00804282" w:rsidRPr="00DE07FC">
        <w:rPr>
          <w:rFonts w:asciiTheme="minorHAnsi" w:hAnsiTheme="minorHAnsi"/>
          <w:sz w:val="36"/>
          <w:szCs w:val="36"/>
        </w:rPr>
        <w:t>residents</w:t>
      </w:r>
      <w:r w:rsidRPr="00DE07FC">
        <w:rPr>
          <w:rFonts w:asciiTheme="minorHAnsi" w:hAnsiTheme="minorHAnsi"/>
          <w:sz w:val="36"/>
          <w:szCs w:val="36"/>
        </w:rPr>
        <w:t xml:space="preserve"> in destinations such as Kyoto, Penang, and Bali. These dynamics often accelerate </w:t>
      </w:r>
      <w:r w:rsidRPr="00DE07FC">
        <w:rPr>
          <w:rFonts w:asciiTheme="minorHAnsi" w:hAnsiTheme="minorHAnsi"/>
          <w:sz w:val="36"/>
          <w:szCs w:val="36"/>
        </w:rPr>
        <w:lastRenderedPageBreak/>
        <w:t>gentrification, marginalising long-term communities and transforming neighbourhoods into commercialised tourist zones (Ioannides et al., 2019). Such trends highlight the need for stronger land-use regulation and community protection measures within tourism governance frame</w:t>
      </w:r>
      <w:r w:rsidR="00804282">
        <w:rPr>
          <w:rFonts w:asciiTheme="minorHAnsi" w:hAnsiTheme="minorHAnsi"/>
          <w:sz w:val="36"/>
          <w:szCs w:val="36"/>
        </w:rPr>
        <w:t xml:space="preserve"> </w:t>
      </w:r>
      <w:r w:rsidRPr="00DE07FC">
        <w:rPr>
          <w:rFonts w:asciiTheme="minorHAnsi" w:hAnsiTheme="minorHAnsi"/>
          <w:sz w:val="36"/>
          <w:szCs w:val="36"/>
        </w:rPr>
        <w:t>works.</w:t>
      </w:r>
    </w:p>
    <w:p w14:paraId="74EA9B48" w14:textId="5F8A1F5A" w:rsidR="00814DE1" w:rsidRPr="00062EC1" w:rsidRDefault="00814DE1" w:rsidP="00814DE1">
      <w:pPr>
        <w:pStyle w:val="NormalWeb"/>
        <w:rPr>
          <w:rFonts w:asciiTheme="minorHAnsi" w:hAnsiTheme="minorHAnsi"/>
          <w:sz w:val="36"/>
          <w:szCs w:val="36"/>
        </w:rPr>
      </w:pPr>
      <w:r w:rsidRPr="00062EC1">
        <w:rPr>
          <w:rFonts w:asciiTheme="minorHAnsi" w:hAnsiTheme="minorHAnsi"/>
          <w:sz w:val="36"/>
          <w:szCs w:val="36"/>
        </w:rPr>
        <w:t>Tourism intersects with several SDGs, including SDG 8 (Decent Work and Economic Growth), SDG 12 (Responsible Consumption and Production), and SDG 14 (Life Below Water). Although many Asian destinations have introduced initiatives aligned with these goals</w:t>
      </w:r>
      <w:r w:rsidR="00B03817">
        <w:rPr>
          <w:rFonts w:asciiTheme="minorHAnsi" w:hAnsiTheme="minorHAnsi"/>
          <w:sz w:val="36"/>
          <w:szCs w:val="36"/>
        </w:rPr>
        <w:t xml:space="preserve"> </w:t>
      </w:r>
      <w:r w:rsidRPr="00062EC1">
        <w:rPr>
          <w:rFonts w:asciiTheme="minorHAnsi" w:hAnsiTheme="minorHAnsi"/>
          <w:sz w:val="36"/>
          <w:szCs w:val="36"/>
        </w:rPr>
        <w:t>such as eco-certification, waste-reduction programmes, and environmental education</w:t>
      </w:r>
      <w:r w:rsidR="00B03817">
        <w:rPr>
          <w:rFonts w:asciiTheme="minorHAnsi" w:hAnsiTheme="minorHAnsi"/>
          <w:sz w:val="36"/>
          <w:szCs w:val="36"/>
        </w:rPr>
        <w:t xml:space="preserve"> </w:t>
      </w:r>
      <w:r w:rsidR="003E24FF" w:rsidRPr="00062EC1">
        <w:rPr>
          <w:rFonts w:asciiTheme="minorHAnsi" w:hAnsiTheme="minorHAnsi"/>
          <w:sz w:val="36"/>
          <w:szCs w:val="36"/>
        </w:rPr>
        <w:t>implementation</w:t>
      </w:r>
      <w:r w:rsidRPr="00062EC1">
        <w:rPr>
          <w:rFonts w:asciiTheme="minorHAnsi" w:hAnsiTheme="minorHAnsi"/>
          <w:sz w:val="36"/>
          <w:szCs w:val="36"/>
        </w:rPr>
        <w:t xml:space="preserve"> remains inconsistent, particularly where economic imperatives override social and environmental considerations (Spangenberg, 2016). Bhutan’s “high-value, low-volume” tourism policy represents a notable exception, demonstrating how structured regulation and reinvestment of tourism revenue can strengthen conservation and community welfare.</w:t>
      </w:r>
    </w:p>
    <w:p w14:paraId="67540C9E" w14:textId="1C8223EE" w:rsidR="00814DE1" w:rsidRDefault="00814DE1" w:rsidP="00814DE1">
      <w:pPr>
        <w:pStyle w:val="NormalWeb"/>
        <w:rPr>
          <w:rFonts w:asciiTheme="minorHAnsi" w:hAnsiTheme="minorHAnsi"/>
          <w:sz w:val="36"/>
          <w:szCs w:val="36"/>
        </w:rPr>
      </w:pPr>
      <w:r w:rsidRPr="00062EC1">
        <w:rPr>
          <w:rFonts w:asciiTheme="minorHAnsi" w:hAnsiTheme="minorHAnsi"/>
          <w:sz w:val="36"/>
          <w:szCs w:val="36"/>
        </w:rPr>
        <w:t xml:space="preserve">CSR initiatives in Asian tourism range from hotel certification schemes (e.g., Green Key, </w:t>
      </w:r>
      <w:proofErr w:type="spellStart"/>
      <w:r w:rsidRPr="00062EC1">
        <w:rPr>
          <w:rFonts w:asciiTheme="minorHAnsi" w:hAnsiTheme="minorHAnsi"/>
          <w:sz w:val="36"/>
          <w:szCs w:val="36"/>
        </w:rPr>
        <w:t>EarthCheck</w:t>
      </w:r>
      <w:proofErr w:type="spellEnd"/>
      <w:r w:rsidRPr="00062EC1">
        <w:rPr>
          <w:rFonts w:asciiTheme="minorHAnsi" w:hAnsiTheme="minorHAnsi"/>
          <w:sz w:val="36"/>
          <w:szCs w:val="36"/>
        </w:rPr>
        <w:t xml:space="preserve">) to resort-led conservation activities such as coral nurseries and sustainable fisheries partnerships. Large multinational hotel chains often engage in substantial CSR programmes, including renewable energy installation, local workforce training, and community development projects (Font &amp; Lynes, 2018). However, critical challenges persist. First, greenwashing remains common, with some CSR initiatives functioning primarily </w:t>
      </w:r>
      <w:r w:rsidRPr="00062EC1">
        <w:rPr>
          <w:rFonts w:asciiTheme="minorHAnsi" w:hAnsiTheme="minorHAnsi"/>
          <w:sz w:val="36"/>
          <w:szCs w:val="36"/>
        </w:rPr>
        <w:lastRenderedPageBreak/>
        <w:t xml:space="preserve">as marketing tools rather than delivering substantive benefits (Bennett, 2020). Second, power imbalances may result in CSR initiatives bypassing local governance mechanisms, reducing community </w:t>
      </w:r>
      <w:r w:rsidR="00F71CAC" w:rsidRPr="00062EC1">
        <w:rPr>
          <w:rFonts w:asciiTheme="minorHAnsi" w:hAnsiTheme="minorHAnsi"/>
          <w:sz w:val="36"/>
          <w:szCs w:val="36"/>
        </w:rPr>
        <w:t>participation,</w:t>
      </w:r>
      <w:r w:rsidRPr="00062EC1">
        <w:rPr>
          <w:rFonts w:asciiTheme="minorHAnsi" w:hAnsiTheme="minorHAnsi"/>
          <w:sz w:val="36"/>
          <w:szCs w:val="36"/>
        </w:rPr>
        <w:t xml:space="preserve"> and reinforcing socio-economic inequalities (</w:t>
      </w:r>
      <w:proofErr w:type="spellStart"/>
      <w:r w:rsidRPr="00062EC1">
        <w:rPr>
          <w:rFonts w:asciiTheme="minorHAnsi" w:hAnsiTheme="minorHAnsi"/>
          <w:sz w:val="36"/>
          <w:szCs w:val="36"/>
        </w:rPr>
        <w:t>Scheyvens</w:t>
      </w:r>
      <w:proofErr w:type="spellEnd"/>
      <w:r w:rsidRPr="00062EC1">
        <w:rPr>
          <w:rFonts w:asciiTheme="minorHAnsi" w:hAnsiTheme="minorHAnsi"/>
          <w:sz w:val="36"/>
          <w:szCs w:val="36"/>
        </w:rPr>
        <w:t>, 2002). Third, SMEs</w:t>
      </w:r>
      <w:r w:rsidR="003E24FF">
        <w:rPr>
          <w:rFonts w:asciiTheme="minorHAnsi" w:hAnsiTheme="minorHAnsi"/>
          <w:sz w:val="36"/>
          <w:szCs w:val="36"/>
        </w:rPr>
        <w:t xml:space="preserve"> </w:t>
      </w:r>
      <w:r w:rsidRPr="00062EC1">
        <w:rPr>
          <w:rFonts w:asciiTheme="minorHAnsi" w:hAnsiTheme="minorHAnsi"/>
          <w:sz w:val="36"/>
          <w:szCs w:val="36"/>
        </w:rPr>
        <w:t>which dominate many Asian tourism economies</w:t>
      </w:r>
      <w:r w:rsidR="003E24FF">
        <w:rPr>
          <w:rFonts w:asciiTheme="minorHAnsi" w:hAnsiTheme="minorHAnsi"/>
          <w:sz w:val="36"/>
          <w:szCs w:val="36"/>
        </w:rPr>
        <w:t xml:space="preserve"> </w:t>
      </w:r>
      <w:r w:rsidRPr="00062EC1">
        <w:rPr>
          <w:rFonts w:asciiTheme="minorHAnsi" w:hAnsiTheme="minorHAnsi"/>
          <w:sz w:val="36"/>
          <w:szCs w:val="36"/>
        </w:rPr>
        <w:t>often lack the financial and technical capacity to engage in meaningful CSR without external support.</w:t>
      </w:r>
    </w:p>
    <w:p w14:paraId="3E751743" w14:textId="39602242" w:rsidR="003E31AE" w:rsidRPr="003E31AE" w:rsidRDefault="003E31AE" w:rsidP="00814DE1">
      <w:pPr>
        <w:pStyle w:val="NormalWeb"/>
        <w:rPr>
          <w:rFonts w:asciiTheme="minorHAnsi" w:hAnsiTheme="minorHAnsi"/>
          <w:sz w:val="36"/>
          <w:szCs w:val="36"/>
        </w:rPr>
      </w:pPr>
      <w:r w:rsidRPr="003E31AE">
        <w:rPr>
          <w:rFonts w:asciiTheme="minorHAnsi" w:hAnsiTheme="minorHAnsi"/>
          <w:sz w:val="36"/>
          <w:szCs w:val="36"/>
        </w:rPr>
        <w:t xml:space="preserve">Another emerging issue concerns the </w:t>
      </w:r>
      <w:r w:rsidRPr="003E31AE">
        <w:rPr>
          <w:rStyle w:val="Strong"/>
          <w:rFonts w:asciiTheme="minorHAnsi" w:eastAsiaTheme="majorEastAsia" w:hAnsiTheme="minorHAnsi"/>
          <w:b w:val="0"/>
          <w:bCs w:val="0"/>
          <w:sz w:val="36"/>
          <w:szCs w:val="36"/>
        </w:rPr>
        <w:t>digital</w:t>
      </w:r>
      <w:r w:rsidRPr="003E31AE">
        <w:rPr>
          <w:rStyle w:val="Strong"/>
          <w:rFonts w:asciiTheme="minorHAnsi" w:eastAsiaTheme="majorEastAsia" w:hAnsiTheme="minorHAnsi"/>
          <w:sz w:val="36"/>
          <w:szCs w:val="36"/>
        </w:rPr>
        <w:t xml:space="preserve"> </w:t>
      </w:r>
      <w:r w:rsidRPr="003E31AE">
        <w:rPr>
          <w:rStyle w:val="Strong"/>
          <w:rFonts w:asciiTheme="minorHAnsi" w:eastAsiaTheme="majorEastAsia" w:hAnsiTheme="minorHAnsi"/>
          <w:b w:val="0"/>
          <w:bCs w:val="0"/>
          <w:sz w:val="36"/>
          <w:szCs w:val="36"/>
        </w:rPr>
        <w:t>transparency gap</w:t>
      </w:r>
      <w:r w:rsidRPr="003E31AE">
        <w:rPr>
          <w:rFonts w:asciiTheme="minorHAnsi" w:hAnsiTheme="minorHAnsi"/>
          <w:sz w:val="36"/>
          <w:szCs w:val="36"/>
        </w:rPr>
        <w:t xml:space="preserve"> within CSR reporting. Although many large hotel chains publish sustainability reports, these documents frequently rely on self-assessed indicators, selective disclosures, or qualitative narratives with limited third-party verification. Small and medium enterprises (SMEs), which dominate the Asian tourism economy, often lack the resources or capacity to report sustainability performance at all. As a result, stakeholders</w:t>
      </w:r>
      <w:r w:rsidR="00934BFF">
        <w:rPr>
          <w:rFonts w:asciiTheme="minorHAnsi" w:hAnsiTheme="minorHAnsi"/>
          <w:sz w:val="36"/>
          <w:szCs w:val="36"/>
        </w:rPr>
        <w:t xml:space="preserve"> </w:t>
      </w:r>
      <w:r w:rsidR="00C61091" w:rsidRPr="003E31AE">
        <w:rPr>
          <w:rFonts w:asciiTheme="minorHAnsi" w:hAnsiTheme="minorHAnsi"/>
          <w:sz w:val="36"/>
          <w:szCs w:val="36"/>
        </w:rPr>
        <w:t>including</w:t>
      </w:r>
      <w:r w:rsidRPr="003E31AE">
        <w:rPr>
          <w:rFonts w:asciiTheme="minorHAnsi" w:hAnsiTheme="minorHAnsi"/>
          <w:sz w:val="36"/>
          <w:szCs w:val="36"/>
        </w:rPr>
        <w:t xml:space="preserve"> local communities</w:t>
      </w:r>
      <w:r w:rsidR="00934BFF">
        <w:rPr>
          <w:rFonts w:asciiTheme="minorHAnsi" w:hAnsiTheme="minorHAnsi"/>
          <w:sz w:val="36"/>
          <w:szCs w:val="36"/>
        </w:rPr>
        <w:t xml:space="preserve"> </w:t>
      </w:r>
      <w:r w:rsidRPr="003E31AE">
        <w:rPr>
          <w:rFonts w:asciiTheme="minorHAnsi" w:hAnsiTheme="minorHAnsi"/>
          <w:sz w:val="36"/>
          <w:szCs w:val="36"/>
        </w:rPr>
        <w:t>face significant obstacles in assessing whether CSR commitments translate into genuine environmental or social improvements.</w:t>
      </w:r>
    </w:p>
    <w:p w14:paraId="1E750628" w14:textId="11A0A666" w:rsidR="00814DE1" w:rsidRPr="00062EC1" w:rsidRDefault="00814DE1" w:rsidP="00814DE1">
      <w:pPr>
        <w:pStyle w:val="NormalWeb"/>
        <w:rPr>
          <w:rFonts w:asciiTheme="minorHAnsi" w:hAnsiTheme="minorHAnsi"/>
          <w:sz w:val="36"/>
          <w:szCs w:val="36"/>
        </w:rPr>
      </w:pPr>
      <w:r w:rsidRPr="00062EC1">
        <w:rPr>
          <w:rFonts w:asciiTheme="minorHAnsi" w:hAnsiTheme="minorHAnsi"/>
          <w:sz w:val="36"/>
          <w:szCs w:val="36"/>
        </w:rPr>
        <w:t>Context ultimately shapes the viability of sustainable tourism approaches across Asia. Urban heritage sites, mass-tourism beach destinations, rural CBT regions, and island economies each require tailored policy frameworks, governance structures, and CSR strategies. Evidence shows that participatory approaches</w:t>
      </w:r>
      <w:r w:rsidR="003E24FF">
        <w:rPr>
          <w:rFonts w:asciiTheme="minorHAnsi" w:hAnsiTheme="minorHAnsi"/>
          <w:sz w:val="36"/>
          <w:szCs w:val="36"/>
        </w:rPr>
        <w:t xml:space="preserve"> </w:t>
      </w:r>
      <w:r w:rsidRPr="00062EC1">
        <w:rPr>
          <w:rFonts w:asciiTheme="minorHAnsi" w:hAnsiTheme="minorHAnsi"/>
          <w:sz w:val="36"/>
          <w:szCs w:val="36"/>
        </w:rPr>
        <w:t>where local communities exercise genuine decision-making power</w:t>
      </w:r>
      <w:r w:rsidR="003E24FF">
        <w:rPr>
          <w:rFonts w:asciiTheme="minorHAnsi" w:hAnsiTheme="minorHAnsi"/>
          <w:sz w:val="36"/>
          <w:szCs w:val="36"/>
        </w:rPr>
        <w:t xml:space="preserve"> </w:t>
      </w:r>
      <w:r w:rsidRPr="00062EC1">
        <w:rPr>
          <w:rFonts w:asciiTheme="minorHAnsi" w:hAnsiTheme="minorHAnsi"/>
          <w:sz w:val="36"/>
          <w:szCs w:val="36"/>
        </w:rPr>
        <w:t xml:space="preserve">produce more equitable and durable outcomes, as seen in Nepal’s community-managed conservation areas and community-based marine protected areas in Fiji. </w:t>
      </w:r>
      <w:r w:rsidRPr="00062EC1">
        <w:rPr>
          <w:rFonts w:asciiTheme="minorHAnsi" w:hAnsiTheme="minorHAnsi"/>
          <w:sz w:val="36"/>
          <w:szCs w:val="36"/>
        </w:rPr>
        <w:lastRenderedPageBreak/>
        <w:t>Effective CSR must therefore be locally grounded, independently monitored, and aligned with long-term community priorities.</w:t>
      </w:r>
    </w:p>
    <w:p w14:paraId="0A79F092" w14:textId="1CBD8593" w:rsidR="00814DE1" w:rsidRPr="00062EC1" w:rsidRDefault="00814DE1" w:rsidP="00814DE1">
      <w:pPr>
        <w:pStyle w:val="NormalWeb"/>
        <w:rPr>
          <w:rFonts w:asciiTheme="minorHAnsi" w:hAnsiTheme="minorHAnsi"/>
          <w:sz w:val="36"/>
          <w:szCs w:val="36"/>
        </w:rPr>
      </w:pPr>
      <w:r w:rsidRPr="00062EC1">
        <w:rPr>
          <w:rFonts w:asciiTheme="minorHAnsi" w:hAnsiTheme="minorHAnsi"/>
          <w:sz w:val="36"/>
          <w:szCs w:val="36"/>
        </w:rPr>
        <w:t>Looking forward, the future of sustainable tourism in Asia depends on integrating long-term resilience and climate adaptation into tourism governance.</w:t>
      </w:r>
      <w:r w:rsidR="000D759B" w:rsidRPr="000D759B">
        <w:t xml:space="preserve"> </w:t>
      </w:r>
      <w:r w:rsidR="000D759B" w:rsidRPr="000D759B">
        <w:rPr>
          <w:rFonts w:asciiTheme="minorHAnsi" w:hAnsiTheme="minorHAnsi"/>
          <w:sz w:val="36"/>
          <w:szCs w:val="36"/>
        </w:rPr>
        <w:t>Additionally, proactive decarbonisation strategies are increasingly essential for Asia’s tourism future. Destinations such as Japan, Singapore, and South Korea have begun implementing carbon-neutral hotel standards, sustainable building certifications, and low-emission transport systems, including electric vehicle fleets and rail-based tourism infrastructure. However, scaling these innovations across the region will require substantial investment, policy incentives, capacity building, and regional cooperation to support smaller economies and rural destinations.</w:t>
      </w:r>
      <w:r w:rsidR="006F3084">
        <w:rPr>
          <w:rFonts w:asciiTheme="minorHAnsi" w:hAnsiTheme="minorHAnsi"/>
          <w:sz w:val="36"/>
          <w:szCs w:val="36"/>
        </w:rPr>
        <w:t xml:space="preserve"> </w:t>
      </w:r>
      <w:r w:rsidRPr="00062EC1">
        <w:rPr>
          <w:rFonts w:asciiTheme="minorHAnsi" w:hAnsiTheme="minorHAnsi"/>
          <w:sz w:val="36"/>
          <w:szCs w:val="36"/>
        </w:rPr>
        <w:t>Coastal and island destinations face heightened vulnerability to sea-level rise, coral bleaching, and extreme weather events, necessitating proactive adaptation strategies such as climate</w:t>
      </w:r>
      <w:r w:rsidR="000648F3">
        <w:rPr>
          <w:rFonts w:asciiTheme="minorHAnsi" w:hAnsiTheme="minorHAnsi"/>
          <w:sz w:val="36"/>
          <w:szCs w:val="36"/>
        </w:rPr>
        <w:t xml:space="preserve"> </w:t>
      </w:r>
      <w:r w:rsidRPr="00062EC1">
        <w:rPr>
          <w:rFonts w:asciiTheme="minorHAnsi" w:hAnsiTheme="minorHAnsi"/>
          <w:sz w:val="36"/>
          <w:szCs w:val="36"/>
        </w:rPr>
        <w:t>risk assessments, nature-based solutions (e.g., mangrove restoration, coral rehabilitation), and robust disaster preparedness systems. At the same time, digital technologies</w:t>
      </w:r>
      <w:r w:rsidR="00A97F65">
        <w:rPr>
          <w:rFonts w:asciiTheme="minorHAnsi" w:hAnsiTheme="minorHAnsi"/>
          <w:sz w:val="36"/>
          <w:szCs w:val="36"/>
        </w:rPr>
        <w:t xml:space="preserve"> </w:t>
      </w:r>
      <w:r w:rsidRPr="00062EC1">
        <w:rPr>
          <w:rFonts w:asciiTheme="minorHAnsi" w:hAnsiTheme="minorHAnsi"/>
          <w:sz w:val="36"/>
          <w:szCs w:val="36"/>
        </w:rPr>
        <w:t>including smart tourism systems, AI-enabled visitor-flow monitoring, and online booking platforms</w:t>
      </w:r>
      <w:r w:rsidR="00A97F65">
        <w:rPr>
          <w:rFonts w:asciiTheme="minorHAnsi" w:hAnsiTheme="minorHAnsi"/>
          <w:sz w:val="36"/>
          <w:szCs w:val="36"/>
        </w:rPr>
        <w:t xml:space="preserve"> </w:t>
      </w:r>
      <w:r w:rsidRPr="00062EC1">
        <w:rPr>
          <w:rFonts w:asciiTheme="minorHAnsi" w:hAnsiTheme="minorHAnsi"/>
          <w:sz w:val="36"/>
          <w:szCs w:val="36"/>
        </w:rPr>
        <w:t>offer opportunities for improved carrying-capacity management but risk accelerating mass tourism if not carefully regulated. Ensuring equitable digital access for small and community-based operators is essential to prevent market concentration and exclusion.</w:t>
      </w:r>
    </w:p>
    <w:p w14:paraId="5D5A0576" w14:textId="44BD9109" w:rsidR="5B893EA4" w:rsidRDefault="5B893EA4" w:rsidP="5B893EA4">
      <w:pPr>
        <w:rPr>
          <w:rFonts w:ascii="Arial Nova" w:eastAsia="Arial Nova" w:hAnsi="Arial Nova" w:cs="Arial Nova"/>
          <w:color w:val="000000" w:themeColor="text1"/>
        </w:rPr>
      </w:pPr>
    </w:p>
    <w:p w14:paraId="1463A935" w14:textId="1E0BD10A" w:rsidR="5B893EA4" w:rsidRDefault="5B893EA4" w:rsidP="5B893EA4">
      <w:pPr>
        <w:rPr>
          <w:color w:val="000000" w:themeColor="text1"/>
        </w:rPr>
      </w:pPr>
    </w:p>
    <w:p w14:paraId="5C49EC71" w14:textId="1168C9F4" w:rsidR="5B893EA4" w:rsidRDefault="5B893EA4" w:rsidP="5B893EA4">
      <w:pPr>
        <w:rPr>
          <w:color w:val="000000" w:themeColor="text1"/>
        </w:rPr>
      </w:pPr>
    </w:p>
    <w:p w14:paraId="5D07988D" w14:textId="585DD85E" w:rsidR="00CE4145" w:rsidRPr="00DE41B6" w:rsidRDefault="00CE4145" w:rsidP="00CE4145">
      <w:pPr>
        <w:pStyle w:val="NormalWeb"/>
        <w:rPr>
          <w:rFonts w:asciiTheme="minorHAnsi" w:hAnsiTheme="minorHAnsi"/>
          <w:sz w:val="36"/>
          <w:szCs w:val="36"/>
        </w:rPr>
      </w:pPr>
      <w:r w:rsidRPr="00DE41B6">
        <w:rPr>
          <w:rFonts w:asciiTheme="minorHAnsi" w:hAnsiTheme="minorHAnsi"/>
          <w:sz w:val="36"/>
          <w:szCs w:val="36"/>
        </w:rPr>
        <w:t xml:space="preserve">In summary, the sustainability of tourism in Asia depends on the degree to which economic growth can be reconciled with social equity, environmental protection, and long-term resilience. The analysis demonstrates that while the region has made significant </w:t>
      </w:r>
      <w:r w:rsidR="00DE41B6">
        <w:rPr>
          <w:rFonts w:asciiTheme="minorHAnsi" w:hAnsiTheme="minorHAnsi"/>
          <w:sz w:val="36"/>
          <w:szCs w:val="36"/>
        </w:rPr>
        <w:t xml:space="preserve">progress </w:t>
      </w:r>
      <w:r w:rsidRPr="00DE41B6">
        <w:rPr>
          <w:rFonts w:asciiTheme="minorHAnsi" w:hAnsiTheme="minorHAnsi"/>
          <w:sz w:val="36"/>
          <w:szCs w:val="36"/>
        </w:rPr>
        <w:t>particularly through community-based tourism initiatives, CSR adoption, and policies aligned with the Sustainable Development Goal</w:t>
      </w:r>
      <w:r w:rsidR="00DE41B6">
        <w:rPr>
          <w:rFonts w:asciiTheme="minorHAnsi" w:hAnsiTheme="minorHAnsi"/>
          <w:sz w:val="36"/>
          <w:szCs w:val="36"/>
        </w:rPr>
        <w:t xml:space="preserve">s </w:t>
      </w:r>
      <w:r w:rsidR="00DE41B6" w:rsidRPr="00DE41B6">
        <w:rPr>
          <w:rFonts w:asciiTheme="minorHAnsi" w:hAnsiTheme="minorHAnsi"/>
          <w:sz w:val="36"/>
          <w:szCs w:val="36"/>
        </w:rPr>
        <w:t>implementation</w:t>
      </w:r>
      <w:r w:rsidRPr="00DE41B6">
        <w:rPr>
          <w:rFonts w:asciiTheme="minorHAnsi" w:hAnsiTheme="minorHAnsi"/>
          <w:sz w:val="36"/>
          <w:szCs w:val="36"/>
        </w:rPr>
        <w:t xml:space="preserve"> gaps, weak governance structures, and competing political and economic interests continue to hinder transformative change. The challenges facing Asian tourism, including </w:t>
      </w:r>
      <w:r w:rsidR="00DE41B6" w:rsidRPr="00DE41B6">
        <w:rPr>
          <w:rFonts w:asciiTheme="minorHAnsi" w:hAnsiTheme="minorHAnsi"/>
          <w:sz w:val="36"/>
          <w:szCs w:val="36"/>
        </w:rPr>
        <w:t>over tourism</w:t>
      </w:r>
      <w:r w:rsidRPr="00DE41B6">
        <w:rPr>
          <w:rFonts w:asciiTheme="minorHAnsi" w:hAnsiTheme="minorHAnsi"/>
          <w:sz w:val="36"/>
          <w:szCs w:val="36"/>
        </w:rPr>
        <w:t>, cultural commodification, marine and plastic pollution, climate-related vulnerabilities, and uneven community benefits, reveal that sustainability cannot be achieved through isolated initiatives or symbolic commitments.</w:t>
      </w:r>
    </w:p>
    <w:p w14:paraId="46EC00C6" w14:textId="77777777" w:rsidR="001A23F4" w:rsidRDefault="00CE4145" w:rsidP="00CE4145">
      <w:pPr>
        <w:pStyle w:val="NormalWeb"/>
        <w:rPr>
          <w:rFonts w:asciiTheme="minorHAnsi" w:hAnsiTheme="minorHAnsi"/>
          <w:sz w:val="36"/>
          <w:szCs w:val="36"/>
        </w:rPr>
      </w:pPr>
      <w:r w:rsidRPr="00DE41B6">
        <w:rPr>
          <w:rFonts w:asciiTheme="minorHAnsi" w:hAnsiTheme="minorHAnsi"/>
          <w:sz w:val="36"/>
          <w:szCs w:val="36"/>
        </w:rPr>
        <w:t>The evidence suggests that sustainability is most successful when governance is participatory, when communities retain meaningful control over decision-making, and when tourism operators adopt transparent, accountable CSR frameworks embedded within core business strategies rather than marketing agendas. Likewise, effective environmental protection</w:t>
      </w:r>
      <w:r w:rsidR="00FF380E">
        <w:rPr>
          <w:rFonts w:asciiTheme="minorHAnsi" w:hAnsiTheme="minorHAnsi"/>
          <w:sz w:val="36"/>
          <w:szCs w:val="36"/>
        </w:rPr>
        <w:t xml:space="preserve"> </w:t>
      </w:r>
      <w:r w:rsidRPr="00DE41B6">
        <w:rPr>
          <w:rFonts w:asciiTheme="minorHAnsi" w:hAnsiTheme="minorHAnsi"/>
          <w:sz w:val="36"/>
          <w:szCs w:val="36"/>
        </w:rPr>
        <w:t>particularly in fragile ecosystems such as island destinations</w:t>
      </w:r>
      <w:r w:rsidR="00FF380E">
        <w:rPr>
          <w:rFonts w:asciiTheme="minorHAnsi" w:hAnsiTheme="minorHAnsi"/>
          <w:sz w:val="36"/>
          <w:szCs w:val="36"/>
        </w:rPr>
        <w:t xml:space="preserve"> </w:t>
      </w:r>
      <w:r w:rsidRPr="00DE41B6">
        <w:rPr>
          <w:rFonts w:asciiTheme="minorHAnsi" w:hAnsiTheme="minorHAnsi"/>
          <w:sz w:val="36"/>
          <w:szCs w:val="36"/>
        </w:rPr>
        <w:t>requires stronger regulatory enforcement, investment in waste management infrastructure, climate adaptation planning,</w:t>
      </w:r>
    </w:p>
    <w:p w14:paraId="077432D7" w14:textId="49651BE5" w:rsidR="00CE4145" w:rsidRPr="00DE41B6" w:rsidRDefault="00CE4145" w:rsidP="00CE4145">
      <w:pPr>
        <w:pStyle w:val="NormalWeb"/>
        <w:rPr>
          <w:rFonts w:asciiTheme="minorHAnsi" w:hAnsiTheme="minorHAnsi"/>
          <w:sz w:val="36"/>
          <w:szCs w:val="36"/>
        </w:rPr>
      </w:pPr>
      <w:r w:rsidRPr="00DE41B6">
        <w:rPr>
          <w:rFonts w:asciiTheme="minorHAnsi" w:hAnsiTheme="minorHAnsi"/>
          <w:sz w:val="36"/>
          <w:szCs w:val="36"/>
        </w:rPr>
        <w:lastRenderedPageBreak/>
        <w:t>and regional coordination supported by sound scientific data.</w:t>
      </w:r>
    </w:p>
    <w:p w14:paraId="0FCF1EE0" w14:textId="77777777" w:rsidR="00CE4145" w:rsidRDefault="00CE4145" w:rsidP="00CE4145">
      <w:pPr>
        <w:pStyle w:val="NormalWeb"/>
        <w:rPr>
          <w:rFonts w:asciiTheme="minorHAnsi" w:hAnsiTheme="minorHAnsi"/>
          <w:sz w:val="36"/>
          <w:szCs w:val="36"/>
        </w:rPr>
      </w:pPr>
      <w:r w:rsidRPr="00DE41B6">
        <w:rPr>
          <w:rFonts w:asciiTheme="minorHAnsi" w:hAnsiTheme="minorHAnsi"/>
          <w:sz w:val="36"/>
          <w:szCs w:val="36"/>
        </w:rPr>
        <w:t>Ultimately, the future of tourism in Asia depends on the willingness of governments, industry, and local communities to adopt integrated, long-term approaches that place environmental limits, cultural integrity, and local empowerment at the centre of development planning. Sustainable tourism will not emerge from economic growth alone but from policies and practices that intentionally address inequality, ecological stress, and governance weaknesses. With coordinated action, policy reform, and a genuine commitment to sustainability principles, Asia has the capacity to move beyond short-term profit models and cultivate a tourism sector that is resilient, inclusive, and capable of supporting both people and planet for generations to come.</w:t>
      </w:r>
    </w:p>
    <w:p w14:paraId="0E7B4A55" w14:textId="77777777" w:rsidR="00CA3941" w:rsidRDefault="00CA3941" w:rsidP="00CA3941">
      <w:pPr>
        <w:spacing w:after="240" w:line="360" w:lineRule="auto"/>
        <w:outlineLvl w:val="0"/>
        <w:rPr>
          <w:rFonts w:ascii="Times New Roman" w:eastAsia="Times New Roman" w:hAnsi="Times New Roman" w:cs="Times New Roman"/>
          <w:b/>
          <w:bCs/>
          <w:kern w:val="36"/>
          <w:sz w:val="36"/>
          <w:szCs w:val="36"/>
          <w:lang w:eastAsia="en-GB"/>
        </w:rPr>
      </w:pPr>
    </w:p>
    <w:p w14:paraId="563EA985" w14:textId="77777777" w:rsidR="00CA3941" w:rsidRDefault="00CA3941" w:rsidP="00CA3941">
      <w:pPr>
        <w:spacing w:after="240" w:line="360" w:lineRule="auto"/>
        <w:outlineLvl w:val="0"/>
        <w:rPr>
          <w:rFonts w:ascii="Times New Roman" w:eastAsia="Times New Roman" w:hAnsi="Times New Roman" w:cs="Times New Roman"/>
          <w:b/>
          <w:bCs/>
          <w:kern w:val="36"/>
          <w:sz w:val="36"/>
          <w:szCs w:val="36"/>
          <w:lang w:eastAsia="en-GB"/>
        </w:rPr>
      </w:pPr>
    </w:p>
    <w:p w14:paraId="66C550A1" w14:textId="77777777" w:rsidR="00CA3941" w:rsidRDefault="00CA3941" w:rsidP="00CA3941">
      <w:pPr>
        <w:spacing w:after="240" w:line="360" w:lineRule="auto"/>
        <w:outlineLvl w:val="0"/>
        <w:rPr>
          <w:rFonts w:ascii="Times New Roman" w:eastAsia="Times New Roman" w:hAnsi="Times New Roman" w:cs="Times New Roman"/>
          <w:b/>
          <w:bCs/>
          <w:kern w:val="36"/>
          <w:sz w:val="36"/>
          <w:szCs w:val="36"/>
          <w:lang w:eastAsia="en-GB"/>
        </w:rPr>
      </w:pPr>
    </w:p>
    <w:p w14:paraId="04F2E3E9" w14:textId="77777777" w:rsidR="00CA3941" w:rsidRDefault="00CA3941" w:rsidP="00CA3941">
      <w:pPr>
        <w:spacing w:after="240" w:line="360" w:lineRule="auto"/>
        <w:outlineLvl w:val="0"/>
        <w:rPr>
          <w:rFonts w:ascii="Times New Roman" w:eastAsia="Times New Roman" w:hAnsi="Times New Roman" w:cs="Times New Roman"/>
          <w:b/>
          <w:bCs/>
          <w:kern w:val="36"/>
          <w:sz w:val="36"/>
          <w:szCs w:val="36"/>
          <w:lang w:eastAsia="en-GB"/>
        </w:rPr>
      </w:pPr>
    </w:p>
    <w:p w14:paraId="1F36CB43" w14:textId="77777777" w:rsidR="00CA3941" w:rsidRDefault="00CA3941" w:rsidP="00CA3941">
      <w:pPr>
        <w:spacing w:after="240" w:line="360" w:lineRule="auto"/>
        <w:outlineLvl w:val="0"/>
        <w:rPr>
          <w:rFonts w:ascii="Times New Roman" w:eastAsia="Times New Roman" w:hAnsi="Times New Roman" w:cs="Times New Roman"/>
          <w:b/>
          <w:bCs/>
          <w:kern w:val="36"/>
          <w:sz w:val="36"/>
          <w:szCs w:val="36"/>
          <w:lang w:eastAsia="en-GB"/>
        </w:rPr>
      </w:pPr>
    </w:p>
    <w:p w14:paraId="40079114" w14:textId="77777777" w:rsidR="00CA3941" w:rsidRDefault="00CA3941" w:rsidP="00CA3941">
      <w:pPr>
        <w:spacing w:after="240" w:line="360" w:lineRule="auto"/>
        <w:outlineLvl w:val="0"/>
        <w:rPr>
          <w:rFonts w:ascii="Times New Roman" w:eastAsia="Times New Roman" w:hAnsi="Times New Roman" w:cs="Times New Roman"/>
          <w:b/>
          <w:bCs/>
          <w:kern w:val="36"/>
          <w:sz w:val="36"/>
          <w:szCs w:val="36"/>
          <w:lang w:eastAsia="en-GB"/>
        </w:rPr>
      </w:pPr>
    </w:p>
    <w:p w14:paraId="52EFE389" w14:textId="77777777" w:rsidR="00CA3941" w:rsidRDefault="00CA3941" w:rsidP="00CA3941">
      <w:pPr>
        <w:spacing w:after="240" w:line="360" w:lineRule="auto"/>
        <w:outlineLvl w:val="0"/>
        <w:rPr>
          <w:rFonts w:ascii="Times New Roman" w:eastAsia="Times New Roman" w:hAnsi="Times New Roman" w:cs="Times New Roman"/>
          <w:b/>
          <w:bCs/>
          <w:kern w:val="36"/>
          <w:sz w:val="36"/>
          <w:szCs w:val="36"/>
          <w:lang w:eastAsia="en-GB"/>
        </w:rPr>
      </w:pPr>
    </w:p>
    <w:p w14:paraId="24C9AB9B" w14:textId="7D55782A" w:rsidR="00CA3941" w:rsidRPr="00CA3941" w:rsidRDefault="00CA3941" w:rsidP="00CA3941">
      <w:pPr>
        <w:spacing w:after="240" w:line="360" w:lineRule="auto"/>
        <w:outlineLvl w:val="0"/>
        <w:rPr>
          <w:rFonts w:ascii="Times New Roman" w:eastAsia="Times New Roman" w:hAnsi="Times New Roman" w:cs="Times New Roman"/>
          <w:b/>
          <w:bCs/>
          <w:kern w:val="36"/>
          <w:sz w:val="36"/>
          <w:szCs w:val="36"/>
          <w:lang w:eastAsia="en-GB"/>
        </w:rPr>
      </w:pPr>
      <w:r w:rsidRPr="00CA3941">
        <w:rPr>
          <w:rFonts w:ascii="Times New Roman" w:eastAsia="Times New Roman" w:hAnsi="Times New Roman" w:cs="Times New Roman"/>
          <w:b/>
          <w:bCs/>
          <w:kern w:val="36"/>
          <w:sz w:val="36"/>
          <w:szCs w:val="36"/>
          <w:lang w:eastAsia="en-GB"/>
        </w:rPr>
        <w:lastRenderedPageBreak/>
        <w:t>Reference list</w:t>
      </w:r>
    </w:p>
    <w:p w14:paraId="67C92A27"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Carlson, C.J., </w:t>
      </w:r>
      <w:proofErr w:type="spellStart"/>
      <w:r w:rsidRPr="00CA3941">
        <w:rPr>
          <w:rFonts w:eastAsia="Times New Roman" w:cs="Times New Roman"/>
          <w:lang w:eastAsia="en-GB"/>
        </w:rPr>
        <w:t>Trisos</w:t>
      </w:r>
      <w:proofErr w:type="spellEnd"/>
      <w:r w:rsidRPr="00CA3941">
        <w:rPr>
          <w:rFonts w:eastAsia="Times New Roman" w:cs="Times New Roman"/>
          <w:lang w:eastAsia="en-GB"/>
        </w:rPr>
        <w:t xml:space="preserve">, C.H. and Davies, S.E. (2025). Pathways to an Intergovernmental Panel on Pandemics: lessons from the IPCC and IPBES. </w:t>
      </w:r>
      <w:r w:rsidRPr="00CA3941">
        <w:rPr>
          <w:rFonts w:eastAsia="Times New Roman" w:cs="Times New Roman"/>
          <w:i/>
          <w:iCs/>
          <w:lang w:eastAsia="en-GB"/>
        </w:rPr>
        <w:t>The Lancet Microbe</w:t>
      </w:r>
      <w:r w:rsidRPr="00CA3941">
        <w:rPr>
          <w:rFonts w:eastAsia="Times New Roman" w:cs="Times New Roman"/>
          <w:lang w:eastAsia="en-GB"/>
        </w:rPr>
        <w:t xml:space="preserve">, [online] 6(10), pp.101178–101178.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://doi.org/10.1016/j.lanmic.2025.101178</w:t>
      </w:r>
      <w:proofErr w:type="gramEnd"/>
      <w:r w:rsidRPr="00CA3941">
        <w:rPr>
          <w:rFonts w:eastAsia="Times New Roman" w:cs="Times New Roman"/>
          <w:lang w:eastAsia="en-GB"/>
        </w:rPr>
        <w:t>.</w:t>
      </w:r>
    </w:p>
    <w:p w14:paraId="2B6319FF"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Carroll, A.B. (1991). The pyramid of corporate social responsibility: Toward the moral management of organizational stakeholders. </w:t>
      </w:r>
      <w:r w:rsidRPr="00CA3941">
        <w:rPr>
          <w:rFonts w:eastAsia="Times New Roman" w:cs="Times New Roman"/>
          <w:i/>
          <w:iCs/>
          <w:lang w:eastAsia="en-GB"/>
        </w:rPr>
        <w:t>Business Horizons</w:t>
      </w:r>
      <w:r w:rsidRPr="00CA3941">
        <w:rPr>
          <w:rFonts w:eastAsia="Times New Roman" w:cs="Times New Roman"/>
          <w:lang w:eastAsia="en-GB"/>
        </w:rPr>
        <w:t xml:space="preserve">, 34(4), pp.39–48.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://doi.org/10.1016/0007-6813(91)90005-G</w:t>
      </w:r>
      <w:proofErr w:type="gramEnd"/>
      <w:r w:rsidRPr="00CA3941">
        <w:rPr>
          <w:rFonts w:eastAsia="Times New Roman" w:cs="Times New Roman"/>
          <w:lang w:eastAsia="en-GB"/>
        </w:rPr>
        <w:t>.</w:t>
      </w:r>
    </w:p>
    <w:p w14:paraId="13E920D5"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Carroll, A.B. (2016). Carroll’s Pyramid of CSR: Taking Another Look. </w:t>
      </w:r>
      <w:r w:rsidRPr="00CA3941">
        <w:rPr>
          <w:rFonts w:eastAsia="Times New Roman" w:cs="Times New Roman"/>
          <w:i/>
          <w:iCs/>
          <w:lang w:eastAsia="en-GB"/>
        </w:rPr>
        <w:t>International Journal of Corporate Social Responsibility</w:t>
      </w:r>
      <w:r w:rsidRPr="00CA3941">
        <w:rPr>
          <w:rFonts w:eastAsia="Times New Roman" w:cs="Times New Roman"/>
          <w:lang w:eastAsia="en-GB"/>
        </w:rPr>
        <w:t xml:space="preserve">, [online] 1(3), pp.1–8.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://doi.org/10.1186/s40991-016-0004-6</w:t>
      </w:r>
      <w:proofErr w:type="gramEnd"/>
      <w:r w:rsidRPr="00CA3941">
        <w:rPr>
          <w:rFonts w:eastAsia="Times New Roman" w:cs="Times New Roman"/>
          <w:lang w:eastAsia="en-GB"/>
        </w:rPr>
        <w:t>.</w:t>
      </w:r>
    </w:p>
    <w:p w14:paraId="719D5302"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EHL Insights (2025). </w:t>
      </w:r>
      <w:r w:rsidRPr="00CA3941">
        <w:rPr>
          <w:rFonts w:eastAsia="Times New Roman" w:cs="Times New Roman"/>
          <w:i/>
          <w:iCs/>
          <w:lang w:eastAsia="en-GB"/>
        </w:rPr>
        <w:t>Sustainability in the Hospitality Industry: Trends, Strategies, &amp; Examples</w:t>
      </w:r>
      <w:r w:rsidRPr="00CA3941">
        <w:rPr>
          <w:rFonts w:eastAsia="Times New Roman" w:cs="Times New Roman"/>
          <w:lang w:eastAsia="en-GB"/>
        </w:rPr>
        <w:t>. [online] Ehl.edu. Available at: https://hospitalityinsights.ehl.edu/hotel-sustainability-trends [Accessed 25 Nov. 2025].</w:t>
      </w:r>
    </w:p>
    <w:p w14:paraId="3B866671"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Font, X. and Lynes, J. (2018a). Corporate social responsibility in tourism and hospitality. </w:t>
      </w:r>
      <w:r w:rsidRPr="00CA3941">
        <w:rPr>
          <w:rFonts w:eastAsia="Times New Roman" w:cs="Times New Roman"/>
          <w:i/>
          <w:iCs/>
          <w:lang w:eastAsia="en-GB"/>
        </w:rPr>
        <w:t>Journal of Sustainable Tourism</w:t>
      </w:r>
      <w:r w:rsidRPr="00CA3941">
        <w:rPr>
          <w:rFonts w:eastAsia="Times New Roman" w:cs="Times New Roman"/>
          <w:lang w:eastAsia="en-GB"/>
        </w:rPr>
        <w:t xml:space="preserve">, [online] 26(7), pp.1027–1042.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://doi.org/10.1080/09669582.2018.1488856</w:t>
      </w:r>
      <w:proofErr w:type="gramEnd"/>
      <w:r w:rsidRPr="00CA3941">
        <w:rPr>
          <w:rFonts w:eastAsia="Times New Roman" w:cs="Times New Roman"/>
          <w:lang w:eastAsia="en-GB"/>
        </w:rPr>
        <w:t>.</w:t>
      </w:r>
    </w:p>
    <w:p w14:paraId="2E14DA7D"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Font, X. and Lynes, J. (2018b). Corporate social responsibility in tourism and hospitality. </w:t>
      </w:r>
      <w:r w:rsidRPr="00CA3941">
        <w:rPr>
          <w:rFonts w:eastAsia="Times New Roman" w:cs="Times New Roman"/>
          <w:i/>
          <w:iCs/>
          <w:lang w:eastAsia="en-GB"/>
        </w:rPr>
        <w:t>Journal of Sustainable Tourism</w:t>
      </w:r>
      <w:r w:rsidRPr="00CA3941">
        <w:rPr>
          <w:rFonts w:eastAsia="Times New Roman" w:cs="Times New Roman"/>
          <w:lang w:eastAsia="en-GB"/>
        </w:rPr>
        <w:t xml:space="preserve">, [online] 26(7), pp.1027–1042.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://doi.org/10.1080/09669582.2018.1488856</w:t>
      </w:r>
      <w:proofErr w:type="gramEnd"/>
      <w:r w:rsidRPr="00CA3941">
        <w:rPr>
          <w:rFonts w:eastAsia="Times New Roman" w:cs="Times New Roman"/>
          <w:lang w:eastAsia="en-GB"/>
        </w:rPr>
        <w:t>.</w:t>
      </w:r>
    </w:p>
    <w:p w14:paraId="710EB44A"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Hall, C.M. (2015). </w:t>
      </w:r>
      <w:r w:rsidRPr="00CA3941">
        <w:rPr>
          <w:rFonts w:eastAsia="Times New Roman" w:cs="Times New Roman"/>
          <w:i/>
          <w:iCs/>
          <w:lang w:eastAsia="en-GB"/>
        </w:rPr>
        <w:t>The Routledge Handbook of Tourism and Sustainability</w:t>
      </w:r>
      <w:r w:rsidRPr="00CA3941">
        <w:rPr>
          <w:rFonts w:eastAsia="Times New Roman" w:cs="Times New Roman"/>
          <w:lang w:eastAsia="en-GB"/>
        </w:rPr>
        <w:t xml:space="preserve">. Routledge.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://doi.org/10.4324/9780203072332</w:t>
      </w:r>
      <w:proofErr w:type="gramEnd"/>
      <w:r w:rsidRPr="00CA3941">
        <w:rPr>
          <w:rFonts w:eastAsia="Times New Roman" w:cs="Times New Roman"/>
          <w:lang w:eastAsia="en-GB"/>
        </w:rPr>
        <w:t>.</w:t>
      </w:r>
    </w:p>
    <w:p w14:paraId="5C2774A4"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Hall, C.M. and Page, S.J. (2009). Progress in Tourism Management: From the geography of tourism to geographies of tourism – A review. </w:t>
      </w:r>
      <w:r w:rsidRPr="00CA3941">
        <w:rPr>
          <w:rFonts w:eastAsia="Times New Roman" w:cs="Times New Roman"/>
          <w:i/>
          <w:iCs/>
          <w:lang w:eastAsia="en-GB"/>
        </w:rPr>
        <w:t>Tourism Management</w:t>
      </w:r>
      <w:r w:rsidRPr="00CA3941">
        <w:rPr>
          <w:rFonts w:eastAsia="Times New Roman" w:cs="Times New Roman"/>
          <w:lang w:eastAsia="en-GB"/>
        </w:rPr>
        <w:t xml:space="preserve">, 30(1), pp.3–16.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://doi.org/10.1016/j.tourman.2008.05.014</w:t>
      </w:r>
      <w:proofErr w:type="gramEnd"/>
      <w:r w:rsidRPr="00CA3941">
        <w:rPr>
          <w:rFonts w:eastAsia="Times New Roman" w:cs="Times New Roman"/>
          <w:lang w:eastAsia="en-GB"/>
        </w:rPr>
        <w:t>.</w:t>
      </w:r>
    </w:p>
    <w:p w14:paraId="70B297DC"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Hampton, M.P., </w:t>
      </w:r>
      <w:proofErr w:type="spellStart"/>
      <w:r w:rsidRPr="00CA3941">
        <w:rPr>
          <w:rFonts w:eastAsia="Times New Roman" w:cs="Times New Roman"/>
          <w:lang w:eastAsia="en-GB"/>
        </w:rPr>
        <w:t>Jeyacheya</w:t>
      </w:r>
      <w:proofErr w:type="spellEnd"/>
      <w:r w:rsidRPr="00CA3941">
        <w:rPr>
          <w:rFonts w:eastAsia="Times New Roman" w:cs="Times New Roman"/>
          <w:lang w:eastAsia="en-GB"/>
        </w:rPr>
        <w:t xml:space="preserve">, J. and Long, P.H. (2017). Can Tourism Promote Inclusive Growth? Supply Chains, Ownership and Employment in Ha Long Bay, Vietnam. </w:t>
      </w:r>
      <w:r w:rsidRPr="00CA3941">
        <w:rPr>
          <w:rFonts w:eastAsia="Times New Roman" w:cs="Times New Roman"/>
          <w:i/>
          <w:iCs/>
          <w:lang w:eastAsia="en-GB"/>
        </w:rPr>
        <w:t>The Journal of Development Studies</w:t>
      </w:r>
      <w:r w:rsidRPr="00CA3941">
        <w:rPr>
          <w:rFonts w:eastAsia="Times New Roman" w:cs="Times New Roman"/>
          <w:lang w:eastAsia="en-GB"/>
        </w:rPr>
        <w:t xml:space="preserve">, 54(2), pp.359–376.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://doi.org/10.1080/00220388.2017.1296572</w:t>
      </w:r>
      <w:proofErr w:type="gramEnd"/>
      <w:r w:rsidRPr="00CA3941">
        <w:rPr>
          <w:rFonts w:eastAsia="Times New Roman" w:cs="Times New Roman"/>
          <w:lang w:eastAsia="en-GB"/>
        </w:rPr>
        <w:t>.</w:t>
      </w:r>
    </w:p>
    <w:p w14:paraId="0E78BC6D"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proofErr w:type="spellStart"/>
      <w:r w:rsidRPr="00CA3941">
        <w:rPr>
          <w:rFonts w:eastAsia="Times New Roman" w:cs="Times New Roman"/>
          <w:lang w:eastAsia="en-GB"/>
        </w:rPr>
        <w:lastRenderedPageBreak/>
        <w:t>Hanski</w:t>
      </w:r>
      <w:proofErr w:type="spellEnd"/>
      <w:r w:rsidRPr="00CA3941">
        <w:rPr>
          <w:rFonts w:eastAsia="Times New Roman" w:cs="Times New Roman"/>
          <w:lang w:eastAsia="en-GB"/>
        </w:rPr>
        <w:t xml:space="preserve">, J. and </w:t>
      </w:r>
      <w:proofErr w:type="spellStart"/>
      <w:r w:rsidRPr="00CA3941">
        <w:rPr>
          <w:rFonts w:eastAsia="Times New Roman" w:cs="Times New Roman"/>
          <w:lang w:eastAsia="en-GB"/>
        </w:rPr>
        <w:t>Ojanen</w:t>
      </w:r>
      <w:proofErr w:type="spellEnd"/>
      <w:r w:rsidRPr="00CA3941">
        <w:rPr>
          <w:rFonts w:eastAsia="Times New Roman" w:cs="Times New Roman"/>
          <w:lang w:eastAsia="en-GB"/>
        </w:rPr>
        <w:t xml:space="preserve">, V. (2020). Sustainability in strategic asset management frameworks: a systematic literature review. </w:t>
      </w:r>
      <w:r w:rsidRPr="00CA3941">
        <w:rPr>
          <w:rFonts w:eastAsia="Times New Roman" w:cs="Times New Roman"/>
          <w:i/>
          <w:iCs/>
          <w:lang w:eastAsia="en-GB"/>
        </w:rPr>
        <w:t>International Journal of Strategic Engineering Asset Management</w:t>
      </w:r>
      <w:r w:rsidRPr="00CA3941">
        <w:rPr>
          <w:rFonts w:eastAsia="Times New Roman" w:cs="Times New Roman"/>
          <w:lang w:eastAsia="en-GB"/>
        </w:rPr>
        <w:t xml:space="preserve">, 3(4), p.263.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://doi.org/10.1504/ijseam.2020.111420</w:t>
      </w:r>
      <w:proofErr w:type="gramEnd"/>
      <w:r w:rsidRPr="00CA3941">
        <w:rPr>
          <w:rFonts w:eastAsia="Times New Roman" w:cs="Times New Roman"/>
          <w:lang w:eastAsia="en-GB"/>
        </w:rPr>
        <w:t>.</w:t>
      </w:r>
    </w:p>
    <w:p w14:paraId="48E14B7B"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proofErr w:type="spellStart"/>
      <w:r w:rsidRPr="00CA3941">
        <w:rPr>
          <w:rFonts w:eastAsia="Times New Roman" w:cs="Times New Roman"/>
          <w:lang w:eastAsia="en-GB"/>
        </w:rPr>
        <w:t>Jamart</w:t>
      </w:r>
      <w:proofErr w:type="spellEnd"/>
      <w:r w:rsidRPr="00CA3941">
        <w:rPr>
          <w:rFonts w:eastAsia="Times New Roman" w:cs="Times New Roman"/>
          <w:lang w:eastAsia="en-GB"/>
        </w:rPr>
        <w:t xml:space="preserve">, L. (2021). The 2021 report of the Lancet Countdown on health and climate change: code red for a healthy future. </w:t>
      </w:r>
      <w:r w:rsidRPr="00CA3941">
        <w:rPr>
          <w:rFonts w:eastAsia="Times New Roman" w:cs="Times New Roman"/>
          <w:i/>
          <w:iCs/>
          <w:lang w:eastAsia="en-GB"/>
        </w:rPr>
        <w:t>The Lancet</w:t>
      </w:r>
      <w:r w:rsidRPr="00CA3941">
        <w:rPr>
          <w:rFonts w:eastAsia="Times New Roman" w:cs="Times New Roman"/>
          <w:lang w:eastAsia="en-GB"/>
        </w:rPr>
        <w:t xml:space="preserve">, [online] 398(10311).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://doi.org/10.1016/S0140-6736(21)01787-6</w:t>
      </w:r>
      <w:proofErr w:type="gramEnd"/>
      <w:r w:rsidRPr="00CA3941">
        <w:rPr>
          <w:rFonts w:eastAsia="Times New Roman" w:cs="Times New Roman"/>
          <w:lang w:eastAsia="en-GB"/>
        </w:rPr>
        <w:t>.</w:t>
      </w:r>
    </w:p>
    <w:p w14:paraId="06199C22"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proofErr w:type="spellStart"/>
      <w:r w:rsidRPr="00CA3941">
        <w:rPr>
          <w:rFonts w:eastAsia="Times New Roman" w:cs="Times New Roman"/>
          <w:lang w:eastAsia="en-GB"/>
        </w:rPr>
        <w:t>Kontogeorgopoulos</w:t>
      </w:r>
      <w:proofErr w:type="spellEnd"/>
      <w:r w:rsidRPr="00CA3941">
        <w:rPr>
          <w:rFonts w:eastAsia="Times New Roman" w:cs="Times New Roman"/>
          <w:lang w:eastAsia="en-GB"/>
        </w:rPr>
        <w:t xml:space="preserve">, N., </w:t>
      </w:r>
      <w:proofErr w:type="spellStart"/>
      <w:r w:rsidRPr="00CA3941">
        <w:rPr>
          <w:rFonts w:eastAsia="Times New Roman" w:cs="Times New Roman"/>
          <w:lang w:eastAsia="en-GB"/>
        </w:rPr>
        <w:t>Churyen</w:t>
      </w:r>
      <w:proofErr w:type="spellEnd"/>
      <w:r w:rsidRPr="00CA3941">
        <w:rPr>
          <w:rFonts w:eastAsia="Times New Roman" w:cs="Times New Roman"/>
          <w:lang w:eastAsia="en-GB"/>
        </w:rPr>
        <w:t xml:space="preserve">, A. and </w:t>
      </w:r>
      <w:proofErr w:type="spellStart"/>
      <w:r w:rsidRPr="00CA3941">
        <w:rPr>
          <w:rFonts w:eastAsia="Times New Roman" w:cs="Times New Roman"/>
          <w:lang w:eastAsia="en-GB"/>
        </w:rPr>
        <w:t>Duangsaeng</w:t>
      </w:r>
      <w:proofErr w:type="spellEnd"/>
      <w:r w:rsidRPr="00CA3941">
        <w:rPr>
          <w:rFonts w:eastAsia="Times New Roman" w:cs="Times New Roman"/>
          <w:lang w:eastAsia="en-GB"/>
        </w:rPr>
        <w:t xml:space="preserve">, V. (2013). Success Factors in Community-Based Tourism in Thailand: The Role of Luck, External Support, and Local Leadership. </w:t>
      </w:r>
      <w:r w:rsidRPr="00CA3941">
        <w:rPr>
          <w:rFonts w:eastAsia="Times New Roman" w:cs="Times New Roman"/>
          <w:i/>
          <w:iCs/>
          <w:lang w:eastAsia="en-GB"/>
        </w:rPr>
        <w:t>Tourism Planning &amp; Development</w:t>
      </w:r>
      <w:r w:rsidRPr="00CA3941">
        <w:rPr>
          <w:rFonts w:eastAsia="Times New Roman" w:cs="Times New Roman"/>
          <w:lang w:eastAsia="en-GB"/>
        </w:rPr>
        <w:t xml:space="preserve">, 11(1), pp.106–124.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://doi.org/10.1080/21568316.2013.852991</w:t>
      </w:r>
      <w:proofErr w:type="gramEnd"/>
      <w:r w:rsidRPr="00CA3941">
        <w:rPr>
          <w:rFonts w:eastAsia="Times New Roman" w:cs="Times New Roman"/>
          <w:lang w:eastAsia="en-GB"/>
        </w:rPr>
        <w:t>.</w:t>
      </w:r>
    </w:p>
    <w:p w14:paraId="1F876DCA"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proofErr w:type="spellStart"/>
      <w:r w:rsidRPr="00CA3941">
        <w:rPr>
          <w:rFonts w:eastAsia="Times New Roman" w:cs="Times New Roman"/>
          <w:lang w:eastAsia="en-GB"/>
        </w:rPr>
        <w:t>Minasu</w:t>
      </w:r>
      <w:proofErr w:type="spellEnd"/>
      <w:r w:rsidRPr="00CA3941">
        <w:rPr>
          <w:rFonts w:eastAsia="Times New Roman" w:cs="Times New Roman"/>
          <w:lang w:eastAsia="en-GB"/>
        </w:rPr>
        <w:t xml:space="preserve"> Michael </w:t>
      </w:r>
      <w:proofErr w:type="spellStart"/>
      <w:r w:rsidRPr="00CA3941">
        <w:rPr>
          <w:rFonts w:eastAsia="Times New Roman" w:cs="Times New Roman"/>
          <w:lang w:eastAsia="en-GB"/>
        </w:rPr>
        <w:t>Agosu</w:t>
      </w:r>
      <w:proofErr w:type="spellEnd"/>
      <w:r w:rsidRPr="00CA3941">
        <w:rPr>
          <w:rFonts w:eastAsia="Times New Roman" w:cs="Times New Roman"/>
          <w:lang w:eastAsia="en-GB"/>
        </w:rPr>
        <w:t xml:space="preserve"> (2008). </w:t>
      </w:r>
      <w:r w:rsidRPr="00CA3941">
        <w:rPr>
          <w:rFonts w:eastAsia="Times New Roman" w:cs="Times New Roman"/>
          <w:i/>
          <w:iCs/>
          <w:lang w:eastAsia="en-GB"/>
        </w:rPr>
        <w:t xml:space="preserve">Tourism and sustainability: Development, </w:t>
      </w:r>
      <w:proofErr w:type="gramStart"/>
      <w:r w:rsidRPr="00CA3941">
        <w:rPr>
          <w:rFonts w:eastAsia="Times New Roman" w:cs="Times New Roman"/>
          <w:i/>
          <w:iCs/>
          <w:lang w:eastAsia="en-GB"/>
        </w:rPr>
        <w:t>globalization</w:t>
      </w:r>
      <w:proofErr w:type="gramEnd"/>
      <w:r w:rsidRPr="00CA3941">
        <w:rPr>
          <w:rFonts w:eastAsia="Times New Roman" w:cs="Times New Roman"/>
          <w:i/>
          <w:iCs/>
          <w:lang w:eastAsia="en-GB"/>
        </w:rPr>
        <w:t xml:space="preserve"> and new tourism in the third world</w:t>
      </w:r>
      <w:r w:rsidRPr="00CA3941">
        <w:rPr>
          <w:rFonts w:eastAsia="Times New Roman" w:cs="Times New Roman"/>
          <w:lang w:eastAsia="en-GB"/>
        </w:rPr>
        <w:t>. [online] Academia.edu. Available at: https://www.academia.edu/2605641/Tourism_and_sustainability_Development_globalization_and_new_tourism_in_the_third_world [Accessed 20 Nov. 2025].</w:t>
      </w:r>
    </w:p>
    <w:p w14:paraId="298BA305"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proofErr w:type="spellStart"/>
      <w:r w:rsidRPr="00CA3941">
        <w:rPr>
          <w:rFonts w:eastAsia="Times New Roman" w:cs="Times New Roman"/>
          <w:lang w:eastAsia="en-GB"/>
        </w:rPr>
        <w:t>Mowforth</w:t>
      </w:r>
      <w:proofErr w:type="spellEnd"/>
      <w:r w:rsidRPr="00CA3941">
        <w:rPr>
          <w:rFonts w:eastAsia="Times New Roman" w:cs="Times New Roman"/>
          <w:lang w:eastAsia="en-GB"/>
        </w:rPr>
        <w:t xml:space="preserve">, M. and Munt, I. (2015). </w:t>
      </w:r>
      <w:r w:rsidRPr="00CA3941">
        <w:rPr>
          <w:rFonts w:eastAsia="Times New Roman" w:cs="Times New Roman"/>
          <w:i/>
          <w:iCs/>
          <w:lang w:eastAsia="en-GB"/>
        </w:rPr>
        <w:t>Tourism and Sustainability</w:t>
      </w:r>
      <w:r w:rsidRPr="00CA3941">
        <w:rPr>
          <w:rFonts w:eastAsia="Times New Roman" w:cs="Times New Roman"/>
          <w:lang w:eastAsia="en-GB"/>
        </w:rPr>
        <w:t xml:space="preserve">. Routledge. </w:t>
      </w:r>
      <w:proofErr w:type="spellStart"/>
      <w:proofErr w:type="gramStart"/>
      <w:r w:rsidRPr="00CA3941">
        <w:rPr>
          <w:rFonts w:eastAsia="Times New Roman" w:cs="Times New Roman"/>
          <w:lang w:eastAsia="en-GB"/>
        </w:rPr>
        <w:t>doi:https</w:t>
      </w:r>
      <w:proofErr w:type="spellEnd"/>
      <w:r w:rsidRPr="00CA3941">
        <w:rPr>
          <w:rFonts w:eastAsia="Times New Roman" w:cs="Times New Roman"/>
          <w:lang w:eastAsia="en-GB"/>
        </w:rPr>
        <w:t>://doi.org/10.4324/9781315795348</w:t>
      </w:r>
      <w:proofErr w:type="gramEnd"/>
      <w:r w:rsidRPr="00CA3941">
        <w:rPr>
          <w:rFonts w:eastAsia="Times New Roman" w:cs="Times New Roman"/>
          <w:lang w:eastAsia="en-GB"/>
        </w:rPr>
        <w:t>.</w:t>
      </w:r>
    </w:p>
    <w:p w14:paraId="6CF9B8FA"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OECD. (2025). </w:t>
      </w:r>
      <w:r w:rsidRPr="00CA3941">
        <w:rPr>
          <w:rFonts w:eastAsia="Times New Roman" w:cs="Times New Roman"/>
          <w:i/>
          <w:iCs/>
          <w:lang w:eastAsia="en-GB"/>
        </w:rPr>
        <w:t xml:space="preserve">The current situation for plastics use, </w:t>
      </w:r>
      <w:proofErr w:type="gramStart"/>
      <w:r w:rsidRPr="00CA3941">
        <w:rPr>
          <w:rFonts w:eastAsia="Times New Roman" w:cs="Times New Roman"/>
          <w:i/>
          <w:iCs/>
          <w:lang w:eastAsia="en-GB"/>
        </w:rPr>
        <w:t>waste</w:t>
      </w:r>
      <w:proofErr w:type="gramEnd"/>
      <w:r w:rsidRPr="00CA3941">
        <w:rPr>
          <w:rFonts w:eastAsia="Times New Roman" w:cs="Times New Roman"/>
          <w:i/>
          <w:iCs/>
          <w:lang w:eastAsia="en-GB"/>
        </w:rPr>
        <w:t xml:space="preserve"> and end-of-life fates: Regional Plastics Outlook for Southeast and East Asia</w:t>
      </w:r>
      <w:r w:rsidRPr="00CA3941">
        <w:rPr>
          <w:rFonts w:eastAsia="Times New Roman" w:cs="Times New Roman"/>
          <w:lang w:eastAsia="en-GB"/>
        </w:rPr>
        <w:t>. [online] Available at: https://www.oecd.org/en/publications/regional-plastics-outlook-for-southeast-and-east-asia_5a8ff43c-en/full-report/the-current-situation-for-plastics-use-waste-and-end-of-life-fates_795c5aff.html [Accessed 25 Nov. 2025].</w:t>
      </w:r>
    </w:p>
    <w:p w14:paraId="433A3792"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Parker, L. (2025). </w:t>
      </w:r>
      <w:r w:rsidRPr="00CA3941">
        <w:rPr>
          <w:rFonts w:eastAsia="Times New Roman" w:cs="Times New Roman"/>
          <w:i/>
          <w:iCs/>
          <w:lang w:eastAsia="en-GB"/>
        </w:rPr>
        <w:t>The world’s plastic pollution crisis, explained</w:t>
      </w:r>
      <w:r w:rsidRPr="00CA3941">
        <w:rPr>
          <w:rFonts w:eastAsia="Times New Roman" w:cs="Times New Roman"/>
          <w:lang w:eastAsia="en-GB"/>
        </w:rPr>
        <w:t>. [online] National Geographic. Available at: https://www.nationalgeographic.com/environment/article/plastic-pollution.</w:t>
      </w:r>
    </w:p>
    <w:p w14:paraId="2B72B355"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Shepherd, R.J. (2002). </w:t>
      </w:r>
      <w:r w:rsidRPr="00CA3941">
        <w:rPr>
          <w:rFonts w:eastAsia="Times New Roman" w:cs="Times New Roman"/>
          <w:i/>
          <w:iCs/>
          <w:lang w:eastAsia="en-GB"/>
        </w:rPr>
        <w:t>Commodification, Culture and Tourism</w:t>
      </w:r>
      <w:r w:rsidRPr="00CA3941">
        <w:rPr>
          <w:rFonts w:eastAsia="Times New Roman" w:cs="Times New Roman"/>
          <w:lang w:eastAsia="en-GB"/>
        </w:rPr>
        <w:t>. [online] ResearchGate. Available at: https://www.researchgate.net/publication/249631255_Commodification_Culture_and_Tourism.</w:t>
      </w:r>
    </w:p>
    <w:p w14:paraId="6A568ECE"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stroma, C. (2012). A political ecology of water equity and tourism: A case study from Bali.</w:t>
      </w:r>
    </w:p>
    <w:p w14:paraId="15B16741"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lastRenderedPageBreak/>
        <w:t xml:space="preserve">UNDP (2020). </w:t>
      </w:r>
      <w:r w:rsidRPr="00CA3941">
        <w:rPr>
          <w:rFonts w:eastAsia="Times New Roman" w:cs="Times New Roman"/>
          <w:i/>
          <w:iCs/>
          <w:lang w:eastAsia="en-GB"/>
        </w:rPr>
        <w:t>Human Development Report 2020</w:t>
      </w:r>
      <w:r w:rsidRPr="00CA3941">
        <w:rPr>
          <w:rFonts w:eastAsia="Times New Roman" w:cs="Times New Roman"/>
          <w:lang w:eastAsia="en-GB"/>
        </w:rPr>
        <w:t>. [online] hdr.undp.org. Available at: https://hdr.undp.org/content/human-development-report-2020 [Accessed 25 Nov. 2025].</w:t>
      </w:r>
    </w:p>
    <w:p w14:paraId="51D2EA1A" w14:textId="77777777" w:rsidR="00CA3941" w:rsidRPr="00CA3941" w:rsidRDefault="00CA3941" w:rsidP="00CA3941">
      <w:pPr>
        <w:pStyle w:val="ListParagraph"/>
        <w:numPr>
          <w:ilvl w:val="0"/>
          <w:numId w:val="1"/>
        </w:numPr>
        <w:spacing w:after="240" w:line="360" w:lineRule="auto"/>
        <w:rPr>
          <w:rFonts w:eastAsia="Times New Roman" w:cs="Times New Roman"/>
          <w:lang w:eastAsia="en-GB"/>
        </w:rPr>
      </w:pPr>
      <w:r w:rsidRPr="00CA3941">
        <w:rPr>
          <w:rFonts w:eastAsia="Times New Roman" w:cs="Times New Roman"/>
          <w:lang w:eastAsia="en-GB"/>
        </w:rPr>
        <w:t xml:space="preserve">United Nations (2015). </w:t>
      </w:r>
      <w:r w:rsidRPr="00CA3941">
        <w:rPr>
          <w:rFonts w:eastAsia="Times New Roman" w:cs="Times New Roman"/>
          <w:i/>
          <w:iCs/>
          <w:lang w:eastAsia="en-GB"/>
        </w:rPr>
        <w:t>The 17 sustainable development goals</w:t>
      </w:r>
      <w:r w:rsidRPr="00CA3941">
        <w:rPr>
          <w:rFonts w:eastAsia="Times New Roman" w:cs="Times New Roman"/>
          <w:lang w:eastAsia="en-GB"/>
        </w:rPr>
        <w:t>. [online] United Nations. Available at: https://sdgs.un.org/goals.</w:t>
      </w:r>
    </w:p>
    <w:p w14:paraId="6E1BC23D" w14:textId="77777777" w:rsidR="003041E9" w:rsidRDefault="003041E9" w:rsidP="00CE4145">
      <w:pPr>
        <w:pStyle w:val="NormalWeb"/>
        <w:rPr>
          <w:rFonts w:asciiTheme="minorHAnsi" w:hAnsiTheme="minorHAnsi"/>
          <w:sz w:val="36"/>
          <w:szCs w:val="36"/>
        </w:rPr>
      </w:pPr>
    </w:p>
    <w:p w14:paraId="4BEA15B4" w14:textId="77777777" w:rsidR="00ED4983" w:rsidRPr="00DE41B6" w:rsidRDefault="00ED4983" w:rsidP="00CE4145">
      <w:pPr>
        <w:pStyle w:val="NormalWeb"/>
        <w:rPr>
          <w:rFonts w:asciiTheme="minorHAnsi" w:hAnsiTheme="minorHAnsi"/>
          <w:sz w:val="36"/>
          <w:szCs w:val="36"/>
        </w:rPr>
      </w:pPr>
    </w:p>
    <w:p w14:paraId="72F14C14" w14:textId="2D307DB2" w:rsidR="5B893EA4" w:rsidRDefault="5B893EA4" w:rsidP="5B893EA4">
      <w:pPr>
        <w:rPr>
          <w:color w:val="000000" w:themeColor="text1"/>
        </w:rPr>
      </w:pPr>
    </w:p>
    <w:p w14:paraId="3A01E1B0" w14:textId="056114B7" w:rsidR="5B893EA4" w:rsidRDefault="5B893EA4" w:rsidP="5B893EA4">
      <w:pPr>
        <w:rPr>
          <w:color w:val="000000" w:themeColor="text1"/>
        </w:rPr>
      </w:pPr>
    </w:p>
    <w:p w14:paraId="201995EA" w14:textId="3E30BE44" w:rsidR="5B893EA4" w:rsidRDefault="5B893EA4" w:rsidP="5B893EA4">
      <w:pPr>
        <w:rPr>
          <w:color w:val="000000" w:themeColor="text1"/>
        </w:rPr>
      </w:pPr>
    </w:p>
    <w:p w14:paraId="266A106F" w14:textId="3339CA75" w:rsidR="5B893EA4" w:rsidRDefault="5B893EA4" w:rsidP="5B893EA4">
      <w:pPr>
        <w:rPr>
          <w:color w:val="000000" w:themeColor="text1"/>
        </w:rPr>
      </w:pPr>
    </w:p>
    <w:p w14:paraId="645D0250" w14:textId="21AFD91A" w:rsidR="5B893EA4" w:rsidRDefault="5B893EA4" w:rsidP="5B893EA4">
      <w:pPr>
        <w:rPr>
          <w:color w:val="000000" w:themeColor="text1"/>
        </w:rPr>
      </w:pPr>
    </w:p>
    <w:p w14:paraId="2C4F243E" w14:textId="2651F16E" w:rsidR="5B893EA4" w:rsidRDefault="5B893EA4" w:rsidP="5B893EA4">
      <w:pPr>
        <w:rPr>
          <w:color w:val="000000" w:themeColor="text1"/>
        </w:rPr>
      </w:pPr>
    </w:p>
    <w:p w14:paraId="0DE05AD9" w14:textId="69000F43" w:rsidR="5B893EA4" w:rsidRDefault="5B893EA4" w:rsidP="5B893EA4">
      <w:pPr>
        <w:rPr>
          <w:color w:val="000000" w:themeColor="text1"/>
        </w:rPr>
      </w:pPr>
    </w:p>
    <w:sectPr w:rsidR="5B893EA4" w:rsidSect="00363704">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eULyc/6C7NBNs7" int2:id="zI7P7nJa">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65F29"/>
    <w:multiLevelType w:val="hybridMultilevel"/>
    <w:tmpl w:val="143EFA0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9694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72AAF4"/>
    <w:rsid w:val="00001B37"/>
    <w:rsid w:val="00013CCB"/>
    <w:rsid w:val="000262AE"/>
    <w:rsid w:val="00044E24"/>
    <w:rsid w:val="00051B5D"/>
    <w:rsid w:val="00062EC1"/>
    <w:rsid w:val="000648F3"/>
    <w:rsid w:val="000715EE"/>
    <w:rsid w:val="000B602E"/>
    <w:rsid w:val="000D733E"/>
    <w:rsid w:val="000D759B"/>
    <w:rsid w:val="00103CD0"/>
    <w:rsid w:val="0014503E"/>
    <w:rsid w:val="001A23F4"/>
    <w:rsid w:val="001F67E9"/>
    <w:rsid w:val="00215765"/>
    <w:rsid w:val="00223DFE"/>
    <w:rsid w:val="00263C40"/>
    <w:rsid w:val="00265FF1"/>
    <w:rsid w:val="00284F4E"/>
    <w:rsid w:val="002A0598"/>
    <w:rsid w:val="002C0B8A"/>
    <w:rsid w:val="002E09E0"/>
    <w:rsid w:val="002F61B4"/>
    <w:rsid w:val="003041E9"/>
    <w:rsid w:val="00307270"/>
    <w:rsid w:val="003123F0"/>
    <w:rsid w:val="003215EF"/>
    <w:rsid w:val="003422CE"/>
    <w:rsid w:val="00363704"/>
    <w:rsid w:val="00366F5D"/>
    <w:rsid w:val="0039027E"/>
    <w:rsid w:val="003A02B0"/>
    <w:rsid w:val="003D7976"/>
    <w:rsid w:val="003E24FF"/>
    <w:rsid w:val="003E31AE"/>
    <w:rsid w:val="003F2C6E"/>
    <w:rsid w:val="003F4E95"/>
    <w:rsid w:val="00403A76"/>
    <w:rsid w:val="00415069"/>
    <w:rsid w:val="00430C08"/>
    <w:rsid w:val="00435BC3"/>
    <w:rsid w:val="004A715C"/>
    <w:rsid w:val="004B4935"/>
    <w:rsid w:val="004D4FD4"/>
    <w:rsid w:val="004E04CF"/>
    <w:rsid w:val="0050159B"/>
    <w:rsid w:val="00543386"/>
    <w:rsid w:val="0055122E"/>
    <w:rsid w:val="00565C67"/>
    <w:rsid w:val="005A4798"/>
    <w:rsid w:val="005B235F"/>
    <w:rsid w:val="005C2B8A"/>
    <w:rsid w:val="005C6707"/>
    <w:rsid w:val="005F2391"/>
    <w:rsid w:val="00610CC9"/>
    <w:rsid w:val="006278DF"/>
    <w:rsid w:val="00683F18"/>
    <w:rsid w:val="006905CE"/>
    <w:rsid w:val="006962EA"/>
    <w:rsid w:val="006C7C20"/>
    <w:rsid w:val="006F3084"/>
    <w:rsid w:val="006F4B5E"/>
    <w:rsid w:val="00701E3C"/>
    <w:rsid w:val="00740BB1"/>
    <w:rsid w:val="007611C0"/>
    <w:rsid w:val="0076790C"/>
    <w:rsid w:val="0078678D"/>
    <w:rsid w:val="007E1B9A"/>
    <w:rsid w:val="00804282"/>
    <w:rsid w:val="00814DE1"/>
    <w:rsid w:val="00847F67"/>
    <w:rsid w:val="00851CCF"/>
    <w:rsid w:val="008A41DC"/>
    <w:rsid w:val="008C15FE"/>
    <w:rsid w:val="008D0786"/>
    <w:rsid w:val="008E40AD"/>
    <w:rsid w:val="008E5A01"/>
    <w:rsid w:val="008F5A55"/>
    <w:rsid w:val="00920B80"/>
    <w:rsid w:val="00934BFF"/>
    <w:rsid w:val="00952E17"/>
    <w:rsid w:val="00964B51"/>
    <w:rsid w:val="0097551D"/>
    <w:rsid w:val="00994158"/>
    <w:rsid w:val="009B4C71"/>
    <w:rsid w:val="009D2562"/>
    <w:rsid w:val="00A43A19"/>
    <w:rsid w:val="00A5639B"/>
    <w:rsid w:val="00A7619A"/>
    <w:rsid w:val="00A87EAA"/>
    <w:rsid w:val="00A97F65"/>
    <w:rsid w:val="00AB5F7C"/>
    <w:rsid w:val="00AE22E4"/>
    <w:rsid w:val="00AE77F9"/>
    <w:rsid w:val="00B018E2"/>
    <w:rsid w:val="00B02F6A"/>
    <w:rsid w:val="00B03817"/>
    <w:rsid w:val="00B128C3"/>
    <w:rsid w:val="00B14A0A"/>
    <w:rsid w:val="00B94AEC"/>
    <w:rsid w:val="00BB38C0"/>
    <w:rsid w:val="00BC5495"/>
    <w:rsid w:val="00BE5EF2"/>
    <w:rsid w:val="00C144D9"/>
    <w:rsid w:val="00C1621C"/>
    <w:rsid w:val="00C45E0A"/>
    <w:rsid w:val="00C61091"/>
    <w:rsid w:val="00CA3941"/>
    <w:rsid w:val="00CE4145"/>
    <w:rsid w:val="00CF179E"/>
    <w:rsid w:val="00CF6212"/>
    <w:rsid w:val="00CF64ED"/>
    <w:rsid w:val="00CF6FF2"/>
    <w:rsid w:val="00D00E20"/>
    <w:rsid w:val="00D06081"/>
    <w:rsid w:val="00D7232D"/>
    <w:rsid w:val="00D875A6"/>
    <w:rsid w:val="00DA1171"/>
    <w:rsid w:val="00DA356B"/>
    <w:rsid w:val="00DC212C"/>
    <w:rsid w:val="00DD6207"/>
    <w:rsid w:val="00DD6525"/>
    <w:rsid w:val="00DE07FC"/>
    <w:rsid w:val="00DE41B6"/>
    <w:rsid w:val="00E133B3"/>
    <w:rsid w:val="00E836D6"/>
    <w:rsid w:val="00E91806"/>
    <w:rsid w:val="00E93A56"/>
    <w:rsid w:val="00EA1326"/>
    <w:rsid w:val="00EC7125"/>
    <w:rsid w:val="00ED34AA"/>
    <w:rsid w:val="00ED4983"/>
    <w:rsid w:val="00EE20CD"/>
    <w:rsid w:val="00EF6329"/>
    <w:rsid w:val="00F0624A"/>
    <w:rsid w:val="00F2331C"/>
    <w:rsid w:val="00F30286"/>
    <w:rsid w:val="00F4286B"/>
    <w:rsid w:val="00F511B8"/>
    <w:rsid w:val="00F60615"/>
    <w:rsid w:val="00F618DA"/>
    <w:rsid w:val="00F71CAC"/>
    <w:rsid w:val="00F723C8"/>
    <w:rsid w:val="00F73292"/>
    <w:rsid w:val="00FC7BDA"/>
    <w:rsid w:val="00FE3821"/>
    <w:rsid w:val="00FF380E"/>
    <w:rsid w:val="00FF5C39"/>
    <w:rsid w:val="01284377"/>
    <w:rsid w:val="01531CC7"/>
    <w:rsid w:val="01624B39"/>
    <w:rsid w:val="07395D21"/>
    <w:rsid w:val="086AEA0F"/>
    <w:rsid w:val="0C095915"/>
    <w:rsid w:val="16375A94"/>
    <w:rsid w:val="17317D8A"/>
    <w:rsid w:val="1967114C"/>
    <w:rsid w:val="1B021647"/>
    <w:rsid w:val="1D6350DA"/>
    <w:rsid w:val="2007D6C7"/>
    <w:rsid w:val="2682A508"/>
    <w:rsid w:val="29566D90"/>
    <w:rsid w:val="297AE681"/>
    <w:rsid w:val="29F4A0C4"/>
    <w:rsid w:val="2A661310"/>
    <w:rsid w:val="2B4F0C11"/>
    <w:rsid w:val="3C312ED6"/>
    <w:rsid w:val="4074FD76"/>
    <w:rsid w:val="4272AAF4"/>
    <w:rsid w:val="45D098BE"/>
    <w:rsid w:val="4A75F68C"/>
    <w:rsid w:val="4AABA3C5"/>
    <w:rsid w:val="4B0DA5FD"/>
    <w:rsid w:val="518227F5"/>
    <w:rsid w:val="531AAB19"/>
    <w:rsid w:val="54411255"/>
    <w:rsid w:val="55B36A09"/>
    <w:rsid w:val="56DA7BF2"/>
    <w:rsid w:val="5A2F063A"/>
    <w:rsid w:val="5AA94936"/>
    <w:rsid w:val="5B893EA4"/>
    <w:rsid w:val="5DCB721B"/>
    <w:rsid w:val="5F9F9BCE"/>
    <w:rsid w:val="6060EC54"/>
    <w:rsid w:val="62E10C3C"/>
    <w:rsid w:val="64F04CC2"/>
    <w:rsid w:val="652B1EA3"/>
    <w:rsid w:val="76A13A58"/>
    <w:rsid w:val="78470439"/>
    <w:rsid w:val="7A64A2DE"/>
    <w:rsid w:val="7A806484"/>
    <w:rsid w:val="7B2DE91B"/>
    <w:rsid w:val="7EC7B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2AAF4"/>
  <w15:chartTrackingRefBased/>
  <w15:docId w15:val="{CCAEFC44-BB94-4CE6-829D-E5C910621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Strong">
    <w:name w:val="Strong"/>
    <w:basedOn w:val="DefaultParagraphFont"/>
    <w:uiPriority w:val="22"/>
    <w:qFormat/>
    <w:rsid w:val="00952E17"/>
    <w:rPr>
      <w:b/>
      <w:bCs/>
    </w:rPr>
  </w:style>
  <w:style w:type="character" w:styleId="Emphasis">
    <w:name w:val="Emphasis"/>
    <w:basedOn w:val="DefaultParagraphFont"/>
    <w:uiPriority w:val="20"/>
    <w:qFormat/>
    <w:rsid w:val="0078678D"/>
    <w:rPr>
      <w:i/>
      <w:iCs/>
    </w:rPr>
  </w:style>
  <w:style w:type="paragraph" w:styleId="NormalWeb">
    <w:name w:val="Normal (Web)"/>
    <w:basedOn w:val="Normal"/>
    <w:uiPriority w:val="99"/>
    <w:semiHidden/>
    <w:unhideWhenUsed/>
    <w:rsid w:val="00BE5EF2"/>
    <w:pPr>
      <w:spacing w:before="100" w:beforeAutospacing="1" w:after="100" w:afterAutospacing="1" w:line="240" w:lineRule="auto"/>
    </w:pPr>
    <w:rPr>
      <w:rFonts w:ascii="Times New Roman" w:eastAsia="Times New Roman" w:hAnsi="Times New Roman" w:cs="Times New Roman"/>
      <w:lang w:eastAsia="en-GB"/>
    </w:rPr>
  </w:style>
  <w:style w:type="paragraph" w:styleId="NoSpacing">
    <w:name w:val="No Spacing"/>
    <w:link w:val="NoSpacingChar"/>
    <w:uiPriority w:val="1"/>
    <w:qFormat/>
    <w:rsid w:val="00363704"/>
    <w:pPr>
      <w:spacing w:after="0" w:line="240" w:lineRule="auto"/>
    </w:pPr>
    <w:rPr>
      <w:sz w:val="22"/>
      <w:szCs w:val="22"/>
      <w:lang w:val="en-US" w:eastAsia="zh-CN"/>
    </w:rPr>
  </w:style>
  <w:style w:type="character" w:customStyle="1" w:styleId="NoSpacingChar">
    <w:name w:val="No Spacing Char"/>
    <w:basedOn w:val="DefaultParagraphFont"/>
    <w:link w:val="NoSpacing"/>
    <w:uiPriority w:val="1"/>
    <w:rsid w:val="00363704"/>
    <w:rPr>
      <w:sz w:val="22"/>
      <w:szCs w:val="22"/>
      <w:lang w:val="en-US" w:eastAsia="zh-CN"/>
    </w:rPr>
  </w:style>
  <w:style w:type="paragraph" w:styleId="ListParagraph">
    <w:name w:val="List Paragraph"/>
    <w:basedOn w:val="Normal"/>
    <w:uiPriority w:val="34"/>
    <w:qFormat/>
    <w:rsid w:val="00CA39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280131">
      <w:bodyDiv w:val="1"/>
      <w:marLeft w:val="0"/>
      <w:marRight w:val="0"/>
      <w:marTop w:val="0"/>
      <w:marBottom w:val="0"/>
      <w:divBdr>
        <w:top w:val="none" w:sz="0" w:space="0" w:color="auto"/>
        <w:left w:val="none" w:sz="0" w:space="0" w:color="auto"/>
        <w:bottom w:val="none" w:sz="0" w:space="0" w:color="auto"/>
        <w:right w:val="none" w:sz="0" w:space="0" w:color="auto"/>
      </w:divBdr>
    </w:div>
    <w:div w:id="840774886">
      <w:bodyDiv w:val="1"/>
      <w:marLeft w:val="0"/>
      <w:marRight w:val="0"/>
      <w:marTop w:val="0"/>
      <w:marBottom w:val="0"/>
      <w:divBdr>
        <w:top w:val="none" w:sz="0" w:space="0" w:color="auto"/>
        <w:left w:val="none" w:sz="0" w:space="0" w:color="auto"/>
        <w:bottom w:val="none" w:sz="0" w:space="0" w:color="auto"/>
        <w:right w:val="none" w:sz="0" w:space="0" w:color="auto"/>
      </w:divBdr>
    </w:div>
    <w:div w:id="880289195">
      <w:bodyDiv w:val="1"/>
      <w:marLeft w:val="0"/>
      <w:marRight w:val="0"/>
      <w:marTop w:val="0"/>
      <w:marBottom w:val="0"/>
      <w:divBdr>
        <w:top w:val="none" w:sz="0" w:space="0" w:color="auto"/>
        <w:left w:val="none" w:sz="0" w:space="0" w:color="auto"/>
        <w:bottom w:val="none" w:sz="0" w:space="0" w:color="auto"/>
        <w:right w:val="none" w:sz="0" w:space="0" w:color="auto"/>
      </w:divBdr>
    </w:div>
    <w:div w:id="1927684734">
      <w:bodyDiv w:val="1"/>
      <w:marLeft w:val="0"/>
      <w:marRight w:val="0"/>
      <w:marTop w:val="0"/>
      <w:marBottom w:val="0"/>
      <w:divBdr>
        <w:top w:val="none" w:sz="0" w:space="0" w:color="auto"/>
        <w:left w:val="none" w:sz="0" w:space="0" w:color="auto"/>
        <w:bottom w:val="none" w:sz="0" w:space="0" w:color="auto"/>
        <w:right w:val="none" w:sz="0" w:space="0" w:color="auto"/>
      </w:divBdr>
      <w:divsChild>
        <w:div w:id="1406759220">
          <w:marLeft w:val="0"/>
          <w:marRight w:val="0"/>
          <w:marTop w:val="0"/>
          <w:marBottom w:val="0"/>
          <w:divBdr>
            <w:top w:val="none" w:sz="0" w:space="0" w:color="auto"/>
            <w:left w:val="none" w:sz="0" w:space="0" w:color="auto"/>
            <w:bottom w:val="none" w:sz="0" w:space="0" w:color="auto"/>
            <w:right w:val="none" w:sz="0" w:space="0" w:color="auto"/>
          </w:divBdr>
        </w:div>
      </w:divsChild>
    </w:div>
    <w:div w:id="1944461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300</TotalTime>
  <Pages>14</Pages>
  <Words>2821</Words>
  <Characters>16082</Characters>
  <Application>Microsoft Office Word</Application>
  <DocSecurity>0</DocSecurity>
  <Lines>134</Lines>
  <Paragraphs>37</Paragraphs>
  <ScaleCrop>false</ScaleCrop>
  <Company>Lecturer: Debbie Jenkins</Company>
  <LinksUpToDate>false</LinksUpToDate>
  <CharactersWithSpaces>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sustainability</dc:subject>
  <dc:creator>Judikaël Fongang (2232549)</dc:creator>
  <cp:keywords/>
  <dc:description/>
  <cp:lastModifiedBy>JudikaËl Fongang (2232549)</cp:lastModifiedBy>
  <cp:revision>154</cp:revision>
  <cp:lastPrinted>2025-12-05T10:24:00Z</cp:lastPrinted>
  <dcterms:created xsi:type="dcterms:W3CDTF">2025-12-01T09:57:00Z</dcterms:created>
  <dcterms:modified xsi:type="dcterms:W3CDTF">2025-12-05T23:09:00Z</dcterms:modified>
</cp:coreProperties>
</file>