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5D941C45"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3EF5D9C3" w14:textId="77777777" w:rsidR="003655E8" w:rsidRPr="003655E8" w:rsidRDefault="003655E8" w:rsidP="003655E8">
            <w:pPr>
              <w:overflowPunct/>
              <w:autoSpaceDE/>
              <w:autoSpaceDN/>
              <w:adjustRightInd/>
              <w:ind w:right="-957"/>
              <w:textAlignment w:val="auto"/>
              <w:rPr>
                <w:rFonts w:ascii="Times New Roman" w:hAnsi="Times New Roman" w:cs="Times New Roman"/>
                <w:b/>
                <w:color w:val="auto"/>
                <w:sz w:val="48"/>
              </w:rPr>
            </w:pPr>
            <w:r w:rsidRPr="003655E8">
              <w:rPr>
                <w:rFonts w:ascii="Times New Roman" w:hAnsi="Times New Roman" w:cs="Times New Roman"/>
                <w:b/>
                <w:color w:val="auto"/>
                <w:sz w:val="48"/>
              </w:rPr>
              <w:t xml:space="preserve">Learner’s name: </w:t>
            </w:r>
            <w:r w:rsidRPr="003655E8">
              <w:rPr>
                <w:rFonts w:ascii="Times New Roman" w:hAnsi="Times New Roman" w:cs="Times New Roman"/>
                <w:bCs/>
                <w:color w:val="auto"/>
                <w:sz w:val="40"/>
                <w:szCs w:val="40"/>
              </w:rPr>
              <w:t>Lauren McCauley</w:t>
            </w:r>
          </w:p>
          <w:p w14:paraId="78AFE833" w14:textId="77777777" w:rsidR="003655E8" w:rsidRPr="003655E8" w:rsidRDefault="003655E8" w:rsidP="003655E8">
            <w:pPr>
              <w:overflowPunct/>
              <w:autoSpaceDE/>
              <w:autoSpaceDN/>
              <w:adjustRightInd/>
              <w:ind w:right="-957"/>
              <w:textAlignment w:val="auto"/>
              <w:rPr>
                <w:rFonts w:ascii="Times New Roman" w:hAnsi="Times New Roman" w:cs="Times New Roman"/>
                <w:b/>
                <w:color w:val="auto"/>
                <w:sz w:val="48"/>
              </w:rPr>
            </w:pPr>
          </w:p>
          <w:p w14:paraId="0F6BEEFB" w14:textId="77777777" w:rsidR="003655E8" w:rsidRPr="003655E8" w:rsidRDefault="003655E8" w:rsidP="003655E8">
            <w:pPr>
              <w:overflowPunct/>
              <w:autoSpaceDE/>
              <w:autoSpaceDN/>
              <w:adjustRightInd/>
              <w:ind w:right="-957"/>
              <w:textAlignment w:val="auto"/>
              <w:rPr>
                <w:rFonts w:ascii="Times New Roman" w:hAnsi="Times New Roman" w:cs="Times New Roman"/>
                <w:bCs/>
                <w:color w:val="auto"/>
                <w:sz w:val="40"/>
                <w:szCs w:val="40"/>
              </w:rPr>
            </w:pPr>
            <w:r w:rsidRPr="003655E8">
              <w:rPr>
                <w:rFonts w:ascii="Times New Roman" w:hAnsi="Times New Roman" w:cs="Times New Roman"/>
                <w:b/>
                <w:color w:val="auto"/>
                <w:sz w:val="48"/>
              </w:rPr>
              <w:t xml:space="preserve">Email address: </w:t>
            </w:r>
            <w:hyperlink r:id="rId11" w:history="1">
              <w:r w:rsidRPr="003655E8">
                <w:rPr>
                  <w:rFonts w:ascii="Times New Roman" w:hAnsi="Times New Roman" w:cs="Times New Roman"/>
                  <w:bCs/>
                  <w:color w:val="0000FF"/>
                  <w:sz w:val="40"/>
                  <w:szCs w:val="40"/>
                  <w:u w:val="single"/>
                </w:rPr>
                <w:t>lauren.mccauley@flintshire.gov.uk</w:t>
              </w:r>
            </w:hyperlink>
            <w:r w:rsidRPr="003655E8">
              <w:rPr>
                <w:rFonts w:ascii="Times New Roman" w:hAnsi="Times New Roman" w:cs="Times New Roman"/>
                <w:bCs/>
                <w:color w:val="auto"/>
                <w:sz w:val="40"/>
                <w:szCs w:val="40"/>
              </w:rPr>
              <w:t xml:space="preserve"> / </w:t>
            </w:r>
          </w:p>
          <w:p w14:paraId="3ABBCFCD" w14:textId="77777777" w:rsidR="003655E8" w:rsidRPr="003655E8" w:rsidRDefault="00B34054" w:rsidP="003655E8">
            <w:pPr>
              <w:overflowPunct/>
              <w:autoSpaceDE/>
              <w:autoSpaceDN/>
              <w:adjustRightInd/>
              <w:ind w:right="-957"/>
              <w:textAlignment w:val="auto"/>
              <w:rPr>
                <w:rFonts w:ascii="Times New Roman" w:hAnsi="Times New Roman" w:cs="Times New Roman"/>
                <w:b/>
                <w:color w:val="auto"/>
                <w:sz w:val="48"/>
              </w:rPr>
            </w:pPr>
            <w:hyperlink r:id="rId12" w:history="1">
              <w:r w:rsidR="003655E8" w:rsidRPr="003655E8">
                <w:rPr>
                  <w:rFonts w:ascii="Times New Roman" w:hAnsi="Times New Roman" w:cs="Times New Roman"/>
                  <w:bCs/>
                  <w:color w:val="0000FF"/>
                  <w:sz w:val="40"/>
                  <w:szCs w:val="40"/>
                  <w:u w:val="single"/>
                </w:rPr>
                <w:t>Lauren_mccauley00@hotmail.com</w:t>
              </w:r>
            </w:hyperlink>
            <w:r w:rsidR="003655E8" w:rsidRPr="003655E8">
              <w:rPr>
                <w:rFonts w:ascii="Times New Roman" w:hAnsi="Times New Roman" w:cs="Times New Roman"/>
                <w:b/>
                <w:color w:val="auto"/>
                <w:sz w:val="40"/>
                <w:szCs w:val="40"/>
              </w:rPr>
              <w:t xml:space="preserve"> </w:t>
            </w:r>
          </w:p>
          <w:p w14:paraId="521FC34A" w14:textId="77777777" w:rsidR="003655E8" w:rsidRPr="003655E8" w:rsidRDefault="003655E8" w:rsidP="003655E8">
            <w:pPr>
              <w:overflowPunct/>
              <w:autoSpaceDE/>
              <w:autoSpaceDN/>
              <w:adjustRightInd/>
              <w:ind w:right="-957"/>
              <w:textAlignment w:val="auto"/>
              <w:rPr>
                <w:rFonts w:ascii="Times New Roman" w:hAnsi="Times New Roman" w:cs="Times New Roman"/>
                <w:b/>
                <w:color w:val="auto"/>
                <w:sz w:val="48"/>
              </w:rPr>
            </w:pPr>
          </w:p>
          <w:p w14:paraId="2793C33A" w14:textId="77777777" w:rsidR="003655E8" w:rsidRPr="003655E8" w:rsidRDefault="003655E8" w:rsidP="003655E8">
            <w:pPr>
              <w:overflowPunct/>
              <w:autoSpaceDE/>
              <w:autoSpaceDN/>
              <w:adjustRightInd/>
              <w:ind w:right="-957"/>
              <w:textAlignment w:val="auto"/>
              <w:rPr>
                <w:rFonts w:ascii="Times New Roman" w:hAnsi="Times New Roman" w:cs="Times New Roman"/>
                <w:b/>
                <w:color w:val="auto"/>
                <w:sz w:val="48"/>
              </w:rPr>
            </w:pPr>
            <w:r w:rsidRPr="003655E8">
              <w:rPr>
                <w:rFonts w:ascii="Times New Roman" w:hAnsi="Times New Roman" w:cs="Times New Roman"/>
                <w:b/>
                <w:color w:val="auto"/>
                <w:sz w:val="48"/>
              </w:rPr>
              <w:t>Learner’s University Registration Number:</w:t>
            </w:r>
          </w:p>
          <w:p w14:paraId="6AB55DA3" w14:textId="77777777" w:rsidR="003655E8" w:rsidRPr="003655E8" w:rsidRDefault="003655E8" w:rsidP="003655E8">
            <w:pPr>
              <w:overflowPunct/>
              <w:autoSpaceDE/>
              <w:autoSpaceDN/>
              <w:adjustRightInd/>
              <w:ind w:right="-957"/>
              <w:textAlignment w:val="auto"/>
              <w:rPr>
                <w:rFonts w:ascii="Times New Roman" w:hAnsi="Times New Roman" w:cs="Times New Roman"/>
                <w:bCs/>
                <w:color w:val="auto"/>
                <w:sz w:val="40"/>
                <w:szCs w:val="40"/>
              </w:rPr>
            </w:pPr>
            <w:r w:rsidRPr="003655E8">
              <w:rPr>
                <w:rFonts w:ascii="Times New Roman" w:hAnsi="Times New Roman" w:cs="Times New Roman"/>
                <w:bCs/>
                <w:color w:val="auto"/>
                <w:sz w:val="40"/>
                <w:szCs w:val="40"/>
              </w:rPr>
              <w:t>2127608</w:t>
            </w:r>
          </w:p>
          <w:p w14:paraId="4AD620B0" w14:textId="77777777" w:rsidR="003655E8" w:rsidRPr="003655E8" w:rsidRDefault="003655E8" w:rsidP="003655E8">
            <w:pPr>
              <w:overflowPunct/>
              <w:autoSpaceDE/>
              <w:autoSpaceDN/>
              <w:adjustRightInd/>
              <w:ind w:right="-957"/>
              <w:textAlignment w:val="auto"/>
              <w:rPr>
                <w:rFonts w:ascii="Times New Roman" w:hAnsi="Times New Roman" w:cs="Times New Roman"/>
                <w:b/>
                <w:color w:val="auto"/>
                <w:sz w:val="48"/>
              </w:rPr>
            </w:pPr>
          </w:p>
          <w:p w14:paraId="13B0DE0D" w14:textId="77777777" w:rsidR="003655E8" w:rsidRPr="003655E8" w:rsidRDefault="003655E8" w:rsidP="003655E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3655E8">
              <w:rPr>
                <w:rFonts w:ascii="Times New Roman" w:hAnsi="Times New Roman" w:cs="Times New Roman"/>
                <w:b/>
                <w:color w:val="auto"/>
                <w:sz w:val="48"/>
              </w:rPr>
              <w:t>Cohort: 18 onwards</w:t>
            </w:r>
          </w:p>
          <w:p w14:paraId="5F84129B" w14:textId="28C111CA"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6BCA32CE" w:rsidR="0063316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470BE90B" w14:textId="2EF82D87" w:rsidR="00232316" w:rsidRDefault="00232316" w:rsidP="4EC15626">
      <w:pPr>
        <w:ind w:left="-90"/>
        <w:jc w:val="both"/>
        <w:rPr>
          <w:i/>
          <w:iCs/>
          <w:sz w:val="24"/>
          <w:szCs w:val="24"/>
        </w:rPr>
      </w:pP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03435199" w14:textId="33E4B251" w:rsidR="003655E8"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287C1A42" w14:textId="77777777" w:rsidR="00232DAB" w:rsidRDefault="00232DAB" w:rsidP="001877C8">
            <w:pPr>
              <w:jc w:val="both"/>
              <w:rPr>
                <w:i/>
                <w:sz w:val="24"/>
                <w:szCs w:val="24"/>
              </w:rPr>
            </w:pPr>
          </w:p>
          <w:p w14:paraId="0D790474" w14:textId="0B006054" w:rsidR="001877C8" w:rsidRDefault="001877C8" w:rsidP="001877C8">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6799AC6F" w14:textId="77777777" w:rsidR="001877C8" w:rsidRDefault="001877C8" w:rsidP="00FF7EBB">
            <w:pPr>
              <w:jc w:val="both"/>
              <w:rPr>
                <w:sz w:val="24"/>
                <w:szCs w:val="24"/>
              </w:rPr>
            </w:pPr>
          </w:p>
          <w:p w14:paraId="42B8BAE9" w14:textId="77777777" w:rsidR="00A41268" w:rsidRDefault="00A41268" w:rsidP="00A41268">
            <w:pPr>
              <w:jc w:val="both"/>
              <w:rPr>
                <w:sz w:val="24"/>
                <w:szCs w:val="24"/>
              </w:rPr>
            </w:pPr>
            <w:r>
              <w:rPr>
                <w:sz w:val="24"/>
                <w:szCs w:val="24"/>
              </w:rPr>
              <w:t xml:space="preserve">There are several relevant legislation documents that apply to Adult Safeguarding within the UK. One such national legislation is The Care Act 2014. </w:t>
            </w:r>
            <w:r w:rsidRPr="00F11133">
              <w:rPr>
                <w:sz w:val="24"/>
                <w:szCs w:val="24"/>
              </w:rPr>
              <w:t xml:space="preserve">(Care </w:t>
            </w:r>
            <w:r>
              <w:rPr>
                <w:sz w:val="24"/>
                <w:szCs w:val="24"/>
              </w:rPr>
              <w:t>A</w:t>
            </w:r>
            <w:r w:rsidRPr="00F11133">
              <w:rPr>
                <w:sz w:val="24"/>
                <w:szCs w:val="24"/>
              </w:rPr>
              <w:t>ct factsheets 2016)</w:t>
            </w:r>
            <w:r>
              <w:rPr>
                <w:sz w:val="24"/>
                <w:szCs w:val="24"/>
              </w:rPr>
              <w:t xml:space="preserve">. This applies to Safeguarding adults in England. </w:t>
            </w:r>
          </w:p>
          <w:p w14:paraId="43E754C3" w14:textId="77777777" w:rsidR="00A41268" w:rsidRDefault="00A41268" w:rsidP="00A41268">
            <w:pPr>
              <w:jc w:val="both"/>
              <w:rPr>
                <w:sz w:val="24"/>
                <w:szCs w:val="24"/>
              </w:rPr>
            </w:pPr>
          </w:p>
          <w:p w14:paraId="1CAB87B2" w14:textId="77777777" w:rsidR="00A41268" w:rsidRDefault="00A41268" w:rsidP="00A41268">
            <w:pPr>
              <w:jc w:val="both"/>
              <w:rPr>
                <w:sz w:val="24"/>
                <w:szCs w:val="24"/>
              </w:rPr>
            </w:pPr>
            <w:r>
              <w:rPr>
                <w:sz w:val="24"/>
                <w:szCs w:val="24"/>
              </w:rPr>
              <w:t xml:space="preserve">In Wales the relevant legislation is the Social Services and Well-being (Wales) Act 2014 (hereafter SSWBA 2014). Which applies to safeguarding both Adults and Children. This Act came into force April 2016 and provides legal framework for social services implementing the support for people with care and support needs </w:t>
            </w:r>
            <w:r w:rsidRPr="00441E51">
              <w:rPr>
                <w:sz w:val="24"/>
                <w:szCs w:val="24"/>
              </w:rPr>
              <w:t>(Welsh Government</w:t>
            </w:r>
            <w:r>
              <w:rPr>
                <w:sz w:val="24"/>
                <w:szCs w:val="24"/>
              </w:rPr>
              <w:t>,</w:t>
            </w:r>
            <w:r w:rsidRPr="00441E51">
              <w:rPr>
                <w:sz w:val="24"/>
                <w:szCs w:val="24"/>
              </w:rPr>
              <w:t xml:space="preserve"> 2017)</w:t>
            </w:r>
            <w:r>
              <w:rPr>
                <w:sz w:val="24"/>
                <w:szCs w:val="24"/>
              </w:rPr>
              <w:t xml:space="preserve">. The act is further used by </w:t>
            </w:r>
            <w:r w:rsidRPr="00662938">
              <w:rPr>
                <w:sz w:val="24"/>
                <w:szCs w:val="24"/>
              </w:rPr>
              <w:t xml:space="preserve">relevant </w:t>
            </w:r>
            <w:r>
              <w:rPr>
                <w:sz w:val="24"/>
                <w:szCs w:val="24"/>
              </w:rPr>
              <w:t>public bodies including th</w:t>
            </w:r>
            <w:r w:rsidRPr="00662938">
              <w:rPr>
                <w:sz w:val="24"/>
                <w:szCs w:val="24"/>
              </w:rPr>
              <w:t>e NHS</w:t>
            </w:r>
            <w:r>
              <w:rPr>
                <w:sz w:val="24"/>
                <w:szCs w:val="24"/>
              </w:rPr>
              <w:t xml:space="preserve">, Police and Probation services </w:t>
            </w:r>
            <w:r w:rsidRPr="00662938">
              <w:rPr>
                <w:sz w:val="24"/>
                <w:szCs w:val="24"/>
              </w:rPr>
              <w:t>(Greenwell &amp; Antebi, 2017)</w:t>
            </w:r>
            <w:r>
              <w:rPr>
                <w:sz w:val="24"/>
                <w:szCs w:val="24"/>
              </w:rPr>
              <w:t>.</w:t>
            </w:r>
          </w:p>
          <w:p w14:paraId="7B817CBF" w14:textId="77777777" w:rsidR="00A41268" w:rsidRDefault="00A41268" w:rsidP="00A41268">
            <w:pPr>
              <w:jc w:val="both"/>
              <w:rPr>
                <w:sz w:val="24"/>
                <w:szCs w:val="24"/>
              </w:rPr>
            </w:pPr>
          </w:p>
          <w:p w14:paraId="319B975C" w14:textId="77777777" w:rsidR="00A41268" w:rsidRDefault="00A41268" w:rsidP="00A41268">
            <w:pPr>
              <w:jc w:val="both"/>
              <w:rPr>
                <w:sz w:val="24"/>
                <w:szCs w:val="24"/>
              </w:rPr>
            </w:pPr>
            <w:r>
              <w:rPr>
                <w:sz w:val="24"/>
                <w:szCs w:val="24"/>
              </w:rPr>
              <w:t xml:space="preserve">The SSWBA 2014 aims to address concerns which were raised in a White Paper titled </w:t>
            </w:r>
            <w:r w:rsidRPr="00441E51">
              <w:rPr>
                <w:sz w:val="24"/>
                <w:szCs w:val="24"/>
              </w:rPr>
              <w:t>Sustainable Social Services for Wales: A Framework for Action,</w:t>
            </w:r>
            <w:r>
              <w:rPr>
                <w:sz w:val="24"/>
                <w:szCs w:val="24"/>
              </w:rPr>
              <w:t xml:space="preserve"> (</w:t>
            </w:r>
            <w:r w:rsidRPr="00441E51">
              <w:rPr>
                <w:sz w:val="24"/>
                <w:szCs w:val="24"/>
              </w:rPr>
              <w:t>2011</w:t>
            </w:r>
            <w:r>
              <w:rPr>
                <w:sz w:val="24"/>
                <w:szCs w:val="24"/>
              </w:rPr>
              <w:t xml:space="preserve">). The challenges addressed included </w:t>
            </w:r>
            <w:r w:rsidRPr="005213F8">
              <w:rPr>
                <w:sz w:val="24"/>
                <w:szCs w:val="24"/>
              </w:rPr>
              <w:t>demographic changes, increased expectations from those who access care and support as well as continuing hard economic realities</w:t>
            </w:r>
            <w:r>
              <w:rPr>
                <w:sz w:val="24"/>
                <w:szCs w:val="24"/>
              </w:rPr>
              <w:t xml:space="preserve"> </w:t>
            </w:r>
            <w:r w:rsidRPr="005213F8">
              <w:rPr>
                <w:sz w:val="24"/>
                <w:szCs w:val="24"/>
              </w:rPr>
              <w:t xml:space="preserve">(Sustainable Social Services for </w:t>
            </w:r>
            <w:r>
              <w:rPr>
                <w:sz w:val="24"/>
                <w:szCs w:val="24"/>
              </w:rPr>
              <w:t>W</w:t>
            </w:r>
            <w:r w:rsidRPr="005213F8">
              <w:rPr>
                <w:sz w:val="24"/>
                <w:szCs w:val="24"/>
              </w:rPr>
              <w:t>ales: A framework for action</w:t>
            </w:r>
            <w:r>
              <w:rPr>
                <w:sz w:val="24"/>
                <w:szCs w:val="24"/>
              </w:rPr>
              <w:t>,</w:t>
            </w:r>
            <w:r w:rsidRPr="005213F8">
              <w:rPr>
                <w:sz w:val="24"/>
                <w:szCs w:val="24"/>
              </w:rPr>
              <w:t xml:space="preserve"> 2011)</w:t>
            </w:r>
            <w:r>
              <w:rPr>
                <w:sz w:val="24"/>
                <w:szCs w:val="24"/>
              </w:rPr>
              <w:t xml:space="preserve">. </w:t>
            </w:r>
          </w:p>
          <w:p w14:paraId="390A7485" w14:textId="77777777" w:rsidR="00A41268" w:rsidRDefault="00A41268" w:rsidP="00A41268">
            <w:pPr>
              <w:jc w:val="both"/>
              <w:rPr>
                <w:sz w:val="24"/>
                <w:szCs w:val="24"/>
              </w:rPr>
            </w:pPr>
          </w:p>
          <w:p w14:paraId="6124F2D3" w14:textId="77777777" w:rsidR="00A41268" w:rsidRDefault="00A41268" w:rsidP="00A41268">
            <w:pPr>
              <w:jc w:val="both"/>
              <w:rPr>
                <w:sz w:val="24"/>
                <w:szCs w:val="24"/>
              </w:rPr>
            </w:pPr>
            <w:r>
              <w:rPr>
                <w:sz w:val="24"/>
                <w:szCs w:val="24"/>
              </w:rPr>
              <w:t>Part 7 of the SSWBA 2014 focuses on Keeping people safe. This part includes a definition of the term ‘adults at risk’ and what the Local Authority must do if they suspect that an adult is at risk. An adult at risk is defined as:</w:t>
            </w:r>
          </w:p>
          <w:p w14:paraId="618460B1" w14:textId="77777777" w:rsidR="00A41268" w:rsidRDefault="00A41268" w:rsidP="00A41268">
            <w:pPr>
              <w:jc w:val="both"/>
              <w:rPr>
                <w:sz w:val="24"/>
                <w:szCs w:val="24"/>
              </w:rPr>
            </w:pPr>
          </w:p>
          <w:p w14:paraId="2E7E508D" w14:textId="77777777" w:rsidR="00A41268" w:rsidRDefault="00A41268" w:rsidP="00A41268">
            <w:pPr>
              <w:pStyle w:val="ListParagraph"/>
              <w:numPr>
                <w:ilvl w:val="0"/>
                <w:numId w:val="58"/>
              </w:numPr>
              <w:jc w:val="both"/>
              <w:rPr>
                <w:sz w:val="24"/>
                <w:szCs w:val="24"/>
              </w:rPr>
            </w:pPr>
            <w:r>
              <w:rPr>
                <w:sz w:val="24"/>
                <w:szCs w:val="24"/>
              </w:rPr>
              <w:t>Is e</w:t>
            </w:r>
            <w:r w:rsidRPr="00267A8E">
              <w:rPr>
                <w:sz w:val="24"/>
                <w:szCs w:val="24"/>
              </w:rPr>
              <w:t>xperiencing or is at risk of abuse or neglect.</w:t>
            </w:r>
          </w:p>
          <w:p w14:paraId="3EE4FA6E" w14:textId="77777777" w:rsidR="00A41268" w:rsidRPr="00267A8E" w:rsidRDefault="00A41268" w:rsidP="00A41268">
            <w:pPr>
              <w:pStyle w:val="ListParagraph"/>
              <w:jc w:val="both"/>
              <w:rPr>
                <w:sz w:val="24"/>
                <w:szCs w:val="24"/>
              </w:rPr>
            </w:pPr>
          </w:p>
          <w:p w14:paraId="71681331" w14:textId="77777777" w:rsidR="00A41268" w:rsidRDefault="00A41268" w:rsidP="00A41268">
            <w:pPr>
              <w:pStyle w:val="ListParagraph"/>
              <w:numPr>
                <w:ilvl w:val="0"/>
                <w:numId w:val="58"/>
              </w:numPr>
              <w:jc w:val="both"/>
              <w:rPr>
                <w:sz w:val="24"/>
                <w:szCs w:val="24"/>
              </w:rPr>
            </w:pPr>
            <w:r w:rsidRPr="00267A8E">
              <w:rPr>
                <w:sz w:val="24"/>
                <w:szCs w:val="24"/>
              </w:rPr>
              <w:t>Has needs for care and support (whether or not the authority is meeting any of those needs)</w:t>
            </w:r>
            <w:r>
              <w:rPr>
                <w:sz w:val="24"/>
                <w:szCs w:val="24"/>
              </w:rPr>
              <w:t xml:space="preserve"> and</w:t>
            </w:r>
          </w:p>
          <w:p w14:paraId="40B538B6" w14:textId="77777777" w:rsidR="00A41268" w:rsidRPr="00267A8E" w:rsidRDefault="00A41268" w:rsidP="00A41268">
            <w:pPr>
              <w:jc w:val="both"/>
              <w:rPr>
                <w:sz w:val="24"/>
                <w:szCs w:val="24"/>
              </w:rPr>
            </w:pPr>
          </w:p>
          <w:p w14:paraId="034D65FA" w14:textId="77777777" w:rsidR="00A41268" w:rsidRPr="00267A8E" w:rsidRDefault="00A41268" w:rsidP="00A41268">
            <w:pPr>
              <w:pStyle w:val="ListParagraph"/>
              <w:numPr>
                <w:ilvl w:val="0"/>
                <w:numId w:val="58"/>
              </w:numPr>
              <w:jc w:val="both"/>
              <w:rPr>
                <w:sz w:val="24"/>
                <w:szCs w:val="24"/>
              </w:rPr>
            </w:pPr>
            <w:r w:rsidRPr="00267A8E">
              <w:rPr>
                <w:sz w:val="24"/>
                <w:szCs w:val="24"/>
              </w:rPr>
              <w:lastRenderedPageBreak/>
              <w:t>As a result of those needs is unable to protect himself or herself against the abuse or neglect or risk of it.</w:t>
            </w:r>
          </w:p>
          <w:p w14:paraId="4B4DE2B7" w14:textId="77777777" w:rsidR="00A41268" w:rsidRPr="00267A8E" w:rsidRDefault="00A41268" w:rsidP="00A41268">
            <w:pPr>
              <w:pStyle w:val="ListParagraph"/>
              <w:rPr>
                <w:sz w:val="24"/>
                <w:szCs w:val="24"/>
              </w:rPr>
            </w:pPr>
          </w:p>
          <w:p w14:paraId="05FF577C" w14:textId="1B68999E" w:rsidR="00A41268" w:rsidRDefault="00A41268" w:rsidP="00A41268">
            <w:pPr>
              <w:jc w:val="both"/>
              <w:rPr>
                <w:sz w:val="24"/>
                <w:szCs w:val="24"/>
              </w:rPr>
            </w:pPr>
            <w:r>
              <w:rPr>
                <w:sz w:val="24"/>
                <w:szCs w:val="24"/>
              </w:rPr>
              <w:t>The guidance stipulates that the Local Authority must make enquiries to investigate if they</w:t>
            </w:r>
            <w:r w:rsidR="00B34054">
              <w:rPr>
                <w:sz w:val="24"/>
                <w:szCs w:val="24"/>
              </w:rPr>
              <w:t xml:space="preserve"> suspect an adult is at risk. Furthermore they </w:t>
            </w:r>
            <w:r>
              <w:rPr>
                <w:sz w:val="24"/>
                <w:szCs w:val="24"/>
              </w:rPr>
              <w:t>must take action to safeguard an adult at risk.  One of the actions may include creating a Care and Support plan. A further safeguarding tool is the use of an</w:t>
            </w:r>
            <w:r w:rsidRPr="00760034">
              <w:rPr>
                <w:sz w:val="24"/>
                <w:szCs w:val="24"/>
              </w:rPr>
              <w:t xml:space="preserve"> adult</w:t>
            </w:r>
            <w:r>
              <w:rPr>
                <w:sz w:val="24"/>
                <w:szCs w:val="24"/>
              </w:rPr>
              <w:t xml:space="preserve"> </w:t>
            </w:r>
            <w:r w:rsidRPr="00760034">
              <w:rPr>
                <w:sz w:val="24"/>
                <w:szCs w:val="24"/>
              </w:rPr>
              <w:t>protection and support order</w:t>
            </w:r>
            <w:r>
              <w:rPr>
                <w:sz w:val="24"/>
                <w:szCs w:val="24"/>
              </w:rPr>
              <w:t xml:space="preserve">. This is categorised under a justice of the peace order (SSWBA, 2014). </w:t>
            </w:r>
          </w:p>
          <w:p w14:paraId="2FCBE1BA" w14:textId="77777777" w:rsidR="00A41268" w:rsidRDefault="00A41268" w:rsidP="00A41268">
            <w:pPr>
              <w:jc w:val="both"/>
              <w:rPr>
                <w:sz w:val="24"/>
                <w:szCs w:val="24"/>
              </w:rPr>
            </w:pPr>
          </w:p>
          <w:p w14:paraId="3B9F6075" w14:textId="255DCF09" w:rsidR="00A41268" w:rsidRDefault="00A41268" w:rsidP="00A41268">
            <w:pPr>
              <w:jc w:val="both"/>
              <w:rPr>
                <w:sz w:val="24"/>
                <w:szCs w:val="24"/>
              </w:rPr>
            </w:pPr>
            <w:r>
              <w:rPr>
                <w:sz w:val="24"/>
                <w:szCs w:val="24"/>
              </w:rPr>
              <w:t>The SSWBA, 2014 wanted to instil consistency throughout the use of the Act and to support th</w:t>
            </w:r>
            <w:r w:rsidR="00B34054">
              <w:rPr>
                <w:sz w:val="24"/>
                <w:szCs w:val="24"/>
              </w:rPr>
              <w:t>is key</w:t>
            </w:r>
            <w:r>
              <w:rPr>
                <w:sz w:val="24"/>
                <w:szCs w:val="24"/>
              </w:rPr>
              <w:t xml:space="preserve"> principles are outlined in the SSWBA, 2014. </w:t>
            </w:r>
          </w:p>
          <w:p w14:paraId="6C4431B5" w14:textId="77777777" w:rsidR="00A41268" w:rsidRDefault="00A41268" w:rsidP="00A41268">
            <w:pPr>
              <w:jc w:val="both"/>
              <w:rPr>
                <w:sz w:val="24"/>
                <w:szCs w:val="24"/>
              </w:rPr>
            </w:pPr>
            <w:r>
              <w:rPr>
                <w:sz w:val="24"/>
                <w:szCs w:val="24"/>
              </w:rPr>
              <w:t>They are:</w:t>
            </w:r>
          </w:p>
          <w:p w14:paraId="0F33D85B" w14:textId="77777777" w:rsidR="00A41268" w:rsidRDefault="00A41268" w:rsidP="00A41268">
            <w:pPr>
              <w:jc w:val="both"/>
              <w:rPr>
                <w:sz w:val="24"/>
                <w:szCs w:val="24"/>
              </w:rPr>
            </w:pPr>
          </w:p>
          <w:p w14:paraId="52FFC83D" w14:textId="77777777" w:rsidR="00A41268" w:rsidRPr="00662938" w:rsidRDefault="00A41268" w:rsidP="00A41268">
            <w:pPr>
              <w:pStyle w:val="ListParagraph"/>
              <w:numPr>
                <w:ilvl w:val="0"/>
                <w:numId w:val="57"/>
              </w:numPr>
              <w:jc w:val="both"/>
              <w:rPr>
                <w:sz w:val="24"/>
                <w:szCs w:val="24"/>
              </w:rPr>
            </w:pPr>
            <w:r w:rsidRPr="00662938">
              <w:rPr>
                <w:sz w:val="24"/>
                <w:szCs w:val="24"/>
              </w:rPr>
              <w:t>Voice and control.</w:t>
            </w:r>
          </w:p>
          <w:p w14:paraId="39B1BA4E" w14:textId="77777777" w:rsidR="00A41268" w:rsidRPr="00662938" w:rsidRDefault="00A41268" w:rsidP="00A41268">
            <w:pPr>
              <w:jc w:val="both"/>
              <w:rPr>
                <w:sz w:val="24"/>
                <w:szCs w:val="24"/>
              </w:rPr>
            </w:pPr>
          </w:p>
          <w:p w14:paraId="72451C9F" w14:textId="77777777" w:rsidR="00A41268" w:rsidRPr="00662938" w:rsidRDefault="00A41268" w:rsidP="00A41268">
            <w:pPr>
              <w:pStyle w:val="ListParagraph"/>
              <w:numPr>
                <w:ilvl w:val="0"/>
                <w:numId w:val="57"/>
              </w:numPr>
              <w:jc w:val="both"/>
              <w:rPr>
                <w:sz w:val="24"/>
                <w:szCs w:val="24"/>
              </w:rPr>
            </w:pPr>
            <w:r w:rsidRPr="00662938">
              <w:rPr>
                <w:sz w:val="24"/>
                <w:szCs w:val="24"/>
              </w:rPr>
              <w:t>Prevention and early intervention.</w:t>
            </w:r>
          </w:p>
          <w:p w14:paraId="6067FB3E" w14:textId="77777777" w:rsidR="00A41268" w:rsidRPr="00662938" w:rsidRDefault="00A41268" w:rsidP="00A41268">
            <w:pPr>
              <w:jc w:val="both"/>
              <w:rPr>
                <w:sz w:val="24"/>
                <w:szCs w:val="24"/>
              </w:rPr>
            </w:pPr>
          </w:p>
          <w:p w14:paraId="101E608E" w14:textId="77777777" w:rsidR="00A41268" w:rsidRPr="00662938" w:rsidRDefault="00A41268" w:rsidP="00A41268">
            <w:pPr>
              <w:pStyle w:val="ListParagraph"/>
              <w:numPr>
                <w:ilvl w:val="0"/>
                <w:numId w:val="57"/>
              </w:numPr>
              <w:jc w:val="both"/>
              <w:rPr>
                <w:sz w:val="24"/>
                <w:szCs w:val="24"/>
              </w:rPr>
            </w:pPr>
            <w:r w:rsidRPr="00662938">
              <w:rPr>
                <w:sz w:val="24"/>
                <w:szCs w:val="24"/>
              </w:rPr>
              <w:t>Well-being.</w:t>
            </w:r>
          </w:p>
          <w:p w14:paraId="786AD1B1" w14:textId="77777777" w:rsidR="00A41268" w:rsidRPr="00662938" w:rsidRDefault="00A41268" w:rsidP="00A41268">
            <w:pPr>
              <w:jc w:val="both"/>
              <w:rPr>
                <w:sz w:val="24"/>
                <w:szCs w:val="24"/>
              </w:rPr>
            </w:pPr>
          </w:p>
          <w:p w14:paraId="34FB76A7" w14:textId="77777777" w:rsidR="00A41268" w:rsidRDefault="00A41268" w:rsidP="00A41268">
            <w:pPr>
              <w:pStyle w:val="ListParagraph"/>
              <w:numPr>
                <w:ilvl w:val="0"/>
                <w:numId w:val="57"/>
              </w:numPr>
              <w:jc w:val="both"/>
              <w:rPr>
                <w:sz w:val="24"/>
                <w:szCs w:val="24"/>
              </w:rPr>
            </w:pPr>
            <w:r w:rsidRPr="00662938">
              <w:rPr>
                <w:sz w:val="24"/>
                <w:szCs w:val="24"/>
              </w:rPr>
              <w:t>Co-production.</w:t>
            </w:r>
          </w:p>
          <w:p w14:paraId="2E03A82E" w14:textId="77777777" w:rsidR="00A41268" w:rsidRDefault="00A41268" w:rsidP="00A41268">
            <w:pPr>
              <w:jc w:val="both"/>
              <w:rPr>
                <w:sz w:val="24"/>
                <w:szCs w:val="24"/>
              </w:rPr>
            </w:pPr>
          </w:p>
          <w:p w14:paraId="5D57B970" w14:textId="77777777" w:rsidR="00A41268" w:rsidRDefault="00A41268" w:rsidP="00A41268">
            <w:pPr>
              <w:jc w:val="both"/>
              <w:rPr>
                <w:sz w:val="24"/>
                <w:szCs w:val="24"/>
              </w:rPr>
            </w:pPr>
            <w:r>
              <w:rPr>
                <w:sz w:val="24"/>
                <w:szCs w:val="24"/>
              </w:rPr>
              <w:t xml:space="preserve">These where implemented to strengthen the effectiveness of legislation and guidance </w:t>
            </w:r>
            <w:r w:rsidRPr="00E579AF">
              <w:rPr>
                <w:sz w:val="24"/>
                <w:szCs w:val="24"/>
              </w:rPr>
              <w:t>(Principles Resource Guide - Social Care Wales</w:t>
            </w:r>
            <w:r>
              <w:rPr>
                <w:sz w:val="24"/>
                <w:szCs w:val="24"/>
              </w:rPr>
              <w:t xml:space="preserve">, </w:t>
            </w:r>
            <w:r w:rsidRPr="00E579AF">
              <w:rPr>
                <w:sz w:val="24"/>
                <w:szCs w:val="24"/>
              </w:rPr>
              <w:t>2017)</w:t>
            </w:r>
            <w:r>
              <w:rPr>
                <w:sz w:val="24"/>
                <w:szCs w:val="24"/>
              </w:rPr>
              <w:t>.</w:t>
            </w:r>
          </w:p>
          <w:p w14:paraId="0971D788" w14:textId="77777777" w:rsidR="00A41268" w:rsidRDefault="00A41268" w:rsidP="00A41268">
            <w:pPr>
              <w:jc w:val="both"/>
              <w:rPr>
                <w:sz w:val="24"/>
                <w:szCs w:val="24"/>
              </w:rPr>
            </w:pPr>
          </w:p>
          <w:p w14:paraId="6F6627B6" w14:textId="77777777" w:rsidR="00A41268" w:rsidRDefault="00A41268" w:rsidP="00A41268">
            <w:pPr>
              <w:jc w:val="both"/>
              <w:rPr>
                <w:sz w:val="24"/>
                <w:szCs w:val="24"/>
              </w:rPr>
            </w:pPr>
            <w:r>
              <w:rPr>
                <w:sz w:val="24"/>
                <w:szCs w:val="24"/>
              </w:rPr>
              <w:t xml:space="preserve">Another process followed to ensure that Adults are safeguarded is the use of the Wales Safeguarding Procedures 2019. </w:t>
            </w:r>
            <w:r w:rsidRPr="00165A51">
              <w:rPr>
                <w:sz w:val="24"/>
                <w:szCs w:val="24"/>
              </w:rPr>
              <w:t>Th</w:t>
            </w:r>
            <w:r>
              <w:rPr>
                <w:sz w:val="24"/>
                <w:szCs w:val="24"/>
              </w:rPr>
              <w:t>ese procedures b</w:t>
            </w:r>
            <w:r w:rsidRPr="00165A51">
              <w:rPr>
                <w:sz w:val="24"/>
                <w:szCs w:val="24"/>
              </w:rPr>
              <w:t>uild on the statutory guidance of the S</w:t>
            </w:r>
            <w:r>
              <w:rPr>
                <w:sz w:val="24"/>
                <w:szCs w:val="24"/>
              </w:rPr>
              <w:t>SWBA 2014</w:t>
            </w:r>
            <w:r w:rsidRPr="00165A51">
              <w:rPr>
                <w:sz w:val="24"/>
                <w:szCs w:val="24"/>
              </w:rPr>
              <w:t>,</w:t>
            </w:r>
            <w:r>
              <w:rPr>
                <w:sz w:val="24"/>
                <w:szCs w:val="24"/>
              </w:rPr>
              <w:t xml:space="preserve"> and specifically</w:t>
            </w:r>
            <w:r w:rsidRPr="00165A51">
              <w:rPr>
                <w:sz w:val="24"/>
                <w:szCs w:val="24"/>
              </w:rPr>
              <w:t xml:space="preserve"> part 7</w:t>
            </w:r>
            <w:r>
              <w:rPr>
                <w:sz w:val="24"/>
                <w:szCs w:val="24"/>
              </w:rPr>
              <w:t xml:space="preserve">. This was written to guide practitioners who work with adults and children around their responsibility to safeguard. </w:t>
            </w:r>
          </w:p>
          <w:p w14:paraId="3D0E70DF" w14:textId="77777777" w:rsidR="00A41268" w:rsidRDefault="00A41268" w:rsidP="00A41268">
            <w:pPr>
              <w:jc w:val="both"/>
              <w:rPr>
                <w:sz w:val="24"/>
                <w:szCs w:val="24"/>
              </w:rPr>
            </w:pPr>
          </w:p>
          <w:p w14:paraId="6E0CE94F" w14:textId="77777777" w:rsidR="00A41268" w:rsidRDefault="00A41268" w:rsidP="00A41268">
            <w:pPr>
              <w:jc w:val="both"/>
              <w:rPr>
                <w:sz w:val="24"/>
                <w:szCs w:val="24"/>
              </w:rPr>
            </w:pPr>
            <w:r>
              <w:rPr>
                <w:sz w:val="24"/>
                <w:szCs w:val="24"/>
              </w:rPr>
              <w:t xml:space="preserve">The procedures aim to provide clear guidance and expectations of people when they are working with adults and children. The Procedures state that Safeguarding is every body’s business, and it outlines how to carry out safeguarding within paid and unpaid work. This further includes </w:t>
            </w:r>
            <w:r w:rsidRPr="00402F8E">
              <w:rPr>
                <w:sz w:val="24"/>
                <w:szCs w:val="24"/>
              </w:rPr>
              <w:t>the statutory, third</w:t>
            </w:r>
            <w:r>
              <w:rPr>
                <w:sz w:val="24"/>
                <w:szCs w:val="24"/>
              </w:rPr>
              <w:t xml:space="preserve"> </w:t>
            </w:r>
            <w:r w:rsidRPr="00402F8E">
              <w:rPr>
                <w:sz w:val="24"/>
                <w:szCs w:val="24"/>
              </w:rPr>
              <w:t xml:space="preserve">or private sector, in health, social care, education, police, justice </w:t>
            </w:r>
            <w:r>
              <w:rPr>
                <w:sz w:val="24"/>
                <w:szCs w:val="24"/>
              </w:rPr>
              <w:t xml:space="preserve">and other </w:t>
            </w:r>
            <w:r w:rsidRPr="00402F8E">
              <w:rPr>
                <w:sz w:val="24"/>
                <w:szCs w:val="24"/>
              </w:rPr>
              <w:t>services.</w:t>
            </w:r>
            <w:r>
              <w:rPr>
                <w:sz w:val="24"/>
                <w:szCs w:val="24"/>
              </w:rPr>
              <w:t xml:space="preserve"> The Procedures reflect the principles of the SSWBA 2014, as per the use of What Matters conversations which aim to give individuals a voice </w:t>
            </w:r>
            <w:r w:rsidRPr="002C27A6">
              <w:rPr>
                <w:sz w:val="24"/>
                <w:szCs w:val="24"/>
              </w:rPr>
              <w:t>(</w:t>
            </w:r>
            <w:r>
              <w:rPr>
                <w:sz w:val="24"/>
                <w:szCs w:val="24"/>
              </w:rPr>
              <w:t>S</w:t>
            </w:r>
            <w:r w:rsidRPr="002C27A6">
              <w:rPr>
                <w:sz w:val="24"/>
                <w:szCs w:val="24"/>
              </w:rPr>
              <w:t xml:space="preserve">ocial </w:t>
            </w:r>
            <w:r>
              <w:rPr>
                <w:sz w:val="24"/>
                <w:szCs w:val="24"/>
              </w:rPr>
              <w:t>C</w:t>
            </w:r>
            <w:r w:rsidRPr="002C27A6">
              <w:rPr>
                <w:sz w:val="24"/>
                <w:szCs w:val="24"/>
              </w:rPr>
              <w:t xml:space="preserve">are </w:t>
            </w:r>
            <w:r>
              <w:rPr>
                <w:sz w:val="24"/>
                <w:szCs w:val="24"/>
              </w:rPr>
              <w:t>W</w:t>
            </w:r>
            <w:r w:rsidRPr="002C27A6">
              <w:rPr>
                <w:sz w:val="24"/>
                <w:szCs w:val="24"/>
              </w:rPr>
              <w:t>ales</w:t>
            </w:r>
            <w:r>
              <w:rPr>
                <w:sz w:val="24"/>
                <w:szCs w:val="24"/>
              </w:rPr>
              <w:t xml:space="preserve">, </w:t>
            </w:r>
            <w:r w:rsidRPr="002C27A6">
              <w:rPr>
                <w:sz w:val="24"/>
                <w:szCs w:val="24"/>
              </w:rPr>
              <w:t>2019)</w:t>
            </w:r>
            <w:r>
              <w:rPr>
                <w:sz w:val="24"/>
                <w:szCs w:val="24"/>
              </w:rPr>
              <w:t>.</w:t>
            </w:r>
          </w:p>
          <w:p w14:paraId="005F74CA" w14:textId="77777777" w:rsidR="00A41268" w:rsidRPr="007F77E9" w:rsidRDefault="00A41268" w:rsidP="00A41268">
            <w:pPr>
              <w:jc w:val="both"/>
              <w:rPr>
                <w:sz w:val="24"/>
                <w:szCs w:val="24"/>
              </w:rPr>
            </w:pPr>
          </w:p>
          <w:p w14:paraId="69100AE0" w14:textId="77777777" w:rsidR="00A41268" w:rsidRPr="00057253" w:rsidRDefault="00A41268" w:rsidP="00A41268">
            <w:pPr>
              <w:pStyle w:val="ListParagraph"/>
              <w:rPr>
                <w:sz w:val="24"/>
                <w:szCs w:val="24"/>
              </w:rPr>
            </w:pPr>
          </w:p>
          <w:p w14:paraId="2AEA6A3D" w14:textId="509016E7" w:rsidR="00A41268" w:rsidRPr="00D63D05" w:rsidRDefault="00A41268" w:rsidP="00A41268">
            <w:pPr>
              <w:jc w:val="both"/>
              <w:rPr>
                <w:color w:val="auto"/>
                <w:sz w:val="24"/>
                <w:szCs w:val="24"/>
              </w:rPr>
            </w:pPr>
            <w:r w:rsidRPr="00D63D05">
              <w:rPr>
                <w:color w:val="auto"/>
                <w:sz w:val="24"/>
                <w:szCs w:val="24"/>
              </w:rPr>
              <w:t xml:space="preserve">Word Count </w:t>
            </w:r>
            <w:r>
              <w:rPr>
                <w:color w:val="auto"/>
                <w:sz w:val="24"/>
                <w:szCs w:val="24"/>
              </w:rPr>
              <w:t>5</w:t>
            </w:r>
            <w:r w:rsidR="00B34054">
              <w:rPr>
                <w:color w:val="auto"/>
                <w:sz w:val="24"/>
                <w:szCs w:val="24"/>
              </w:rPr>
              <w:t>20</w:t>
            </w:r>
          </w:p>
          <w:p w14:paraId="4DA3CBE0" w14:textId="1FD129D7" w:rsidR="001A5F5C" w:rsidRDefault="001A5F5C" w:rsidP="00F112FE">
            <w:pPr>
              <w:rPr>
                <w:sz w:val="24"/>
                <w:szCs w:val="24"/>
              </w:rPr>
            </w:pPr>
          </w:p>
          <w:p w14:paraId="03BD6D93" w14:textId="56AD433A" w:rsidR="007A628F" w:rsidRPr="008B28E7" w:rsidRDefault="007A628F" w:rsidP="00A41268">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70FCBFEA"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3EB65F2A" w14:textId="77777777" w:rsidR="00232DAB" w:rsidRDefault="00232DAB" w:rsidP="001877C8">
            <w:pPr>
              <w:jc w:val="both"/>
              <w:rPr>
                <w:i/>
                <w:sz w:val="24"/>
                <w:szCs w:val="24"/>
              </w:rPr>
            </w:pPr>
          </w:p>
          <w:p w14:paraId="53BBA5DE" w14:textId="0EA72EAD" w:rsidR="001877C8" w:rsidRDefault="001877C8" w:rsidP="001877C8">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0D9EA6B8" w14:textId="77777777" w:rsidR="00B14106" w:rsidRDefault="00B14106" w:rsidP="001877C8">
            <w:pPr>
              <w:jc w:val="both"/>
              <w:rPr>
                <w:i/>
                <w:sz w:val="24"/>
                <w:szCs w:val="24"/>
              </w:rPr>
            </w:pPr>
          </w:p>
          <w:p w14:paraId="53B13E6B" w14:textId="77777777" w:rsidR="00B14106" w:rsidRDefault="00B14106" w:rsidP="00B14106">
            <w:pPr>
              <w:overflowPunct/>
              <w:autoSpaceDE/>
              <w:autoSpaceDN/>
              <w:adjustRightInd/>
              <w:spacing w:after="160"/>
              <w:jc w:val="both"/>
              <w:textAlignment w:val="auto"/>
              <w:rPr>
                <w:rFonts w:eastAsia="Calibri"/>
                <w:color w:val="auto"/>
                <w:sz w:val="24"/>
                <w:szCs w:val="24"/>
                <w:lang w:val="en-US" w:eastAsia="en-US"/>
              </w:rPr>
            </w:pPr>
            <w:r w:rsidRPr="00E23819">
              <w:rPr>
                <w:rFonts w:eastAsia="Calibri"/>
                <w:color w:val="auto"/>
                <w:sz w:val="24"/>
                <w:szCs w:val="24"/>
                <w:lang w:val="en-US" w:eastAsia="en-US"/>
              </w:rPr>
              <w:t xml:space="preserve">The main legislation used by Local Authorities in Wales to safeguard adults and children is the </w:t>
            </w:r>
            <w:r>
              <w:rPr>
                <w:rFonts w:eastAsia="Calibri"/>
                <w:color w:val="auto"/>
                <w:sz w:val="24"/>
                <w:szCs w:val="24"/>
                <w:lang w:val="en-US" w:eastAsia="en-US"/>
              </w:rPr>
              <w:t>SSWBA 2014.</w:t>
            </w:r>
            <w:r w:rsidRPr="00E23819">
              <w:rPr>
                <w:rFonts w:eastAsia="Calibri"/>
                <w:color w:val="auto"/>
                <w:sz w:val="24"/>
                <w:szCs w:val="24"/>
                <w:lang w:val="en-US" w:eastAsia="en-US"/>
              </w:rPr>
              <w:t xml:space="preserve"> </w:t>
            </w:r>
            <w:r>
              <w:rPr>
                <w:rFonts w:eastAsia="Calibri"/>
                <w:color w:val="auto"/>
                <w:sz w:val="24"/>
                <w:szCs w:val="24"/>
                <w:lang w:val="en-US" w:eastAsia="en-US"/>
              </w:rPr>
              <w:t xml:space="preserve">This combined the approaches to safeguard both children and adults. </w:t>
            </w:r>
          </w:p>
          <w:p w14:paraId="51B4706D" w14:textId="77777777" w:rsidR="00B14106" w:rsidRDefault="00B14106" w:rsidP="00B14106">
            <w:pPr>
              <w:overflowPunct/>
              <w:autoSpaceDE/>
              <w:autoSpaceDN/>
              <w:adjustRightInd/>
              <w:spacing w:after="160"/>
              <w:jc w:val="both"/>
              <w:textAlignment w:val="auto"/>
              <w:rPr>
                <w:rFonts w:eastAsia="Calibri"/>
                <w:color w:val="auto"/>
                <w:sz w:val="24"/>
                <w:szCs w:val="24"/>
                <w:lang w:val="en-US" w:eastAsia="en-US"/>
              </w:rPr>
            </w:pPr>
            <w:r>
              <w:rPr>
                <w:rFonts w:eastAsia="Calibri"/>
                <w:color w:val="auto"/>
                <w:sz w:val="24"/>
                <w:szCs w:val="24"/>
                <w:lang w:val="en-US" w:eastAsia="en-US"/>
              </w:rPr>
              <w:t>When a safeguarding referral is made for a vulnerable adult under the guidance of the SSWBA 2014 consent must be given by the adult. If they are not able to give consent the adult may lack capacity; the referral can be made on their behalf. In this instance a Mental Health Capacity assessment may be conducted under the guidance of the Mental Capacity Act 2005.</w:t>
            </w:r>
            <w:r>
              <w:t xml:space="preserve"> </w:t>
            </w:r>
            <w:r w:rsidRPr="00915BE8">
              <w:rPr>
                <w:rFonts w:eastAsia="Calibri"/>
                <w:color w:val="auto"/>
                <w:sz w:val="24"/>
                <w:szCs w:val="24"/>
                <w:lang w:val="en-US" w:eastAsia="en-US"/>
              </w:rPr>
              <w:t>The Mental Capacity Act 2005 is a law that protects vulnerable people over the age of 16 around decision-making</w:t>
            </w:r>
            <w:r>
              <w:rPr>
                <w:rFonts w:eastAsia="Calibri"/>
                <w:color w:val="auto"/>
                <w:sz w:val="24"/>
                <w:szCs w:val="24"/>
                <w:lang w:val="en-US" w:eastAsia="en-US"/>
              </w:rPr>
              <w:t xml:space="preserve"> </w:t>
            </w:r>
            <w:r>
              <w:rPr>
                <w:rFonts w:eastAsia="Calibri"/>
                <w:sz w:val="24"/>
                <w:szCs w:val="24"/>
                <w:lang w:val="en-US" w:eastAsia="en-US"/>
              </w:rPr>
              <w:t>(</w:t>
            </w:r>
            <w:r w:rsidRPr="003144B1">
              <w:rPr>
                <w:rFonts w:eastAsia="Calibri"/>
                <w:color w:val="auto"/>
                <w:sz w:val="24"/>
                <w:szCs w:val="24"/>
                <w:lang w:val="en-US" w:eastAsia="en-US"/>
              </w:rPr>
              <w:t>Mencap</w:t>
            </w:r>
            <w:r>
              <w:rPr>
                <w:rFonts w:eastAsia="Calibri"/>
                <w:color w:val="auto"/>
                <w:sz w:val="24"/>
                <w:szCs w:val="24"/>
                <w:lang w:val="en-US" w:eastAsia="en-US"/>
              </w:rPr>
              <w:t xml:space="preserve">, </w:t>
            </w:r>
            <w:r w:rsidRPr="003144B1">
              <w:rPr>
                <w:rFonts w:eastAsia="Calibri"/>
                <w:color w:val="auto"/>
                <w:sz w:val="24"/>
                <w:szCs w:val="24"/>
                <w:lang w:val="en-US" w:eastAsia="en-US"/>
              </w:rPr>
              <w:t>2023)</w:t>
            </w:r>
            <w:r>
              <w:rPr>
                <w:rFonts w:eastAsia="Calibri"/>
                <w:color w:val="auto"/>
                <w:sz w:val="24"/>
                <w:szCs w:val="24"/>
                <w:lang w:val="en-US" w:eastAsia="en-US"/>
              </w:rPr>
              <w:t>.</w:t>
            </w:r>
          </w:p>
          <w:p w14:paraId="1249F279" w14:textId="77777777" w:rsidR="00B14106" w:rsidRDefault="00B14106" w:rsidP="00B14106">
            <w:pPr>
              <w:overflowPunct/>
              <w:autoSpaceDE/>
              <w:autoSpaceDN/>
              <w:adjustRightInd/>
              <w:spacing w:after="160"/>
              <w:jc w:val="both"/>
              <w:textAlignment w:val="auto"/>
              <w:rPr>
                <w:rFonts w:eastAsia="Calibri"/>
                <w:color w:val="auto"/>
                <w:sz w:val="24"/>
                <w:szCs w:val="24"/>
                <w:lang w:val="en-US" w:eastAsia="en-US"/>
              </w:rPr>
            </w:pPr>
            <w:r>
              <w:rPr>
                <w:rFonts w:eastAsia="Calibri"/>
                <w:color w:val="auto"/>
                <w:sz w:val="24"/>
                <w:szCs w:val="24"/>
                <w:lang w:val="en-US" w:eastAsia="en-US"/>
              </w:rPr>
              <w:t>Whereas in Childrens Safeguarding a referral under the SSWBA 2014 can be made without the individual with parental responsibility consenting. When the Local Authority suspects that a child is likely of or at risk of suffering significant harm, they have a duty to investigate under Section 47 of the Childrens Act 1989. Social Services may act without consent to prevent a child being exposed to significant harm due to the guidance under t</w:t>
            </w:r>
            <w:r w:rsidRPr="00A423BD">
              <w:rPr>
                <w:rFonts w:eastAsia="Calibri"/>
                <w:color w:val="auto"/>
                <w:sz w:val="24"/>
                <w:szCs w:val="24"/>
                <w:lang w:val="en-US" w:eastAsia="en-US"/>
              </w:rPr>
              <w:t>he paramountcy principle and the welfare checklist</w:t>
            </w:r>
            <w:r>
              <w:rPr>
                <w:rFonts w:eastAsia="Calibri"/>
                <w:color w:val="auto"/>
                <w:sz w:val="24"/>
                <w:szCs w:val="24"/>
                <w:lang w:val="en-US" w:eastAsia="en-US"/>
              </w:rPr>
              <w:t xml:space="preserve"> in the </w:t>
            </w:r>
            <w:r w:rsidRPr="00A423BD">
              <w:rPr>
                <w:rFonts w:eastAsia="Calibri"/>
                <w:color w:val="auto"/>
                <w:sz w:val="24"/>
                <w:szCs w:val="24"/>
                <w:lang w:val="en-US" w:eastAsia="en-US"/>
              </w:rPr>
              <w:t>CA1989</w:t>
            </w:r>
            <w:r>
              <w:rPr>
                <w:rFonts w:eastAsia="Calibri"/>
                <w:color w:val="auto"/>
                <w:sz w:val="24"/>
                <w:szCs w:val="24"/>
                <w:lang w:val="en-US" w:eastAsia="en-US"/>
              </w:rPr>
              <w:t xml:space="preserve"> that ‘’the</w:t>
            </w:r>
            <w:r w:rsidRPr="00A423BD">
              <w:rPr>
                <w:rFonts w:eastAsia="Calibri"/>
                <w:color w:val="auto"/>
                <w:sz w:val="24"/>
                <w:szCs w:val="24"/>
                <w:lang w:val="en-US" w:eastAsia="en-US"/>
              </w:rPr>
              <w:t xml:space="preserve"> child’s welfare shall be the court’s paramount consideration</w:t>
            </w:r>
            <w:r>
              <w:rPr>
                <w:rFonts w:eastAsia="Calibri"/>
                <w:color w:val="auto"/>
                <w:sz w:val="24"/>
                <w:szCs w:val="24"/>
                <w:lang w:val="en-US" w:eastAsia="en-US"/>
              </w:rPr>
              <w:t xml:space="preserve">’’ </w:t>
            </w:r>
            <w:r w:rsidRPr="007418E6">
              <w:rPr>
                <w:rFonts w:eastAsia="Calibri"/>
                <w:color w:val="auto"/>
                <w:sz w:val="24"/>
                <w:szCs w:val="24"/>
                <w:lang w:val="en-US" w:eastAsia="en-US"/>
              </w:rPr>
              <w:t>(Participation, 1989)</w:t>
            </w:r>
            <w:r>
              <w:rPr>
                <w:rFonts w:eastAsia="Calibri"/>
                <w:color w:val="auto"/>
                <w:sz w:val="24"/>
                <w:szCs w:val="24"/>
                <w:lang w:val="en-US" w:eastAsia="en-US"/>
              </w:rPr>
              <w:t xml:space="preserve">. </w:t>
            </w:r>
            <w:r>
              <w:t xml:space="preserve"> </w:t>
            </w:r>
            <w:r>
              <w:rPr>
                <w:rFonts w:eastAsia="Calibri"/>
                <w:color w:val="auto"/>
                <w:sz w:val="24"/>
                <w:szCs w:val="24"/>
                <w:lang w:val="en-US" w:eastAsia="en-US"/>
              </w:rPr>
              <w:t>There is then a statutory requirement to work with Local Authorities to promote positive change for a child.</w:t>
            </w:r>
          </w:p>
          <w:p w14:paraId="39E7BC83" w14:textId="77777777" w:rsidR="00B14106" w:rsidRDefault="00B14106" w:rsidP="00B14106">
            <w:pPr>
              <w:overflowPunct/>
              <w:autoSpaceDE/>
              <w:autoSpaceDN/>
              <w:adjustRightInd/>
              <w:spacing w:after="160"/>
              <w:jc w:val="both"/>
              <w:textAlignment w:val="auto"/>
              <w:rPr>
                <w:rFonts w:eastAsia="Calibri"/>
                <w:color w:val="auto"/>
                <w:sz w:val="24"/>
                <w:szCs w:val="24"/>
                <w:lang w:val="en-US" w:eastAsia="en-US"/>
              </w:rPr>
            </w:pPr>
            <w:r>
              <w:rPr>
                <w:rFonts w:eastAsia="Calibri"/>
                <w:color w:val="auto"/>
                <w:sz w:val="24"/>
                <w:szCs w:val="24"/>
                <w:lang w:val="en-US" w:eastAsia="en-US"/>
              </w:rPr>
              <w:t xml:space="preserve">Adults may continue to act without any safeguarding intervention in a way which is deemed to be risky or not in their best interests. Under Article 8 of the Human Rights Act 1998 </w:t>
            </w:r>
            <w:r w:rsidRPr="00531907">
              <w:rPr>
                <w:rFonts w:eastAsia="Calibri"/>
                <w:color w:val="auto"/>
                <w:sz w:val="24"/>
                <w:szCs w:val="24"/>
                <w:lang w:val="en-US" w:eastAsia="en-US"/>
              </w:rPr>
              <w:t>(Mind, Human Rights Act</w:t>
            </w:r>
            <w:r>
              <w:rPr>
                <w:rFonts w:eastAsia="Calibri"/>
                <w:color w:val="auto"/>
                <w:sz w:val="24"/>
                <w:szCs w:val="24"/>
                <w:lang w:val="en-US" w:eastAsia="en-US"/>
              </w:rPr>
              <w:t xml:space="preserve"> 1998, </w:t>
            </w:r>
            <w:r w:rsidRPr="00531907">
              <w:rPr>
                <w:rFonts w:eastAsia="Calibri"/>
                <w:color w:val="auto"/>
                <w:sz w:val="24"/>
                <w:szCs w:val="24"/>
                <w:lang w:val="en-US" w:eastAsia="en-US"/>
              </w:rPr>
              <w:t>2020)</w:t>
            </w:r>
            <w:r>
              <w:rPr>
                <w:rFonts w:eastAsia="Calibri"/>
                <w:color w:val="auto"/>
                <w:sz w:val="24"/>
                <w:szCs w:val="24"/>
                <w:lang w:val="en-US" w:eastAsia="en-US"/>
              </w:rPr>
              <w:t xml:space="preserve"> an adult has the right to make choices. This includes the right to decline support which would safeguard their best interests.</w:t>
            </w:r>
          </w:p>
          <w:p w14:paraId="0A37BC0B" w14:textId="77777777" w:rsidR="00B14106" w:rsidRDefault="00B14106" w:rsidP="00B14106">
            <w:pPr>
              <w:overflowPunct/>
              <w:autoSpaceDE/>
              <w:autoSpaceDN/>
              <w:adjustRightInd/>
              <w:spacing w:after="160"/>
              <w:jc w:val="both"/>
              <w:textAlignment w:val="auto"/>
              <w:rPr>
                <w:rFonts w:eastAsia="Calibri"/>
                <w:color w:val="auto"/>
                <w:sz w:val="24"/>
                <w:szCs w:val="24"/>
                <w:lang w:val="en-US" w:eastAsia="en-US"/>
              </w:rPr>
            </w:pPr>
            <w:r>
              <w:rPr>
                <w:rFonts w:eastAsia="Calibri"/>
                <w:color w:val="auto"/>
                <w:sz w:val="24"/>
                <w:szCs w:val="24"/>
                <w:lang w:val="en-US" w:eastAsia="en-US"/>
              </w:rPr>
              <w:t xml:space="preserve">The Mental Capacity Act 2005 can be applied to children aged 16 and over, which means their capacity would be assessed under the MCA 2005. </w:t>
            </w:r>
            <w:r w:rsidRPr="00960AAA">
              <w:rPr>
                <w:rFonts w:eastAsia="Calibri"/>
                <w:color w:val="auto"/>
                <w:sz w:val="24"/>
                <w:szCs w:val="24"/>
                <w:lang w:val="en-US" w:eastAsia="en-US"/>
              </w:rPr>
              <w:t xml:space="preserve">Gillick and Fraser guidelines </w:t>
            </w:r>
            <w:r>
              <w:rPr>
                <w:rFonts w:eastAsia="Calibri"/>
                <w:color w:val="auto"/>
                <w:sz w:val="24"/>
                <w:szCs w:val="24"/>
                <w:lang w:val="en-US" w:eastAsia="en-US"/>
              </w:rPr>
              <w:t>are considered when a</w:t>
            </w:r>
            <w:r w:rsidRPr="00960AAA">
              <w:rPr>
                <w:rFonts w:eastAsia="Calibri"/>
                <w:color w:val="auto"/>
                <w:sz w:val="24"/>
                <w:szCs w:val="24"/>
                <w:lang w:val="en-US" w:eastAsia="en-US"/>
              </w:rPr>
              <w:t xml:space="preserve"> young person </w:t>
            </w:r>
            <w:r>
              <w:rPr>
                <w:rFonts w:eastAsia="Calibri"/>
                <w:color w:val="auto"/>
                <w:sz w:val="24"/>
                <w:szCs w:val="24"/>
                <w:lang w:val="en-US" w:eastAsia="en-US"/>
              </w:rPr>
              <w:t xml:space="preserve">under 16 </w:t>
            </w:r>
            <w:r w:rsidRPr="00960AAA">
              <w:rPr>
                <w:rFonts w:eastAsia="Calibri"/>
                <w:color w:val="auto"/>
                <w:sz w:val="24"/>
                <w:szCs w:val="24"/>
                <w:lang w:val="en-US" w:eastAsia="en-US"/>
              </w:rPr>
              <w:t xml:space="preserve">wants to </w:t>
            </w:r>
            <w:r>
              <w:rPr>
                <w:rFonts w:eastAsia="Calibri"/>
                <w:color w:val="auto"/>
                <w:sz w:val="24"/>
                <w:szCs w:val="24"/>
                <w:lang w:val="en-US" w:eastAsia="en-US"/>
              </w:rPr>
              <w:t xml:space="preserve">make a decision </w:t>
            </w:r>
            <w:r w:rsidRPr="00960AAA">
              <w:rPr>
                <w:rFonts w:eastAsia="Calibri"/>
                <w:color w:val="auto"/>
                <w:sz w:val="24"/>
                <w:szCs w:val="24"/>
                <w:lang w:val="en-US" w:eastAsia="en-US"/>
              </w:rPr>
              <w:t>without their parents' or carers' knowledge or consent</w:t>
            </w:r>
            <w:r>
              <w:rPr>
                <w:rFonts w:eastAsia="Calibri"/>
                <w:color w:val="auto"/>
                <w:sz w:val="24"/>
                <w:szCs w:val="24"/>
                <w:lang w:val="en-US" w:eastAsia="en-US"/>
              </w:rPr>
              <w:t xml:space="preserve"> </w:t>
            </w:r>
            <w:r w:rsidRPr="00596794">
              <w:rPr>
                <w:rFonts w:eastAsia="Calibri"/>
                <w:color w:val="auto"/>
                <w:sz w:val="24"/>
                <w:szCs w:val="24"/>
                <w:lang w:val="en-US" w:eastAsia="en-US"/>
              </w:rPr>
              <w:t>(NSPCC, Gillick competence and Fraser Guidelines</w:t>
            </w:r>
            <w:r>
              <w:rPr>
                <w:rFonts w:eastAsia="Calibri"/>
                <w:color w:val="auto"/>
                <w:sz w:val="24"/>
                <w:szCs w:val="24"/>
                <w:lang w:val="en-US" w:eastAsia="en-US"/>
              </w:rPr>
              <w:t>,</w:t>
            </w:r>
            <w:r w:rsidRPr="00596794">
              <w:rPr>
                <w:rFonts w:eastAsia="Calibri"/>
                <w:color w:val="auto"/>
                <w:sz w:val="24"/>
                <w:szCs w:val="24"/>
                <w:lang w:val="en-US" w:eastAsia="en-US"/>
              </w:rPr>
              <w:t xml:space="preserve"> 2022)</w:t>
            </w:r>
            <w:r>
              <w:rPr>
                <w:rFonts w:eastAsia="Calibri"/>
                <w:color w:val="auto"/>
                <w:sz w:val="24"/>
                <w:szCs w:val="24"/>
                <w:lang w:val="en-US" w:eastAsia="en-US"/>
              </w:rPr>
              <w:t>.</w:t>
            </w:r>
          </w:p>
          <w:p w14:paraId="1735AC4B" w14:textId="77777777" w:rsidR="00B14106" w:rsidRDefault="00B14106" w:rsidP="00B14106">
            <w:pPr>
              <w:overflowPunct/>
              <w:autoSpaceDE/>
              <w:autoSpaceDN/>
              <w:adjustRightInd/>
              <w:spacing w:after="160"/>
              <w:jc w:val="both"/>
              <w:textAlignment w:val="auto"/>
              <w:rPr>
                <w:rFonts w:eastAsia="Calibri"/>
                <w:color w:val="auto"/>
                <w:sz w:val="24"/>
                <w:szCs w:val="24"/>
                <w:lang w:val="en-US" w:eastAsia="en-US"/>
              </w:rPr>
            </w:pPr>
            <w:r>
              <w:rPr>
                <w:rFonts w:eastAsia="Calibri"/>
                <w:color w:val="auto"/>
                <w:sz w:val="24"/>
                <w:szCs w:val="24"/>
                <w:lang w:val="en-US" w:eastAsia="en-US"/>
              </w:rPr>
              <w:t>The NSPCC guidelines advise that c</w:t>
            </w:r>
            <w:r w:rsidRPr="00960AAA">
              <w:rPr>
                <w:rFonts w:eastAsia="Calibri"/>
                <w:color w:val="auto"/>
                <w:sz w:val="24"/>
                <w:szCs w:val="24"/>
                <w:lang w:val="en-US" w:eastAsia="en-US"/>
              </w:rPr>
              <w:t>hild</w:t>
            </w:r>
            <w:r>
              <w:rPr>
                <w:rFonts w:eastAsia="Calibri"/>
                <w:color w:val="auto"/>
                <w:sz w:val="24"/>
                <w:szCs w:val="24"/>
                <w:lang w:val="en-US" w:eastAsia="en-US"/>
              </w:rPr>
              <w:t>ren should be encouraged</w:t>
            </w:r>
            <w:r w:rsidRPr="00960AAA">
              <w:rPr>
                <w:rFonts w:eastAsia="Calibri"/>
                <w:color w:val="auto"/>
                <w:sz w:val="24"/>
                <w:szCs w:val="24"/>
                <w:lang w:val="en-US" w:eastAsia="en-US"/>
              </w:rPr>
              <w:t xml:space="preserve"> to tell their parents or carers about the decisions they are making. </w:t>
            </w:r>
            <w:r>
              <w:rPr>
                <w:rFonts w:eastAsia="Calibri"/>
                <w:color w:val="auto"/>
                <w:sz w:val="24"/>
                <w:szCs w:val="24"/>
                <w:lang w:val="en-US" w:eastAsia="en-US"/>
              </w:rPr>
              <w:t>However i</w:t>
            </w:r>
            <w:r w:rsidRPr="00960AAA">
              <w:rPr>
                <w:rFonts w:eastAsia="Calibri"/>
                <w:color w:val="auto"/>
                <w:sz w:val="24"/>
                <w:szCs w:val="24"/>
                <w:lang w:val="en-US" w:eastAsia="en-US"/>
              </w:rPr>
              <w:t xml:space="preserve">f they don't want to do this, </w:t>
            </w:r>
            <w:r>
              <w:rPr>
                <w:rFonts w:eastAsia="Calibri"/>
                <w:color w:val="auto"/>
                <w:sz w:val="24"/>
                <w:szCs w:val="24"/>
                <w:lang w:val="en-US" w:eastAsia="en-US"/>
              </w:rPr>
              <w:t>alternative options should be explored.</w:t>
            </w:r>
            <w:r w:rsidRPr="00960AAA">
              <w:rPr>
                <w:rFonts w:eastAsia="Calibri"/>
                <w:color w:val="auto"/>
                <w:sz w:val="24"/>
                <w:szCs w:val="24"/>
                <w:lang w:val="en-US" w:eastAsia="en-US"/>
              </w:rPr>
              <w:t xml:space="preserve"> </w:t>
            </w:r>
          </w:p>
          <w:p w14:paraId="011F78DD" w14:textId="77777777" w:rsidR="00B14106" w:rsidRDefault="00B14106" w:rsidP="00B14106">
            <w:pPr>
              <w:overflowPunct/>
              <w:autoSpaceDE/>
              <w:autoSpaceDN/>
              <w:adjustRightInd/>
              <w:spacing w:after="160"/>
              <w:jc w:val="both"/>
              <w:textAlignment w:val="auto"/>
              <w:rPr>
                <w:rFonts w:eastAsia="Calibri"/>
                <w:color w:val="auto"/>
                <w:sz w:val="24"/>
                <w:szCs w:val="24"/>
                <w:lang w:val="en-US" w:eastAsia="en-US"/>
              </w:rPr>
            </w:pPr>
            <w:r w:rsidRPr="00960AAA">
              <w:rPr>
                <w:rFonts w:eastAsia="Calibri"/>
                <w:color w:val="auto"/>
                <w:sz w:val="24"/>
                <w:szCs w:val="24"/>
                <w:lang w:val="en-US" w:eastAsia="en-US"/>
              </w:rPr>
              <w:t>When practitioners have</w:t>
            </w:r>
            <w:r>
              <w:rPr>
                <w:rFonts w:eastAsia="Calibri"/>
                <w:color w:val="auto"/>
                <w:sz w:val="24"/>
                <w:szCs w:val="24"/>
                <w:lang w:val="en-US" w:eastAsia="en-US"/>
              </w:rPr>
              <w:t xml:space="preserve"> </w:t>
            </w:r>
            <w:r w:rsidRPr="00960AAA">
              <w:rPr>
                <w:rFonts w:eastAsia="Calibri"/>
                <w:color w:val="auto"/>
                <w:sz w:val="24"/>
                <w:szCs w:val="24"/>
                <w:lang w:val="en-US" w:eastAsia="en-US"/>
              </w:rPr>
              <w:t>decide</w:t>
            </w:r>
            <w:r>
              <w:rPr>
                <w:rFonts w:eastAsia="Calibri"/>
                <w:color w:val="auto"/>
                <w:sz w:val="24"/>
                <w:szCs w:val="24"/>
                <w:lang w:val="en-US" w:eastAsia="en-US"/>
              </w:rPr>
              <w:t xml:space="preserve">d that </w:t>
            </w:r>
            <w:r w:rsidRPr="00960AAA">
              <w:rPr>
                <w:rFonts w:eastAsia="Calibri"/>
                <w:color w:val="auto"/>
                <w:sz w:val="24"/>
                <w:szCs w:val="24"/>
                <w:lang w:val="en-US" w:eastAsia="en-US"/>
              </w:rPr>
              <w:t xml:space="preserve">a child is mature enough to make decisions, the child may be referred to as 'Gillick competent' or </w:t>
            </w:r>
            <w:r>
              <w:rPr>
                <w:rFonts w:eastAsia="Calibri"/>
                <w:color w:val="auto"/>
                <w:sz w:val="24"/>
                <w:szCs w:val="24"/>
                <w:lang w:val="en-US" w:eastAsia="en-US"/>
              </w:rPr>
              <w:t xml:space="preserve">that </w:t>
            </w:r>
            <w:r w:rsidRPr="00960AAA">
              <w:rPr>
                <w:rFonts w:eastAsia="Calibri"/>
                <w:color w:val="auto"/>
                <w:sz w:val="24"/>
                <w:szCs w:val="24"/>
                <w:lang w:val="en-US" w:eastAsia="en-US"/>
              </w:rPr>
              <w:t>they meet the 'Fraser guidelines'.</w:t>
            </w:r>
            <w:r>
              <w:rPr>
                <w:rFonts w:eastAsia="Calibri"/>
                <w:color w:val="auto"/>
                <w:sz w:val="24"/>
                <w:szCs w:val="24"/>
                <w:lang w:val="en-US" w:eastAsia="en-US"/>
              </w:rPr>
              <w:t xml:space="preserve"> These guidelines enable practitioners </w:t>
            </w:r>
            <w:r w:rsidRPr="0085719B">
              <w:rPr>
                <w:rFonts w:eastAsia="Calibri"/>
                <w:color w:val="auto"/>
                <w:sz w:val="24"/>
                <w:szCs w:val="24"/>
                <w:lang w:val="en-US" w:eastAsia="en-US"/>
              </w:rPr>
              <w:t xml:space="preserve">to balance the need to listen to children's </w:t>
            </w:r>
            <w:r>
              <w:rPr>
                <w:rFonts w:eastAsia="Calibri"/>
                <w:color w:val="auto"/>
                <w:sz w:val="24"/>
                <w:szCs w:val="24"/>
                <w:lang w:val="en-US" w:eastAsia="en-US"/>
              </w:rPr>
              <w:t xml:space="preserve">views, whilst also managing their </w:t>
            </w:r>
            <w:r w:rsidRPr="0085719B">
              <w:rPr>
                <w:rFonts w:eastAsia="Calibri"/>
                <w:color w:val="auto"/>
                <w:sz w:val="24"/>
                <w:szCs w:val="24"/>
                <w:lang w:val="en-US" w:eastAsia="en-US"/>
              </w:rPr>
              <w:t>responsibility to keep the</w:t>
            </w:r>
            <w:r>
              <w:rPr>
                <w:rFonts w:eastAsia="Calibri"/>
                <w:color w:val="auto"/>
                <w:sz w:val="24"/>
                <w:szCs w:val="24"/>
                <w:lang w:val="en-US" w:eastAsia="en-US"/>
              </w:rPr>
              <w:t xml:space="preserve"> child</w:t>
            </w:r>
            <w:r w:rsidRPr="0085719B">
              <w:rPr>
                <w:rFonts w:eastAsia="Calibri"/>
                <w:color w:val="auto"/>
                <w:sz w:val="24"/>
                <w:szCs w:val="24"/>
                <w:lang w:val="en-US" w:eastAsia="en-US"/>
              </w:rPr>
              <w:t xml:space="preserve"> safe.</w:t>
            </w:r>
          </w:p>
          <w:p w14:paraId="2F6C71EE" w14:textId="77777777" w:rsidR="00B14106" w:rsidRPr="00960AAA" w:rsidRDefault="00B14106" w:rsidP="00B14106">
            <w:pPr>
              <w:overflowPunct/>
              <w:autoSpaceDE/>
              <w:autoSpaceDN/>
              <w:adjustRightInd/>
              <w:spacing w:after="160"/>
              <w:jc w:val="both"/>
              <w:textAlignment w:val="auto"/>
              <w:rPr>
                <w:rFonts w:eastAsia="Calibri"/>
                <w:color w:val="auto"/>
                <w:sz w:val="24"/>
                <w:szCs w:val="24"/>
                <w:lang w:val="en-US" w:eastAsia="en-US"/>
              </w:rPr>
            </w:pPr>
          </w:p>
          <w:p w14:paraId="6E5B816A" w14:textId="77777777" w:rsidR="00B14106" w:rsidRPr="00E23819" w:rsidRDefault="00B14106" w:rsidP="00B14106">
            <w:pPr>
              <w:jc w:val="both"/>
              <w:rPr>
                <w:color w:val="auto"/>
                <w:sz w:val="24"/>
                <w:szCs w:val="24"/>
              </w:rPr>
            </w:pPr>
            <w:r w:rsidRPr="00E23819">
              <w:rPr>
                <w:color w:val="auto"/>
                <w:sz w:val="24"/>
                <w:szCs w:val="24"/>
              </w:rPr>
              <w:t>Word Count</w:t>
            </w:r>
            <w:r>
              <w:rPr>
                <w:color w:val="auto"/>
                <w:sz w:val="24"/>
                <w:szCs w:val="24"/>
              </w:rPr>
              <w:t>:</w:t>
            </w:r>
            <w:r w:rsidRPr="00E23819">
              <w:rPr>
                <w:color w:val="auto"/>
                <w:sz w:val="24"/>
                <w:szCs w:val="24"/>
              </w:rPr>
              <w:t xml:space="preserve"> </w:t>
            </w:r>
            <w:r>
              <w:rPr>
                <w:color w:val="auto"/>
                <w:sz w:val="24"/>
                <w:szCs w:val="24"/>
              </w:rPr>
              <w:t>429</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08760B3D" w14:textId="77777777" w:rsidR="00FC0334" w:rsidRPr="006108C9" w:rsidRDefault="00FC0334" w:rsidP="001877C8">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DengXian Light">
    <w:altName w:val="Arial Unicode MS"/>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234A49">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19C3ED7"/>
    <w:multiLevelType w:val="hybridMultilevel"/>
    <w:tmpl w:val="10587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8657685"/>
    <w:multiLevelType w:val="hybridMultilevel"/>
    <w:tmpl w:val="34368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88D6E31"/>
    <w:multiLevelType w:val="hybridMultilevel"/>
    <w:tmpl w:val="2550D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176589"/>
    <w:multiLevelType w:val="hybridMultilevel"/>
    <w:tmpl w:val="EC400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99E026F"/>
    <w:multiLevelType w:val="hybridMultilevel"/>
    <w:tmpl w:val="15A23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70570775">
    <w:abstractNumId w:val="1"/>
    <w:lvlOverride w:ilvl="0">
      <w:lvl w:ilvl="0">
        <w:start w:val="1"/>
        <w:numFmt w:val="bullet"/>
        <w:lvlText w:val=""/>
        <w:lvlJc w:val="left"/>
        <w:pPr>
          <w:ind w:left="720" w:hanging="360"/>
        </w:pPr>
        <w:rPr>
          <w:rFonts w:ascii="Symbol" w:hAnsi="Symbol" w:hint="default"/>
        </w:rPr>
      </w:lvl>
    </w:lvlOverride>
  </w:num>
  <w:num w:numId="2" w16cid:durableId="1647779645">
    <w:abstractNumId w:val="24"/>
  </w:num>
  <w:num w:numId="3" w16cid:durableId="54479248">
    <w:abstractNumId w:val="49"/>
  </w:num>
  <w:num w:numId="4" w16cid:durableId="1889801602">
    <w:abstractNumId w:val="51"/>
  </w:num>
  <w:num w:numId="5" w16cid:durableId="2122409160">
    <w:abstractNumId w:val="37"/>
  </w:num>
  <w:num w:numId="6" w16cid:durableId="1100445568">
    <w:abstractNumId w:val="34"/>
  </w:num>
  <w:num w:numId="7" w16cid:durableId="600643353">
    <w:abstractNumId w:val="31"/>
  </w:num>
  <w:num w:numId="8" w16cid:durableId="355468438">
    <w:abstractNumId w:val="32"/>
  </w:num>
  <w:num w:numId="9" w16cid:durableId="1596136839">
    <w:abstractNumId w:val="11"/>
  </w:num>
  <w:num w:numId="10" w16cid:durableId="1838377200">
    <w:abstractNumId w:val="35"/>
  </w:num>
  <w:num w:numId="11" w16cid:durableId="1313829733">
    <w:abstractNumId w:val="18"/>
  </w:num>
  <w:num w:numId="12" w16cid:durableId="501093664">
    <w:abstractNumId w:val="17"/>
  </w:num>
  <w:num w:numId="13" w16cid:durableId="375198279">
    <w:abstractNumId w:val="29"/>
  </w:num>
  <w:num w:numId="14" w16cid:durableId="456720808">
    <w:abstractNumId w:val="9"/>
  </w:num>
  <w:num w:numId="15" w16cid:durableId="1145852734">
    <w:abstractNumId w:val="28"/>
  </w:num>
  <w:num w:numId="16" w16cid:durableId="1496336311">
    <w:abstractNumId w:val="16"/>
  </w:num>
  <w:num w:numId="17" w16cid:durableId="1574003516">
    <w:abstractNumId w:val="14"/>
  </w:num>
  <w:num w:numId="18" w16cid:durableId="1041323827">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52888052">
    <w:abstractNumId w:val="25"/>
  </w:num>
  <w:num w:numId="20" w16cid:durableId="2066172121">
    <w:abstractNumId w:val="19"/>
  </w:num>
  <w:num w:numId="21" w16cid:durableId="2103527173">
    <w:abstractNumId w:val="15"/>
  </w:num>
  <w:num w:numId="22" w16cid:durableId="1029065064">
    <w:abstractNumId w:val="12"/>
  </w:num>
  <w:num w:numId="23" w16cid:durableId="852769918">
    <w:abstractNumId w:val="30"/>
  </w:num>
  <w:num w:numId="24" w16cid:durableId="1223323526">
    <w:abstractNumId w:val="20"/>
  </w:num>
  <w:num w:numId="25" w16cid:durableId="1407803600">
    <w:abstractNumId w:val="45"/>
  </w:num>
  <w:num w:numId="26" w16cid:durableId="649602465">
    <w:abstractNumId w:val="38"/>
  </w:num>
  <w:num w:numId="27" w16cid:durableId="546990870">
    <w:abstractNumId w:val="44"/>
  </w:num>
  <w:num w:numId="28" w16cid:durableId="532227741">
    <w:abstractNumId w:val="22"/>
  </w:num>
  <w:num w:numId="29" w16cid:durableId="1599950015">
    <w:abstractNumId w:val="47"/>
  </w:num>
  <w:num w:numId="30" w16cid:durableId="152140700">
    <w:abstractNumId w:val="33"/>
  </w:num>
  <w:num w:numId="31" w16cid:durableId="1291283061">
    <w:abstractNumId w:val="13"/>
  </w:num>
  <w:num w:numId="32" w16cid:durableId="857355523">
    <w:abstractNumId w:val="48"/>
  </w:num>
  <w:num w:numId="33" w16cid:durableId="865604456">
    <w:abstractNumId w:val="43"/>
  </w:num>
  <w:num w:numId="34" w16cid:durableId="1195926389">
    <w:abstractNumId w:val="5"/>
  </w:num>
  <w:num w:numId="35" w16cid:durableId="1645309330">
    <w:abstractNumId w:val="50"/>
  </w:num>
  <w:num w:numId="36" w16cid:durableId="1100763124">
    <w:abstractNumId w:val="46"/>
  </w:num>
  <w:num w:numId="37" w16cid:durableId="1134130452">
    <w:abstractNumId w:val="39"/>
  </w:num>
  <w:num w:numId="38" w16cid:durableId="2004968212">
    <w:abstractNumId w:val="40"/>
  </w:num>
  <w:num w:numId="39" w16cid:durableId="19936672">
    <w:abstractNumId w:val="4"/>
  </w:num>
  <w:num w:numId="40" w16cid:durableId="1211453449">
    <w:abstractNumId w:val="6"/>
  </w:num>
  <w:num w:numId="41" w16cid:durableId="647713744">
    <w:abstractNumId w:val="27"/>
  </w:num>
  <w:num w:numId="42" w16cid:durableId="289289729">
    <w:abstractNumId w:val="7"/>
  </w:num>
  <w:num w:numId="43" w16cid:durableId="634337891">
    <w:abstractNumId w:val="3"/>
  </w:num>
  <w:num w:numId="44" w16cid:durableId="878513514">
    <w:abstractNumId w:val="41"/>
  </w:num>
  <w:num w:numId="45" w16cid:durableId="2102141151">
    <w:abstractNumId w:val="0"/>
  </w:num>
  <w:num w:numId="46" w16cid:durableId="526262770">
    <w:abstractNumId w:val="15"/>
  </w:num>
  <w:num w:numId="47" w16cid:durableId="1285505194">
    <w:abstractNumId w:val="53"/>
  </w:num>
  <w:num w:numId="48" w16cid:durableId="67911552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870875730">
    <w:abstractNumId w:val="12"/>
  </w:num>
  <w:num w:numId="50" w16cid:durableId="1150630482">
    <w:abstractNumId w:val="30"/>
  </w:num>
  <w:num w:numId="51" w16cid:durableId="805662088">
    <w:abstractNumId w:val="26"/>
  </w:num>
  <w:num w:numId="52" w16cid:durableId="1775594342">
    <w:abstractNumId w:val="23"/>
  </w:num>
  <w:num w:numId="53" w16cid:durableId="258948786">
    <w:abstractNumId w:val="2"/>
  </w:num>
  <w:num w:numId="54" w16cid:durableId="888566353">
    <w:abstractNumId w:val="21"/>
  </w:num>
  <w:num w:numId="55" w16cid:durableId="2087528209">
    <w:abstractNumId w:val="8"/>
  </w:num>
  <w:num w:numId="56" w16cid:durableId="370768862">
    <w:abstractNumId w:val="36"/>
  </w:num>
  <w:num w:numId="57" w16cid:durableId="99684506">
    <w:abstractNumId w:val="52"/>
  </w:num>
  <w:num w:numId="58" w16cid:durableId="400369642">
    <w:abstractNumId w:val="4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52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5CF"/>
    <w:rsid w:val="00084DA6"/>
    <w:rsid w:val="0008508F"/>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77C8"/>
    <w:rsid w:val="0019496C"/>
    <w:rsid w:val="001961CF"/>
    <w:rsid w:val="001A2B00"/>
    <w:rsid w:val="001A59BB"/>
    <w:rsid w:val="001A5F5C"/>
    <w:rsid w:val="001A607E"/>
    <w:rsid w:val="001A6A51"/>
    <w:rsid w:val="001A79C4"/>
    <w:rsid w:val="001B331A"/>
    <w:rsid w:val="001C0237"/>
    <w:rsid w:val="001C0E74"/>
    <w:rsid w:val="001C4DB8"/>
    <w:rsid w:val="001C50B8"/>
    <w:rsid w:val="001D229F"/>
    <w:rsid w:val="001D3A54"/>
    <w:rsid w:val="001E2EB6"/>
    <w:rsid w:val="001F4552"/>
    <w:rsid w:val="002019EB"/>
    <w:rsid w:val="00204B58"/>
    <w:rsid w:val="00205051"/>
    <w:rsid w:val="00211F65"/>
    <w:rsid w:val="00214047"/>
    <w:rsid w:val="00216563"/>
    <w:rsid w:val="0021792F"/>
    <w:rsid w:val="002209B0"/>
    <w:rsid w:val="00220D06"/>
    <w:rsid w:val="002246A0"/>
    <w:rsid w:val="00230439"/>
    <w:rsid w:val="00232316"/>
    <w:rsid w:val="00232A09"/>
    <w:rsid w:val="00232DAB"/>
    <w:rsid w:val="00234A4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44B1"/>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3CA9"/>
    <w:rsid w:val="003655E8"/>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6ABE"/>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EFF"/>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5A73"/>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7E6D"/>
    <w:rsid w:val="00521123"/>
    <w:rsid w:val="00521221"/>
    <w:rsid w:val="0052250B"/>
    <w:rsid w:val="005305C6"/>
    <w:rsid w:val="00531907"/>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24BF"/>
    <w:rsid w:val="006447DE"/>
    <w:rsid w:val="00644889"/>
    <w:rsid w:val="0065276E"/>
    <w:rsid w:val="00654329"/>
    <w:rsid w:val="00654CEC"/>
    <w:rsid w:val="00655507"/>
    <w:rsid w:val="006579FD"/>
    <w:rsid w:val="006635E3"/>
    <w:rsid w:val="00665EC2"/>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19F8"/>
    <w:rsid w:val="0072678F"/>
    <w:rsid w:val="007276E5"/>
    <w:rsid w:val="00727C4C"/>
    <w:rsid w:val="00734809"/>
    <w:rsid w:val="0073714E"/>
    <w:rsid w:val="007374EF"/>
    <w:rsid w:val="007406E1"/>
    <w:rsid w:val="00743E40"/>
    <w:rsid w:val="00745016"/>
    <w:rsid w:val="0075031F"/>
    <w:rsid w:val="00751263"/>
    <w:rsid w:val="0075372C"/>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0ABE"/>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5BE8"/>
    <w:rsid w:val="00916FB2"/>
    <w:rsid w:val="00920E5B"/>
    <w:rsid w:val="00926436"/>
    <w:rsid w:val="00926C53"/>
    <w:rsid w:val="0093018C"/>
    <w:rsid w:val="00933CF0"/>
    <w:rsid w:val="0094495F"/>
    <w:rsid w:val="009544C0"/>
    <w:rsid w:val="00954FA4"/>
    <w:rsid w:val="00956AE9"/>
    <w:rsid w:val="00964CC6"/>
    <w:rsid w:val="00967BFA"/>
    <w:rsid w:val="00980572"/>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1A6D"/>
    <w:rsid w:val="009F3AEC"/>
    <w:rsid w:val="009F6801"/>
    <w:rsid w:val="009F7374"/>
    <w:rsid w:val="00A00081"/>
    <w:rsid w:val="00A03EEB"/>
    <w:rsid w:val="00A06422"/>
    <w:rsid w:val="00A10D56"/>
    <w:rsid w:val="00A12AAE"/>
    <w:rsid w:val="00A12F22"/>
    <w:rsid w:val="00A14D68"/>
    <w:rsid w:val="00A16DD1"/>
    <w:rsid w:val="00A17398"/>
    <w:rsid w:val="00A22441"/>
    <w:rsid w:val="00A23F3B"/>
    <w:rsid w:val="00A24406"/>
    <w:rsid w:val="00A25804"/>
    <w:rsid w:val="00A25F64"/>
    <w:rsid w:val="00A275F6"/>
    <w:rsid w:val="00A303B9"/>
    <w:rsid w:val="00A37416"/>
    <w:rsid w:val="00A40ED6"/>
    <w:rsid w:val="00A41268"/>
    <w:rsid w:val="00A423BD"/>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513"/>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4106"/>
    <w:rsid w:val="00B15998"/>
    <w:rsid w:val="00B17FA0"/>
    <w:rsid w:val="00B2292C"/>
    <w:rsid w:val="00B22C3C"/>
    <w:rsid w:val="00B24344"/>
    <w:rsid w:val="00B26769"/>
    <w:rsid w:val="00B2754B"/>
    <w:rsid w:val="00B31C91"/>
    <w:rsid w:val="00B34054"/>
    <w:rsid w:val="00B3747F"/>
    <w:rsid w:val="00B42E76"/>
    <w:rsid w:val="00B43194"/>
    <w:rsid w:val="00B436BF"/>
    <w:rsid w:val="00B47734"/>
    <w:rsid w:val="00B50FBA"/>
    <w:rsid w:val="00B558EB"/>
    <w:rsid w:val="00B577D3"/>
    <w:rsid w:val="00B60466"/>
    <w:rsid w:val="00B6548F"/>
    <w:rsid w:val="00B71A32"/>
    <w:rsid w:val="00B7502A"/>
    <w:rsid w:val="00B76C9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3E37"/>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4CB5"/>
    <w:rsid w:val="00DD31C5"/>
    <w:rsid w:val="00DD5020"/>
    <w:rsid w:val="00DD63BE"/>
    <w:rsid w:val="00DE4296"/>
    <w:rsid w:val="00DF2469"/>
    <w:rsid w:val="00DF7899"/>
    <w:rsid w:val="00E0524C"/>
    <w:rsid w:val="00E15751"/>
    <w:rsid w:val="00E17160"/>
    <w:rsid w:val="00E17D41"/>
    <w:rsid w:val="00E231D1"/>
    <w:rsid w:val="00E23819"/>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FEA"/>
    <w:rsid w:val="00ED1B30"/>
    <w:rsid w:val="00ED20E3"/>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1133"/>
    <w:rsid w:val="00F112FE"/>
    <w:rsid w:val="00F15354"/>
    <w:rsid w:val="00F16F5A"/>
    <w:rsid w:val="00F1709C"/>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529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232316"/>
    <w:pPr>
      <w:autoSpaceDE w:val="0"/>
      <w:autoSpaceDN w:val="0"/>
      <w:adjustRightInd w:val="0"/>
    </w:pPr>
    <w:rPr>
      <w:rFonts w:ascii="Arial" w:hAnsi="Arial" w:cs="Arial"/>
      <w:color w:val="000000"/>
      <w:sz w:val="24"/>
      <w:szCs w:val="24"/>
    </w:rPr>
  </w:style>
  <w:style w:type="paragraph" w:styleId="ListParagraph">
    <w:name w:val="List Paragraph"/>
    <w:basedOn w:val="Normal"/>
    <w:uiPriority w:val="34"/>
    <w:qFormat/>
    <w:rsid w:val="00406A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Lauren_mccauley00@hotmail.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lauren.mccauley@flintshire.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A091600-6E2B-4931-AEF1-955510F12AC0}">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5</Pages>
  <Words>1158</Words>
  <Characters>6222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Lauren McCauley</cp:lastModifiedBy>
  <cp:revision>6</cp:revision>
  <cp:lastPrinted>2020-02-11T19:20:00Z</cp:lastPrinted>
  <dcterms:created xsi:type="dcterms:W3CDTF">2023-10-21T16:08:00Z</dcterms:created>
  <dcterms:modified xsi:type="dcterms:W3CDTF">2024-02-05T09:36:00Z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