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4417616" w:displacedByCustomXml="next"/>
    <w:sdt>
      <w:sdtPr>
        <w:rPr>
          <w:rFonts w:ascii="Times New Roman" w:eastAsiaTheme="minorHAnsi" w:hAnsi="Times New Roman"/>
          <w:kern w:val="2"/>
          <w:sz w:val="2"/>
          <w14:ligatures w14:val="standardContextual"/>
        </w:rPr>
        <w:id w:val="846833236"/>
        <w:docPartObj>
          <w:docPartGallery w:val="Cover Pages"/>
          <w:docPartUnique/>
        </w:docPartObj>
      </w:sdtPr>
      <w:sdtEndPr>
        <w:rPr>
          <w:rStyle w:val="Hyperlink"/>
          <w:noProof/>
          <w:color w:val="0563C1" w:themeColor="hyperlink"/>
          <w:sz w:val="24"/>
          <w:u w:val="single"/>
        </w:rPr>
      </w:sdtEndPr>
      <w:sdtContent>
        <w:p w14:paraId="525CB62B" w14:textId="07CB31AA" w:rsidR="00E604E4" w:rsidRDefault="00E604E4" w:rsidP="005C7384">
          <w:pPr>
            <w:pStyle w:val="NoSpacing"/>
            <w:spacing w:before="240" w:line="360" w:lineRule="auto"/>
            <w:jc w:val="both"/>
            <w:rPr>
              <w:sz w:val="2"/>
            </w:rPr>
          </w:pPr>
        </w:p>
        <w:p w14:paraId="029A61F4" w14:textId="77777777" w:rsidR="00056BD2" w:rsidRDefault="00E604E4" w:rsidP="005C7384">
          <w:pPr>
            <w:spacing w:before="240" w:line="360" w:lineRule="auto"/>
            <w:rPr>
              <w:rStyle w:val="Hyperlink"/>
              <w:color w:val="auto"/>
              <w:u w:val="none"/>
            </w:rPr>
          </w:pPr>
          <w:r>
            <w:rPr>
              <w:noProof/>
            </w:rPr>
            <mc:AlternateContent>
              <mc:Choice Requires="wps">
                <w:drawing>
                  <wp:anchor distT="0" distB="0" distL="114300" distR="114300" simplePos="0" relativeHeight="251661312" behindDoc="0" locked="0" layoutInCell="1" allowOverlap="1" wp14:anchorId="372EF13C" wp14:editId="1EE9695C">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CADCA7" w14:textId="6D31157C" w:rsidR="00E604E4" w:rsidRPr="00E604E4" w:rsidRDefault="00E604E4" w:rsidP="00056BD2">
                                <w:pPr>
                                  <w:rPr>
                                    <w:sz w:val="52"/>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72EF13C"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p w14:paraId="6BCADCA7" w14:textId="6D31157C" w:rsidR="00E604E4" w:rsidRPr="00E604E4" w:rsidRDefault="00E604E4" w:rsidP="00056BD2">
                          <w:pPr>
                            <w:rPr>
                              <w:sz w:val="52"/>
                              <w:szCs w:val="48"/>
                            </w:rPr>
                          </w:pPr>
                        </w:p>
                      </w:txbxContent>
                    </v:textbox>
                    <w10:wrap anchorx="page" anchory="margin"/>
                  </v:shape>
                </w:pict>
              </mc:Fallback>
            </mc:AlternateContent>
          </w:r>
          <w:r w:rsidR="00056BD2" w:rsidRPr="00127C2D">
            <w:rPr>
              <w:rFonts w:cs="Times New Roman"/>
              <w:noProof/>
            </w:rPr>
            <w:drawing>
              <wp:inline distT="0" distB="0" distL="0" distR="0" wp14:anchorId="211480C9" wp14:editId="2A9D6C0C">
                <wp:extent cx="4914900" cy="2247900"/>
                <wp:effectExtent l="0" t="0" r="0" b="0"/>
                <wp:docPr id="67491270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1270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00" cy="2247900"/>
                        </a:xfrm>
                        <a:prstGeom prst="rect">
                          <a:avLst/>
                        </a:prstGeom>
                        <a:noFill/>
                        <a:ln>
                          <a:noFill/>
                        </a:ln>
                      </pic:spPr>
                    </pic:pic>
                  </a:graphicData>
                </a:graphic>
              </wp:inline>
            </w:drawing>
          </w:r>
        </w:p>
        <w:p w14:paraId="1406543E" w14:textId="77777777" w:rsidR="00056BD2" w:rsidRDefault="00056BD2" w:rsidP="00056BD2">
          <w:pPr>
            <w:spacing w:before="240" w:line="360" w:lineRule="auto"/>
            <w:rPr>
              <w:rStyle w:val="Hyperlink"/>
              <w:rFonts w:cs="Times New Roman"/>
              <w:noProof/>
              <w:color w:val="000000" w:themeColor="text1"/>
              <w:sz w:val="44"/>
              <w:szCs w:val="44"/>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p>
        <w:p w14:paraId="4A063773" w14:textId="73725EB7" w:rsidR="00056BD2" w:rsidRPr="00056BD2" w:rsidRDefault="00056BD2" w:rsidP="00056BD2">
          <w:pPr>
            <w:spacing w:before="240" w:line="360" w:lineRule="auto"/>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Name :- Patel Parth Kantibhai</w:t>
          </w:r>
        </w:p>
        <w:p w14:paraId="6B8A1748" w14:textId="71DF468B" w:rsidR="00056BD2" w:rsidRPr="00056BD2" w:rsidRDefault="00056BD2" w:rsidP="00056BD2">
          <w:pPr>
            <w:spacing w:before="240" w:line="360" w:lineRule="auto"/>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Student ID :- 2314427</w:t>
          </w:r>
        </w:p>
        <w:p w14:paraId="2BAC2390" w14:textId="77777777" w:rsidR="00056BD2" w:rsidRPr="00056BD2" w:rsidRDefault="00056BD2" w:rsidP="00056BD2">
          <w:pPr>
            <w:spacing w:before="240" w:line="360" w:lineRule="auto"/>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Subject :- Corporate Finance</w:t>
          </w:r>
        </w:p>
        <w:p w14:paraId="05DD0F47" w14:textId="77777777" w:rsidR="00056BD2" w:rsidRPr="00056BD2" w:rsidRDefault="00056BD2" w:rsidP="00056BD2">
          <w:pPr>
            <w:spacing w:before="240" w:line="360" w:lineRule="auto"/>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Subject Code :- LCMB7005</w:t>
          </w:r>
        </w:p>
        <w:p w14:paraId="05B44CC7" w14:textId="77777777" w:rsidR="00056BD2" w:rsidRPr="00056BD2" w:rsidRDefault="00056BD2" w:rsidP="00056BD2">
          <w:pPr>
            <w:spacing w:before="240" w:line="360" w:lineRule="auto"/>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pP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Submission Date :- 20</w:t>
          </w:r>
          <w:r w:rsidRPr="00056BD2">
            <w:rPr>
              <w:rStyle w:val="Hyperlink"/>
              <w:rFonts w:cs="Times New Roman"/>
              <w:noProof/>
              <w:color w:val="000000" w:themeColor="text1"/>
              <w:sz w:val="40"/>
              <w:szCs w:val="40"/>
              <w:u w:val="none"/>
              <w:vertAlign w:val="superscript"/>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th</w:t>
          </w:r>
          <w:r w:rsidRPr="00056BD2">
            <w:rPr>
              <w:rStyle w:val="Hyperlink"/>
              <w:rFonts w:cs="Times New Roman"/>
              <w:noProof/>
              <w:color w:val="000000" w:themeColor="text1"/>
              <w:sz w:val="40"/>
              <w:szCs w:val="40"/>
              <w:u w:val="none"/>
              <w14:shadow w14:blurRad="38100" w14:dist="19050" w14:dir="2700000" w14:sx="100000" w14:sy="100000" w14:kx="0" w14:ky="0" w14:algn="tl">
                <w14:schemeClr w14:val="dk1">
                  <w14:alpha w14:val="60000"/>
                </w14:schemeClr>
              </w14:shadow>
              <w14:textOutline w14:w="9525" w14:cap="rnd" w14:cmpd="sng" w14:algn="ctr">
                <w14:solidFill>
                  <w14:schemeClr w14:val="tx1"/>
                </w14:solidFill>
                <w14:prstDash w14:val="solid"/>
                <w14:bevel/>
              </w14:textOutline>
            </w:rPr>
            <w:t xml:space="preserve"> April, 2024</w:t>
          </w:r>
        </w:p>
        <w:p w14:paraId="3A8AB4B1" w14:textId="7739F68C" w:rsidR="00E604E4" w:rsidRPr="00056BD2" w:rsidRDefault="00030444" w:rsidP="00056BD2">
          <w:pPr>
            <w:spacing w:before="240" w:line="360" w:lineRule="auto"/>
            <w:rPr>
              <w:rStyle w:val="Hyperlink"/>
              <w:color w:val="auto"/>
              <w:u w:val="none"/>
            </w:rPr>
          </w:pPr>
        </w:p>
      </w:sdtContent>
    </w:sdt>
    <w:sdt>
      <w:sdtPr>
        <w:rPr>
          <w:rFonts w:ascii="Times New Roman" w:eastAsiaTheme="minorHAnsi" w:hAnsi="Times New Roman" w:cstheme="minorBidi"/>
          <w:color w:val="auto"/>
          <w:kern w:val="2"/>
          <w:sz w:val="24"/>
          <w:szCs w:val="22"/>
          <w:u w:val="single"/>
          <w14:ligatures w14:val="standardContextual"/>
        </w:rPr>
        <w:id w:val="2087728183"/>
        <w:docPartObj>
          <w:docPartGallery w:val="Table of Contents"/>
          <w:docPartUnique/>
        </w:docPartObj>
      </w:sdtPr>
      <w:sdtEndPr>
        <w:rPr>
          <w:b/>
          <w:bCs/>
          <w:noProof/>
        </w:rPr>
      </w:sdtEndPr>
      <w:sdtContent>
        <w:p w14:paraId="482A050F" w14:textId="77777777" w:rsidR="00056BD2" w:rsidRDefault="00056BD2" w:rsidP="005C7384">
          <w:pPr>
            <w:pStyle w:val="TOCHeading"/>
            <w:spacing w:line="360" w:lineRule="auto"/>
            <w:jc w:val="both"/>
            <w:rPr>
              <w:rFonts w:ascii="Times New Roman" w:eastAsiaTheme="minorHAnsi" w:hAnsi="Times New Roman" w:cstheme="minorBidi"/>
              <w:color w:val="auto"/>
              <w:kern w:val="2"/>
              <w:sz w:val="24"/>
              <w:szCs w:val="22"/>
              <w14:ligatures w14:val="standardContextual"/>
            </w:rPr>
          </w:pPr>
        </w:p>
        <w:p w14:paraId="176065E7" w14:textId="77777777" w:rsidR="00056BD2" w:rsidRDefault="00056BD2" w:rsidP="005C7384">
          <w:pPr>
            <w:pStyle w:val="TOCHeading"/>
            <w:spacing w:line="360" w:lineRule="auto"/>
            <w:jc w:val="both"/>
            <w:rPr>
              <w:rFonts w:ascii="Times New Roman" w:eastAsiaTheme="minorHAnsi" w:hAnsi="Times New Roman" w:cstheme="minorBidi"/>
              <w:color w:val="auto"/>
              <w:kern w:val="2"/>
              <w:sz w:val="24"/>
              <w:szCs w:val="22"/>
              <w14:ligatures w14:val="standardContextual"/>
            </w:rPr>
          </w:pPr>
        </w:p>
        <w:p w14:paraId="6244E658" w14:textId="77777777" w:rsidR="00056BD2" w:rsidRDefault="00056BD2" w:rsidP="005C7384">
          <w:pPr>
            <w:pStyle w:val="TOCHeading"/>
            <w:spacing w:line="360" w:lineRule="auto"/>
            <w:jc w:val="both"/>
            <w:rPr>
              <w:rFonts w:ascii="Times New Roman" w:eastAsiaTheme="minorHAnsi" w:hAnsi="Times New Roman" w:cstheme="minorBidi"/>
              <w:color w:val="auto"/>
              <w:kern w:val="2"/>
              <w:sz w:val="24"/>
              <w:szCs w:val="22"/>
              <w14:ligatures w14:val="standardContextual"/>
            </w:rPr>
          </w:pPr>
        </w:p>
        <w:p w14:paraId="74E8C7A2" w14:textId="216C759D" w:rsidR="0073651C" w:rsidRDefault="0073651C" w:rsidP="005C7384">
          <w:pPr>
            <w:pStyle w:val="TOCHeading"/>
            <w:spacing w:line="360" w:lineRule="auto"/>
            <w:jc w:val="both"/>
          </w:pPr>
          <w:r>
            <w:t>Contents</w:t>
          </w:r>
        </w:p>
        <w:p w14:paraId="5C0B09FC" w14:textId="3D7D2BDA" w:rsidR="00493130" w:rsidRDefault="0073651C" w:rsidP="005C7384">
          <w:pPr>
            <w:pStyle w:val="TOC1"/>
            <w:tabs>
              <w:tab w:val="right" w:leader="dot" w:pos="9350"/>
            </w:tabs>
            <w:spacing w:line="360" w:lineRule="auto"/>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64428967" w:history="1">
            <w:r w:rsidR="00493130" w:rsidRPr="00280644">
              <w:rPr>
                <w:rStyle w:val="Hyperlink"/>
                <w:noProof/>
              </w:rPr>
              <w:t>Part a) Tesla: Pioneering Electric Mobility</w:t>
            </w:r>
            <w:r w:rsidR="00493130">
              <w:rPr>
                <w:noProof/>
                <w:webHidden/>
              </w:rPr>
              <w:tab/>
            </w:r>
            <w:r w:rsidR="00493130">
              <w:rPr>
                <w:noProof/>
                <w:webHidden/>
              </w:rPr>
              <w:fldChar w:fldCharType="begin"/>
            </w:r>
            <w:r w:rsidR="00493130">
              <w:rPr>
                <w:noProof/>
                <w:webHidden/>
              </w:rPr>
              <w:instrText xml:space="preserve"> PAGEREF _Toc164428967 \h </w:instrText>
            </w:r>
            <w:r w:rsidR="00493130">
              <w:rPr>
                <w:noProof/>
                <w:webHidden/>
              </w:rPr>
            </w:r>
            <w:r w:rsidR="00493130">
              <w:rPr>
                <w:noProof/>
                <w:webHidden/>
              </w:rPr>
              <w:fldChar w:fldCharType="separate"/>
            </w:r>
            <w:r w:rsidR="00493130">
              <w:rPr>
                <w:noProof/>
                <w:webHidden/>
              </w:rPr>
              <w:t>1</w:t>
            </w:r>
            <w:r w:rsidR="00493130">
              <w:rPr>
                <w:noProof/>
                <w:webHidden/>
              </w:rPr>
              <w:fldChar w:fldCharType="end"/>
            </w:r>
          </w:hyperlink>
        </w:p>
        <w:p w14:paraId="2E8AF040" w14:textId="3012F26F"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68" w:history="1">
            <w:r w:rsidR="00493130" w:rsidRPr="00280644">
              <w:rPr>
                <w:rStyle w:val="Hyperlink"/>
                <w:noProof/>
              </w:rPr>
              <w:t>Introduction to Tesla</w:t>
            </w:r>
            <w:r w:rsidR="00493130">
              <w:rPr>
                <w:noProof/>
                <w:webHidden/>
              </w:rPr>
              <w:tab/>
            </w:r>
            <w:r w:rsidR="00493130">
              <w:rPr>
                <w:noProof/>
                <w:webHidden/>
              </w:rPr>
              <w:fldChar w:fldCharType="begin"/>
            </w:r>
            <w:r w:rsidR="00493130">
              <w:rPr>
                <w:noProof/>
                <w:webHidden/>
              </w:rPr>
              <w:instrText xml:space="preserve"> PAGEREF _Toc164428968 \h </w:instrText>
            </w:r>
            <w:r w:rsidR="00493130">
              <w:rPr>
                <w:noProof/>
                <w:webHidden/>
              </w:rPr>
            </w:r>
            <w:r w:rsidR="00493130">
              <w:rPr>
                <w:noProof/>
                <w:webHidden/>
              </w:rPr>
              <w:fldChar w:fldCharType="separate"/>
            </w:r>
            <w:r w:rsidR="00493130">
              <w:rPr>
                <w:noProof/>
                <w:webHidden/>
              </w:rPr>
              <w:t>1</w:t>
            </w:r>
            <w:r w:rsidR="00493130">
              <w:rPr>
                <w:noProof/>
                <w:webHidden/>
              </w:rPr>
              <w:fldChar w:fldCharType="end"/>
            </w:r>
          </w:hyperlink>
        </w:p>
        <w:p w14:paraId="232F89B7" w14:textId="6C3DDC81"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69" w:history="1">
            <w:r w:rsidR="00493130" w:rsidRPr="00280644">
              <w:rPr>
                <w:rStyle w:val="Hyperlink"/>
                <w:noProof/>
              </w:rPr>
              <w:t>Industry Overview</w:t>
            </w:r>
            <w:r w:rsidR="00493130">
              <w:rPr>
                <w:noProof/>
                <w:webHidden/>
              </w:rPr>
              <w:tab/>
            </w:r>
            <w:r w:rsidR="00493130">
              <w:rPr>
                <w:noProof/>
                <w:webHidden/>
              </w:rPr>
              <w:fldChar w:fldCharType="begin"/>
            </w:r>
            <w:r w:rsidR="00493130">
              <w:rPr>
                <w:noProof/>
                <w:webHidden/>
              </w:rPr>
              <w:instrText xml:space="preserve"> PAGEREF _Toc164428969 \h </w:instrText>
            </w:r>
            <w:r w:rsidR="00493130">
              <w:rPr>
                <w:noProof/>
                <w:webHidden/>
              </w:rPr>
            </w:r>
            <w:r w:rsidR="00493130">
              <w:rPr>
                <w:noProof/>
                <w:webHidden/>
              </w:rPr>
              <w:fldChar w:fldCharType="separate"/>
            </w:r>
            <w:r w:rsidR="00493130">
              <w:rPr>
                <w:noProof/>
                <w:webHidden/>
              </w:rPr>
              <w:t>2</w:t>
            </w:r>
            <w:r w:rsidR="00493130">
              <w:rPr>
                <w:noProof/>
                <w:webHidden/>
              </w:rPr>
              <w:fldChar w:fldCharType="end"/>
            </w:r>
          </w:hyperlink>
        </w:p>
        <w:p w14:paraId="71C2E960" w14:textId="0762B7B6"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0" w:history="1">
            <w:r w:rsidR="00493130" w:rsidRPr="00280644">
              <w:rPr>
                <w:rStyle w:val="Hyperlink"/>
                <w:noProof/>
              </w:rPr>
              <w:t>Business Model</w:t>
            </w:r>
            <w:r w:rsidR="00493130">
              <w:rPr>
                <w:noProof/>
                <w:webHidden/>
              </w:rPr>
              <w:tab/>
            </w:r>
            <w:r w:rsidR="00493130">
              <w:rPr>
                <w:noProof/>
                <w:webHidden/>
              </w:rPr>
              <w:fldChar w:fldCharType="begin"/>
            </w:r>
            <w:r w:rsidR="00493130">
              <w:rPr>
                <w:noProof/>
                <w:webHidden/>
              </w:rPr>
              <w:instrText xml:space="preserve"> PAGEREF _Toc164428970 \h </w:instrText>
            </w:r>
            <w:r w:rsidR="00493130">
              <w:rPr>
                <w:noProof/>
                <w:webHidden/>
              </w:rPr>
            </w:r>
            <w:r w:rsidR="00493130">
              <w:rPr>
                <w:noProof/>
                <w:webHidden/>
              </w:rPr>
              <w:fldChar w:fldCharType="separate"/>
            </w:r>
            <w:r w:rsidR="00493130">
              <w:rPr>
                <w:noProof/>
                <w:webHidden/>
              </w:rPr>
              <w:t>2</w:t>
            </w:r>
            <w:r w:rsidR="00493130">
              <w:rPr>
                <w:noProof/>
                <w:webHidden/>
              </w:rPr>
              <w:fldChar w:fldCharType="end"/>
            </w:r>
          </w:hyperlink>
        </w:p>
        <w:p w14:paraId="5D7FF50B" w14:textId="6C741151"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1" w:history="1">
            <w:r w:rsidR="00493130" w:rsidRPr="00280644">
              <w:rPr>
                <w:rStyle w:val="Hyperlink"/>
                <w:noProof/>
              </w:rPr>
              <w:t>Market Position and Major Competitors</w:t>
            </w:r>
            <w:r w:rsidR="00493130">
              <w:rPr>
                <w:noProof/>
                <w:webHidden/>
              </w:rPr>
              <w:tab/>
            </w:r>
            <w:r w:rsidR="00493130">
              <w:rPr>
                <w:noProof/>
                <w:webHidden/>
              </w:rPr>
              <w:fldChar w:fldCharType="begin"/>
            </w:r>
            <w:r w:rsidR="00493130">
              <w:rPr>
                <w:noProof/>
                <w:webHidden/>
              </w:rPr>
              <w:instrText xml:space="preserve"> PAGEREF _Toc164428971 \h </w:instrText>
            </w:r>
            <w:r w:rsidR="00493130">
              <w:rPr>
                <w:noProof/>
                <w:webHidden/>
              </w:rPr>
            </w:r>
            <w:r w:rsidR="00493130">
              <w:rPr>
                <w:noProof/>
                <w:webHidden/>
              </w:rPr>
              <w:fldChar w:fldCharType="separate"/>
            </w:r>
            <w:r w:rsidR="00493130">
              <w:rPr>
                <w:noProof/>
                <w:webHidden/>
              </w:rPr>
              <w:t>2</w:t>
            </w:r>
            <w:r w:rsidR="00493130">
              <w:rPr>
                <w:noProof/>
                <w:webHidden/>
              </w:rPr>
              <w:fldChar w:fldCharType="end"/>
            </w:r>
          </w:hyperlink>
        </w:p>
        <w:p w14:paraId="10E899DD" w14:textId="2C979073"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2" w:history="1">
            <w:r w:rsidR="00493130" w:rsidRPr="00280644">
              <w:rPr>
                <w:rStyle w:val="Hyperlink"/>
                <w:noProof/>
              </w:rPr>
              <w:t>Major Events Over the Past Five Years</w:t>
            </w:r>
            <w:r w:rsidR="00493130">
              <w:rPr>
                <w:noProof/>
                <w:webHidden/>
              </w:rPr>
              <w:tab/>
            </w:r>
            <w:r w:rsidR="00493130">
              <w:rPr>
                <w:noProof/>
                <w:webHidden/>
              </w:rPr>
              <w:fldChar w:fldCharType="begin"/>
            </w:r>
            <w:r w:rsidR="00493130">
              <w:rPr>
                <w:noProof/>
                <w:webHidden/>
              </w:rPr>
              <w:instrText xml:space="preserve"> PAGEREF _Toc164428972 \h </w:instrText>
            </w:r>
            <w:r w:rsidR="00493130">
              <w:rPr>
                <w:noProof/>
                <w:webHidden/>
              </w:rPr>
            </w:r>
            <w:r w:rsidR="00493130">
              <w:rPr>
                <w:noProof/>
                <w:webHidden/>
              </w:rPr>
              <w:fldChar w:fldCharType="separate"/>
            </w:r>
            <w:r w:rsidR="00493130">
              <w:rPr>
                <w:noProof/>
                <w:webHidden/>
              </w:rPr>
              <w:t>2</w:t>
            </w:r>
            <w:r w:rsidR="00493130">
              <w:rPr>
                <w:noProof/>
                <w:webHidden/>
              </w:rPr>
              <w:fldChar w:fldCharType="end"/>
            </w:r>
          </w:hyperlink>
        </w:p>
        <w:p w14:paraId="46637838" w14:textId="3600D906" w:rsidR="00493130" w:rsidRDefault="00030444" w:rsidP="005C7384">
          <w:pPr>
            <w:pStyle w:val="TOC1"/>
            <w:tabs>
              <w:tab w:val="right" w:leader="dot" w:pos="9350"/>
            </w:tabs>
            <w:spacing w:line="360" w:lineRule="auto"/>
            <w:rPr>
              <w:rFonts w:asciiTheme="minorHAnsi" w:eastAsiaTheme="minorEastAsia" w:hAnsiTheme="minorHAnsi"/>
              <w:noProof/>
              <w:sz w:val="22"/>
              <w:lang w:val="en-IN" w:eastAsia="en-IN"/>
            </w:rPr>
          </w:pPr>
          <w:hyperlink w:anchor="_Toc164428973" w:history="1">
            <w:r w:rsidR="00493130" w:rsidRPr="00280644">
              <w:rPr>
                <w:rStyle w:val="Hyperlink"/>
                <w:noProof/>
              </w:rPr>
              <w:t>Part b</w:t>
            </w:r>
            <w:r w:rsidR="00493130">
              <w:rPr>
                <w:noProof/>
                <w:webHidden/>
              </w:rPr>
              <w:tab/>
            </w:r>
            <w:r w:rsidR="00493130">
              <w:rPr>
                <w:noProof/>
                <w:webHidden/>
              </w:rPr>
              <w:fldChar w:fldCharType="begin"/>
            </w:r>
            <w:r w:rsidR="00493130">
              <w:rPr>
                <w:noProof/>
                <w:webHidden/>
              </w:rPr>
              <w:instrText xml:space="preserve"> PAGEREF _Toc164428973 \h </w:instrText>
            </w:r>
            <w:r w:rsidR="00493130">
              <w:rPr>
                <w:noProof/>
                <w:webHidden/>
              </w:rPr>
            </w:r>
            <w:r w:rsidR="00493130">
              <w:rPr>
                <w:noProof/>
                <w:webHidden/>
              </w:rPr>
              <w:fldChar w:fldCharType="separate"/>
            </w:r>
            <w:r w:rsidR="00493130">
              <w:rPr>
                <w:noProof/>
                <w:webHidden/>
              </w:rPr>
              <w:t>3</w:t>
            </w:r>
            <w:r w:rsidR="00493130">
              <w:rPr>
                <w:noProof/>
                <w:webHidden/>
              </w:rPr>
              <w:fldChar w:fldCharType="end"/>
            </w:r>
          </w:hyperlink>
        </w:p>
        <w:p w14:paraId="7107DA60" w14:textId="5B487336"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4" w:history="1">
            <w:r w:rsidR="00493130" w:rsidRPr="00280644">
              <w:rPr>
                <w:rStyle w:val="Hyperlink"/>
                <w:noProof/>
              </w:rPr>
              <w:t>Evaluate the corporation’s liquidity and leverage ratios for the past five years</w:t>
            </w:r>
            <w:r w:rsidR="00493130">
              <w:rPr>
                <w:noProof/>
                <w:webHidden/>
              </w:rPr>
              <w:tab/>
            </w:r>
            <w:r w:rsidR="00493130">
              <w:rPr>
                <w:noProof/>
                <w:webHidden/>
              </w:rPr>
              <w:fldChar w:fldCharType="begin"/>
            </w:r>
            <w:r w:rsidR="00493130">
              <w:rPr>
                <w:noProof/>
                <w:webHidden/>
              </w:rPr>
              <w:instrText xml:space="preserve"> PAGEREF _Toc164428974 \h </w:instrText>
            </w:r>
            <w:r w:rsidR="00493130">
              <w:rPr>
                <w:noProof/>
                <w:webHidden/>
              </w:rPr>
            </w:r>
            <w:r w:rsidR="00493130">
              <w:rPr>
                <w:noProof/>
                <w:webHidden/>
              </w:rPr>
              <w:fldChar w:fldCharType="separate"/>
            </w:r>
            <w:r w:rsidR="00493130">
              <w:rPr>
                <w:noProof/>
                <w:webHidden/>
              </w:rPr>
              <w:t>3</w:t>
            </w:r>
            <w:r w:rsidR="00493130">
              <w:rPr>
                <w:noProof/>
                <w:webHidden/>
              </w:rPr>
              <w:fldChar w:fldCharType="end"/>
            </w:r>
          </w:hyperlink>
        </w:p>
        <w:p w14:paraId="55519381" w14:textId="040202D1"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5" w:history="1">
            <w:r w:rsidR="00493130" w:rsidRPr="00280644">
              <w:rPr>
                <w:rStyle w:val="Hyperlink"/>
                <w:noProof/>
              </w:rPr>
              <w:t>Financial performance</w:t>
            </w:r>
            <w:r w:rsidR="00493130">
              <w:rPr>
                <w:noProof/>
                <w:webHidden/>
              </w:rPr>
              <w:tab/>
            </w:r>
            <w:r w:rsidR="00493130">
              <w:rPr>
                <w:noProof/>
                <w:webHidden/>
              </w:rPr>
              <w:fldChar w:fldCharType="begin"/>
            </w:r>
            <w:r w:rsidR="00493130">
              <w:rPr>
                <w:noProof/>
                <w:webHidden/>
              </w:rPr>
              <w:instrText xml:space="preserve"> PAGEREF _Toc164428975 \h </w:instrText>
            </w:r>
            <w:r w:rsidR="00493130">
              <w:rPr>
                <w:noProof/>
                <w:webHidden/>
              </w:rPr>
            </w:r>
            <w:r w:rsidR="00493130">
              <w:rPr>
                <w:noProof/>
                <w:webHidden/>
              </w:rPr>
              <w:fldChar w:fldCharType="separate"/>
            </w:r>
            <w:r w:rsidR="00493130">
              <w:rPr>
                <w:noProof/>
                <w:webHidden/>
              </w:rPr>
              <w:t>5</w:t>
            </w:r>
            <w:r w:rsidR="00493130">
              <w:rPr>
                <w:noProof/>
                <w:webHidden/>
              </w:rPr>
              <w:fldChar w:fldCharType="end"/>
            </w:r>
          </w:hyperlink>
        </w:p>
        <w:p w14:paraId="359494CE" w14:textId="584FB003"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6" w:history="1">
            <w:r w:rsidR="00493130" w:rsidRPr="00280644">
              <w:rPr>
                <w:rStyle w:val="Hyperlink"/>
                <w:noProof/>
              </w:rPr>
              <w:t>Financial ratios</w:t>
            </w:r>
            <w:r w:rsidR="00493130">
              <w:rPr>
                <w:noProof/>
                <w:webHidden/>
              </w:rPr>
              <w:tab/>
            </w:r>
            <w:r w:rsidR="00493130">
              <w:rPr>
                <w:noProof/>
                <w:webHidden/>
              </w:rPr>
              <w:fldChar w:fldCharType="begin"/>
            </w:r>
            <w:r w:rsidR="00493130">
              <w:rPr>
                <w:noProof/>
                <w:webHidden/>
              </w:rPr>
              <w:instrText xml:space="preserve"> PAGEREF _Toc164428976 \h </w:instrText>
            </w:r>
            <w:r w:rsidR="00493130">
              <w:rPr>
                <w:noProof/>
                <w:webHidden/>
              </w:rPr>
            </w:r>
            <w:r w:rsidR="00493130">
              <w:rPr>
                <w:noProof/>
                <w:webHidden/>
              </w:rPr>
              <w:fldChar w:fldCharType="separate"/>
            </w:r>
            <w:r w:rsidR="00493130">
              <w:rPr>
                <w:noProof/>
                <w:webHidden/>
              </w:rPr>
              <w:t>7</w:t>
            </w:r>
            <w:r w:rsidR="00493130">
              <w:rPr>
                <w:noProof/>
                <w:webHidden/>
              </w:rPr>
              <w:fldChar w:fldCharType="end"/>
            </w:r>
          </w:hyperlink>
        </w:p>
        <w:p w14:paraId="201D6D9E" w14:textId="67760E08"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7" w:history="1">
            <w:r w:rsidR="00493130" w:rsidRPr="00280644">
              <w:rPr>
                <w:rStyle w:val="Hyperlink"/>
                <w:noProof/>
              </w:rPr>
              <w:t>Capital structure theory</w:t>
            </w:r>
            <w:r w:rsidR="00493130">
              <w:rPr>
                <w:noProof/>
                <w:webHidden/>
              </w:rPr>
              <w:tab/>
            </w:r>
            <w:r w:rsidR="00493130">
              <w:rPr>
                <w:noProof/>
                <w:webHidden/>
              </w:rPr>
              <w:fldChar w:fldCharType="begin"/>
            </w:r>
            <w:r w:rsidR="00493130">
              <w:rPr>
                <w:noProof/>
                <w:webHidden/>
              </w:rPr>
              <w:instrText xml:space="preserve"> PAGEREF _Toc164428977 \h </w:instrText>
            </w:r>
            <w:r w:rsidR="00493130">
              <w:rPr>
                <w:noProof/>
                <w:webHidden/>
              </w:rPr>
            </w:r>
            <w:r w:rsidR="00493130">
              <w:rPr>
                <w:noProof/>
                <w:webHidden/>
              </w:rPr>
              <w:fldChar w:fldCharType="separate"/>
            </w:r>
            <w:r w:rsidR="00493130">
              <w:rPr>
                <w:noProof/>
                <w:webHidden/>
              </w:rPr>
              <w:t>12</w:t>
            </w:r>
            <w:r w:rsidR="00493130">
              <w:rPr>
                <w:noProof/>
                <w:webHidden/>
              </w:rPr>
              <w:fldChar w:fldCharType="end"/>
            </w:r>
          </w:hyperlink>
        </w:p>
        <w:p w14:paraId="24030484" w14:textId="378EF036"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8" w:history="1">
            <w:r w:rsidR="00493130" w:rsidRPr="00280644">
              <w:rPr>
                <w:rStyle w:val="Hyperlink"/>
                <w:noProof/>
              </w:rPr>
              <w:t>Selected capital structure</w:t>
            </w:r>
            <w:r w:rsidR="00493130">
              <w:rPr>
                <w:noProof/>
                <w:webHidden/>
              </w:rPr>
              <w:tab/>
            </w:r>
            <w:r w:rsidR="00493130">
              <w:rPr>
                <w:noProof/>
                <w:webHidden/>
              </w:rPr>
              <w:fldChar w:fldCharType="begin"/>
            </w:r>
            <w:r w:rsidR="00493130">
              <w:rPr>
                <w:noProof/>
                <w:webHidden/>
              </w:rPr>
              <w:instrText xml:space="preserve"> PAGEREF _Toc164428978 \h </w:instrText>
            </w:r>
            <w:r w:rsidR="00493130">
              <w:rPr>
                <w:noProof/>
                <w:webHidden/>
              </w:rPr>
            </w:r>
            <w:r w:rsidR="00493130">
              <w:rPr>
                <w:noProof/>
                <w:webHidden/>
              </w:rPr>
              <w:fldChar w:fldCharType="separate"/>
            </w:r>
            <w:r w:rsidR="00493130">
              <w:rPr>
                <w:noProof/>
                <w:webHidden/>
              </w:rPr>
              <w:t>13</w:t>
            </w:r>
            <w:r w:rsidR="00493130">
              <w:rPr>
                <w:noProof/>
                <w:webHidden/>
              </w:rPr>
              <w:fldChar w:fldCharType="end"/>
            </w:r>
          </w:hyperlink>
        </w:p>
        <w:p w14:paraId="22D105AF" w14:textId="5E0DB05E"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79" w:history="1">
            <w:r w:rsidR="00493130" w:rsidRPr="00280644">
              <w:rPr>
                <w:rStyle w:val="Hyperlink"/>
                <w:noProof/>
              </w:rPr>
              <w:t xml:space="preserve">Download </w:t>
            </w:r>
            <w:r w:rsidR="00493130">
              <w:rPr>
                <w:rStyle w:val="Hyperlink"/>
                <w:noProof/>
              </w:rPr>
              <w:t xml:space="preserve">the </w:t>
            </w:r>
            <w:r w:rsidR="00493130" w:rsidRPr="00280644">
              <w:rPr>
                <w:rStyle w:val="Hyperlink"/>
                <w:noProof/>
              </w:rPr>
              <w:t xml:space="preserve">monthly share prices of the company and calculate </w:t>
            </w:r>
            <w:r w:rsidR="00493130">
              <w:rPr>
                <w:rStyle w:val="Hyperlink"/>
                <w:noProof/>
              </w:rPr>
              <w:t xml:space="preserve">the </w:t>
            </w:r>
            <w:r w:rsidR="00493130" w:rsidRPr="00280644">
              <w:rPr>
                <w:rStyle w:val="Hyperlink"/>
                <w:noProof/>
              </w:rPr>
              <w:t>average annual</w:t>
            </w:r>
            <w:r w:rsidR="00493130">
              <w:rPr>
                <w:noProof/>
                <w:webHidden/>
              </w:rPr>
              <w:tab/>
            </w:r>
            <w:r w:rsidR="00493130">
              <w:rPr>
                <w:noProof/>
                <w:webHidden/>
              </w:rPr>
              <w:fldChar w:fldCharType="begin"/>
            </w:r>
            <w:r w:rsidR="00493130">
              <w:rPr>
                <w:noProof/>
                <w:webHidden/>
              </w:rPr>
              <w:instrText xml:space="preserve"> PAGEREF _Toc164428979 \h </w:instrText>
            </w:r>
            <w:r w:rsidR="00493130">
              <w:rPr>
                <w:noProof/>
                <w:webHidden/>
              </w:rPr>
            </w:r>
            <w:r w:rsidR="00493130">
              <w:rPr>
                <w:noProof/>
                <w:webHidden/>
              </w:rPr>
              <w:fldChar w:fldCharType="separate"/>
            </w:r>
            <w:r w:rsidR="00493130">
              <w:rPr>
                <w:noProof/>
                <w:webHidden/>
              </w:rPr>
              <w:t>15</w:t>
            </w:r>
            <w:r w:rsidR="00493130">
              <w:rPr>
                <w:noProof/>
                <w:webHidden/>
              </w:rPr>
              <w:fldChar w:fldCharType="end"/>
            </w:r>
          </w:hyperlink>
        </w:p>
        <w:p w14:paraId="47D3DA39" w14:textId="456A5307" w:rsidR="00493130" w:rsidRDefault="00030444" w:rsidP="005C7384">
          <w:pPr>
            <w:pStyle w:val="TOC1"/>
            <w:tabs>
              <w:tab w:val="right" w:leader="dot" w:pos="9350"/>
            </w:tabs>
            <w:spacing w:line="360" w:lineRule="auto"/>
            <w:rPr>
              <w:rFonts w:asciiTheme="minorHAnsi" w:eastAsiaTheme="minorEastAsia" w:hAnsiTheme="minorHAnsi"/>
              <w:noProof/>
              <w:sz w:val="22"/>
              <w:lang w:val="en-IN" w:eastAsia="en-IN"/>
            </w:rPr>
          </w:pPr>
          <w:hyperlink w:anchor="_Toc164428980" w:history="1">
            <w:r w:rsidR="00493130" w:rsidRPr="00280644">
              <w:rPr>
                <w:rStyle w:val="Hyperlink"/>
                <w:noProof/>
              </w:rPr>
              <w:t>Part C</w:t>
            </w:r>
            <w:r w:rsidR="00493130">
              <w:rPr>
                <w:noProof/>
                <w:webHidden/>
              </w:rPr>
              <w:tab/>
            </w:r>
            <w:r w:rsidR="00493130">
              <w:rPr>
                <w:noProof/>
                <w:webHidden/>
              </w:rPr>
              <w:fldChar w:fldCharType="begin"/>
            </w:r>
            <w:r w:rsidR="00493130">
              <w:rPr>
                <w:noProof/>
                <w:webHidden/>
              </w:rPr>
              <w:instrText xml:space="preserve"> PAGEREF _Toc164428980 \h </w:instrText>
            </w:r>
            <w:r w:rsidR="00493130">
              <w:rPr>
                <w:noProof/>
                <w:webHidden/>
              </w:rPr>
            </w:r>
            <w:r w:rsidR="00493130">
              <w:rPr>
                <w:noProof/>
                <w:webHidden/>
              </w:rPr>
              <w:fldChar w:fldCharType="separate"/>
            </w:r>
            <w:r w:rsidR="00493130">
              <w:rPr>
                <w:noProof/>
                <w:webHidden/>
              </w:rPr>
              <w:t>18</w:t>
            </w:r>
            <w:r w:rsidR="00493130">
              <w:rPr>
                <w:noProof/>
                <w:webHidden/>
              </w:rPr>
              <w:fldChar w:fldCharType="end"/>
            </w:r>
          </w:hyperlink>
        </w:p>
        <w:p w14:paraId="256799C5" w14:textId="5919E79F"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81" w:history="1">
            <w:r w:rsidR="00493130" w:rsidRPr="00280644">
              <w:rPr>
                <w:rStyle w:val="Hyperlink"/>
                <w:noProof/>
              </w:rPr>
              <w:t>The purpose(s), aims and expected outcomes of this investment.</w:t>
            </w:r>
            <w:r w:rsidR="00493130">
              <w:rPr>
                <w:noProof/>
                <w:webHidden/>
              </w:rPr>
              <w:tab/>
            </w:r>
            <w:r w:rsidR="00493130">
              <w:rPr>
                <w:noProof/>
                <w:webHidden/>
              </w:rPr>
              <w:fldChar w:fldCharType="begin"/>
            </w:r>
            <w:r w:rsidR="00493130">
              <w:rPr>
                <w:noProof/>
                <w:webHidden/>
              </w:rPr>
              <w:instrText xml:space="preserve"> PAGEREF _Toc164428981 \h </w:instrText>
            </w:r>
            <w:r w:rsidR="00493130">
              <w:rPr>
                <w:noProof/>
                <w:webHidden/>
              </w:rPr>
            </w:r>
            <w:r w:rsidR="00493130">
              <w:rPr>
                <w:noProof/>
                <w:webHidden/>
              </w:rPr>
              <w:fldChar w:fldCharType="separate"/>
            </w:r>
            <w:r w:rsidR="00493130">
              <w:rPr>
                <w:noProof/>
                <w:webHidden/>
              </w:rPr>
              <w:t>18</w:t>
            </w:r>
            <w:r w:rsidR="00493130">
              <w:rPr>
                <w:noProof/>
                <w:webHidden/>
              </w:rPr>
              <w:fldChar w:fldCharType="end"/>
            </w:r>
          </w:hyperlink>
        </w:p>
        <w:p w14:paraId="1282E4F9" w14:textId="305EA4BA"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82" w:history="1">
            <w:r w:rsidR="00493130" w:rsidRPr="00280644">
              <w:rPr>
                <w:rStyle w:val="Hyperlink"/>
                <w:noProof/>
              </w:rPr>
              <w:t>The size of the investment, and how it was financed.</w:t>
            </w:r>
            <w:r w:rsidR="00493130">
              <w:rPr>
                <w:noProof/>
                <w:webHidden/>
              </w:rPr>
              <w:tab/>
            </w:r>
            <w:r w:rsidR="00493130">
              <w:rPr>
                <w:noProof/>
                <w:webHidden/>
              </w:rPr>
              <w:fldChar w:fldCharType="begin"/>
            </w:r>
            <w:r w:rsidR="00493130">
              <w:rPr>
                <w:noProof/>
                <w:webHidden/>
              </w:rPr>
              <w:instrText xml:space="preserve"> PAGEREF _Toc164428982 \h </w:instrText>
            </w:r>
            <w:r w:rsidR="00493130">
              <w:rPr>
                <w:noProof/>
                <w:webHidden/>
              </w:rPr>
            </w:r>
            <w:r w:rsidR="00493130">
              <w:rPr>
                <w:noProof/>
                <w:webHidden/>
              </w:rPr>
              <w:fldChar w:fldCharType="separate"/>
            </w:r>
            <w:r w:rsidR="00493130">
              <w:rPr>
                <w:noProof/>
                <w:webHidden/>
              </w:rPr>
              <w:t>19</w:t>
            </w:r>
            <w:r w:rsidR="00493130">
              <w:rPr>
                <w:noProof/>
                <w:webHidden/>
              </w:rPr>
              <w:fldChar w:fldCharType="end"/>
            </w:r>
          </w:hyperlink>
        </w:p>
        <w:p w14:paraId="4296E618" w14:textId="33E0A4F5"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83" w:history="1">
            <w:r w:rsidR="00493130" w:rsidRPr="00280644">
              <w:rPr>
                <w:rStyle w:val="Hyperlink"/>
                <w:noProof/>
              </w:rPr>
              <w:t>The feasibility of the investment, in terms of its current business</w:t>
            </w:r>
            <w:r w:rsidR="00493130">
              <w:rPr>
                <w:noProof/>
                <w:webHidden/>
              </w:rPr>
              <w:tab/>
            </w:r>
            <w:r w:rsidR="00493130">
              <w:rPr>
                <w:noProof/>
                <w:webHidden/>
              </w:rPr>
              <w:fldChar w:fldCharType="begin"/>
            </w:r>
            <w:r w:rsidR="00493130">
              <w:rPr>
                <w:noProof/>
                <w:webHidden/>
              </w:rPr>
              <w:instrText xml:space="preserve"> PAGEREF _Toc164428983 \h </w:instrText>
            </w:r>
            <w:r w:rsidR="00493130">
              <w:rPr>
                <w:noProof/>
                <w:webHidden/>
              </w:rPr>
            </w:r>
            <w:r w:rsidR="00493130">
              <w:rPr>
                <w:noProof/>
                <w:webHidden/>
              </w:rPr>
              <w:fldChar w:fldCharType="separate"/>
            </w:r>
            <w:r w:rsidR="00493130">
              <w:rPr>
                <w:noProof/>
                <w:webHidden/>
              </w:rPr>
              <w:t>21</w:t>
            </w:r>
            <w:r w:rsidR="00493130">
              <w:rPr>
                <w:noProof/>
                <w:webHidden/>
              </w:rPr>
              <w:fldChar w:fldCharType="end"/>
            </w:r>
          </w:hyperlink>
        </w:p>
        <w:p w14:paraId="3206050E" w14:textId="2D16CF9E" w:rsidR="00493130" w:rsidRDefault="00030444" w:rsidP="005C7384">
          <w:pPr>
            <w:pStyle w:val="TOC2"/>
            <w:tabs>
              <w:tab w:val="right" w:leader="dot" w:pos="9350"/>
            </w:tabs>
            <w:spacing w:line="360" w:lineRule="auto"/>
            <w:rPr>
              <w:rFonts w:asciiTheme="minorHAnsi" w:eastAsiaTheme="minorEastAsia" w:hAnsiTheme="minorHAnsi"/>
              <w:noProof/>
              <w:sz w:val="22"/>
              <w:lang w:val="en-IN" w:eastAsia="en-IN"/>
            </w:rPr>
          </w:pPr>
          <w:hyperlink w:anchor="_Toc164428984" w:history="1">
            <w:r w:rsidR="00493130" w:rsidRPr="00280644">
              <w:rPr>
                <w:rStyle w:val="Hyperlink"/>
                <w:noProof/>
              </w:rPr>
              <w:t>• Current outcome of the investment: i.e. why it is successful (and/or what went wrong).</w:t>
            </w:r>
            <w:r w:rsidR="00493130">
              <w:rPr>
                <w:noProof/>
                <w:webHidden/>
              </w:rPr>
              <w:tab/>
            </w:r>
            <w:r w:rsidR="00493130">
              <w:rPr>
                <w:noProof/>
                <w:webHidden/>
              </w:rPr>
              <w:fldChar w:fldCharType="begin"/>
            </w:r>
            <w:r w:rsidR="00493130">
              <w:rPr>
                <w:noProof/>
                <w:webHidden/>
              </w:rPr>
              <w:instrText xml:space="preserve"> PAGEREF _Toc164428984 \h </w:instrText>
            </w:r>
            <w:r w:rsidR="00493130">
              <w:rPr>
                <w:noProof/>
                <w:webHidden/>
              </w:rPr>
            </w:r>
            <w:r w:rsidR="00493130">
              <w:rPr>
                <w:noProof/>
                <w:webHidden/>
              </w:rPr>
              <w:fldChar w:fldCharType="separate"/>
            </w:r>
            <w:r w:rsidR="00493130">
              <w:rPr>
                <w:noProof/>
                <w:webHidden/>
              </w:rPr>
              <w:t>22</w:t>
            </w:r>
            <w:r w:rsidR="00493130">
              <w:rPr>
                <w:noProof/>
                <w:webHidden/>
              </w:rPr>
              <w:fldChar w:fldCharType="end"/>
            </w:r>
          </w:hyperlink>
        </w:p>
        <w:p w14:paraId="2BFCB7DD" w14:textId="79BD947D" w:rsidR="00493130" w:rsidRDefault="00030444" w:rsidP="005C7384">
          <w:pPr>
            <w:pStyle w:val="TOC1"/>
            <w:tabs>
              <w:tab w:val="right" w:leader="dot" w:pos="9350"/>
            </w:tabs>
            <w:spacing w:line="360" w:lineRule="auto"/>
            <w:rPr>
              <w:rFonts w:asciiTheme="minorHAnsi" w:eastAsiaTheme="minorEastAsia" w:hAnsiTheme="minorHAnsi"/>
              <w:noProof/>
              <w:sz w:val="22"/>
              <w:lang w:val="en-IN" w:eastAsia="en-IN"/>
            </w:rPr>
          </w:pPr>
          <w:hyperlink w:anchor="_Toc164428985" w:history="1">
            <w:r w:rsidR="00493130" w:rsidRPr="00280644">
              <w:rPr>
                <w:rStyle w:val="Hyperlink"/>
                <w:noProof/>
              </w:rPr>
              <w:t>References</w:t>
            </w:r>
            <w:r w:rsidR="00493130">
              <w:rPr>
                <w:noProof/>
                <w:webHidden/>
              </w:rPr>
              <w:tab/>
            </w:r>
            <w:r w:rsidR="00493130">
              <w:rPr>
                <w:noProof/>
                <w:webHidden/>
              </w:rPr>
              <w:fldChar w:fldCharType="begin"/>
            </w:r>
            <w:r w:rsidR="00493130">
              <w:rPr>
                <w:noProof/>
                <w:webHidden/>
              </w:rPr>
              <w:instrText xml:space="preserve"> PAGEREF _Toc164428985 \h </w:instrText>
            </w:r>
            <w:r w:rsidR="00493130">
              <w:rPr>
                <w:noProof/>
                <w:webHidden/>
              </w:rPr>
            </w:r>
            <w:r w:rsidR="00493130">
              <w:rPr>
                <w:noProof/>
                <w:webHidden/>
              </w:rPr>
              <w:fldChar w:fldCharType="separate"/>
            </w:r>
            <w:r w:rsidR="00493130">
              <w:rPr>
                <w:noProof/>
                <w:webHidden/>
              </w:rPr>
              <w:t>24</w:t>
            </w:r>
            <w:r w:rsidR="00493130">
              <w:rPr>
                <w:noProof/>
                <w:webHidden/>
              </w:rPr>
              <w:fldChar w:fldCharType="end"/>
            </w:r>
          </w:hyperlink>
        </w:p>
        <w:p w14:paraId="40EA8358" w14:textId="19266198" w:rsidR="0073651C" w:rsidRPr="00E604E4" w:rsidRDefault="0073651C" w:rsidP="005C7384">
          <w:pPr>
            <w:spacing w:before="240" w:line="360" w:lineRule="auto"/>
          </w:pPr>
          <w:r>
            <w:rPr>
              <w:b/>
              <w:bCs/>
              <w:noProof/>
            </w:rPr>
            <w:fldChar w:fldCharType="end"/>
          </w:r>
        </w:p>
      </w:sdtContent>
    </w:sdt>
    <w:p w14:paraId="0B1168EA" w14:textId="77777777" w:rsidR="00056BD2" w:rsidRPr="00056BD2" w:rsidRDefault="00493130" w:rsidP="00056BD2">
      <w:pPr>
        <w:spacing w:line="360" w:lineRule="auto"/>
        <w:rPr>
          <w:b/>
          <w:bCs/>
        </w:rPr>
      </w:pPr>
      <w:bookmarkStart w:id="1" w:name="_Toc164428967"/>
      <w:r>
        <w:br w:type="page"/>
      </w:r>
      <w:r w:rsidR="007B5653" w:rsidRPr="00056BD2">
        <w:rPr>
          <w:b/>
          <w:bCs/>
        </w:rPr>
        <w:lastRenderedPageBreak/>
        <w:t>Part a</w:t>
      </w:r>
    </w:p>
    <w:p w14:paraId="3806AB90" w14:textId="77777777" w:rsidR="00056BD2" w:rsidRDefault="00056BD2" w:rsidP="00056BD2">
      <w:pPr>
        <w:spacing w:line="360" w:lineRule="auto"/>
      </w:pPr>
    </w:p>
    <w:p w14:paraId="43EB8C7D" w14:textId="35F2A091" w:rsidR="007B5653" w:rsidRPr="00056BD2" w:rsidRDefault="007B5653" w:rsidP="00056BD2">
      <w:pPr>
        <w:spacing w:line="360" w:lineRule="auto"/>
        <w:rPr>
          <w:rFonts w:eastAsiaTheme="majorEastAsia" w:cstheme="majorBidi"/>
          <w:b/>
          <w:bCs/>
          <w:szCs w:val="28"/>
          <w:lang w:val="en-IN"/>
        </w:rPr>
      </w:pPr>
      <w:r>
        <w:t xml:space="preserve"> Tesla: Pioneering Electric Mobility</w:t>
      </w:r>
      <w:bookmarkEnd w:id="1"/>
    </w:p>
    <w:p w14:paraId="3E798242" w14:textId="77777777" w:rsidR="007B5653" w:rsidRDefault="007B5653" w:rsidP="005C7384">
      <w:pPr>
        <w:pStyle w:val="Heading2"/>
        <w:spacing w:before="240" w:line="360" w:lineRule="auto"/>
      </w:pPr>
      <w:bookmarkStart w:id="2" w:name="_Toc164428968"/>
      <w:r>
        <w:t>Introduction to Tesla</w:t>
      </w:r>
      <w:bookmarkEnd w:id="2"/>
    </w:p>
    <w:p w14:paraId="5686F890" w14:textId="77777777" w:rsidR="007B5653" w:rsidRDefault="007B5653" w:rsidP="005C7384">
      <w:pPr>
        <w:spacing w:before="240" w:line="360" w:lineRule="auto"/>
      </w:pPr>
      <w:r>
        <w:t>Electric vehicle (EV) pioneer Tesla, Inc. was created in 2003 by Martin Eberhard and Marc Tarpenning. The first fully electric sports automobile, the Roadster, garnered notice for the firm in 2008. Tesla has added electric automobiles, solar products, and energy storage solutions since 2004, led by visionary entrepreneur Elon Musk. Tesla has revolutionized the car industry and gained a cult-like following globally by accelerating the world's transition to sustainable energy (Motors, 2015).</w:t>
      </w:r>
    </w:p>
    <w:p w14:paraId="12FA9D4F" w14:textId="77777777" w:rsidR="007B5653" w:rsidRDefault="007B5653" w:rsidP="005C7384">
      <w:pPr>
        <w:pStyle w:val="Heading2"/>
        <w:spacing w:before="240" w:line="360" w:lineRule="auto"/>
      </w:pPr>
      <w:bookmarkStart w:id="3" w:name="_Toc164428969"/>
      <w:r>
        <w:t>Industry Overview</w:t>
      </w:r>
      <w:bookmarkEnd w:id="3"/>
    </w:p>
    <w:p w14:paraId="33718FE1" w14:textId="77777777" w:rsidR="007B5653" w:rsidRDefault="007B5653" w:rsidP="005C7384">
      <w:pPr>
        <w:spacing w:before="240" w:line="360" w:lineRule="auto"/>
      </w:pPr>
      <w:r>
        <w:t>The automobile industry has been dominated by internal combustion engine vehicles, but electric vehicles have changed that. Climate change, government laws, and battery technology have driven EV demand. Tesla leads this fast-changing industry with its revolutionary design, technology, and production (Motors, 2015).</w:t>
      </w:r>
    </w:p>
    <w:p w14:paraId="26A97CB6" w14:textId="77777777" w:rsidR="007B5653" w:rsidRDefault="007B5653" w:rsidP="005C7384">
      <w:pPr>
        <w:pStyle w:val="Heading2"/>
        <w:spacing w:before="240" w:line="360" w:lineRule="auto"/>
      </w:pPr>
      <w:bookmarkStart w:id="4" w:name="_Toc164428970"/>
      <w:r>
        <w:t>Business Model</w:t>
      </w:r>
      <w:bookmarkEnd w:id="4"/>
    </w:p>
    <w:p w14:paraId="4F222104" w14:textId="2AB51C29" w:rsidR="007B5653" w:rsidRDefault="007B5653" w:rsidP="005C7384">
      <w:pPr>
        <w:spacing w:before="240" w:line="360" w:lineRule="auto"/>
      </w:pPr>
      <w:r>
        <w:t xml:space="preserve">Tesla's business model revolves around innovation, vertical integration, and sustainability. The company designs and manufactures electric vehicles, battery storage systems, and solar energy products. Unlike traditional automakers, Tesla operates its network of stores and service </w:t>
      </w:r>
      <w:r w:rsidR="00493130">
        <w:t>centres</w:t>
      </w:r>
      <w:r>
        <w:t>, bypassing the conventional dealership model. Additionally, Tesla invests heavily in research and development to continually improve its products and technologies (Motors, 2015).</w:t>
      </w:r>
    </w:p>
    <w:p w14:paraId="6B597A8E" w14:textId="77777777" w:rsidR="007B5653" w:rsidRDefault="007B5653" w:rsidP="005C7384">
      <w:pPr>
        <w:pStyle w:val="Heading2"/>
        <w:spacing w:before="240" w:line="360" w:lineRule="auto"/>
      </w:pPr>
      <w:bookmarkStart w:id="5" w:name="_Toc164428971"/>
      <w:r>
        <w:t>Market Position and Major Competitors</w:t>
      </w:r>
      <w:bookmarkEnd w:id="5"/>
    </w:p>
    <w:p w14:paraId="62BF8D33" w14:textId="77777777" w:rsidR="007B5653" w:rsidRDefault="007B5653" w:rsidP="005C7384">
      <w:pPr>
        <w:spacing w:before="240" w:line="360" w:lineRule="auto"/>
      </w:pPr>
      <w:r>
        <w:t>Tesla dominates the premium electric vehicle market. BMW, Audi, and Mercedes-Benz, which also make electric cars, are its closest competitors. However, Rivian, Lucid Motors, and NIO, notably in premium electric vehicles, challenge Tesla's dominance (Motors, 2015).</w:t>
      </w:r>
    </w:p>
    <w:p w14:paraId="6998C1DB" w14:textId="77777777" w:rsidR="007B5653" w:rsidRDefault="007B5653" w:rsidP="005C7384">
      <w:pPr>
        <w:pStyle w:val="Heading2"/>
        <w:spacing w:before="240" w:line="360" w:lineRule="auto"/>
      </w:pPr>
      <w:bookmarkStart w:id="6" w:name="_Toc164428972"/>
      <w:r>
        <w:lastRenderedPageBreak/>
        <w:t>Major Events Over the Past Five Years</w:t>
      </w:r>
      <w:bookmarkEnd w:id="6"/>
    </w:p>
    <w:p w14:paraId="2451D0B7" w14:textId="77777777" w:rsidR="007B5653" w:rsidRDefault="007B5653" w:rsidP="005C7384">
      <w:pPr>
        <w:spacing w:before="240" w:line="360" w:lineRule="auto"/>
      </w:pPr>
      <w:r>
        <w:t>2019: Production Challenges and Expansion</w:t>
      </w:r>
    </w:p>
    <w:p w14:paraId="71C0D45E" w14:textId="77777777" w:rsidR="007B5653" w:rsidRDefault="007B5653" w:rsidP="005C7384">
      <w:pPr>
        <w:spacing w:before="240" w:line="360" w:lineRule="auto"/>
      </w:pPr>
      <w:r>
        <w:t>The 2019 Model 3 sedan production and delivery issues plagued Tesla. Logistics and quality control challenges at its Fremont, California manufacturing prevented the company from meeting production targets. To address rising demand and speed up worldwide delivery, Tesla opened additional Gigafactories in Shanghai, China, and Berlin, Germany (Zheng, 2024).</w:t>
      </w:r>
    </w:p>
    <w:p w14:paraId="0DA01CD4" w14:textId="77777777" w:rsidR="007B5653" w:rsidRDefault="007B5653" w:rsidP="005C7384">
      <w:pPr>
        <w:spacing w:before="240" w:line="360" w:lineRule="auto"/>
      </w:pPr>
      <w:r>
        <w:t>Tesla exceeded forecasts and market trends in 2020 with record vehicle deliveries despite the epidemic. Tesla delivered over 500,000 electric automobiles due to Model 3 and Model Y demand. Tesla became the world's most valuable automaker by market capitalization as its stock price rose. However, analysts and investors have expressed concerns about Tesla's valuation and sustainability (Zheng, 2024).</w:t>
      </w:r>
    </w:p>
    <w:p w14:paraId="527E9C19" w14:textId="77777777" w:rsidR="007B5653" w:rsidRDefault="007B5653" w:rsidP="005C7384">
      <w:pPr>
        <w:spacing w:before="240" w:line="360" w:lineRule="auto"/>
      </w:pPr>
      <w:r>
        <w:t>2021: Regulatory Scrutiny and Expansion into Energy Sector</w:t>
      </w:r>
    </w:p>
    <w:p w14:paraId="5E3755EE" w14:textId="01060C8B" w:rsidR="007B5653" w:rsidRDefault="007B5653" w:rsidP="005C7384">
      <w:pPr>
        <w:spacing w:before="240" w:line="360" w:lineRule="auto"/>
      </w:pPr>
      <w:r>
        <w:t>After multiple high-profile Tesla accidents in 2021, regulators scrutinized Tesla's autopilot technology and safety requirements. Regulatory bodies, including the NHTSA, investigated Tesla's autonomous driving features and recommended stronger controls. Tesla used their battery technology to launch new solar and energy storage products despite these hurdles (Zheng, 2024).</w:t>
      </w:r>
    </w:p>
    <w:p w14:paraId="0BE8660E" w14:textId="77777777" w:rsidR="007B5653" w:rsidRDefault="007B5653" w:rsidP="005C7384">
      <w:pPr>
        <w:spacing w:before="240" w:line="360" w:lineRule="auto"/>
      </w:pPr>
      <w:r>
        <w:t>2022: Supply Chain Disruptions and Cybersecurity Concerns</w:t>
      </w:r>
    </w:p>
    <w:p w14:paraId="6D9FCB59" w14:textId="77777777" w:rsidR="007B5653" w:rsidRDefault="007B5653" w:rsidP="005C7384">
      <w:pPr>
        <w:spacing w:before="240" w:line="360" w:lineRule="auto"/>
      </w:pPr>
      <w:r>
        <w:t>In 2022, automotive supply chain delays and chip shortages hampered Tesla's production and delivery timelines. Essential components were scarce, delaying production and depleting stockpiles. Tesla also faced cybersecurity worries after vehicle software system flaws were reported. The corporation updated software and improved cybersecurity to address these vulnerabilities and reassure customers (Zheng, 2024).</w:t>
      </w:r>
    </w:p>
    <w:p w14:paraId="2649123D" w14:textId="77777777" w:rsidR="007B5653" w:rsidRDefault="007B5653" w:rsidP="005C7384">
      <w:pPr>
        <w:spacing w:before="240" w:line="360" w:lineRule="auto"/>
      </w:pPr>
      <w:r>
        <w:t>2023: Strategic Partnerships and Innovation</w:t>
      </w:r>
    </w:p>
    <w:p w14:paraId="5C4D8035" w14:textId="77777777" w:rsidR="007B5653" w:rsidRDefault="007B5653" w:rsidP="005C7384">
      <w:pPr>
        <w:spacing w:before="240" w:line="360" w:lineRule="auto"/>
      </w:pPr>
      <w:r>
        <w:t xml:space="preserve">Tesla formed strategic collaborations with technology and energy firms in 2023 to expand and innovate. The business worked with top battery manufacturers to create next-generation battery technologies to boost energy density and lower costs. Tesla also announced intentions to join new </w:t>
      </w:r>
      <w:r>
        <w:lastRenderedPageBreak/>
        <w:t>areas including electric aircraft and autonomous drones, indicating its desire to change transportation beyond cars (Zheng, 2024).</w:t>
      </w:r>
    </w:p>
    <w:p w14:paraId="00DBE42E" w14:textId="6700A844" w:rsidR="0027244F" w:rsidRDefault="004F54E5" w:rsidP="005C7384">
      <w:pPr>
        <w:pStyle w:val="Heading1"/>
        <w:spacing w:before="240" w:line="360" w:lineRule="auto"/>
        <w:jc w:val="both"/>
      </w:pPr>
      <w:bookmarkStart w:id="7" w:name="_Toc164428973"/>
      <w:r>
        <w:t>Part b</w:t>
      </w:r>
      <w:bookmarkEnd w:id="7"/>
    </w:p>
    <w:p w14:paraId="1CFAD974" w14:textId="713E0504" w:rsidR="004F54E5" w:rsidRDefault="00493130" w:rsidP="005C7384">
      <w:pPr>
        <w:pStyle w:val="Heading2"/>
        <w:spacing w:before="240" w:line="360" w:lineRule="auto"/>
      </w:pPr>
      <w:bookmarkStart w:id="8" w:name="_Toc164428974"/>
      <w:r>
        <w:t>L</w:t>
      </w:r>
      <w:r w:rsidR="004F54E5">
        <w:t>iquidity and leverage ratios for the past five years</w:t>
      </w:r>
      <w:bookmarkEnd w:id="8"/>
    </w:p>
    <w:p w14:paraId="2C5D7179" w14:textId="77777777" w:rsidR="007B5653" w:rsidRDefault="007B5653" w:rsidP="005C7384">
      <w:pPr>
        <w:spacing w:before="240" w:line="360" w:lineRule="auto"/>
        <w:rPr>
          <w:b/>
          <w:bCs/>
          <w:i/>
          <w:iCs/>
        </w:rPr>
      </w:pPr>
      <w:r w:rsidRPr="007B5653">
        <w:rPr>
          <w:b/>
          <w:bCs/>
          <w:i/>
          <w:iCs/>
        </w:rPr>
        <w:t>Liquidity ratios:</w:t>
      </w:r>
    </w:p>
    <w:p w14:paraId="05671FDA" w14:textId="601BD416" w:rsidR="00E604E4" w:rsidRPr="00E604E4" w:rsidRDefault="00E604E4" w:rsidP="005C7384">
      <w:pPr>
        <w:spacing w:before="240" w:line="360" w:lineRule="auto"/>
      </w:pPr>
      <w:r w:rsidRPr="00E604E4">
        <w:t>The current ratio assesses a company's capacity to pay short-term liabilities with short-term assets. A value above 1 implies liquidity because the corporation has more current assets than current commitments.</w:t>
      </w:r>
      <w:r w:rsidR="00493130">
        <w:t xml:space="preserve"> </w:t>
      </w:r>
      <w:r w:rsidRPr="00E604E4">
        <w:t xml:space="preserve">Tesla's ratio has ranged from 1.13 to 1.88 for five years. A current ratio above 1 usually indicates success (Fang, 2022). </w:t>
      </w:r>
    </w:p>
    <w:p w14:paraId="1C3E6AB6" w14:textId="26A4348D" w:rsidR="00E604E4" w:rsidRPr="00E604E4" w:rsidRDefault="00E604E4" w:rsidP="005C7384">
      <w:pPr>
        <w:spacing w:before="240" w:line="360" w:lineRule="auto"/>
      </w:pPr>
      <w:r w:rsidRPr="00E604E4">
        <w:t>Tesla's present asset ratios are within this range, indicating it can meet its short-term obligations. The quick ratio, also known as the acid-test ratio, examines a company's capacity to meet immediate financial obligations with its most immediately available assets, excluding inventories. Like the current ratio, a ratio above 1 is good.</w:t>
      </w:r>
      <w:r w:rsidR="00493130">
        <w:t xml:space="preserve"> </w:t>
      </w:r>
      <w:r w:rsidRPr="00E604E4">
        <w:t>Tesla's quick ratio has ranged from 0.80 to 1.59 over the past five years. While lower than the current ratio, the quick ratio has been above 1 for most years. Tesla has enough liquid assets to meet its immediate financial obligations, excluding inventory (Hertina, 2021).</w:t>
      </w:r>
    </w:p>
    <w:p w14:paraId="0298A5D6" w14:textId="77777777" w:rsidR="002D731A" w:rsidRDefault="002D731A" w:rsidP="005C7384">
      <w:pPr>
        <w:keepNext/>
        <w:spacing w:before="240" w:line="360" w:lineRule="auto"/>
      </w:pPr>
      <w:r>
        <w:rPr>
          <w:noProof/>
        </w:rPr>
        <w:lastRenderedPageBreak/>
        <w:drawing>
          <wp:inline distT="0" distB="0" distL="0" distR="0" wp14:anchorId="462BB259" wp14:editId="681E6F47">
            <wp:extent cx="6084277" cy="2743200"/>
            <wp:effectExtent l="0" t="0" r="12065" b="0"/>
            <wp:docPr id="1261654487" name="Chart 1">
              <a:extLst xmlns:a="http://schemas.openxmlformats.org/drawingml/2006/main">
                <a:ext uri="{FF2B5EF4-FFF2-40B4-BE49-F238E27FC236}">
                  <a16:creationId xmlns:a16="http://schemas.microsoft.com/office/drawing/2014/main" id="{DF090BB7-7E14-CC4F-BDDC-F7434C4B54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0BE114" w14:textId="60B239F9" w:rsidR="002D731A" w:rsidRPr="00C836D5" w:rsidRDefault="002D731A" w:rsidP="005C7384">
      <w:pPr>
        <w:pStyle w:val="Caption"/>
        <w:spacing w:before="240" w:line="360" w:lineRule="auto"/>
        <w:rPr>
          <w:szCs w:val="22"/>
        </w:rPr>
      </w:pPr>
      <w:r>
        <w:t xml:space="preserve">Figure </w:t>
      </w:r>
      <w:r>
        <w:fldChar w:fldCharType="begin"/>
      </w:r>
      <w:r>
        <w:instrText xml:space="preserve"> SEQ Figure \* ARABIC </w:instrText>
      </w:r>
      <w:r>
        <w:fldChar w:fldCharType="separate"/>
      </w:r>
      <w:r>
        <w:rPr>
          <w:noProof/>
        </w:rPr>
        <w:t>1</w:t>
      </w:r>
      <w:r>
        <w:fldChar w:fldCharType="end"/>
      </w:r>
      <w:r>
        <w:t>Liquidity Ratio (Self Created)</w:t>
      </w:r>
    </w:p>
    <w:p w14:paraId="1568AFF9" w14:textId="77777777" w:rsidR="007B5653" w:rsidRDefault="007B5653" w:rsidP="005C7384">
      <w:pPr>
        <w:spacing w:before="240" w:line="360" w:lineRule="auto"/>
        <w:rPr>
          <w:b/>
          <w:bCs/>
          <w:i/>
          <w:iCs/>
        </w:rPr>
      </w:pPr>
      <w:r w:rsidRPr="007B5653">
        <w:rPr>
          <w:b/>
          <w:bCs/>
          <w:i/>
          <w:iCs/>
        </w:rPr>
        <w:t>Leverage ratios:</w:t>
      </w:r>
    </w:p>
    <w:p w14:paraId="6A75DE16" w14:textId="0480BB06" w:rsidR="00E604E4" w:rsidRDefault="00E604E4" w:rsidP="005C7384">
      <w:pPr>
        <w:spacing w:before="240" w:line="360" w:lineRule="auto"/>
      </w:pPr>
      <w:r>
        <w:t>The debt-to-equity ratio compares a company's debt to its shareholders' equity (Agung Tri Atidhira and Andi Ina Yustina, 2017). A negative ratio means the company's stock outweighs its debt, which is good.</w:t>
      </w:r>
      <w:r w:rsidR="00493130">
        <w:t xml:space="preserve"> </w:t>
      </w:r>
      <w:r>
        <w:t>Tesla's debt-to-stock ratio has dropped from -0.29 to -0.18 over the past five years. Tesla's negative ratio suggests judicious spending because equity surpasses debt. Negative shareholder wealth can cause negative ratios, which is important to examine.</w:t>
      </w:r>
    </w:p>
    <w:p w14:paraId="46D5CFBA" w14:textId="02C36563" w:rsidR="00E604E4" w:rsidRDefault="00E604E4" w:rsidP="005C7384">
      <w:pPr>
        <w:spacing w:before="240" w:line="360" w:lineRule="auto"/>
      </w:pPr>
      <w:r>
        <w:t>Companies' debt ratios show how much debt they use to finance their assets. A negative ratio means most of the company's assets are financed by shares.</w:t>
      </w:r>
      <w:r w:rsidR="00493130">
        <w:t xml:space="preserve"> </w:t>
      </w:r>
      <w:r>
        <w:t xml:space="preserve">Tesla has had a negative debt ratio for five years, ranging from -0.14 to -0.10, like its debt-to-equity ratio. Tesla's financial structure is </w:t>
      </w:r>
      <w:r w:rsidR="00493130">
        <w:t>favourable</w:t>
      </w:r>
      <w:r>
        <w:t xml:space="preserve"> since equity, not debt, finances most of its assets.</w:t>
      </w:r>
    </w:p>
    <w:p w14:paraId="138EF554" w14:textId="77777777" w:rsidR="00E604E4" w:rsidRDefault="00E604E4" w:rsidP="005C7384">
      <w:pPr>
        <w:spacing w:before="240" w:line="360" w:lineRule="auto"/>
      </w:pPr>
      <w:r>
        <w:t>In summary, Tesla has had good liquidity ratios for five years, showing it can meet short-term obligations. Negative leverage ratios show the company's leverage caution. These statistics show that the company uses less debt and has more equity. However, these percentages must be monitored to analyze the company's financial performance and risk management plans (macrotrends, 2014).</w:t>
      </w:r>
    </w:p>
    <w:p w14:paraId="26DE5AFC" w14:textId="77777777" w:rsidR="002D731A" w:rsidRDefault="002D731A" w:rsidP="005C7384">
      <w:pPr>
        <w:keepNext/>
        <w:spacing w:before="240" w:line="360" w:lineRule="auto"/>
      </w:pPr>
      <w:r>
        <w:rPr>
          <w:noProof/>
        </w:rPr>
        <w:lastRenderedPageBreak/>
        <w:drawing>
          <wp:inline distT="0" distB="0" distL="0" distR="0" wp14:anchorId="00C78D50" wp14:editId="24E1CD82">
            <wp:extent cx="5943600" cy="2743200"/>
            <wp:effectExtent l="0" t="0" r="0" b="0"/>
            <wp:docPr id="922982968" name="Chart 1">
              <a:extLst xmlns:a="http://schemas.openxmlformats.org/drawingml/2006/main">
                <a:ext uri="{FF2B5EF4-FFF2-40B4-BE49-F238E27FC236}">
                  <a16:creationId xmlns:a16="http://schemas.microsoft.com/office/drawing/2014/main" id="{3CF81FA1-F915-C5EE-15B4-AA5A700716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4D1DAB" w14:textId="69DABA97" w:rsidR="002D731A" w:rsidRDefault="002D731A" w:rsidP="005C7384">
      <w:pPr>
        <w:pStyle w:val="Caption"/>
        <w:spacing w:before="240" w:line="360" w:lineRule="auto"/>
      </w:pPr>
      <w:r>
        <w:t xml:space="preserve">Figure </w:t>
      </w:r>
      <w:r>
        <w:fldChar w:fldCharType="begin"/>
      </w:r>
      <w:r>
        <w:instrText xml:space="preserve"> SEQ Figure \* ARABIC </w:instrText>
      </w:r>
      <w:r>
        <w:fldChar w:fldCharType="separate"/>
      </w:r>
      <w:r>
        <w:rPr>
          <w:noProof/>
        </w:rPr>
        <w:t>2</w:t>
      </w:r>
      <w:r>
        <w:fldChar w:fldCharType="end"/>
      </w:r>
      <w:r>
        <w:t>Leverage Ratio (Self Created)</w:t>
      </w:r>
    </w:p>
    <w:p w14:paraId="3B690923" w14:textId="1AB528AC" w:rsidR="004F54E5" w:rsidRDefault="008938FB" w:rsidP="005C7384">
      <w:pPr>
        <w:pStyle w:val="Heading2"/>
        <w:spacing w:before="240" w:line="360" w:lineRule="auto"/>
      </w:pPr>
      <w:bookmarkStart w:id="9" w:name="_Toc164428975"/>
      <w:r>
        <w:t>F</w:t>
      </w:r>
      <w:r w:rsidR="004F54E5">
        <w:t>inancial performance</w:t>
      </w:r>
      <w:bookmarkEnd w:id="9"/>
    </w:p>
    <w:p w14:paraId="4B7E8907" w14:textId="513680D2" w:rsidR="00E604E4" w:rsidRDefault="00E604E4" w:rsidP="005C7384">
      <w:pPr>
        <w:spacing w:before="240" w:line="360" w:lineRule="auto"/>
      </w:pPr>
      <w:r>
        <w:t xml:space="preserve">Five years of Tesla's financial record </w:t>
      </w:r>
      <w:r w:rsidR="00493130">
        <w:t>indicates</w:t>
      </w:r>
      <w:r>
        <w:t xml:space="preserve"> growth, innovation, and flexibility to changing market conditions. A thorough review of the company's financial records and important ratios can reveal its strengths, weaknesses, and resilience in the face of adversity (Almenhali et al., 2021).</w:t>
      </w:r>
    </w:p>
    <w:p w14:paraId="505BA8FC" w14:textId="77777777" w:rsidR="00E604E4" w:rsidRDefault="00E604E4" w:rsidP="005C7384">
      <w:pPr>
        <w:spacing w:before="240" w:line="360" w:lineRule="auto"/>
      </w:pPr>
      <w:r>
        <w:t>Tesla's net profit margin and return on assets (ROA) have improved significantly since 2019, indicating profitability. Net profit margin increased from -3.51% in 2019 to 15.50% in 2023. Revenue turned into profit positively. Over the same period, Return on Assets (ROA) has increased, showing better asset use to produce income. The ROA rose from -2.51% to 14.07%. Tesla's latest improvements demonstrate its capacity to cut costs, boost efficiency, and boost profits. This shows the company's market dominance and rising electric vehicle demand (Hutabarat et al., 2023).</w:t>
      </w:r>
    </w:p>
    <w:p w14:paraId="676EA469" w14:textId="1056FA01" w:rsidR="00E604E4" w:rsidRDefault="00E604E4" w:rsidP="005C7384">
      <w:pPr>
        <w:spacing w:before="240" w:line="360" w:lineRule="auto"/>
      </w:pPr>
      <w:r>
        <w:t xml:space="preserve">However, liquidity is monitored. Tesla typically has a current ratio above 1, showing enough short-term assets to meet short-term liabilities. There have been occasional fluctuations, suggesting working capital management or liquidity risk. The fast ratio represents current assets similarly but excludes inventory for caution. Despite recent developments, Tesla appears to be able to quickly acquire cash, suggesting </w:t>
      </w:r>
      <w:r w:rsidR="00493130">
        <w:t>it</w:t>
      </w:r>
      <w:r>
        <w:t xml:space="preserve"> can meet their immediate financial obligations (Huang, 2023).</w:t>
      </w:r>
    </w:p>
    <w:p w14:paraId="1AA63A52" w14:textId="77777777" w:rsidR="00E604E4" w:rsidRDefault="00E604E4" w:rsidP="005C7384">
      <w:pPr>
        <w:spacing w:before="240" w:line="360" w:lineRule="auto"/>
      </w:pPr>
      <w:r>
        <w:lastRenderedPageBreak/>
        <w:t>Tesla's financial structure prudently uses leverage. The debt-to-equity ratio and debt ratio have been negative for five years. Tesla's long-term goal of limiting financial risk and keeping flexibility is shown by its equity funding instead of debt. Negative leverage ratios may indicate a lower risk of default and financial difficulties, but they can also raise questions about the ideal capital structure and whether debt funding is fully utilized for growth and capital investments (Macroaxis, 2024).</w:t>
      </w:r>
    </w:p>
    <w:p w14:paraId="76181E06" w14:textId="77777777" w:rsidR="00E604E4" w:rsidRDefault="00E604E4" w:rsidP="005C7384">
      <w:pPr>
        <w:spacing w:before="240" w:line="360" w:lineRule="auto"/>
      </w:pPr>
      <w:r>
        <w:t>Tesla's efficiency ratios reveal its asset use and operations. The asset turnover ratio fluctuates but stays above 0.7. It shows that assets are being used to generate income. The inventory turnover ratio fluctuates, but it indicates good inventory management. Tesla's financial performance is strong due to its resource management, operational optimization, and productivity (Lusy et al., 2018).</w:t>
      </w:r>
    </w:p>
    <w:p w14:paraId="1644BBE7" w14:textId="6BB5BD10" w:rsidR="00E604E4" w:rsidRDefault="00E604E4" w:rsidP="005C7384">
      <w:pPr>
        <w:spacing w:before="240" w:line="360" w:lineRule="auto"/>
      </w:pPr>
      <w:r>
        <w:t xml:space="preserve">When assessing Tesla's financial performance, legislative changes, </w:t>
      </w:r>
      <w:r w:rsidR="00493130">
        <w:t>technological</w:t>
      </w:r>
      <w:r>
        <w:t xml:space="preserve"> advances, and competitive issues must be considered. Tesla faces changing consumer tastes, technical advances, and regulatory requirements in a fast-paced sector (Liu et al., 2024). To achieve sustainable development and a competitive edge, financial agility, innovation, and strategic vision must be prioritized.</w:t>
      </w:r>
    </w:p>
    <w:p w14:paraId="6309A07C" w14:textId="5E5D7A0E" w:rsidR="00514CD7" w:rsidRPr="00E604E4" w:rsidRDefault="00514CD7" w:rsidP="005C7384">
      <w:pPr>
        <w:spacing w:before="240" w:line="360" w:lineRule="auto"/>
      </w:pPr>
      <w:r w:rsidRPr="00514CD7">
        <w:t>Tesla has good and negative profitability, liquidity, leverage, and efficiency. Although liquidity and debt use are challenges, the company's profitability and operational efficiency are impressive. Financial management and strategic decision-making may be affected. Tesla needs proactive financial management and strategic agility to grow and satisfy shareholders. The company may innovate, expand its product line, and react to industry changes.</w:t>
      </w:r>
    </w:p>
    <w:p w14:paraId="4BFEB293" w14:textId="27A9D9A4" w:rsidR="004F54E5" w:rsidRDefault="008938FB" w:rsidP="005C7384">
      <w:pPr>
        <w:pStyle w:val="Heading2"/>
        <w:spacing w:before="240" w:line="360" w:lineRule="auto"/>
      </w:pPr>
      <w:bookmarkStart w:id="10" w:name="_Toc164428976"/>
      <w:r>
        <w:t>F</w:t>
      </w:r>
      <w:r w:rsidR="004F54E5">
        <w:t>inancial ratios</w:t>
      </w:r>
      <w:bookmarkEnd w:id="10"/>
      <w:r w:rsidR="004F54E5">
        <w:t xml:space="preserve"> </w:t>
      </w:r>
    </w:p>
    <w:p w14:paraId="4B00873D" w14:textId="3BA71BFD" w:rsidR="00514CD7" w:rsidRDefault="00514CD7" w:rsidP="005C7384">
      <w:pPr>
        <w:spacing w:before="240" w:line="360" w:lineRule="auto"/>
      </w:pPr>
      <w:r w:rsidRPr="00514CD7">
        <w:t>Tesla and BMW, two well-known automobile firms, can be analyzed for financial performance and strategy.</w:t>
      </w:r>
    </w:p>
    <w:p w14:paraId="4ADBB3DB" w14:textId="1AF4FD0C" w:rsidR="001D7D97" w:rsidRPr="008938FB" w:rsidRDefault="008938FB" w:rsidP="005C7384">
      <w:pPr>
        <w:spacing w:before="240" w:line="360" w:lineRule="auto"/>
        <w:rPr>
          <w:b/>
          <w:bCs/>
          <w:i/>
          <w:iCs/>
        </w:rPr>
      </w:pPr>
      <w:r w:rsidRPr="008938FB">
        <w:rPr>
          <w:b/>
          <w:bCs/>
          <w:i/>
          <w:iCs/>
        </w:rPr>
        <w:t>P</w:t>
      </w:r>
      <w:r w:rsidR="001D7D97" w:rsidRPr="008938FB">
        <w:rPr>
          <w:b/>
          <w:bCs/>
          <w:i/>
          <w:iCs/>
        </w:rPr>
        <w:t xml:space="preserve">rofitability </w:t>
      </w:r>
      <w:r w:rsidRPr="008938FB">
        <w:rPr>
          <w:b/>
          <w:bCs/>
          <w:i/>
          <w:iCs/>
        </w:rPr>
        <w:t>ratios:</w:t>
      </w:r>
    </w:p>
    <w:p w14:paraId="5ED24B61" w14:textId="5CD093AB" w:rsidR="00514CD7" w:rsidRDefault="00514CD7" w:rsidP="005C7384">
      <w:pPr>
        <w:spacing w:before="240" w:line="360" w:lineRule="auto"/>
      </w:pPr>
      <w:r w:rsidRPr="00514CD7">
        <w:t xml:space="preserve">Tesla routinely surpasses BMW in net profit margin and ROA. Tesla's net profit margins improved from -3.51% in 2019 to 15.50% in 2023. BMW has had reduced net profit margins, with several </w:t>
      </w:r>
      <w:r w:rsidRPr="00514CD7">
        <w:lastRenderedPageBreak/>
        <w:t>years being negative. Tesla regularly generates more earnings from its assets than BMW (www.macrotrends.net, 2024).</w:t>
      </w:r>
    </w:p>
    <w:p w14:paraId="67483D77" w14:textId="77777777" w:rsidR="002D731A" w:rsidRDefault="002D731A" w:rsidP="005C7384">
      <w:pPr>
        <w:pStyle w:val="Caption"/>
        <w:keepNext/>
        <w:spacing w:before="240" w:line="360" w:lineRule="auto"/>
      </w:pPr>
      <w:r w:rsidRPr="008938FB">
        <w:rPr>
          <w:noProof/>
        </w:rPr>
        <w:drawing>
          <wp:inline distT="0" distB="0" distL="0" distR="0" wp14:anchorId="5CC44362" wp14:editId="217D5CC2">
            <wp:extent cx="5943600" cy="1610751"/>
            <wp:effectExtent l="0" t="0" r="0" b="8890"/>
            <wp:docPr id="53714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46253" name=""/>
                    <pic:cNvPicPr/>
                  </pic:nvPicPr>
                  <pic:blipFill>
                    <a:blip r:embed="rId10"/>
                    <a:stretch>
                      <a:fillRect/>
                    </a:stretch>
                  </pic:blipFill>
                  <pic:spPr>
                    <a:xfrm>
                      <a:off x="0" y="0"/>
                      <a:ext cx="5943600" cy="1610751"/>
                    </a:xfrm>
                    <a:prstGeom prst="rect">
                      <a:avLst/>
                    </a:prstGeom>
                  </pic:spPr>
                </pic:pic>
              </a:graphicData>
            </a:graphic>
          </wp:inline>
        </w:drawing>
      </w:r>
    </w:p>
    <w:p w14:paraId="4301B2A2" w14:textId="782C7368" w:rsidR="008938FB" w:rsidRDefault="002D731A" w:rsidP="005C7384">
      <w:pPr>
        <w:pStyle w:val="Caption"/>
        <w:spacing w:before="240" w:line="360" w:lineRule="auto"/>
      </w:pPr>
      <w:r>
        <w:t xml:space="preserve">Figure </w:t>
      </w:r>
      <w:r>
        <w:fldChar w:fldCharType="begin"/>
      </w:r>
      <w:r>
        <w:instrText xml:space="preserve"> SEQ Figure \* ARABIC </w:instrText>
      </w:r>
      <w:r>
        <w:fldChar w:fldCharType="separate"/>
      </w:r>
      <w:r>
        <w:rPr>
          <w:noProof/>
        </w:rPr>
        <w:t>3</w:t>
      </w:r>
      <w:r>
        <w:fldChar w:fldCharType="end"/>
      </w:r>
      <w:r>
        <w:t xml:space="preserve"> </w:t>
      </w:r>
      <w:r w:rsidR="00493130">
        <w:t>Profitability</w:t>
      </w:r>
    </w:p>
    <w:p w14:paraId="25837AEE" w14:textId="5AC608EB" w:rsidR="001D7D97" w:rsidRPr="008938FB" w:rsidRDefault="008938FB" w:rsidP="005C7384">
      <w:pPr>
        <w:spacing w:before="240" w:line="360" w:lineRule="auto"/>
        <w:rPr>
          <w:b/>
          <w:bCs/>
          <w:i/>
          <w:iCs/>
        </w:rPr>
      </w:pPr>
      <w:r w:rsidRPr="008938FB">
        <w:rPr>
          <w:b/>
          <w:bCs/>
          <w:i/>
          <w:iCs/>
        </w:rPr>
        <w:t>L</w:t>
      </w:r>
      <w:r w:rsidR="001D7D97" w:rsidRPr="008938FB">
        <w:rPr>
          <w:b/>
          <w:bCs/>
          <w:i/>
          <w:iCs/>
        </w:rPr>
        <w:t>iquidity ratios:</w:t>
      </w:r>
    </w:p>
    <w:p w14:paraId="400FC3F1" w14:textId="7D0CEE7A" w:rsidR="001D7D97" w:rsidRDefault="00514CD7" w:rsidP="005C7384">
      <w:pPr>
        <w:spacing w:before="240" w:line="360" w:lineRule="auto"/>
      </w:pPr>
      <w:r>
        <w:t>T</w:t>
      </w:r>
      <w:r w:rsidR="001D7D97">
        <w:t>t is worth noting that Tesla consistently maintains slightly higher ratios than BMW, indicating a potential advantage in short-term liquidity. Over the past five years, Tesla's current ratio has shown some variation, ranging from 1.13 to 1.88. In comparison, BMW's current ratio has fluctuated between 1.33 and 1.9 during the same period. Tesla usually maintains a slight edge over BMW in the fast ratio, disregarding inventory</w:t>
      </w:r>
      <w:r w:rsidR="00C836D5">
        <w:t xml:space="preserve"> (</w:t>
      </w:r>
      <w:r w:rsidR="00C836D5" w:rsidRPr="00C836D5">
        <w:rPr>
          <w:rFonts w:eastAsia="Times New Roman" w:cs="Times New Roman"/>
          <w:kern w:val="0"/>
          <w:szCs w:val="24"/>
          <w:lang w:val="en-IN" w:eastAsia="en-IN"/>
          <w14:ligatures w14:val="none"/>
        </w:rPr>
        <w:t>Rahmawati and Hadian, 2022</w:t>
      </w:r>
      <w:r w:rsidR="00C836D5">
        <w:rPr>
          <w:rFonts w:eastAsia="Times New Roman" w:cs="Times New Roman"/>
          <w:kern w:val="0"/>
          <w:szCs w:val="24"/>
          <w:lang w:val="en-IN" w:eastAsia="en-IN"/>
          <w14:ligatures w14:val="none"/>
        </w:rPr>
        <w:t>)</w:t>
      </w:r>
    </w:p>
    <w:p w14:paraId="2E8A511F" w14:textId="394A0124" w:rsidR="001D7D97" w:rsidRPr="008938FB" w:rsidRDefault="008938FB" w:rsidP="005C7384">
      <w:pPr>
        <w:spacing w:before="240" w:line="360" w:lineRule="auto"/>
        <w:rPr>
          <w:b/>
          <w:bCs/>
          <w:i/>
          <w:iCs/>
        </w:rPr>
      </w:pPr>
      <w:r w:rsidRPr="008938FB">
        <w:rPr>
          <w:b/>
          <w:bCs/>
          <w:i/>
          <w:iCs/>
        </w:rPr>
        <w:t>E</w:t>
      </w:r>
      <w:r w:rsidR="001D7D97" w:rsidRPr="008938FB">
        <w:rPr>
          <w:b/>
          <w:bCs/>
          <w:i/>
          <w:iCs/>
        </w:rPr>
        <w:t>fficiency ratios:</w:t>
      </w:r>
    </w:p>
    <w:p w14:paraId="0B56D16E" w14:textId="2A46AF77" w:rsidR="001D7D97" w:rsidRDefault="001D7D97" w:rsidP="005C7384">
      <w:pPr>
        <w:spacing w:before="240" w:line="360" w:lineRule="auto"/>
      </w:pPr>
      <w:r>
        <w:t xml:space="preserve">Tesla showcases impressive asset turnover ratios when compared to BMW, indicating a greater level of efficiency in generating revenue from its assets. Tesla's asset turnover ratios range from 0.60 to 0.99, while BMW's ratios consistently remain lower and show significant fluctuations, dropping as low as 0.52 in certain years. It seems that Tesla </w:t>
      </w:r>
      <w:r w:rsidR="00493130">
        <w:t>can</w:t>
      </w:r>
      <w:r>
        <w:t xml:space="preserve"> utilize its resources more effectively than BMW to generate sales revenue</w:t>
      </w:r>
      <w:r w:rsidR="00E604E4">
        <w:t xml:space="preserve"> </w:t>
      </w:r>
      <w:r w:rsidR="00E604E4" w:rsidRPr="00E604E4">
        <w:t xml:space="preserve">(TradingView, </w:t>
      </w:r>
      <w:r w:rsidR="00E604E4">
        <w:t>2024</w:t>
      </w:r>
      <w:r w:rsidR="00E604E4" w:rsidRPr="00E604E4">
        <w:t>)</w:t>
      </w:r>
      <w:r>
        <w:t>.</w:t>
      </w:r>
    </w:p>
    <w:p w14:paraId="4594350E" w14:textId="4997149D" w:rsidR="008938FB" w:rsidRDefault="008938FB" w:rsidP="005C7384">
      <w:pPr>
        <w:spacing w:before="240" w:line="360" w:lineRule="auto"/>
      </w:pPr>
      <w:r w:rsidRPr="008938FB">
        <w:rPr>
          <w:noProof/>
        </w:rPr>
        <w:lastRenderedPageBreak/>
        <w:drawing>
          <wp:inline distT="0" distB="0" distL="0" distR="0" wp14:anchorId="43FE948A" wp14:editId="7E97A321">
            <wp:extent cx="5943600" cy="2729865"/>
            <wp:effectExtent l="0" t="0" r="0" b="0"/>
            <wp:docPr id="74474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44463" name=""/>
                    <pic:cNvPicPr/>
                  </pic:nvPicPr>
                  <pic:blipFill>
                    <a:blip r:embed="rId11"/>
                    <a:stretch>
                      <a:fillRect/>
                    </a:stretch>
                  </pic:blipFill>
                  <pic:spPr>
                    <a:xfrm>
                      <a:off x="0" y="0"/>
                      <a:ext cx="5943600" cy="2729865"/>
                    </a:xfrm>
                    <a:prstGeom prst="rect">
                      <a:avLst/>
                    </a:prstGeom>
                  </pic:spPr>
                </pic:pic>
              </a:graphicData>
            </a:graphic>
          </wp:inline>
        </w:drawing>
      </w:r>
    </w:p>
    <w:p w14:paraId="38DDDE36" w14:textId="101B236D" w:rsidR="001D7D97" w:rsidRPr="008938FB" w:rsidRDefault="008938FB" w:rsidP="005C7384">
      <w:pPr>
        <w:spacing w:before="240" w:line="360" w:lineRule="auto"/>
        <w:rPr>
          <w:b/>
          <w:bCs/>
          <w:i/>
          <w:iCs/>
        </w:rPr>
      </w:pPr>
      <w:r w:rsidRPr="008938FB">
        <w:rPr>
          <w:b/>
          <w:bCs/>
          <w:i/>
          <w:iCs/>
        </w:rPr>
        <w:t>G</w:t>
      </w:r>
      <w:r w:rsidR="001D7D97" w:rsidRPr="008938FB">
        <w:rPr>
          <w:b/>
          <w:bCs/>
          <w:i/>
          <w:iCs/>
        </w:rPr>
        <w:t>earing ratios:</w:t>
      </w:r>
    </w:p>
    <w:p w14:paraId="32A29FED" w14:textId="74C64464" w:rsidR="001D7D97" w:rsidRDefault="001D7D97" w:rsidP="005C7384">
      <w:pPr>
        <w:spacing w:before="240" w:line="360" w:lineRule="auto"/>
      </w:pPr>
      <w:r>
        <w:t>Both companies exhibit negative debt-to-equity ratios, indicating a conservative approach to financing and a reliance on equity rather than debt for funding. However, Tesla consistently shows lower ratios in comparison to BMW, suggesting a relatively lower level of financial leverage. Furthermore, Tesla's debt ratio is in negative territory, implying that its assets are predominantly financed by equity. On the other hand, BMW's debt ratio fluctuates around positive values, indicating a more balanced mix of loan and equity financing.</w:t>
      </w:r>
    </w:p>
    <w:p w14:paraId="6631A016" w14:textId="3889C414" w:rsidR="008938FB" w:rsidRPr="008938FB" w:rsidRDefault="008938FB" w:rsidP="005C7384">
      <w:pPr>
        <w:spacing w:before="240" w:line="360" w:lineRule="auto"/>
        <w:rPr>
          <w:b/>
          <w:bCs/>
          <w:i/>
          <w:iCs/>
        </w:rPr>
      </w:pPr>
      <w:r w:rsidRPr="008938FB">
        <w:rPr>
          <w:b/>
          <w:bCs/>
          <w:i/>
          <w:iCs/>
        </w:rPr>
        <w:t>Investment Ratios</w:t>
      </w:r>
      <w:r>
        <w:rPr>
          <w:b/>
          <w:bCs/>
          <w:i/>
          <w:iCs/>
        </w:rPr>
        <w:t>:</w:t>
      </w:r>
    </w:p>
    <w:p w14:paraId="1FCBFFCD" w14:textId="439C81F0" w:rsidR="001D7D97" w:rsidRDefault="001D7D97" w:rsidP="005C7384">
      <w:pPr>
        <w:spacing w:before="240" w:line="360" w:lineRule="auto"/>
      </w:pPr>
      <w:r>
        <w:t>Tesla consistently has a higher price/earnings ratio (P/E ratio) than BMW, indicating that investors are willing to pay more for Tesla's earnings compared to BMW's. This suggests that the market is looking forward to Tesla's potential for growth and technological advancements. On the other hand, BMW offers a higher dividend yield, suggesting that it distributes a larger portion of its profits to shareholders through dividends compared to Tesla</w:t>
      </w:r>
      <w:r w:rsidR="00C836D5">
        <w:t xml:space="preserve"> (</w:t>
      </w:r>
      <w:r w:rsidR="00C836D5" w:rsidRPr="00C836D5">
        <w:rPr>
          <w:rFonts w:eastAsia="Times New Roman" w:cs="Times New Roman"/>
          <w:kern w:val="0"/>
          <w:szCs w:val="24"/>
          <w:lang w:val="en-IN" w:eastAsia="en-IN"/>
          <w14:ligatures w14:val="none"/>
        </w:rPr>
        <w:t>Sunaryo, 2021)</w:t>
      </w:r>
      <w:r>
        <w:t>.</w:t>
      </w:r>
    </w:p>
    <w:p w14:paraId="40C5A0C0" w14:textId="47DA705D" w:rsidR="001D7D97" w:rsidRDefault="00514CD7" w:rsidP="005C7384">
      <w:pPr>
        <w:spacing w:before="240" w:line="360" w:lineRule="auto"/>
      </w:pPr>
      <w:r w:rsidRPr="00514CD7">
        <w:t>Despite being automakers, Tesla and BMW have different financial profiles. Tesla's robust profitability, efficiency, and liquidity metrics indicate a solid market position and excellent development potential due to its breakthrough electric vehicle technology. BMW has lesser profitability and efficiency due to its more conservative financial stance. However, it pays more dividends. Investors' evaluations of these attributes depend on their goals and risk tolerance.</w:t>
      </w:r>
    </w:p>
    <w:tbl>
      <w:tblPr>
        <w:tblW w:w="5000" w:type="pct"/>
        <w:tblLook w:val="04A0" w:firstRow="1" w:lastRow="0" w:firstColumn="1" w:lastColumn="0" w:noHBand="0" w:noVBand="1"/>
      </w:tblPr>
      <w:tblGrid>
        <w:gridCol w:w="1279"/>
        <w:gridCol w:w="978"/>
        <w:gridCol w:w="773"/>
        <w:gridCol w:w="773"/>
        <w:gridCol w:w="773"/>
        <w:gridCol w:w="682"/>
        <w:gridCol w:w="682"/>
        <w:gridCol w:w="682"/>
        <w:gridCol w:w="682"/>
        <w:gridCol w:w="682"/>
        <w:gridCol w:w="682"/>
        <w:gridCol w:w="682"/>
      </w:tblGrid>
      <w:tr w:rsidR="00231208" w:rsidRPr="008C22A5" w14:paraId="0F3E66E6" w14:textId="77777777" w:rsidTr="00231208">
        <w:trPr>
          <w:trHeight w:val="290"/>
        </w:trPr>
        <w:tc>
          <w:tcPr>
            <w:tcW w:w="684" w:type="pct"/>
            <w:tcBorders>
              <w:top w:val="single" w:sz="4" w:space="0" w:color="auto"/>
              <w:left w:val="single" w:sz="4" w:space="0" w:color="auto"/>
              <w:bottom w:val="single" w:sz="4" w:space="0" w:color="auto"/>
              <w:right w:val="single" w:sz="4" w:space="0" w:color="auto"/>
            </w:tcBorders>
            <w:shd w:val="clear" w:color="000000" w:fill="FFFFFF"/>
            <w:vAlign w:val="bottom"/>
            <w:hideMark/>
          </w:tcPr>
          <w:p w14:paraId="06E63CC3"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lastRenderedPageBreak/>
              <w:t>Category</w:t>
            </w:r>
          </w:p>
        </w:tc>
        <w:tc>
          <w:tcPr>
            <w:tcW w:w="523" w:type="pct"/>
            <w:tcBorders>
              <w:top w:val="single" w:sz="4" w:space="0" w:color="auto"/>
              <w:left w:val="nil"/>
              <w:bottom w:val="single" w:sz="4" w:space="0" w:color="auto"/>
              <w:right w:val="single" w:sz="4" w:space="0" w:color="auto"/>
            </w:tcBorders>
            <w:shd w:val="clear" w:color="000000" w:fill="FFFFFF"/>
            <w:vAlign w:val="bottom"/>
            <w:hideMark/>
          </w:tcPr>
          <w:p w14:paraId="49B5B5FE"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Ratio</w:t>
            </w:r>
          </w:p>
        </w:tc>
        <w:tc>
          <w:tcPr>
            <w:tcW w:w="1970" w:type="pct"/>
            <w:gridSpan w:val="5"/>
            <w:tcBorders>
              <w:top w:val="single" w:sz="4" w:space="0" w:color="auto"/>
              <w:left w:val="nil"/>
              <w:bottom w:val="single" w:sz="4" w:space="0" w:color="auto"/>
              <w:right w:val="single" w:sz="4" w:space="0" w:color="auto"/>
            </w:tcBorders>
            <w:shd w:val="clear" w:color="000000" w:fill="D6DCE4"/>
            <w:noWrap/>
            <w:vAlign w:val="bottom"/>
            <w:hideMark/>
          </w:tcPr>
          <w:p w14:paraId="5B13B11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Tesla</w:t>
            </w:r>
          </w:p>
        </w:tc>
        <w:tc>
          <w:tcPr>
            <w:tcW w:w="1824" w:type="pct"/>
            <w:gridSpan w:val="5"/>
            <w:tcBorders>
              <w:top w:val="single" w:sz="4" w:space="0" w:color="auto"/>
              <w:left w:val="nil"/>
              <w:bottom w:val="single" w:sz="4" w:space="0" w:color="auto"/>
              <w:right w:val="single" w:sz="4" w:space="0" w:color="auto"/>
            </w:tcBorders>
            <w:shd w:val="clear" w:color="000000" w:fill="FCE4D6"/>
            <w:noWrap/>
            <w:vAlign w:val="bottom"/>
            <w:hideMark/>
          </w:tcPr>
          <w:p w14:paraId="1D7E3EDD"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BMW</w:t>
            </w:r>
          </w:p>
        </w:tc>
      </w:tr>
      <w:tr w:rsidR="008C22A5" w:rsidRPr="008C22A5" w14:paraId="67C07441" w14:textId="77777777" w:rsidTr="00231208">
        <w:trPr>
          <w:trHeight w:val="290"/>
        </w:trPr>
        <w:tc>
          <w:tcPr>
            <w:tcW w:w="1207" w:type="pct"/>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67FE4B63"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Profitability Ratios</w:t>
            </w:r>
          </w:p>
        </w:tc>
        <w:tc>
          <w:tcPr>
            <w:tcW w:w="413" w:type="pct"/>
            <w:tcBorders>
              <w:top w:val="nil"/>
              <w:left w:val="nil"/>
              <w:bottom w:val="single" w:sz="4" w:space="0" w:color="auto"/>
              <w:right w:val="single" w:sz="4" w:space="0" w:color="auto"/>
            </w:tcBorders>
            <w:shd w:val="clear" w:color="000000" w:fill="D6DCE4"/>
            <w:noWrap/>
            <w:vAlign w:val="bottom"/>
            <w:hideMark/>
          </w:tcPr>
          <w:p w14:paraId="219EF9E5"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2023</w:t>
            </w:r>
          </w:p>
        </w:tc>
        <w:tc>
          <w:tcPr>
            <w:tcW w:w="413" w:type="pct"/>
            <w:tcBorders>
              <w:top w:val="nil"/>
              <w:left w:val="nil"/>
              <w:bottom w:val="single" w:sz="4" w:space="0" w:color="auto"/>
              <w:right w:val="single" w:sz="4" w:space="0" w:color="auto"/>
            </w:tcBorders>
            <w:shd w:val="clear" w:color="000000" w:fill="D6DCE4"/>
            <w:noWrap/>
            <w:vAlign w:val="bottom"/>
            <w:hideMark/>
          </w:tcPr>
          <w:p w14:paraId="6AE5935E"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2022</w:t>
            </w:r>
          </w:p>
        </w:tc>
        <w:tc>
          <w:tcPr>
            <w:tcW w:w="413" w:type="pct"/>
            <w:tcBorders>
              <w:top w:val="nil"/>
              <w:left w:val="nil"/>
              <w:bottom w:val="single" w:sz="4" w:space="0" w:color="auto"/>
              <w:right w:val="single" w:sz="4" w:space="0" w:color="auto"/>
            </w:tcBorders>
            <w:shd w:val="clear" w:color="000000" w:fill="D6DCE4"/>
            <w:noWrap/>
            <w:vAlign w:val="bottom"/>
            <w:hideMark/>
          </w:tcPr>
          <w:p w14:paraId="04535A7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2021</w:t>
            </w:r>
          </w:p>
        </w:tc>
        <w:tc>
          <w:tcPr>
            <w:tcW w:w="365" w:type="pct"/>
            <w:tcBorders>
              <w:top w:val="nil"/>
              <w:left w:val="nil"/>
              <w:bottom w:val="single" w:sz="4" w:space="0" w:color="auto"/>
              <w:right w:val="single" w:sz="4" w:space="0" w:color="auto"/>
            </w:tcBorders>
            <w:shd w:val="clear" w:color="000000" w:fill="D6DCE4"/>
            <w:noWrap/>
            <w:vAlign w:val="bottom"/>
            <w:hideMark/>
          </w:tcPr>
          <w:p w14:paraId="0CC133B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2020</w:t>
            </w:r>
          </w:p>
        </w:tc>
        <w:tc>
          <w:tcPr>
            <w:tcW w:w="365" w:type="pct"/>
            <w:tcBorders>
              <w:top w:val="nil"/>
              <w:left w:val="nil"/>
              <w:bottom w:val="single" w:sz="4" w:space="0" w:color="auto"/>
              <w:right w:val="single" w:sz="4" w:space="0" w:color="auto"/>
            </w:tcBorders>
            <w:shd w:val="clear" w:color="000000" w:fill="D6DCE4"/>
            <w:noWrap/>
            <w:vAlign w:val="bottom"/>
            <w:hideMark/>
          </w:tcPr>
          <w:p w14:paraId="6AE9895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2019</w:t>
            </w:r>
          </w:p>
        </w:tc>
        <w:tc>
          <w:tcPr>
            <w:tcW w:w="365" w:type="pct"/>
            <w:tcBorders>
              <w:top w:val="nil"/>
              <w:left w:val="nil"/>
              <w:bottom w:val="single" w:sz="4" w:space="0" w:color="auto"/>
              <w:right w:val="single" w:sz="4" w:space="0" w:color="auto"/>
            </w:tcBorders>
            <w:shd w:val="clear" w:color="000000" w:fill="FCE4D6"/>
            <w:noWrap/>
            <w:vAlign w:val="bottom"/>
            <w:hideMark/>
          </w:tcPr>
          <w:p w14:paraId="1C4769C3"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2023</w:t>
            </w:r>
          </w:p>
        </w:tc>
        <w:tc>
          <w:tcPr>
            <w:tcW w:w="365" w:type="pct"/>
            <w:tcBorders>
              <w:top w:val="nil"/>
              <w:left w:val="nil"/>
              <w:bottom w:val="single" w:sz="4" w:space="0" w:color="auto"/>
              <w:right w:val="single" w:sz="4" w:space="0" w:color="auto"/>
            </w:tcBorders>
            <w:shd w:val="clear" w:color="000000" w:fill="FCE4D6"/>
            <w:noWrap/>
            <w:vAlign w:val="bottom"/>
            <w:hideMark/>
          </w:tcPr>
          <w:p w14:paraId="7AB1217F"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2022</w:t>
            </w:r>
          </w:p>
        </w:tc>
        <w:tc>
          <w:tcPr>
            <w:tcW w:w="365" w:type="pct"/>
            <w:tcBorders>
              <w:top w:val="nil"/>
              <w:left w:val="nil"/>
              <w:bottom w:val="single" w:sz="4" w:space="0" w:color="auto"/>
              <w:right w:val="single" w:sz="4" w:space="0" w:color="auto"/>
            </w:tcBorders>
            <w:shd w:val="clear" w:color="000000" w:fill="FCE4D6"/>
            <w:noWrap/>
            <w:vAlign w:val="bottom"/>
            <w:hideMark/>
          </w:tcPr>
          <w:p w14:paraId="785F0629"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2021</w:t>
            </w:r>
          </w:p>
        </w:tc>
        <w:tc>
          <w:tcPr>
            <w:tcW w:w="365" w:type="pct"/>
            <w:tcBorders>
              <w:top w:val="nil"/>
              <w:left w:val="nil"/>
              <w:bottom w:val="single" w:sz="4" w:space="0" w:color="auto"/>
              <w:right w:val="single" w:sz="4" w:space="0" w:color="auto"/>
            </w:tcBorders>
            <w:shd w:val="clear" w:color="000000" w:fill="FCE4D6"/>
            <w:noWrap/>
            <w:vAlign w:val="bottom"/>
            <w:hideMark/>
          </w:tcPr>
          <w:p w14:paraId="707C4B0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2020</w:t>
            </w:r>
          </w:p>
        </w:tc>
        <w:tc>
          <w:tcPr>
            <w:tcW w:w="365" w:type="pct"/>
            <w:tcBorders>
              <w:top w:val="nil"/>
              <w:left w:val="nil"/>
              <w:bottom w:val="single" w:sz="4" w:space="0" w:color="auto"/>
              <w:right w:val="single" w:sz="4" w:space="0" w:color="auto"/>
            </w:tcBorders>
            <w:shd w:val="clear" w:color="000000" w:fill="FCE4D6"/>
            <w:noWrap/>
            <w:vAlign w:val="bottom"/>
            <w:hideMark/>
          </w:tcPr>
          <w:p w14:paraId="6B5645C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2019</w:t>
            </w:r>
          </w:p>
        </w:tc>
      </w:tr>
      <w:tr w:rsidR="008C22A5" w:rsidRPr="008C22A5" w14:paraId="6AE4E38C"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5D38D70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 Net Profit Margin</w:t>
            </w:r>
          </w:p>
        </w:tc>
        <w:tc>
          <w:tcPr>
            <w:tcW w:w="523" w:type="pct"/>
            <w:tcBorders>
              <w:top w:val="nil"/>
              <w:left w:val="nil"/>
              <w:bottom w:val="single" w:sz="4" w:space="0" w:color="auto"/>
              <w:right w:val="single" w:sz="4" w:space="0" w:color="auto"/>
            </w:tcBorders>
            <w:shd w:val="clear" w:color="000000" w:fill="FFFFFF"/>
            <w:vAlign w:val="center"/>
            <w:hideMark/>
          </w:tcPr>
          <w:p w14:paraId="689DF33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(Net Profit / Revenue) * 100</w:t>
            </w:r>
          </w:p>
        </w:tc>
        <w:tc>
          <w:tcPr>
            <w:tcW w:w="413" w:type="pct"/>
            <w:tcBorders>
              <w:top w:val="nil"/>
              <w:left w:val="nil"/>
              <w:bottom w:val="single" w:sz="4" w:space="0" w:color="auto"/>
              <w:right w:val="single" w:sz="4" w:space="0" w:color="auto"/>
            </w:tcBorders>
            <w:shd w:val="clear" w:color="000000" w:fill="D6DCE4"/>
            <w:vAlign w:val="center"/>
            <w:hideMark/>
          </w:tcPr>
          <w:p w14:paraId="0E8896B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15.50%</w:t>
            </w:r>
          </w:p>
        </w:tc>
        <w:tc>
          <w:tcPr>
            <w:tcW w:w="413" w:type="pct"/>
            <w:tcBorders>
              <w:top w:val="nil"/>
              <w:left w:val="nil"/>
              <w:bottom w:val="single" w:sz="4" w:space="0" w:color="auto"/>
              <w:right w:val="single" w:sz="4" w:space="0" w:color="auto"/>
            </w:tcBorders>
            <w:shd w:val="clear" w:color="000000" w:fill="D6DCE4"/>
            <w:vAlign w:val="center"/>
            <w:hideMark/>
          </w:tcPr>
          <w:p w14:paraId="290ACF7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15.45%</w:t>
            </w:r>
          </w:p>
        </w:tc>
        <w:tc>
          <w:tcPr>
            <w:tcW w:w="413" w:type="pct"/>
            <w:tcBorders>
              <w:top w:val="nil"/>
              <w:left w:val="nil"/>
              <w:bottom w:val="single" w:sz="4" w:space="0" w:color="auto"/>
              <w:right w:val="single" w:sz="4" w:space="0" w:color="auto"/>
            </w:tcBorders>
            <w:shd w:val="clear" w:color="000000" w:fill="D6DCE4"/>
            <w:vAlign w:val="center"/>
            <w:hideMark/>
          </w:tcPr>
          <w:p w14:paraId="1EC69C32"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10.25%</w:t>
            </w:r>
          </w:p>
        </w:tc>
        <w:tc>
          <w:tcPr>
            <w:tcW w:w="365" w:type="pct"/>
            <w:tcBorders>
              <w:top w:val="nil"/>
              <w:left w:val="nil"/>
              <w:bottom w:val="single" w:sz="4" w:space="0" w:color="auto"/>
              <w:right w:val="single" w:sz="4" w:space="0" w:color="auto"/>
            </w:tcBorders>
            <w:shd w:val="clear" w:color="000000" w:fill="D6DCE4"/>
            <w:vAlign w:val="center"/>
            <w:hideMark/>
          </w:tcPr>
          <w:p w14:paraId="4462DCF7"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2.19%</w:t>
            </w:r>
          </w:p>
        </w:tc>
        <w:tc>
          <w:tcPr>
            <w:tcW w:w="365" w:type="pct"/>
            <w:tcBorders>
              <w:top w:val="nil"/>
              <w:left w:val="nil"/>
              <w:bottom w:val="single" w:sz="4" w:space="0" w:color="auto"/>
              <w:right w:val="single" w:sz="4" w:space="0" w:color="auto"/>
            </w:tcBorders>
            <w:shd w:val="clear" w:color="000000" w:fill="D6DCE4"/>
            <w:vAlign w:val="center"/>
            <w:hideMark/>
          </w:tcPr>
          <w:p w14:paraId="1FC3CF6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-3.51%</w:t>
            </w:r>
          </w:p>
        </w:tc>
        <w:tc>
          <w:tcPr>
            <w:tcW w:w="365" w:type="pct"/>
            <w:tcBorders>
              <w:top w:val="nil"/>
              <w:left w:val="nil"/>
              <w:bottom w:val="single" w:sz="4" w:space="0" w:color="auto"/>
              <w:right w:val="single" w:sz="4" w:space="0" w:color="auto"/>
            </w:tcBorders>
            <w:shd w:val="clear" w:color="000000" w:fill="FCE4D6"/>
            <w:hideMark/>
          </w:tcPr>
          <w:p w14:paraId="35F8EDA0"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8.69</w:t>
            </w:r>
          </w:p>
        </w:tc>
        <w:tc>
          <w:tcPr>
            <w:tcW w:w="365" w:type="pct"/>
            <w:tcBorders>
              <w:top w:val="nil"/>
              <w:left w:val="nil"/>
              <w:bottom w:val="single" w:sz="4" w:space="0" w:color="auto"/>
              <w:right w:val="single" w:sz="4" w:space="0" w:color="auto"/>
            </w:tcBorders>
            <w:shd w:val="clear" w:color="000000" w:fill="FCE4D6"/>
            <w:hideMark/>
          </w:tcPr>
          <w:p w14:paraId="29C0DDF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8.08</w:t>
            </w:r>
          </w:p>
        </w:tc>
        <w:tc>
          <w:tcPr>
            <w:tcW w:w="365" w:type="pct"/>
            <w:tcBorders>
              <w:top w:val="nil"/>
              <w:left w:val="nil"/>
              <w:bottom w:val="single" w:sz="4" w:space="0" w:color="auto"/>
              <w:right w:val="single" w:sz="4" w:space="0" w:color="auto"/>
            </w:tcBorders>
            <w:shd w:val="clear" w:color="000000" w:fill="FCE4D6"/>
            <w:hideMark/>
          </w:tcPr>
          <w:p w14:paraId="6710AB44"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-33</w:t>
            </w:r>
          </w:p>
        </w:tc>
        <w:tc>
          <w:tcPr>
            <w:tcW w:w="365" w:type="pct"/>
            <w:tcBorders>
              <w:top w:val="nil"/>
              <w:left w:val="nil"/>
              <w:bottom w:val="single" w:sz="4" w:space="0" w:color="auto"/>
              <w:right w:val="single" w:sz="4" w:space="0" w:color="auto"/>
            </w:tcBorders>
            <w:shd w:val="clear" w:color="000000" w:fill="FCE4D6"/>
            <w:hideMark/>
          </w:tcPr>
          <w:p w14:paraId="05873BAE"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3.99</w:t>
            </w:r>
          </w:p>
        </w:tc>
        <w:tc>
          <w:tcPr>
            <w:tcW w:w="365" w:type="pct"/>
            <w:tcBorders>
              <w:top w:val="nil"/>
              <w:left w:val="nil"/>
              <w:bottom w:val="single" w:sz="4" w:space="0" w:color="auto"/>
              <w:right w:val="single" w:sz="4" w:space="0" w:color="auto"/>
            </w:tcBorders>
            <w:shd w:val="clear" w:color="000000" w:fill="FCE4D6"/>
            <w:hideMark/>
          </w:tcPr>
          <w:p w14:paraId="30092BDF"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4.98</w:t>
            </w:r>
          </w:p>
        </w:tc>
      </w:tr>
      <w:tr w:rsidR="008C22A5" w:rsidRPr="008C22A5" w14:paraId="6578FBC8"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69FA7462"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 Return on Assets (ROA)</w:t>
            </w:r>
          </w:p>
        </w:tc>
        <w:tc>
          <w:tcPr>
            <w:tcW w:w="523" w:type="pct"/>
            <w:tcBorders>
              <w:top w:val="nil"/>
              <w:left w:val="nil"/>
              <w:bottom w:val="single" w:sz="4" w:space="0" w:color="auto"/>
              <w:right w:val="single" w:sz="4" w:space="0" w:color="auto"/>
            </w:tcBorders>
            <w:shd w:val="clear" w:color="000000" w:fill="FFFFFF"/>
            <w:vAlign w:val="center"/>
            <w:hideMark/>
          </w:tcPr>
          <w:p w14:paraId="484FBDA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(Net Income / Average Total Assets) * 100</w:t>
            </w:r>
          </w:p>
        </w:tc>
        <w:tc>
          <w:tcPr>
            <w:tcW w:w="413" w:type="pct"/>
            <w:tcBorders>
              <w:top w:val="nil"/>
              <w:left w:val="nil"/>
              <w:bottom w:val="single" w:sz="4" w:space="0" w:color="auto"/>
              <w:right w:val="single" w:sz="4" w:space="0" w:color="auto"/>
            </w:tcBorders>
            <w:shd w:val="clear" w:color="000000" w:fill="D6DCE4"/>
            <w:vAlign w:val="center"/>
            <w:hideMark/>
          </w:tcPr>
          <w:p w14:paraId="362A7DCA"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14.07%</w:t>
            </w:r>
          </w:p>
        </w:tc>
        <w:tc>
          <w:tcPr>
            <w:tcW w:w="413" w:type="pct"/>
            <w:tcBorders>
              <w:top w:val="nil"/>
              <w:left w:val="nil"/>
              <w:bottom w:val="single" w:sz="4" w:space="0" w:color="auto"/>
              <w:right w:val="single" w:sz="4" w:space="0" w:color="auto"/>
            </w:tcBorders>
            <w:shd w:val="clear" w:color="000000" w:fill="D6DCE4"/>
            <w:vAlign w:val="center"/>
            <w:hideMark/>
          </w:tcPr>
          <w:p w14:paraId="17287FF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15.28%</w:t>
            </w:r>
          </w:p>
        </w:tc>
        <w:tc>
          <w:tcPr>
            <w:tcW w:w="413" w:type="pct"/>
            <w:tcBorders>
              <w:top w:val="nil"/>
              <w:left w:val="nil"/>
              <w:bottom w:val="single" w:sz="4" w:space="0" w:color="auto"/>
              <w:right w:val="single" w:sz="4" w:space="0" w:color="auto"/>
            </w:tcBorders>
            <w:shd w:val="clear" w:color="000000" w:fill="D6DCE4"/>
            <w:vAlign w:val="center"/>
            <w:hideMark/>
          </w:tcPr>
          <w:p w14:paraId="07C2929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8.88%</w:t>
            </w:r>
          </w:p>
        </w:tc>
        <w:tc>
          <w:tcPr>
            <w:tcW w:w="365" w:type="pct"/>
            <w:tcBorders>
              <w:top w:val="nil"/>
              <w:left w:val="nil"/>
              <w:bottom w:val="single" w:sz="4" w:space="0" w:color="auto"/>
              <w:right w:val="single" w:sz="4" w:space="0" w:color="auto"/>
            </w:tcBorders>
            <w:shd w:val="clear" w:color="000000" w:fill="D6DCE4"/>
            <w:vAlign w:val="center"/>
            <w:hideMark/>
          </w:tcPr>
          <w:p w14:paraId="4E7F16A7"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1.32%</w:t>
            </w:r>
          </w:p>
        </w:tc>
        <w:tc>
          <w:tcPr>
            <w:tcW w:w="365" w:type="pct"/>
            <w:tcBorders>
              <w:top w:val="nil"/>
              <w:left w:val="nil"/>
              <w:bottom w:val="single" w:sz="4" w:space="0" w:color="auto"/>
              <w:right w:val="single" w:sz="4" w:space="0" w:color="auto"/>
            </w:tcBorders>
            <w:shd w:val="clear" w:color="000000" w:fill="D6DCE4"/>
            <w:vAlign w:val="center"/>
            <w:hideMark/>
          </w:tcPr>
          <w:p w14:paraId="7C94F66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-2.51%</w:t>
            </w:r>
          </w:p>
        </w:tc>
        <w:tc>
          <w:tcPr>
            <w:tcW w:w="365" w:type="pct"/>
            <w:tcBorders>
              <w:top w:val="nil"/>
              <w:left w:val="nil"/>
              <w:bottom w:val="single" w:sz="4" w:space="0" w:color="auto"/>
              <w:right w:val="single" w:sz="4" w:space="0" w:color="auto"/>
            </w:tcBorders>
            <w:shd w:val="clear" w:color="000000" w:fill="FCE4D6"/>
            <w:hideMark/>
          </w:tcPr>
          <w:p w14:paraId="79BDE9A4"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4.76</w:t>
            </w:r>
          </w:p>
        </w:tc>
        <w:tc>
          <w:tcPr>
            <w:tcW w:w="365" w:type="pct"/>
            <w:tcBorders>
              <w:top w:val="nil"/>
              <w:left w:val="nil"/>
              <w:bottom w:val="single" w:sz="4" w:space="0" w:color="auto"/>
              <w:right w:val="single" w:sz="4" w:space="0" w:color="auto"/>
            </w:tcBorders>
            <w:shd w:val="clear" w:color="000000" w:fill="FCE4D6"/>
            <w:hideMark/>
          </w:tcPr>
          <w:p w14:paraId="05B92E25"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4.1</w:t>
            </w:r>
          </w:p>
        </w:tc>
        <w:tc>
          <w:tcPr>
            <w:tcW w:w="365" w:type="pct"/>
            <w:tcBorders>
              <w:top w:val="nil"/>
              <w:left w:val="nil"/>
              <w:bottom w:val="single" w:sz="4" w:space="0" w:color="auto"/>
              <w:right w:val="single" w:sz="4" w:space="0" w:color="auto"/>
            </w:tcBorders>
            <w:shd w:val="clear" w:color="000000" w:fill="FCE4D6"/>
            <w:hideMark/>
          </w:tcPr>
          <w:p w14:paraId="2C2BF4C5"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-15.2</w:t>
            </w:r>
          </w:p>
        </w:tc>
        <w:tc>
          <w:tcPr>
            <w:tcW w:w="365" w:type="pct"/>
            <w:tcBorders>
              <w:top w:val="nil"/>
              <w:left w:val="nil"/>
              <w:bottom w:val="single" w:sz="4" w:space="0" w:color="auto"/>
              <w:right w:val="single" w:sz="4" w:space="0" w:color="auto"/>
            </w:tcBorders>
            <w:shd w:val="clear" w:color="000000" w:fill="FCE4D6"/>
            <w:hideMark/>
          </w:tcPr>
          <w:p w14:paraId="2D59ED4E"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2.51</w:t>
            </w:r>
          </w:p>
        </w:tc>
        <w:tc>
          <w:tcPr>
            <w:tcW w:w="365" w:type="pct"/>
            <w:tcBorders>
              <w:top w:val="nil"/>
              <w:left w:val="nil"/>
              <w:bottom w:val="single" w:sz="4" w:space="0" w:color="auto"/>
              <w:right w:val="single" w:sz="4" w:space="0" w:color="auto"/>
            </w:tcBorders>
            <w:shd w:val="clear" w:color="000000" w:fill="FCE4D6"/>
            <w:hideMark/>
          </w:tcPr>
          <w:p w14:paraId="6DF1849A"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3.93</w:t>
            </w:r>
          </w:p>
        </w:tc>
      </w:tr>
      <w:tr w:rsidR="008C22A5" w:rsidRPr="008C22A5" w14:paraId="35E789FC" w14:textId="77777777" w:rsidTr="00231208">
        <w:trPr>
          <w:trHeight w:val="290"/>
        </w:trPr>
        <w:tc>
          <w:tcPr>
            <w:tcW w:w="1207" w:type="pct"/>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6D6020F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Liquidity Ratios</w:t>
            </w:r>
          </w:p>
        </w:tc>
        <w:tc>
          <w:tcPr>
            <w:tcW w:w="413" w:type="pct"/>
            <w:tcBorders>
              <w:top w:val="nil"/>
              <w:left w:val="nil"/>
              <w:bottom w:val="single" w:sz="4" w:space="0" w:color="auto"/>
              <w:right w:val="single" w:sz="4" w:space="0" w:color="auto"/>
            </w:tcBorders>
            <w:shd w:val="clear" w:color="000000" w:fill="D6DCE4"/>
            <w:noWrap/>
            <w:vAlign w:val="bottom"/>
            <w:hideMark/>
          </w:tcPr>
          <w:p w14:paraId="1BDD807F"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1B9736D2"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131ECFFD"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201DCB25"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320700B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51B24D42"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404AB757"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0D6860B2"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7852493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07CF471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r>
      <w:tr w:rsidR="008C22A5" w:rsidRPr="008C22A5" w14:paraId="1F8465CE"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0EA564B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 Current Ratio</w:t>
            </w:r>
          </w:p>
        </w:tc>
        <w:tc>
          <w:tcPr>
            <w:tcW w:w="523" w:type="pct"/>
            <w:tcBorders>
              <w:top w:val="nil"/>
              <w:left w:val="nil"/>
              <w:bottom w:val="single" w:sz="4" w:space="0" w:color="auto"/>
              <w:right w:val="single" w:sz="4" w:space="0" w:color="auto"/>
            </w:tcBorders>
            <w:shd w:val="clear" w:color="000000" w:fill="FFFFFF"/>
            <w:vAlign w:val="center"/>
            <w:hideMark/>
          </w:tcPr>
          <w:p w14:paraId="7A155DA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Current Assets / Current Liabilities</w:t>
            </w:r>
          </w:p>
        </w:tc>
        <w:tc>
          <w:tcPr>
            <w:tcW w:w="413" w:type="pct"/>
            <w:tcBorders>
              <w:top w:val="nil"/>
              <w:left w:val="nil"/>
              <w:bottom w:val="single" w:sz="4" w:space="0" w:color="auto"/>
              <w:right w:val="single" w:sz="4" w:space="0" w:color="auto"/>
            </w:tcBorders>
            <w:shd w:val="clear" w:color="000000" w:fill="D6DCE4"/>
            <w:vAlign w:val="center"/>
            <w:hideMark/>
          </w:tcPr>
          <w:p w14:paraId="20B5B63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1.73</w:t>
            </w:r>
          </w:p>
        </w:tc>
        <w:tc>
          <w:tcPr>
            <w:tcW w:w="413" w:type="pct"/>
            <w:tcBorders>
              <w:top w:val="nil"/>
              <w:left w:val="nil"/>
              <w:bottom w:val="single" w:sz="4" w:space="0" w:color="auto"/>
              <w:right w:val="single" w:sz="4" w:space="0" w:color="auto"/>
            </w:tcBorders>
            <w:shd w:val="clear" w:color="000000" w:fill="D6DCE4"/>
            <w:vAlign w:val="center"/>
            <w:hideMark/>
          </w:tcPr>
          <w:p w14:paraId="761C35D1"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1.53</w:t>
            </w:r>
          </w:p>
        </w:tc>
        <w:tc>
          <w:tcPr>
            <w:tcW w:w="413" w:type="pct"/>
            <w:tcBorders>
              <w:top w:val="nil"/>
              <w:left w:val="nil"/>
              <w:bottom w:val="single" w:sz="4" w:space="0" w:color="auto"/>
              <w:right w:val="single" w:sz="4" w:space="0" w:color="auto"/>
            </w:tcBorders>
            <w:shd w:val="clear" w:color="000000" w:fill="D6DCE4"/>
            <w:vAlign w:val="center"/>
            <w:hideMark/>
          </w:tcPr>
          <w:p w14:paraId="33498AF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1.38</w:t>
            </w:r>
          </w:p>
        </w:tc>
        <w:tc>
          <w:tcPr>
            <w:tcW w:w="365" w:type="pct"/>
            <w:tcBorders>
              <w:top w:val="nil"/>
              <w:left w:val="nil"/>
              <w:bottom w:val="single" w:sz="4" w:space="0" w:color="auto"/>
              <w:right w:val="single" w:sz="4" w:space="0" w:color="auto"/>
            </w:tcBorders>
            <w:shd w:val="clear" w:color="000000" w:fill="D6DCE4"/>
            <w:vAlign w:val="center"/>
            <w:hideMark/>
          </w:tcPr>
          <w:p w14:paraId="2764D8E9"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1.88</w:t>
            </w:r>
          </w:p>
        </w:tc>
        <w:tc>
          <w:tcPr>
            <w:tcW w:w="365" w:type="pct"/>
            <w:tcBorders>
              <w:top w:val="nil"/>
              <w:left w:val="nil"/>
              <w:bottom w:val="single" w:sz="4" w:space="0" w:color="auto"/>
              <w:right w:val="single" w:sz="4" w:space="0" w:color="auto"/>
            </w:tcBorders>
            <w:shd w:val="clear" w:color="000000" w:fill="D6DCE4"/>
            <w:vAlign w:val="center"/>
            <w:hideMark/>
          </w:tcPr>
          <w:p w14:paraId="62E21871"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1.13</w:t>
            </w:r>
          </w:p>
        </w:tc>
        <w:tc>
          <w:tcPr>
            <w:tcW w:w="365" w:type="pct"/>
            <w:tcBorders>
              <w:top w:val="nil"/>
              <w:left w:val="nil"/>
              <w:bottom w:val="single" w:sz="4" w:space="0" w:color="auto"/>
              <w:right w:val="single" w:sz="4" w:space="0" w:color="auto"/>
            </w:tcBorders>
            <w:shd w:val="clear" w:color="000000" w:fill="FCE4D6"/>
            <w:hideMark/>
          </w:tcPr>
          <w:p w14:paraId="16D090ED"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1.9</w:t>
            </w:r>
          </w:p>
        </w:tc>
        <w:tc>
          <w:tcPr>
            <w:tcW w:w="365" w:type="pct"/>
            <w:tcBorders>
              <w:top w:val="nil"/>
              <w:left w:val="nil"/>
              <w:bottom w:val="single" w:sz="4" w:space="0" w:color="auto"/>
              <w:right w:val="single" w:sz="4" w:space="0" w:color="auto"/>
            </w:tcBorders>
            <w:shd w:val="clear" w:color="000000" w:fill="FCE4D6"/>
            <w:hideMark/>
          </w:tcPr>
          <w:p w14:paraId="5A54A0D3"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1.5</w:t>
            </w:r>
          </w:p>
        </w:tc>
        <w:tc>
          <w:tcPr>
            <w:tcW w:w="365" w:type="pct"/>
            <w:tcBorders>
              <w:top w:val="nil"/>
              <w:left w:val="nil"/>
              <w:bottom w:val="single" w:sz="4" w:space="0" w:color="auto"/>
              <w:right w:val="single" w:sz="4" w:space="0" w:color="auto"/>
            </w:tcBorders>
            <w:shd w:val="clear" w:color="000000" w:fill="FCE4D6"/>
            <w:hideMark/>
          </w:tcPr>
          <w:p w14:paraId="7BAA987D"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1.33</w:t>
            </w:r>
          </w:p>
        </w:tc>
        <w:tc>
          <w:tcPr>
            <w:tcW w:w="365" w:type="pct"/>
            <w:tcBorders>
              <w:top w:val="nil"/>
              <w:left w:val="nil"/>
              <w:bottom w:val="single" w:sz="4" w:space="0" w:color="auto"/>
              <w:right w:val="single" w:sz="4" w:space="0" w:color="auto"/>
            </w:tcBorders>
            <w:shd w:val="clear" w:color="000000" w:fill="FCE4D6"/>
            <w:hideMark/>
          </w:tcPr>
          <w:p w14:paraId="5AA8EB72"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1.51</w:t>
            </w:r>
          </w:p>
        </w:tc>
        <w:tc>
          <w:tcPr>
            <w:tcW w:w="365" w:type="pct"/>
            <w:tcBorders>
              <w:top w:val="nil"/>
              <w:left w:val="nil"/>
              <w:bottom w:val="single" w:sz="4" w:space="0" w:color="auto"/>
              <w:right w:val="single" w:sz="4" w:space="0" w:color="auto"/>
            </w:tcBorders>
            <w:shd w:val="clear" w:color="000000" w:fill="FCE4D6"/>
            <w:hideMark/>
          </w:tcPr>
          <w:p w14:paraId="1D5D4DF5"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1.4</w:t>
            </w:r>
          </w:p>
        </w:tc>
      </w:tr>
      <w:tr w:rsidR="008C22A5" w:rsidRPr="008C22A5" w14:paraId="0D28DD19"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35425359"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 Quick Ratio</w:t>
            </w:r>
          </w:p>
        </w:tc>
        <w:tc>
          <w:tcPr>
            <w:tcW w:w="523" w:type="pct"/>
            <w:tcBorders>
              <w:top w:val="nil"/>
              <w:left w:val="nil"/>
              <w:bottom w:val="single" w:sz="4" w:space="0" w:color="auto"/>
              <w:right w:val="single" w:sz="4" w:space="0" w:color="auto"/>
            </w:tcBorders>
            <w:shd w:val="clear" w:color="000000" w:fill="FFFFFF"/>
            <w:vAlign w:val="center"/>
            <w:hideMark/>
          </w:tcPr>
          <w:p w14:paraId="4C844A0F"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 xml:space="preserve">(Current Assets - Inventory) / Current </w:t>
            </w:r>
            <w:r w:rsidRPr="008C22A5">
              <w:rPr>
                <w:rFonts w:eastAsia="Times New Roman" w:cs="Times New Roman"/>
                <w:color w:val="0D0D0D"/>
                <w:kern w:val="0"/>
                <w:szCs w:val="24"/>
                <w:lang w:val="en-IN" w:eastAsia="en-IN"/>
                <w14:ligatures w14:val="none"/>
              </w:rPr>
              <w:lastRenderedPageBreak/>
              <w:t>Liabilities</w:t>
            </w:r>
          </w:p>
        </w:tc>
        <w:tc>
          <w:tcPr>
            <w:tcW w:w="413" w:type="pct"/>
            <w:tcBorders>
              <w:top w:val="nil"/>
              <w:left w:val="nil"/>
              <w:bottom w:val="single" w:sz="4" w:space="0" w:color="auto"/>
              <w:right w:val="single" w:sz="4" w:space="0" w:color="auto"/>
            </w:tcBorders>
            <w:shd w:val="clear" w:color="000000" w:fill="D6DCE4"/>
            <w:vAlign w:val="center"/>
            <w:hideMark/>
          </w:tcPr>
          <w:p w14:paraId="0A19FB4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lastRenderedPageBreak/>
              <w:t>1.25</w:t>
            </w:r>
          </w:p>
        </w:tc>
        <w:tc>
          <w:tcPr>
            <w:tcW w:w="413" w:type="pct"/>
            <w:tcBorders>
              <w:top w:val="nil"/>
              <w:left w:val="nil"/>
              <w:bottom w:val="single" w:sz="4" w:space="0" w:color="auto"/>
              <w:right w:val="single" w:sz="4" w:space="0" w:color="auto"/>
            </w:tcBorders>
            <w:shd w:val="clear" w:color="000000" w:fill="D6DCE4"/>
            <w:vAlign w:val="center"/>
            <w:hideMark/>
          </w:tcPr>
          <w:p w14:paraId="21CA178F"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1.05</w:t>
            </w:r>
          </w:p>
        </w:tc>
        <w:tc>
          <w:tcPr>
            <w:tcW w:w="413" w:type="pct"/>
            <w:tcBorders>
              <w:top w:val="nil"/>
              <w:left w:val="nil"/>
              <w:bottom w:val="single" w:sz="4" w:space="0" w:color="auto"/>
              <w:right w:val="single" w:sz="4" w:space="0" w:color="auto"/>
            </w:tcBorders>
            <w:shd w:val="clear" w:color="000000" w:fill="D6DCE4"/>
            <w:vAlign w:val="center"/>
            <w:hideMark/>
          </w:tcPr>
          <w:p w14:paraId="60F67BF9"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1.08</w:t>
            </w:r>
          </w:p>
        </w:tc>
        <w:tc>
          <w:tcPr>
            <w:tcW w:w="365" w:type="pct"/>
            <w:tcBorders>
              <w:top w:val="nil"/>
              <w:left w:val="nil"/>
              <w:bottom w:val="single" w:sz="4" w:space="0" w:color="auto"/>
              <w:right w:val="single" w:sz="4" w:space="0" w:color="auto"/>
            </w:tcBorders>
            <w:shd w:val="clear" w:color="000000" w:fill="D6DCE4"/>
            <w:vAlign w:val="center"/>
            <w:hideMark/>
          </w:tcPr>
          <w:p w14:paraId="6AFEF40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1.59</w:t>
            </w:r>
          </w:p>
        </w:tc>
        <w:tc>
          <w:tcPr>
            <w:tcW w:w="365" w:type="pct"/>
            <w:tcBorders>
              <w:top w:val="nil"/>
              <w:left w:val="nil"/>
              <w:bottom w:val="single" w:sz="4" w:space="0" w:color="auto"/>
              <w:right w:val="single" w:sz="4" w:space="0" w:color="auto"/>
            </w:tcBorders>
            <w:shd w:val="clear" w:color="000000" w:fill="D6DCE4"/>
            <w:vAlign w:val="center"/>
            <w:hideMark/>
          </w:tcPr>
          <w:p w14:paraId="51E53C1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0.80</w:t>
            </w:r>
          </w:p>
        </w:tc>
        <w:tc>
          <w:tcPr>
            <w:tcW w:w="365" w:type="pct"/>
            <w:tcBorders>
              <w:top w:val="nil"/>
              <w:left w:val="nil"/>
              <w:bottom w:val="single" w:sz="4" w:space="0" w:color="auto"/>
              <w:right w:val="single" w:sz="4" w:space="0" w:color="auto"/>
            </w:tcBorders>
            <w:shd w:val="clear" w:color="000000" w:fill="FCE4D6"/>
            <w:hideMark/>
          </w:tcPr>
          <w:p w14:paraId="623FF096"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1.23</w:t>
            </w:r>
          </w:p>
        </w:tc>
        <w:tc>
          <w:tcPr>
            <w:tcW w:w="365" w:type="pct"/>
            <w:tcBorders>
              <w:top w:val="nil"/>
              <w:left w:val="nil"/>
              <w:bottom w:val="single" w:sz="4" w:space="0" w:color="auto"/>
              <w:right w:val="single" w:sz="4" w:space="0" w:color="auto"/>
            </w:tcBorders>
            <w:shd w:val="clear" w:color="000000" w:fill="FCE4D6"/>
            <w:hideMark/>
          </w:tcPr>
          <w:p w14:paraId="49FD9258"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0.81</w:t>
            </w:r>
          </w:p>
        </w:tc>
        <w:tc>
          <w:tcPr>
            <w:tcW w:w="365" w:type="pct"/>
            <w:tcBorders>
              <w:top w:val="nil"/>
              <w:left w:val="nil"/>
              <w:bottom w:val="single" w:sz="4" w:space="0" w:color="auto"/>
              <w:right w:val="single" w:sz="4" w:space="0" w:color="auto"/>
            </w:tcBorders>
            <w:shd w:val="clear" w:color="000000" w:fill="FCE4D6"/>
            <w:hideMark/>
          </w:tcPr>
          <w:p w14:paraId="1FE40A5E"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0.75</w:t>
            </w:r>
          </w:p>
        </w:tc>
        <w:tc>
          <w:tcPr>
            <w:tcW w:w="365" w:type="pct"/>
            <w:tcBorders>
              <w:top w:val="nil"/>
              <w:left w:val="nil"/>
              <w:bottom w:val="single" w:sz="4" w:space="0" w:color="auto"/>
              <w:right w:val="single" w:sz="4" w:space="0" w:color="auto"/>
            </w:tcBorders>
            <w:shd w:val="clear" w:color="000000" w:fill="FCE4D6"/>
            <w:hideMark/>
          </w:tcPr>
          <w:p w14:paraId="0A6E8E2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0.79</w:t>
            </w:r>
          </w:p>
        </w:tc>
        <w:tc>
          <w:tcPr>
            <w:tcW w:w="365" w:type="pct"/>
            <w:tcBorders>
              <w:top w:val="nil"/>
              <w:left w:val="nil"/>
              <w:bottom w:val="single" w:sz="4" w:space="0" w:color="auto"/>
              <w:right w:val="single" w:sz="4" w:space="0" w:color="auto"/>
            </w:tcBorders>
            <w:shd w:val="clear" w:color="000000" w:fill="FCE4D6"/>
            <w:hideMark/>
          </w:tcPr>
          <w:p w14:paraId="4E50CF2D"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0.81</w:t>
            </w:r>
          </w:p>
        </w:tc>
      </w:tr>
      <w:tr w:rsidR="008C22A5" w:rsidRPr="008C22A5" w14:paraId="3BE14289" w14:textId="77777777" w:rsidTr="00231208">
        <w:trPr>
          <w:trHeight w:val="290"/>
        </w:trPr>
        <w:tc>
          <w:tcPr>
            <w:tcW w:w="1207" w:type="pct"/>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73B6C333"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Efficiency Ratios</w:t>
            </w:r>
          </w:p>
        </w:tc>
        <w:tc>
          <w:tcPr>
            <w:tcW w:w="413" w:type="pct"/>
            <w:tcBorders>
              <w:top w:val="nil"/>
              <w:left w:val="nil"/>
              <w:bottom w:val="single" w:sz="4" w:space="0" w:color="auto"/>
              <w:right w:val="single" w:sz="4" w:space="0" w:color="auto"/>
            </w:tcBorders>
            <w:shd w:val="clear" w:color="000000" w:fill="D6DCE4"/>
            <w:noWrap/>
            <w:vAlign w:val="bottom"/>
            <w:hideMark/>
          </w:tcPr>
          <w:p w14:paraId="456B616E"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4385940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768B9213"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636FC71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523544EC"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60A1F8D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40D4012F"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203E40F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0F4E215D"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4362AF0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r>
      <w:tr w:rsidR="008C22A5" w:rsidRPr="008C22A5" w14:paraId="0E03B542"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4BC254F1"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 Asset Turnover Ratio</w:t>
            </w:r>
          </w:p>
        </w:tc>
        <w:tc>
          <w:tcPr>
            <w:tcW w:w="523" w:type="pct"/>
            <w:tcBorders>
              <w:top w:val="nil"/>
              <w:left w:val="nil"/>
              <w:bottom w:val="single" w:sz="4" w:space="0" w:color="auto"/>
              <w:right w:val="single" w:sz="4" w:space="0" w:color="auto"/>
            </w:tcBorders>
            <w:shd w:val="clear" w:color="000000" w:fill="FFFFFF"/>
            <w:vAlign w:val="center"/>
            <w:hideMark/>
          </w:tcPr>
          <w:p w14:paraId="79416CDA"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Revenue / Average Total Assets</w:t>
            </w:r>
          </w:p>
        </w:tc>
        <w:tc>
          <w:tcPr>
            <w:tcW w:w="413" w:type="pct"/>
            <w:tcBorders>
              <w:top w:val="nil"/>
              <w:left w:val="nil"/>
              <w:bottom w:val="single" w:sz="4" w:space="0" w:color="auto"/>
              <w:right w:val="single" w:sz="4" w:space="0" w:color="auto"/>
            </w:tcBorders>
            <w:shd w:val="clear" w:color="000000" w:fill="D6DCE4"/>
            <w:vAlign w:val="center"/>
            <w:hideMark/>
          </w:tcPr>
          <w:p w14:paraId="5DF9D61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0.91</w:t>
            </w:r>
          </w:p>
        </w:tc>
        <w:tc>
          <w:tcPr>
            <w:tcW w:w="413" w:type="pct"/>
            <w:tcBorders>
              <w:top w:val="nil"/>
              <w:left w:val="nil"/>
              <w:bottom w:val="single" w:sz="4" w:space="0" w:color="auto"/>
              <w:right w:val="single" w:sz="4" w:space="0" w:color="auto"/>
            </w:tcBorders>
            <w:shd w:val="clear" w:color="000000" w:fill="D6DCE4"/>
            <w:vAlign w:val="center"/>
            <w:hideMark/>
          </w:tcPr>
          <w:p w14:paraId="5497039A"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0.99</w:t>
            </w:r>
          </w:p>
        </w:tc>
        <w:tc>
          <w:tcPr>
            <w:tcW w:w="413" w:type="pct"/>
            <w:tcBorders>
              <w:top w:val="nil"/>
              <w:left w:val="nil"/>
              <w:bottom w:val="single" w:sz="4" w:space="0" w:color="auto"/>
              <w:right w:val="single" w:sz="4" w:space="0" w:color="auto"/>
            </w:tcBorders>
            <w:shd w:val="clear" w:color="000000" w:fill="D6DCE4"/>
            <w:vAlign w:val="center"/>
            <w:hideMark/>
          </w:tcPr>
          <w:p w14:paraId="4071FD3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0.87</w:t>
            </w:r>
          </w:p>
        </w:tc>
        <w:tc>
          <w:tcPr>
            <w:tcW w:w="365" w:type="pct"/>
            <w:tcBorders>
              <w:top w:val="nil"/>
              <w:left w:val="nil"/>
              <w:bottom w:val="single" w:sz="4" w:space="0" w:color="auto"/>
              <w:right w:val="single" w:sz="4" w:space="0" w:color="auto"/>
            </w:tcBorders>
            <w:shd w:val="clear" w:color="000000" w:fill="D6DCE4"/>
            <w:vAlign w:val="center"/>
            <w:hideMark/>
          </w:tcPr>
          <w:p w14:paraId="700C11C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0.60</w:t>
            </w:r>
          </w:p>
        </w:tc>
        <w:tc>
          <w:tcPr>
            <w:tcW w:w="365" w:type="pct"/>
            <w:tcBorders>
              <w:top w:val="nil"/>
              <w:left w:val="nil"/>
              <w:bottom w:val="single" w:sz="4" w:space="0" w:color="auto"/>
              <w:right w:val="single" w:sz="4" w:space="0" w:color="auto"/>
            </w:tcBorders>
            <w:shd w:val="clear" w:color="000000" w:fill="D6DCE4"/>
            <w:vAlign w:val="center"/>
            <w:hideMark/>
          </w:tcPr>
          <w:p w14:paraId="1A11ECB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0.72</w:t>
            </w:r>
          </w:p>
        </w:tc>
        <w:tc>
          <w:tcPr>
            <w:tcW w:w="365" w:type="pct"/>
            <w:tcBorders>
              <w:top w:val="nil"/>
              <w:left w:val="nil"/>
              <w:bottom w:val="single" w:sz="4" w:space="0" w:color="auto"/>
              <w:right w:val="single" w:sz="4" w:space="0" w:color="auto"/>
            </w:tcBorders>
            <w:shd w:val="clear" w:color="000000" w:fill="FCE4D6"/>
            <w:hideMark/>
          </w:tcPr>
          <w:p w14:paraId="3CB3B70C"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0.59</w:t>
            </w:r>
          </w:p>
        </w:tc>
        <w:tc>
          <w:tcPr>
            <w:tcW w:w="365" w:type="pct"/>
            <w:tcBorders>
              <w:top w:val="nil"/>
              <w:left w:val="nil"/>
              <w:bottom w:val="single" w:sz="4" w:space="0" w:color="auto"/>
              <w:right w:val="single" w:sz="4" w:space="0" w:color="auto"/>
            </w:tcBorders>
            <w:shd w:val="clear" w:color="000000" w:fill="FCE4D6"/>
            <w:hideMark/>
          </w:tcPr>
          <w:p w14:paraId="55821D87"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0.52</w:t>
            </w:r>
          </w:p>
        </w:tc>
        <w:tc>
          <w:tcPr>
            <w:tcW w:w="365" w:type="pct"/>
            <w:tcBorders>
              <w:top w:val="nil"/>
              <w:left w:val="nil"/>
              <w:bottom w:val="single" w:sz="4" w:space="0" w:color="auto"/>
              <w:right w:val="single" w:sz="4" w:space="0" w:color="auto"/>
            </w:tcBorders>
            <w:shd w:val="clear" w:color="000000" w:fill="FCE4D6"/>
            <w:hideMark/>
          </w:tcPr>
          <w:p w14:paraId="7BB39988"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45.98</w:t>
            </w:r>
          </w:p>
        </w:tc>
        <w:tc>
          <w:tcPr>
            <w:tcW w:w="365" w:type="pct"/>
            <w:tcBorders>
              <w:top w:val="nil"/>
              <w:left w:val="nil"/>
              <w:bottom w:val="single" w:sz="4" w:space="0" w:color="auto"/>
              <w:right w:val="single" w:sz="4" w:space="0" w:color="auto"/>
            </w:tcBorders>
            <w:shd w:val="clear" w:color="000000" w:fill="FCE4D6"/>
            <w:hideMark/>
          </w:tcPr>
          <w:p w14:paraId="34160046"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62.93</w:t>
            </w:r>
          </w:p>
        </w:tc>
        <w:tc>
          <w:tcPr>
            <w:tcW w:w="365" w:type="pct"/>
            <w:tcBorders>
              <w:top w:val="nil"/>
              <w:left w:val="nil"/>
              <w:bottom w:val="single" w:sz="4" w:space="0" w:color="auto"/>
              <w:right w:val="single" w:sz="4" w:space="0" w:color="auto"/>
            </w:tcBorders>
            <w:shd w:val="clear" w:color="000000" w:fill="FCE4D6"/>
            <w:hideMark/>
          </w:tcPr>
          <w:p w14:paraId="4B155FA9"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78.9</w:t>
            </w:r>
          </w:p>
        </w:tc>
      </w:tr>
      <w:tr w:rsidR="008C22A5" w:rsidRPr="008C22A5" w14:paraId="73F06FDF"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3F4D56CE"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 Inventory Turnover Ratio</w:t>
            </w:r>
          </w:p>
        </w:tc>
        <w:tc>
          <w:tcPr>
            <w:tcW w:w="523" w:type="pct"/>
            <w:tcBorders>
              <w:top w:val="nil"/>
              <w:left w:val="nil"/>
              <w:bottom w:val="single" w:sz="4" w:space="0" w:color="auto"/>
              <w:right w:val="single" w:sz="4" w:space="0" w:color="auto"/>
            </w:tcBorders>
            <w:shd w:val="clear" w:color="000000" w:fill="FFFFFF"/>
            <w:vAlign w:val="center"/>
            <w:hideMark/>
          </w:tcPr>
          <w:p w14:paraId="1507EEA9"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Cost of Goods Sold / Average Inventory</w:t>
            </w:r>
          </w:p>
        </w:tc>
        <w:tc>
          <w:tcPr>
            <w:tcW w:w="413" w:type="pct"/>
            <w:tcBorders>
              <w:top w:val="nil"/>
              <w:left w:val="nil"/>
              <w:bottom w:val="single" w:sz="4" w:space="0" w:color="auto"/>
              <w:right w:val="single" w:sz="4" w:space="0" w:color="auto"/>
            </w:tcBorders>
            <w:shd w:val="clear" w:color="000000" w:fill="D6DCE4"/>
            <w:vAlign w:val="center"/>
            <w:hideMark/>
          </w:tcPr>
          <w:p w14:paraId="6C5B8A5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5.81</w:t>
            </w:r>
          </w:p>
        </w:tc>
        <w:tc>
          <w:tcPr>
            <w:tcW w:w="413" w:type="pct"/>
            <w:tcBorders>
              <w:top w:val="nil"/>
              <w:left w:val="nil"/>
              <w:bottom w:val="single" w:sz="4" w:space="0" w:color="auto"/>
              <w:right w:val="single" w:sz="4" w:space="0" w:color="auto"/>
            </w:tcBorders>
            <w:shd w:val="clear" w:color="000000" w:fill="D6DCE4"/>
            <w:vAlign w:val="center"/>
            <w:hideMark/>
          </w:tcPr>
          <w:p w14:paraId="0ED7B169"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4.72</w:t>
            </w:r>
          </w:p>
        </w:tc>
        <w:tc>
          <w:tcPr>
            <w:tcW w:w="413" w:type="pct"/>
            <w:tcBorders>
              <w:top w:val="nil"/>
              <w:left w:val="nil"/>
              <w:bottom w:val="single" w:sz="4" w:space="0" w:color="auto"/>
              <w:right w:val="single" w:sz="4" w:space="0" w:color="auto"/>
            </w:tcBorders>
            <w:shd w:val="clear" w:color="000000" w:fill="D6DCE4"/>
            <w:vAlign w:val="center"/>
            <w:hideMark/>
          </w:tcPr>
          <w:p w14:paraId="03BDAF7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6.99</w:t>
            </w:r>
          </w:p>
        </w:tc>
        <w:tc>
          <w:tcPr>
            <w:tcW w:w="365" w:type="pct"/>
            <w:tcBorders>
              <w:top w:val="nil"/>
              <w:left w:val="nil"/>
              <w:bottom w:val="single" w:sz="4" w:space="0" w:color="auto"/>
              <w:right w:val="single" w:sz="4" w:space="0" w:color="auto"/>
            </w:tcBorders>
            <w:shd w:val="clear" w:color="000000" w:fill="D6DCE4"/>
            <w:vAlign w:val="center"/>
            <w:hideMark/>
          </w:tcPr>
          <w:p w14:paraId="1F000832"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6.07</w:t>
            </w:r>
          </w:p>
        </w:tc>
        <w:tc>
          <w:tcPr>
            <w:tcW w:w="365" w:type="pct"/>
            <w:tcBorders>
              <w:top w:val="nil"/>
              <w:left w:val="nil"/>
              <w:bottom w:val="single" w:sz="4" w:space="0" w:color="auto"/>
              <w:right w:val="single" w:sz="4" w:space="0" w:color="auto"/>
            </w:tcBorders>
            <w:shd w:val="clear" w:color="000000" w:fill="D6DCE4"/>
            <w:vAlign w:val="center"/>
            <w:hideMark/>
          </w:tcPr>
          <w:p w14:paraId="5F473BF5"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5.77</w:t>
            </w:r>
          </w:p>
        </w:tc>
        <w:tc>
          <w:tcPr>
            <w:tcW w:w="365" w:type="pct"/>
            <w:tcBorders>
              <w:top w:val="nil"/>
              <w:left w:val="nil"/>
              <w:bottom w:val="single" w:sz="4" w:space="0" w:color="auto"/>
              <w:right w:val="single" w:sz="4" w:space="0" w:color="auto"/>
            </w:tcBorders>
            <w:shd w:val="clear" w:color="000000" w:fill="FCE4D6"/>
            <w:hideMark/>
          </w:tcPr>
          <w:p w14:paraId="4AD3FF05"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1.63</w:t>
            </w:r>
          </w:p>
        </w:tc>
        <w:tc>
          <w:tcPr>
            <w:tcW w:w="365" w:type="pct"/>
            <w:tcBorders>
              <w:top w:val="nil"/>
              <w:left w:val="nil"/>
              <w:bottom w:val="single" w:sz="4" w:space="0" w:color="auto"/>
              <w:right w:val="single" w:sz="4" w:space="0" w:color="auto"/>
            </w:tcBorders>
            <w:shd w:val="clear" w:color="000000" w:fill="FCE4D6"/>
            <w:hideMark/>
          </w:tcPr>
          <w:p w14:paraId="41EB3490"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1.27</w:t>
            </w:r>
          </w:p>
        </w:tc>
        <w:tc>
          <w:tcPr>
            <w:tcW w:w="365" w:type="pct"/>
            <w:tcBorders>
              <w:top w:val="nil"/>
              <w:left w:val="nil"/>
              <w:bottom w:val="single" w:sz="4" w:space="0" w:color="auto"/>
              <w:right w:val="single" w:sz="4" w:space="0" w:color="auto"/>
            </w:tcBorders>
            <w:shd w:val="clear" w:color="000000" w:fill="FCE4D6"/>
            <w:hideMark/>
          </w:tcPr>
          <w:p w14:paraId="774C58A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3.03</w:t>
            </w:r>
          </w:p>
        </w:tc>
        <w:tc>
          <w:tcPr>
            <w:tcW w:w="365" w:type="pct"/>
            <w:tcBorders>
              <w:top w:val="nil"/>
              <w:left w:val="nil"/>
              <w:bottom w:val="single" w:sz="4" w:space="0" w:color="auto"/>
              <w:right w:val="single" w:sz="4" w:space="0" w:color="auto"/>
            </w:tcBorders>
            <w:shd w:val="clear" w:color="000000" w:fill="FCE4D6"/>
            <w:hideMark/>
          </w:tcPr>
          <w:p w14:paraId="46F28897"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2.9</w:t>
            </w:r>
          </w:p>
        </w:tc>
        <w:tc>
          <w:tcPr>
            <w:tcW w:w="365" w:type="pct"/>
            <w:tcBorders>
              <w:top w:val="nil"/>
              <w:left w:val="nil"/>
              <w:bottom w:val="single" w:sz="4" w:space="0" w:color="auto"/>
              <w:right w:val="single" w:sz="4" w:space="0" w:color="auto"/>
            </w:tcBorders>
            <w:shd w:val="clear" w:color="000000" w:fill="FCE4D6"/>
            <w:hideMark/>
          </w:tcPr>
          <w:p w14:paraId="616ED50E"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3.9</w:t>
            </w:r>
          </w:p>
        </w:tc>
      </w:tr>
      <w:tr w:rsidR="008C22A5" w:rsidRPr="008C22A5" w14:paraId="44566F3F" w14:textId="77777777" w:rsidTr="00231208">
        <w:trPr>
          <w:trHeight w:val="290"/>
        </w:trPr>
        <w:tc>
          <w:tcPr>
            <w:tcW w:w="1207" w:type="pct"/>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6A00AC87"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Gearing Ratios</w:t>
            </w:r>
          </w:p>
        </w:tc>
        <w:tc>
          <w:tcPr>
            <w:tcW w:w="413" w:type="pct"/>
            <w:tcBorders>
              <w:top w:val="nil"/>
              <w:left w:val="nil"/>
              <w:bottom w:val="single" w:sz="4" w:space="0" w:color="auto"/>
              <w:right w:val="single" w:sz="4" w:space="0" w:color="auto"/>
            </w:tcBorders>
            <w:shd w:val="clear" w:color="000000" w:fill="D6DCE4"/>
            <w:noWrap/>
            <w:vAlign w:val="bottom"/>
            <w:hideMark/>
          </w:tcPr>
          <w:p w14:paraId="36E7B44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71FAC2B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3C0D64B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68DD7FC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147C7B3F"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0690D3F7"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7D20676B"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5F2C790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482B861D"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48C4E372"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r>
      <w:tr w:rsidR="008C22A5" w:rsidRPr="008C22A5" w14:paraId="683AD1CD"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42F68DC4"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 Debt-to-Equity Ratio</w:t>
            </w:r>
          </w:p>
        </w:tc>
        <w:tc>
          <w:tcPr>
            <w:tcW w:w="523" w:type="pct"/>
            <w:tcBorders>
              <w:top w:val="nil"/>
              <w:left w:val="nil"/>
              <w:bottom w:val="single" w:sz="4" w:space="0" w:color="auto"/>
              <w:right w:val="single" w:sz="4" w:space="0" w:color="auto"/>
            </w:tcBorders>
            <w:shd w:val="clear" w:color="000000" w:fill="FFFFFF"/>
            <w:vAlign w:val="center"/>
            <w:hideMark/>
          </w:tcPr>
          <w:p w14:paraId="07A975C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Total Debt / Total Equity</w:t>
            </w:r>
          </w:p>
        </w:tc>
        <w:tc>
          <w:tcPr>
            <w:tcW w:w="413" w:type="pct"/>
            <w:tcBorders>
              <w:top w:val="nil"/>
              <w:left w:val="nil"/>
              <w:bottom w:val="single" w:sz="4" w:space="0" w:color="auto"/>
              <w:right w:val="single" w:sz="4" w:space="0" w:color="auto"/>
            </w:tcBorders>
            <w:shd w:val="clear" w:color="000000" w:fill="D6DCE4"/>
            <w:vAlign w:val="center"/>
            <w:hideMark/>
          </w:tcPr>
          <w:p w14:paraId="0B189B35"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-0.18</w:t>
            </w:r>
          </w:p>
        </w:tc>
        <w:tc>
          <w:tcPr>
            <w:tcW w:w="413" w:type="pct"/>
            <w:tcBorders>
              <w:top w:val="nil"/>
              <w:left w:val="nil"/>
              <w:bottom w:val="single" w:sz="4" w:space="0" w:color="auto"/>
              <w:right w:val="single" w:sz="4" w:space="0" w:color="auto"/>
            </w:tcBorders>
            <w:shd w:val="clear" w:color="000000" w:fill="D6DCE4"/>
            <w:vAlign w:val="center"/>
            <w:hideMark/>
          </w:tcPr>
          <w:p w14:paraId="4A06E50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-0.23</w:t>
            </w:r>
          </w:p>
        </w:tc>
        <w:tc>
          <w:tcPr>
            <w:tcW w:w="413" w:type="pct"/>
            <w:tcBorders>
              <w:top w:val="nil"/>
              <w:left w:val="nil"/>
              <w:bottom w:val="single" w:sz="4" w:space="0" w:color="auto"/>
              <w:right w:val="single" w:sz="4" w:space="0" w:color="auto"/>
            </w:tcBorders>
            <w:shd w:val="clear" w:color="000000" w:fill="D6DCE4"/>
            <w:vAlign w:val="center"/>
            <w:hideMark/>
          </w:tcPr>
          <w:p w14:paraId="058DB7F5"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-0.29</w:t>
            </w:r>
          </w:p>
        </w:tc>
        <w:tc>
          <w:tcPr>
            <w:tcW w:w="365" w:type="pct"/>
            <w:tcBorders>
              <w:top w:val="nil"/>
              <w:left w:val="nil"/>
              <w:bottom w:val="single" w:sz="4" w:space="0" w:color="auto"/>
              <w:right w:val="single" w:sz="4" w:space="0" w:color="auto"/>
            </w:tcBorders>
            <w:shd w:val="clear" w:color="000000" w:fill="D6DCE4"/>
            <w:vAlign w:val="center"/>
            <w:hideMark/>
          </w:tcPr>
          <w:p w14:paraId="28D6E721"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-0.27</w:t>
            </w:r>
          </w:p>
        </w:tc>
        <w:tc>
          <w:tcPr>
            <w:tcW w:w="365" w:type="pct"/>
            <w:tcBorders>
              <w:top w:val="nil"/>
              <w:left w:val="nil"/>
              <w:bottom w:val="single" w:sz="4" w:space="0" w:color="auto"/>
              <w:right w:val="single" w:sz="4" w:space="0" w:color="auto"/>
            </w:tcBorders>
            <w:shd w:val="clear" w:color="000000" w:fill="D6DCE4"/>
            <w:vAlign w:val="center"/>
            <w:hideMark/>
          </w:tcPr>
          <w:p w14:paraId="576DAE82"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1.27</w:t>
            </w:r>
          </w:p>
        </w:tc>
        <w:tc>
          <w:tcPr>
            <w:tcW w:w="365" w:type="pct"/>
            <w:tcBorders>
              <w:top w:val="nil"/>
              <w:left w:val="nil"/>
              <w:bottom w:val="single" w:sz="4" w:space="0" w:color="auto"/>
              <w:right w:val="single" w:sz="4" w:space="0" w:color="auto"/>
            </w:tcBorders>
            <w:shd w:val="clear" w:color="000000" w:fill="FCE4D6"/>
            <w:hideMark/>
          </w:tcPr>
          <w:p w14:paraId="25CCA30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0.37</w:t>
            </w:r>
          </w:p>
        </w:tc>
        <w:tc>
          <w:tcPr>
            <w:tcW w:w="365" w:type="pct"/>
            <w:tcBorders>
              <w:top w:val="nil"/>
              <w:left w:val="nil"/>
              <w:bottom w:val="single" w:sz="4" w:space="0" w:color="auto"/>
              <w:right w:val="single" w:sz="4" w:space="0" w:color="auto"/>
            </w:tcBorders>
            <w:shd w:val="clear" w:color="000000" w:fill="FCE4D6"/>
            <w:hideMark/>
          </w:tcPr>
          <w:p w14:paraId="3697B377"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0.52</w:t>
            </w:r>
          </w:p>
        </w:tc>
        <w:tc>
          <w:tcPr>
            <w:tcW w:w="365" w:type="pct"/>
            <w:tcBorders>
              <w:top w:val="nil"/>
              <w:left w:val="nil"/>
              <w:bottom w:val="single" w:sz="4" w:space="0" w:color="auto"/>
              <w:right w:val="single" w:sz="4" w:space="0" w:color="auto"/>
            </w:tcBorders>
            <w:shd w:val="clear" w:color="000000" w:fill="FCE4D6"/>
            <w:hideMark/>
          </w:tcPr>
          <w:p w14:paraId="74CCA73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0.47</w:t>
            </w:r>
          </w:p>
        </w:tc>
        <w:tc>
          <w:tcPr>
            <w:tcW w:w="365" w:type="pct"/>
            <w:tcBorders>
              <w:top w:val="nil"/>
              <w:left w:val="nil"/>
              <w:bottom w:val="single" w:sz="4" w:space="0" w:color="auto"/>
              <w:right w:val="single" w:sz="4" w:space="0" w:color="auto"/>
            </w:tcBorders>
            <w:shd w:val="clear" w:color="000000" w:fill="FCE4D6"/>
            <w:hideMark/>
          </w:tcPr>
          <w:p w14:paraId="6A387BD1"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0.43</w:t>
            </w:r>
          </w:p>
        </w:tc>
        <w:tc>
          <w:tcPr>
            <w:tcW w:w="365" w:type="pct"/>
            <w:tcBorders>
              <w:top w:val="nil"/>
              <w:left w:val="nil"/>
              <w:bottom w:val="single" w:sz="4" w:space="0" w:color="auto"/>
              <w:right w:val="single" w:sz="4" w:space="0" w:color="auto"/>
            </w:tcBorders>
            <w:shd w:val="clear" w:color="000000" w:fill="FCE4D6"/>
            <w:hideMark/>
          </w:tcPr>
          <w:p w14:paraId="13F2E4A9"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0.6</w:t>
            </w:r>
          </w:p>
        </w:tc>
      </w:tr>
      <w:tr w:rsidR="008C22A5" w:rsidRPr="008C22A5" w14:paraId="344335A6"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338F9E55"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 Debt Ratio</w:t>
            </w:r>
          </w:p>
        </w:tc>
        <w:tc>
          <w:tcPr>
            <w:tcW w:w="523" w:type="pct"/>
            <w:tcBorders>
              <w:top w:val="nil"/>
              <w:left w:val="nil"/>
              <w:bottom w:val="single" w:sz="4" w:space="0" w:color="auto"/>
              <w:right w:val="single" w:sz="4" w:space="0" w:color="auto"/>
            </w:tcBorders>
            <w:shd w:val="clear" w:color="000000" w:fill="FFFFFF"/>
            <w:vAlign w:val="center"/>
            <w:hideMark/>
          </w:tcPr>
          <w:p w14:paraId="27B9FC32"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Total Debt / Total Assets</w:t>
            </w:r>
          </w:p>
        </w:tc>
        <w:tc>
          <w:tcPr>
            <w:tcW w:w="413" w:type="pct"/>
            <w:tcBorders>
              <w:top w:val="nil"/>
              <w:left w:val="nil"/>
              <w:bottom w:val="single" w:sz="4" w:space="0" w:color="auto"/>
              <w:right w:val="single" w:sz="4" w:space="0" w:color="auto"/>
            </w:tcBorders>
            <w:shd w:val="clear" w:color="000000" w:fill="D6DCE4"/>
            <w:vAlign w:val="center"/>
            <w:hideMark/>
          </w:tcPr>
          <w:p w14:paraId="250CD16C"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-0.10</w:t>
            </w:r>
          </w:p>
        </w:tc>
        <w:tc>
          <w:tcPr>
            <w:tcW w:w="413" w:type="pct"/>
            <w:tcBorders>
              <w:top w:val="nil"/>
              <w:left w:val="nil"/>
              <w:bottom w:val="single" w:sz="4" w:space="0" w:color="auto"/>
              <w:right w:val="single" w:sz="4" w:space="0" w:color="auto"/>
            </w:tcBorders>
            <w:shd w:val="clear" w:color="000000" w:fill="D6DCE4"/>
            <w:vAlign w:val="center"/>
            <w:hideMark/>
          </w:tcPr>
          <w:p w14:paraId="77CAEC1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-0.13</w:t>
            </w:r>
          </w:p>
        </w:tc>
        <w:tc>
          <w:tcPr>
            <w:tcW w:w="413" w:type="pct"/>
            <w:tcBorders>
              <w:top w:val="nil"/>
              <w:left w:val="nil"/>
              <w:bottom w:val="single" w:sz="4" w:space="0" w:color="auto"/>
              <w:right w:val="single" w:sz="4" w:space="0" w:color="auto"/>
            </w:tcBorders>
            <w:shd w:val="clear" w:color="000000" w:fill="D6DCE4"/>
            <w:vAlign w:val="center"/>
            <w:hideMark/>
          </w:tcPr>
          <w:p w14:paraId="3ED0B9C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-0.14</w:t>
            </w:r>
          </w:p>
        </w:tc>
        <w:tc>
          <w:tcPr>
            <w:tcW w:w="365" w:type="pct"/>
            <w:tcBorders>
              <w:top w:val="nil"/>
              <w:left w:val="nil"/>
              <w:bottom w:val="single" w:sz="4" w:space="0" w:color="auto"/>
              <w:right w:val="single" w:sz="4" w:space="0" w:color="auto"/>
            </w:tcBorders>
            <w:shd w:val="clear" w:color="000000" w:fill="D6DCE4"/>
            <w:vAlign w:val="center"/>
            <w:hideMark/>
          </w:tcPr>
          <w:p w14:paraId="6873C568"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-0.12</w:t>
            </w:r>
          </w:p>
        </w:tc>
        <w:tc>
          <w:tcPr>
            <w:tcW w:w="365" w:type="pct"/>
            <w:tcBorders>
              <w:top w:val="nil"/>
              <w:left w:val="nil"/>
              <w:bottom w:val="single" w:sz="4" w:space="0" w:color="auto"/>
              <w:right w:val="single" w:sz="4" w:space="0" w:color="auto"/>
            </w:tcBorders>
            <w:shd w:val="clear" w:color="000000" w:fill="D6DCE4"/>
            <w:vAlign w:val="center"/>
            <w:hideMark/>
          </w:tcPr>
          <w:p w14:paraId="3C6916E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0.25</w:t>
            </w:r>
          </w:p>
        </w:tc>
        <w:tc>
          <w:tcPr>
            <w:tcW w:w="365" w:type="pct"/>
            <w:tcBorders>
              <w:top w:val="nil"/>
              <w:left w:val="nil"/>
              <w:bottom w:val="single" w:sz="4" w:space="0" w:color="auto"/>
              <w:right w:val="single" w:sz="4" w:space="0" w:color="auto"/>
            </w:tcBorders>
            <w:shd w:val="clear" w:color="000000" w:fill="FCE4D6"/>
            <w:hideMark/>
          </w:tcPr>
          <w:p w14:paraId="269F5F07"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4.76</w:t>
            </w:r>
          </w:p>
        </w:tc>
        <w:tc>
          <w:tcPr>
            <w:tcW w:w="365" w:type="pct"/>
            <w:tcBorders>
              <w:top w:val="nil"/>
              <w:left w:val="nil"/>
              <w:bottom w:val="single" w:sz="4" w:space="0" w:color="auto"/>
              <w:right w:val="single" w:sz="4" w:space="0" w:color="auto"/>
            </w:tcBorders>
            <w:shd w:val="clear" w:color="000000" w:fill="FCE4D6"/>
            <w:hideMark/>
          </w:tcPr>
          <w:p w14:paraId="4B0D463E"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4.1</w:t>
            </w:r>
          </w:p>
        </w:tc>
        <w:tc>
          <w:tcPr>
            <w:tcW w:w="365" w:type="pct"/>
            <w:tcBorders>
              <w:top w:val="nil"/>
              <w:left w:val="nil"/>
              <w:bottom w:val="single" w:sz="4" w:space="0" w:color="auto"/>
              <w:right w:val="single" w:sz="4" w:space="0" w:color="auto"/>
            </w:tcBorders>
            <w:shd w:val="clear" w:color="000000" w:fill="FCE4D6"/>
            <w:hideMark/>
          </w:tcPr>
          <w:p w14:paraId="574C82ED"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-15.2</w:t>
            </w:r>
          </w:p>
        </w:tc>
        <w:tc>
          <w:tcPr>
            <w:tcW w:w="365" w:type="pct"/>
            <w:tcBorders>
              <w:top w:val="nil"/>
              <w:left w:val="nil"/>
              <w:bottom w:val="single" w:sz="4" w:space="0" w:color="auto"/>
              <w:right w:val="single" w:sz="4" w:space="0" w:color="auto"/>
            </w:tcBorders>
            <w:shd w:val="clear" w:color="000000" w:fill="FCE4D6"/>
            <w:hideMark/>
          </w:tcPr>
          <w:p w14:paraId="2D47A619"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2.51</w:t>
            </w:r>
          </w:p>
        </w:tc>
        <w:tc>
          <w:tcPr>
            <w:tcW w:w="365" w:type="pct"/>
            <w:tcBorders>
              <w:top w:val="nil"/>
              <w:left w:val="nil"/>
              <w:bottom w:val="single" w:sz="4" w:space="0" w:color="auto"/>
              <w:right w:val="single" w:sz="4" w:space="0" w:color="auto"/>
            </w:tcBorders>
            <w:shd w:val="clear" w:color="000000" w:fill="FCE4D6"/>
            <w:hideMark/>
          </w:tcPr>
          <w:p w14:paraId="30BBEB6B"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3.93</w:t>
            </w:r>
          </w:p>
        </w:tc>
      </w:tr>
      <w:tr w:rsidR="008C22A5" w:rsidRPr="008C22A5" w14:paraId="4984BA75" w14:textId="77777777" w:rsidTr="00231208">
        <w:trPr>
          <w:trHeight w:val="290"/>
        </w:trPr>
        <w:tc>
          <w:tcPr>
            <w:tcW w:w="1207" w:type="pct"/>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116DE99D"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Investment Ratios</w:t>
            </w:r>
          </w:p>
        </w:tc>
        <w:tc>
          <w:tcPr>
            <w:tcW w:w="413" w:type="pct"/>
            <w:tcBorders>
              <w:top w:val="nil"/>
              <w:left w:val="nil"/>
              <w:bottom w:val="single" w:sz="4" w:space="0" w:color="auto"/>
              <w:right w:val="single" w:sz="4" w:space="0" w:color="auto"/>
            </w:tcBorders>
            <w:shd w:val="clear" w:color="000000" w:fill="D6DCE4"/>
            <w:vAlign w:val="center"/>
            <w:hideMark/>
          </w:tcPr>
          <w:p w14:paraId="40A7EA60"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04D74383"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413" w:type="pct"/>
            <w:tcBorders>
              <w:top w:val="nil"/>
              <w:left w:val="nil"/>
              <w:bottom w:val="single" w:sz="4" w:space="0" w:color="auto"/>
              <w:right w:val="single" w:sz="4" w:space="0" w:color="auto"/>
            </w:tcBorders>
            <w:shd w:val="clear" w:color="000000" w:fill="D6DCE4"/>
            <w:noWrap/>
            <w:vAlign w:val="bottom"/>
            <w:hideMark/>
          </w:tcPr>
          <w:p w14:paraId="5145BBE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7B455E8E"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D6DCE4"/>
            <w:noWrap/>
            <w:vAlign w:val="bottom"/>
            <w:hideMark/>
          </w:tcPr>
          <w:p w14:paraId="2F497A27"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30DFFAB8"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1BA2227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360FE20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1A5E068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c>
          <w:tcPr>
            <w:tcW w:w="365" w:type="pct"/>
            <w:tcBorders>
              <w:top w:val="nil"/>
              <w:left w:val="nil"/>
              <w:bottom w:val="single" w:sz="4" w:space="0" w:color="auto"/>
              <w:right w:val="single" w:sz="4" w:space="0" w:color="auto"/>
            </w:tcBorders>
            <w:shd w:val="clear" w:color="000000" w:fill="FCE4D6"/>
            <w:noWrap/>
            <w:vAlign w:val="bottom"/>
            <w:hideMark/>
          </w:tcPr>
          <w:p w14:paraId="242C109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 </w:t>
            </w:r>
          </w:p>
        </w:tc>
      </w:tr>
      <w:tr w:rsidR="008C22A5" w:rsidRPr="008C22A5" w14:paraId="2E065EBA"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03F1F94B"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lastRenderedPageBreak/>
              <w:t>1. Price/Earnings Ratio</w:t>
            </w:r>
          </w:p>
        </w:tc>
        <w:tc>
          <w:tcPr>
            <w:tcW w:w="523" w:type="pct"/>
            <w:tcBorders>
              <w:top w:val="nil"/>
              <w:left w:val="nil"/>
              <w:bottom w:val="single" w:sz="4" w:space="0" w:color="auto"/>
              <w:right w:val="single" w:sz="4" w:space="0" w:color="auto"/>
            </w:tcBorders>
            <w:shd w:val="clear" w:color="000000" w:fill="FFFFFF"/>
            <w:vAlign w:val="center"/>
            <w:hideMark/>
          </w:tcPr>
          <w:p w14:paraId="74F55D1A"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Market Price per Share / Earnings per Share</w:t>
            </w:r>
          </w:p>
        </w:tc>
        <w:tc>
          <w:tcPr>
            <w:tcW w:w="413" w:type="pct"/>
            <w:tcBorders>
              <w:top w:val="nil"/>
              <w:left w:val="nil"/>
              <w:bottom w:val="single" w:sz="4" w:space="0" w:color="auto"/>
              <w:right w:val="single" w:sz="4" w:space="0" w:color="auto"/>
            </w:tcBorders>
            <w:shd w:val="clear" w:color="000000" w:fill="D6DCE4"/>
            <w:noWrap/>
            <w:vAlign w:val="bottom"/>
            <w:hideMark/>
          </w:tcPr>
          <w:p w14:paraId="0401AAC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52.53</w:t>
            </w:r>
          </w:p>
        </w:tc>
        <w:tc>
          <w:tcPr>
            <w:tcW w:w="413" w:type="pct"/>
            <w:tcBorders>
              <w:top w:val="nil"/>
              <w:left w:val="nil"/>
              <w:bottom w:val="single" w:sz="4" w:space="0" w:color="auto"/>
              <w:right w:val="single" w:sz="4" w:space="0" w:color="auto"/>
            </w:tcBorders>
            <w:shd w:val="clear" w:color="000000" w:fill="D6DCE4"/>
            <w:noWrap/>
            <w:vAlign w:val="bottom"/>
            <w:hideMark/>
          </w:tcPr>
          <w:p w14:paraId="4F006EC7"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30.6</w:t>
            </w:r>
          </w:p>
        </w:tc>
        <w:tc>
          <w:tcPr>
            <w:tcW w:w="413" w:type="pct"/>
            <w:tcBorders>
              <w:top w:val="nil"/>
              <w:left w:val="nil"/>
              <w:bottom w:val="single" w:sz="4" w:space="0" w:color="auto"/>
              <w:right w:val="single" w:sz="4" w:space="0" w:color="auto"/>
            </w:tcBorders>
            <w:shd w:val="clear" w:color="000000" w:fill="D6DCE4"/>
            <w:noWrap/>
            <w:vAlign w:val="bottom"/>
            <w:hideMark/>
          </w:tcPr>
          <w:p w14:paraId="5EA698C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190</w:t>
            </w:r>
          </w:p>
        </w:tc>
        <w:tc>
          <w:tcPr>
            <w:tcW w:w="365" w:type="pct"/>
            <w:tcBorders>
              <w:top w:val="nil"/>
              <w:left w:val="nil"/>
              <w:bottom w:val="single" w:sz="4" w:space="0" w:color="auto"/>
              <w:right w:val="single" w:sz="4" w:space="0" w:color="auto"/>
            </w:tcBorders>
            <w:shd w:val="clear" w:color="000000" w:fill="D6DCE4"/>
            <w:noWrap/>
            <w:vAlign w:val="bottom"/>
            <w:hideMark/>
          </w:tcPr>
          <w:p w14:paraId="383F7431"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967</w:t>
            </w:r>
          </w:p>
        </w:tc>
        <w:tc>
          <w:tcPr>
            <w:tcW w:w="365" w:type="pct"/>
            <w:tcBorders>
              <w:top w:val="nil"/>
              <w:left w:val="nil"/>
              <w:bottom w:val="single" w:sz="4" w:space="0" w:color="auto"/>
              <w:right w:val="single" w:sz="4" w:space="0" w:color="auto"/>
            </w:tcBorders>
            <w:shd w:val="clear" w:color="000000" w:fill="D6DCE4"/>
            <w:noWrap/>
            <w:vAlign w:val="bottom"/>
            <w:hideMark/>
          </w:tcPr>
          <w:p w14:paraId="75593F3C"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-83.2</w:t>
            </w:r>
          </w:p>
        </w:tc>
        <w:tc>
          <w:tcPr>
            <w:tcW w:w="365" w:type="pct"/>
            <w:tcBorders>
              <w:top w:val="nil"/>
              <w:left w:val="nil"/>
              <w:bottom w:val="single" w:sz="4" w:space="0" w:color="auto"/>
              <w:right w:val="single" w:sz="4" w:space="0" w:color="auto"/>
            </w:tcBorders>
            <w:shd w:val="clear" w:color="000000" w:fill="FCE4D6"/>
            <w:noWrap/>
            <w:vAlign w:val="bottom"/>
            <w:hideMark/>
          </w:tcPr>
          <w:p w14:paraId="7BDBCCEA"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48.85</w:t>
            </w:r>
          </w:p>
        </w:tc>
        <w:tc>
          <w:tcPr>
            <w:tcW w:w="365" w:type="pct"/>
            <w:tcBorders>
              <w:top w:val="nil"/>
              <w:left w:val="nil"/>
              <w:bottom w:val="single" w:sz="4" w:space="0" w:color="auto"/>
              <w:right w:val="single" w:sz="4" w:space="0" w:color="auto"/>
            </w:tcBorders>
            <w:shd w:val="clear" w:color="000000" w:fill="FCE4D6"/>
            <w:noWrap/>
            <w:vAlign w:val="bottom"/>
            <w:hideMark/>
          </w:tcPr>
          <w:p w14:paraId="3A513168"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47.82</w:t>
            </w:r>
          </w:p>
        </w:tc>
        <w:tc>
          <w:tcPr>
            <w:tcW w:w="365" w:type="pct"/>
            <w:tcBorders>
              <w:top w:val="nil"/>
              <w:left w:val="nil"/>
              <w:bottom w:val="single" w:sz="4" w:space="0" w:color="auto"/>
              <w:right w:val="single" w:sz="4" w:space="0" w:color="auto"/>
            </w:tcBorders>
            <w:shd w:val="clear" w:color="000000" w:fill="FCE4D6"/>
            <w:noWrap/>
            <w:vAlign w:val="bottom"/>
            <w:hideMark/>
          </w:tcPr>
          <w:p w14:paraId="57E13B1F"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50.99</w:t>
            </w:r>
          </w:p>
        </w:tc>
        <w:tc>
          <w:tcPr>
            <w:tcW w:w="365" w:type="pct"/>
            <w:tcBorders>
              <w:top w:val="nil"/>
              <w:left w:val="nil"/>
              <w:bottom w:val="single" w:sz="4" w:space="0" w:color="auto"/>
              <w:right w:val="single" w:sz="4" w:space="0" w:color="auto"/>
            </w:tcBorders>
            <w:shd w:val="clear" w:color="000000" w:fill="FCE4D6"/>
            <w:noWrap/>
            <w:vAlign w:val="bottom"/>
            <w:hideMark/>
          </w:tcPr>
          <w:p w14:paraId="76A5F40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55.33</w:t>
            </w:r>
          </w:p>
        </w:tc>
        <w:tc>
          <w:tcPr>
            <w:tcW w:w="365" w:type="pct"/>
            <w:tcBorders>
              <w:top w:val="nil"/>
              <w:left w:val="nil"/>
              <w:bottom w:val="single" w:sz="4" w:space="0" w:color="auto"/>
              <w:right w:val="single" w:sz="4" w:space="0" w:color="auto"/>
            </w:tcBorders>
            <w:shd w:val="clear" w:color="000000" w:fill="FCE4D6"/>
            <w:noWrap/>
            <w:vAlign w:val="bottom"/>
            <w:hideMark/>
          </w:tcPr>
          <w:p w14:paraId="578F42E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39.83</w:t>
            </w:r>
          </w:p>
        </w:tc>
      </w:tr>
      <w:tr w:rsidR="008C22A5" w:rsidRPr="008C22A5" w14:paraId="719F4D4A" w14:textId="77777777" w:rsidTr="00231208">
        <w:trPr>
          <w:trHeight w:val="290"/>
        </w:trPr>
        <w:tc>
          <w:tcPr>
            <w:tcW w:w="684" w:type="pct"/>
            <w:tcBorders>
              <w:top w:val="nil"/>
              <w:left w:val="single" w:sz="4" w:space="0" w:color="auto"/>
              <w:bottom w:val="single" w:sz="4" w:space="0" w:color="auto"/>
              <w:right w:val="single" w:sz="4" w:space="0" w:color="auto"/>
            </w:tcBorders>
            <w:shd w:val="clear" w:color="000000" w:fill="FFFFFF"/>
            <w:vAlign w:val="center"/>
            <w:hideMark/>
          </w:tcPr>
          <w:p w14:paraId="456CD1FF"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2. Dividend Yield</w:t>
            </w:r>
          </w:p>
        </w:tc>
        <w:tc>
          <w:tcPr>
            <w:tcW w:w="523" w:type="pct"/>
            <w:tcBorders>
              <w:top w:val="nil"/>
              <w:left w:val="nil"/>
              <w:bottom w:val="single" w:sz="4" w:space="0" w:color="auto"/>
              <w:right w:val="single" w:sz="4" w:space="0" w:color="auto"/>
            </w:tcBorders>
            <w:shd w:val="clear" w:color="000000" w:fill="FFFFFF"/>
            <w:vAlign w:val="center"/>
            <w:hideMark/>
          </w:tcPr>
          <w:p w14:paraId="7AC107F6" w14:textId="77777777" w:rsidR="008C22A5" w:rsidRPr="008C22A5" w:rsidRDefault="008C22A5" w:rsidP="005C7384">
            <w:pPr>
              <w:spacing w:before="240" w:line="360" w:lineRule="auto"/>
              <w:rPr>
                <w:rFonts w:eastAsia="Times New Roman" w:cs="Times New Roman"/>
                <w:color w:val="0D0D0D"/>
                <w:kern w:val="0"/>
                <w:szCs w:val="24"/>
                <w:lang w:val="en-IN" w:eastAsia="en-IN"/>
                <w14:ligatures w14:val="none"/>
              </w:rPr>
            </w:pPr>
            <w:r w:rsidRPr="008C22A5">
              <w:rPr>
                <w:rFonts w:eastAsia="Times New Roman" w:cs="Times New Roman"/>
                <w:color w:val="0D0D0D"/>
                <w:kern w:val="0"/>
                <w:szCs w:val="24"/>
                <w:lang w:val="en-IN" w:eastAsia="en-IN"/>
                <w14:ligatures w14:val="none"/>
              </w:rPr>
              <w:t>Dividend per Share / Market Price per Share</w:t>
            </w:r>
          </w:p>
        </w:tc>
        <w:tc>
          <w:tcPr>
            <w:tcW w:w="413" w:type="pct"/>
            <w:tcBorders>
              <w:top w:val="nil"/>
              <w:left w:val="nil"/>
              <w:bottom w:val="single" w:sz="4" w:space="0" w:color="auto"/>
              <w:right w:val="single" w:sz="4" w:space="0" w:color="auto"/>
            </w:tcBorders>
            <w:shd w:val="clear" w:color="000000" w:fill="D6DCE4"/>
            <w:noWrap/>
            <w:vAlign w:val="bottom"/>
            <w:hideMark/>
          </w:tcPr>
          <w:p w14:paraId="5A5B70E3"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0.00%</w:t>
            </w:r>
          </w:p>
        </w:tc>
        <w:tc>
          <w:tcPr>
            <w:tcW w:w="413" w:type="pct"/>
            <w:tcBorders>
              <w:top w:val="nil"/>
              <w:left w:val="nil"/>
              <w:bottom w:val="single" w:sz="4" w:space="0" w:color="auto"/>
              <w:right w:val="single" w:sz="4" w:space="0" w:color="auto"/>
            </w:tcBorders>
            <w:shd w:val="clear" w:color="000000" w:fill="D6DCE4"/>
            <w:noWrap/>
            <w:vAlign w:val="bottom"/>
            <w:hideMark/>
          </w:tcPr>
          <w:p w14:paraId="01068C82" w14:textId="77777777" w:rsidR="008C22A5" w:rsidRPr="008C22A5" w:rsidRDefault="008C22A5" w:rsidP="005C7384">
            <w:pPr>
              <w:spacing w:before="240" w:line="360" w:lineRule="auto"/>
              <w:rPr>
                <w:rFonts w:eastAsia="Times New Roman" w:cs="Times New Roman"/>
                <w:color w:val="333333"/>
                <w:kern w:val="0"/>
                <w:szCs w:val="24"/>
                <w:lang w:val="en-IN" w:eastAsia="en-IN"/>
                <w14:ligatures w14:val="none"/>
              </w:rPr>
            </w:pPr>
            <w:r w:rsidRPr="008C22A5">
              <w:rPr>
                <w:rFonts w:eastAsia="Times New Roman" w:cs="Times New Roman"/>
                <w:color w:val="333333"/>
                <w:kern w:val="0"/>
                <w:szCs w:val="24"/>
                <w:lang w:val="en-IN" w:eastAsia="en-IN"/>
                <w14:ligatures w14:val="none"/>
              </w:rPr>
              <w:t>0.00%</w:t>
            </w:r>
          </w:p>
        </w:tc>
        <w:tc>
          <w:tcPr>
            <w:tcW w:w="413" w:type="pct"/>
            <w:tcBorders>
              <w:top w:val="nil"/>
              <w:left w:val="nil"/>
              <w:bottom w:val="single" w:sz="4" w:space="0" w:color="auto"/>
              <w:right w:val="single" w:sz="4" w:space="0" w:color="auto"/>
            </w:tcBorders>
            <w:shd w:val="clear" w:color="000000" w:fill="D6DCE4"/>
            <w:noWrap/>
            <w:vAlign w:val="bottom"/>
            <w:hideMark/>
          </w:tcPr>
          <w:p w14:paraId="73491B1C"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0.00%</w:t>
            </w:r>
          </w:p>
        </w:tc>
        <w:tc>
          <w:tcPr>
            <w:tcW w:w="365" w:type="pct"/>
            <w:tcBorders>
              <w:top w:val="nil"/>
              <w:left w:val="nil"/>
              <w:bottom w:val="single" w:sz="4" w:space="0" w:color="auto"/>
              <w:right w:val="single" w:sz="4" w:space="0" w:color="auto"/>
            </w:tcBorders>
            <w:shd w:val="clear" w:color="000000" w:fill="D6DCE4"/>
            <w:noWrap/>
            <w:vAlign w:val="bottom"/>
            <w:hideMark/>
          </w:tcPr>
          <w:p w14:paraId="56A1F0BD"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0.00%</w:t>
            </w:r>
          </w:p>
        </w:tc>
        <w:tc>
          <w:tcPr>
            <w:tcW w:w="365" w:type="pct"/>
            <w:tcBorders>
              <w:top w:val="nil"/>
              <w:left w:val="nil"/>
              <w:bottom w:val="single" w:sz="4" w:space="0" w:color="auto"/>
              <w:right w:val="single" w:sz="4" w:space="0" w:color="auto"/>
            </w:tcBorders>
            <w:shd w:val="clear" w:color="000000" w:fill="D6DCE4"/>
            <w:noWrap/>
            <w:vAlign w:val="bottom"/>
            <w:hideMark/>
          </w:tcPr>
          <w:p w14:paraId="1D9D79E0"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0.00%</w:t>
            </w:r>
          </w:p>
        </w:tc>
        <w:tc>
          <w:tcPr>
            <w:tcW w:w="365" w:type="pct"/>
            <w:tcBorders>
              <w:top w:val="nil"/>
              <w:left w:val="nil"/>
              <w:bottom w:val="single" w:sz="4" w:space="0" w:color="auto"/>
              <w:right w:val="single" w:sz="4" w:space="0" w:color="auto"/>
            </w:tcBorders>
            <w:shd w:val="clear" w:color="000000" w:fill="FCE4D6"/>
            <w:noWrap/>
            <w:vAlign w:val="bottom"/>
            <w:hideMark/>
          </w:tcPr>
          <w:p w14:paraId="3D59397A"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8.43%</w:t>
            </w:r>
          </w:p>
        </w:tc>
        <w:tc>
          <w:tcPr>
            <w:tcW w:w="365" w:type="pct"/>
            <w:tcBorders>
              <w:top w:val="nil"/>
              <w:left w:val="nil"/>
              <w:bottom w:val="single" w:sz="4" w:space="0" w:color="auto"/>
              <w:right w:val="single" w:sz="4" w:space="0" w:color="auto"/>
            </w:tcBorders>
            <w:shd w:val="clear" w:color="000000" w:fill="FCE4D6"/>
            <w:noWrap/>
            <w:vAlign w:val="bottom"/>
            <w:hideMark/>
          </w:tcPr>
          <w:p w14:paraId="22FED284"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6.96%</w:t>
            </w:r>
          </w:p>
        </w:tc>
        <w:tc>
          <w:tcPr>
            <w:tcW w:w="365" w:type="pct"/>
            <w:tcBorders>
              <w:top w:val="nil"/>
              <w:left w:val="nil"/>
              <w:bottom w:val="single" w:sz="4" w:space="0" w:color="auto"/>
              <w:right w:val="single" w:sz="4" w:space="0" w:color="auto"/>
            </w:tcBorders>
            <w:shd w:val="clear" w:color="000000" w:fill="FCE4D6"/>
            <w:noWrap/>
            <w:vAlign w:val="bottom"/>
            <w:hideMark/>
          </w:tcPr>
          <w:p w14:paraId="24DED996"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2.15%</w:t>
            </w:r>
          </w:p>
        </w:tc>
        <w:tc>
          <w:tcPr>
            <w:tcW w:w="365" w:type="pct"/>
            <w:tcBorders>
              <w:top w:val="nil"/>
              <w:left w:val="nil"/>
              <w:bottom w:val="single" w:sz="4" w:space="0" w:color="auto"/>
              <w:right w:val="single" w:sz="4" w:space="0" w:color="auto"/>
            </w:tcBorders>
            <w:shd w:val="clear" w:color="000000" w:fill="FCE4D6"/>
            <w:noWrap/>
            <w:vAlign w:val="bottom"/>
            <w:hideMark/>
          </w:tcPr>
          <w:p w14:paraId="144E1BD9" w14:textId="77777777" w:rsidR="008C22A5" w:rsidRPr="008C22A5" w:rsidRDefault="008C22A5" w:rsidP="005C7384">
            <w:pPr>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3.46%</w:t>
            </w:r>
          </w:p>
        </w:tc>
        <w:tc>
          <w:tcPr>
            <w:tcW w:w="365" w:type="pct"/>
            <w:tcBorders>
              <w:top w:val="nil"/>
              <w:left w:val="nil"/>
              <w:bottom w:val="single" w:sz="4" w:space="0" w:color="auto"/>
              <w:right w:val="single" w:sz="4" w:space="0" w:color="auto"/>
            </w:tcBorders>
            <w:shd w:val="clear" w:color="000000" w:fill="FCE4D6"/>
            <w:noWrap/>
            <w:vAlign w:val="bottom"/>
            <w:hideMark/>
          </w:tcPr>
          <w:p w14:paraId="138F0AD5" w14:textId="77777777" w:rsidR="008C22A5" w:rsidRPr="008C22A5" w:rsidRDefault="008C22A5" w:rsidP="005C7384">
            <w:pPr>
              <w:keepNext/>
              <w:spacing w:before="240" w:line="360" w:lineRule="auto"/>
              <w:rPr>
                <w:rFonts w:eastAsia="Times New Roman" w:cs="Times New Roman"/>
                <w:color w:val="000000"/>
                <w:kern w:val="0"/>
                <w:szCs w:val="24"/>
                <w:lang w:val="en-IN" w:eastAsia="en-IN"/>
                <w14:ligatures w14:val="none"/>
              </w:rPr>
            </w:pPr>
            <w:r w:rsidRPr="008C22A5">
              <w:rPr>
                <w:rFonts w:eastAsia="Times New Roman" w:cs="Times New Roman"/>
                <w:color w:val="000000"/>
                <w:kern w:val="0"/>
                <w:szCs w:val="24"/>
                <w:lang w:val="en-IN" w:eastAsia="en-IN"/>
                <w14:ligatures w14:val="none"/>
              </w:rPr>
              <w:t>4.79%</w:t>
            </w:r>
          </w:p>
        </w:tc>
      </w:tr>
    </w:tbl>
    <w:p w14:paraId="41F31AE9" w14:textId="195E32CA" w:rsidR="008C22A5" w:rsidRPr="008C22A5" w:rsidRDefault="008C22A5" w:rsidP="005C7384">
      <w:pPr>
        <w:pStyle w:val="Caption"/>
        <w:spacing w:before="240" w:line="360" w:lineRule="auto"/>
      </w:pPr>
      <w:r>
        <w:t xml:space="preserve">Figure </w:t>
      </w:r>
      <w:r>
        <w:fldChar w:fldCharType="begin"/>
      </w:r>
      <w:r>
        <w:instrText xml:space="preserve"> SEQ Figure \* ARABIC </w:instrText>
      </w:r>
      <w:r>
        <w:fldChar w:fldCharType="separate"/>
      </w:r>
      <w:r w:rsidR="002D731A">
        <w:rPr>
          <w:noProof/>
        </w:rPr>
        <w:t>5</w:t>
      </w:r>
      <w:r>
        <w:fldChar w:fldCharType="end"/>
      </w:r>
      <w:r>
        <w:t xml:space="preserve"> Ratio Analysis (Self-Created)</w:t>
      </w:r>
    </w:p>
    <w:p w14:paraId="294BDB83" w14:textId="4771E92F" w:rsidR="004F54E5" w:rsidRDefault="001D7D97" w:rsidP="005C7384">
      <w:pPr>
        <w:pStyle w:val="Heading2"/>
        <w:spacing w:before="240" w:line="360" w:lineRule="auto"/>
      </w:pPr>
      <w:bookmarkStart w:id="11" w:name="_Toc164428977"/>
      <w:r>
        <w:t>C</w:t>
      </w:r>
      <w:r w:rsidR="004F54E5">
        <w:t>apital structure theory</w:t>
      </w:r>
      <w:bookmarkEnd w:id="11"/>
      <w:r w:rsidR="004F54E5">
        <w:t xml:space="preserve"> </w:t>
      </w:r>
    </w:p>
    <w:p w14:paraId="51FD4360" w14:textId="54D5B5B5" w:rsidR="00514CD7" w:rsidRDefault="00514CD7" w:rsidP="005C7384">
      <w:pPr>
        <w:spacing w:before="240" w:line="360" w:lineRule="auto"/>
      </w:pPr>
      <w:r>
        <w:t>Capital structure theory examines how companies use debt and equity to operate and invest. The 1958 Modigliani-Miller (MM) theorem by Franco Modigliani and Merton Miller altered capital structure theory (Brusov et al., 2021). The famous MM Propositions explain how capital structure affects corporate value. Proposition I investigates firm value without taxes or bankruptcy expenses, and Proposition II measures tax effects on capital structure.</w:t>
      </w:r>
    </w:p>
    <w:p w14:paraId="072B86EF" w14:textId="7C0E8A1F" w:rsidR="00FF7281" w:rsidRDefault="00514CD7" w:rsidP="005C7384">
      <w:pPr>
        <w:spacing w:before="240" w:line="360" w:lineRule="auto"/>
      </w:pPr>
      <w:r>
        <w:t>Under certain assumptions, the Modigliani-Miller theorem's Proposition I states that a company's capital structure does not alter its value in an ideal capital market. A company's value should be based on its core business operations and asset cash flows, without taxes or insolvency, and in ideal capital markets. Assuming rational investors can build any capital structure with debt and equity. Thus, the firm's capital structure doesn't affect value.</w:t>
      </w:r>
      <w:r w:rsidR="00FF7281">
        <w:t xml:space="preserve">Proposition I states that capital structure does not affect corporate value (Hirdinis, 2019). In an ideal capital market, debt-equity mix adjustments </w:t>
      </w:r>
      <w:r w:rsidR="00FF7281">
        <w:lastRenderedPageBreak/>
        <w:t>do not affect firm value. Businesses should prioritize operational efficiency and profitability over capital structure.</w:t>
      </w:r>
    </w:p>
    <w:p w14:paraId="2BE42EEE" w14:textId="71C8DB97" w:rsidR="00FF7281" w:rsidRDefault="00FF7281" w:rsidP="005C7384">
      <w:pPr>
        <w:spacing w:before="240" w:line="360" w:lineRule="auto"/>
      </w:pPr>
      <w:r>
        <w:t xml:space="preserve">Many experts believe Proposition I's assumptions about flawless capital markets, no taxes, </w:t>
      </w:r>
      <w:r w:rsidR="00493130">
        <w:t xml:space="preserve">and </w:t>
      </w:r>
      <w:r>
        <w:t xml:space="preserve">zero bankruptcy expenses are unachievable. Taxes influence real-world capital structure decisions. So, we reach </w:t>
      </w:r>
      <w:r w:rsidR="00493130">
        <w:t xml:space="preserve">the </w:t>
      </w:r>
      <w:r>
        <w:t>MM theorem Proposition II.</w:t>
      </w:r>
    </w:p>
    <w:p w14:paraId="6BE92B76" w14:textId="77777777" w:rsidR="00FF7281" w:rsidRDefault="00FF7281" w:rsidP="005C7384">
      <w:pPr>
        <w:spacing w:before="240" w:line="360" w:lineRule="auto"/>
      </w:pPr>
      <w:r>
        <w:t>Proposition II examines how corporate taxes affect capital structure decisions. Debt financing can boost a company's value when corporation taxes are in effect because interest payments are tax-deductible. The weighted average cost of capital (WACC) falls as a company's debt increases, increasing its value (Mariani et al., 2021). Debt has a lower after-tax cost than equity since interest payments are tax-deductible.</w:t>
      </w:r>
    </w:p>
    <w:p w14:paraId="6B354740" w14:textId="77777777" w:rsidR="00FF7281" w:rsidRDefault="00FF7281" w:rsidP="005C7384">
      <w:pPr>
        <w:spacing w:before="240" w:line="360" w:lineRule="auto"/>
      </w:pPr>
      <w:r>
        <w:t>Proposition II advises enterprises to balance debt and equity financing. This reduces capital costs and boosts firm value. However, high leverage can increase the danger of financial issues and insolvency, negating debt financing's benefits. When selecting their best capital structure, corporations must consider both the tax benefits and financial hazards of borrowing.</w:t>
      </w:r>
    </w:p>
    <w:p w14:paraId="007117D9" w14:textId="75FB45FA" w:rsidR="00FF7281" w:rsidRPr="00FF7281" w:rsidRDefault="00FF7281" w:rsidP="005C7384">
      <w:pPr>
        <w:spacing w:before="240" w:line="360" w:lineRule="auto"/>
      </w:pPr>
      <w:r>
        <w:t>Capital structure and business value are linked by the Modigliani-Miller theorem, which emphasises the role of taxation and financial risk in capital structure selection. The MM theorem is important in corporate finance even though ideal capital markets may not match reality. It continues to shape capital structure management research and practice.</w:t>
      </w:r>
    </w:p>
    <w:p w14:paraId="5E30FDC4" w14:textId="4211EE43" w:rsidR="004F54E5" w:rsidRDefault="00E604E4" w:rsidP="005C7384">
      <w:pPr>
        <w:pStyle w:val="Heading2"/>
        <w:spacing w:before="240" w:line="360" w:lineRule="auto"/>
      </w:pPr>
      <w:bookmarkStart w:id="12" w:name="_Toc164428978"/>
      <w:r>
        <w:t>S</w:t>
      </w:r>
      <w:r w:rsidR="004F54E5">
        <w:t>elected capital structure</w:t>
      </w:r>
      <w:bookmarkEnd w:id="12"/>
    </w:p>
    <w:p w14:paraId="45530EA6" w14:textId="77777777" w:rsidR="00FF7281" w:rsidRDefault="00FF7281" w:rsidP="005C7384">
      <w:pPr>
        <w:spacing w:before="240" w:line="360" w:lineRule="auto"/>
      </w:pPr>
      <w:r>
        <w:t>Tesla's capital structure can be analyzed using the Modigliani-Miller (MM) theorem. Tesla is known for its electric cars and renewable energy solutions in a competitive and fast-changing business. Comparing Tesla's financial statements to the MM theorem helps us understand how its capital structure fits this theoretical framework.</w:t>
      </w:r>
    </w:p>
    <w:p w14:paraId="1E65E055" w14:textId="77777777" w:rsidR="00FF7281" w:rsidRDefault="00FF7281" w:rsidP="005C7384">
      <w:pPr>
        <w:spacing w:before="240" w:line="360" w:lineRule="auto"/>
      </w:pPr>
      <w:r>
        <w:t>Proposal I: Capital Structure Irrelevant</w:t>
      </w:r>
    </w:p>
    <w:p w14:paraId="455BD12E" w14:textId="77777777" w:rsidR="00FF7281" w:rsidRDefault="00FF7281" w:rsidP="005C7384">
      <w:pPr>
        <w:spacing w:before="240" w:line="360" w:lineRule="auto"/>
      </w:pPr>
      <w:r>
        <w:t xml:space="preserve">The first statement of the MM theorem states that a corporation's capital structure does not alter its value in a perfect capital market without taxes or bankruptcy expenses (Khan, 2021). However, the company's worth depends primarily on its main commercial activity and cash flows. Tesla's </w:t>
      </w:r>
      <w:r>
        <w:lastRenderedPageBreak/>
        <w:t>balance sheet shows that its total stockholders' equity has grown steadily, demonstrating shareholder ownership interest. Tesla's liabilities have climbed, but not as much as its equity.</w:t>
      </w:r>
    </w:p>
    <w:p w14:paraId="6E74A34E" w14:textId="419D2BDD" w:rsidR="00FF7281" w:rsidRDefault="00FF7281" w:rsidP="005C7384">
      <w:pPr>
        <w:spacing w:before="240" w:line="360" w:lineRule="auto"/>
      </w:pPr>
      <w:r>
        <w:t xml:space="preserve">The balance sheet shows Tesla's commitment to expansion, including expanding operations, investing in R&amp;D, and boosting manufacturing. These investments promote growth and innovation rather than capital structure optimization for financial leverage. Tesla prioritizes operational efficiency and strategic spending, supporting Proposition I. They emphasize these factors over </w:t>
      </w:r>
      <w:r w:rsidR="00493130">
        <w:t xml:space="preserve">the </w:t>
      </w:r>
      <w:r>
        <w:t>debt-equity combination.</w:t>
      </w:r>
    </w:p>
    <w:p w14:paraId="0BA9E020" w14:textId="6D8711A4" w:rsidR="00FF7281" w:rsidRDefault="00FF7281" w:rsidP="005C7384">
      <w:pPr>
        <w:spacing w:before="240" w:line="360" w:lineRule="auto"/>
      </w:pPr>
      <w:r>
        <w:t xml:space="preserve">Proposition II of the MM theorem illustrates how corporate taxes </w:t>
      </w:r>
      <w:r w:rsidR="00493130">
        <w:t>impact</w:t>
      </w:r>
      <w:r>
        <w:t xml:space="preserve"> capital structure decisions. When taxes are in effect, corporations may benefit from debt financing because they can deduct interest payments. Tesla's balance sheet shows how debt financing has affected taxes and the company's worth.</w:t>
      </w:r>
    </w:p>
    <w:p w14:paraId="0F07D79C" w14:textId="77777777" w:rsidR="00FF7281" w:rsidRDefault="00FF7281" w:rsidP="005C7384">
      <w:pPr>
        <w:spacing w:before="240" w:line="360" w:lineRule="auto"/>
      </w:pPr>
      <w:r>
        <w:t>Tesla's balance sheet shows it borrowed money for growth. The total debt may seem high, but Tesla's ability to pay must be assessed. This study considers operating cash flow, profitability, and growth potential. Tesla also deducts interest expenses, lowering its taxable income and tax responsibilities (CAPITAL STRUCTURE THEORIES: REVIEW OF LITERATURE, 2022).</w:t>
      </w:r>
    </w:p>
    <w:p w14:paraId="3AE7470D" w14:textId="77777777" w:rsidR="00FF7281" w:rsidRDefault="00FF7281" w:rsidP="005C7384">
      <w:pPr>
        <w:spacing w:before="240" w:line="360" w:lineRule="auto"/>
      </w:pPr>
      <w:r>
        <w:t>Tesla's balance sheet shows careful debt management. By carefully balancing debt and equity funding, the company has maintained a balanced capital structure. This strategy has helped the corporation avoid undue leverage and financial instability. Tesla's conservative approach to capital structure optimization reduces the cost of capital and financial risk, following Proposition II.</w:t>
      </w:r>
    </w:p>
    <w:p w14:paraId="0443A65E" w14:textId="559D8D38" w:rsidR="00FF7281" w:rsidRPr="00FF7281" w:rsidRDefault="00FF7281" w:rsidP="005C7384">
      <w:pPr>
        <w:spacing w:before="240" w:line="360" w:lineRule="auto"/>
      </w:pPr>
      <w:r>
        <w:t>In conclusion, Tesla's capital structure is a sophisticated Modigliani-Miller theorem implementation. Tesla intentionally uses debt to drive development and innovation. Company priorities include operational efficiency, shareholder value, and risk management. Tesla follows the MM theorem to optimize its capital structure. We seek to improve long-term sustainability and value creation in a dynamic and competitive market (Hossain, 2021).</w:t>
      </w:r>
    </w:p>
    <w:p w14:paraId="49C704AE" w14:textId="77777777" w:rsidR="008938FB" w:rsidRDefault="008938FB" w:rsidP="005C7384">
      <w:pPr>
        <w:keepNext/>
        <w:spacing w:before="240" w:line="360" w:lineRule="auto"/>
      </w:pPr>
      <w:r w:rsidRPr="008938FB">
        <w:rPr>
          <w:noProof/>
        </w:rPr>
        <w:lastRenderedPageBreak/>
        <w:drawing>
          <wp:inline distT="0" distB="0" distL="0" distR="0" wp14:anchorId="1EDAE70D" wp14:editId="5D077C3A">
            <wp:extent cx="5936566" cy="3016250"/>
            <wp:effectExtent l="0" t="0" r="7620" b="0"/>
            <wp:docPr id="69338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89671" name=""/>
                    <pic:cNvPicPr/>
                  </pic:nvPicPr>
                  <pic:blipFill>
                    <a:blip r:embed="rId12"/>
                    <a:stretch>
                      <a:fillRect/>
                    </a:stretch>
                  </pic:blipFill>
                  <pic:spPr>
                    <a:xfrm>
                      <a:off x="0" y="0"/>
                      <a:ext cx="5941871" cy="3018945"/>
                    </a:xfrm>
                    <a:prstGeom prst="rect">
                      <a:avLst/>
                    </a:prstGeom>
                  </pic:spPr>
                </pic:pic>
              </a:graphicData>
            </a:graphic>
          </wp:inline>
        </w:drawing>
      </w:r>
    </w:p>
    <w:p w14:paraId="739C7365" w14:textId="03DAC758" w:rsidR="001D7D97" w:rsidRDefault="008938FB" w:rsidP="005C7384">
      <w:pPr>
        <w:pStyle w:val="Caption"/>
        <w:spacing w:before="240" w:line="360" w:lineRule="auto"/>
      </w:pPr>
      <w:r>
        <w:t xml:space="preserve">Figure </w:t>
      </w:r>
      <w:r>
        <w:fldChar w:fldCharType="begin"/>
      </w:r>
      <w:r>
        <w:instrText xml:space="preserve"> SEQ Figure \* ARABIC </w:instrText>
      </w:r>
      <w:r>
        <w:fldChar w:fldCharType="separate"/>
      </w:r>
      <w:r w:rsidR="002D731A">
        <w:rPr>
          <w:noProof/>
        </w:rPr>
        <w:t>6</w:t>
      </w:r>
      <w:r>
        <w:fldChar w:fldCharType="end"/>
      </w:r>
      <w:r>
        <w:t xml:space="preserve"> Capital Structure </w:t>
      </w:r>
      <w:r w:rsidRPr="000006BE">
        <w:t xml:space="preserve">(fullratio.com, </w:t>
      </w:r>
      <w:r w:rsidR="00E604E4">
        <w:t>2024</w:t>
      </w:r>
      <w:r w:rsidRPr="000006BE">
        <w:t>)</w:t>
      </w:r>
    </w:p>
    <w:p w14:paraId="209F0BB9" w14:textId="717BC78E" w:rsidR="004F54E5" w:rsidRDefault="004F54E5" w:rsidP="005C7384">
      <w:pPr>
        <w:pStyle w:val="Heading2"/>
        <w:spacing w:before="240" w:line="360" w:lineRule="auto"/>
      </w:pPr>
      <w:bookmarkStart w:id="13" w:name="_Toc164428979"/>
      <w:r>
        <w:t xml:space="preserve">Download </w:t>
      </w:r>
      <w:r w:rsidR="00493130">
        <w:t xml:space="preserve">the </w:t>
      </w:r>
      <w:r>
        <w:t xml:space="preserve">monthly share prices of the company and calculate </w:t>
      </w:r>
      <w:r w:rsidR="00493130">
        <w:t xml:space="preserve">the </w:t>
      </w:r>
      <w:r>
        <w:t>average annual</w:t>
      </w:r>
      <w:bookmarkEnd w:id="13"/>
    </w:p>
    <w:p w14:paraId="64743DA0" w14:textId="77777777" w:rsidR="001D7D97" w:rsidRDefault="001D7D97" w:rsidP="005C7384">
      <w:pPr>
        <w:spacing w:before="240" w:line="360" w:lineRule="auto"/>
      </w:pPr>
      <w:r>
        <w:t>The provided information includes the adjusted closing prices and monthly returns of a specific company spanning from May 2018 to April 2023. Let's analyze this data to evaluate the firm's performance within the framework of the Modigliani-Miller (MM) theorem, with a particular emphasis on its decisions regarding capital structure and their potential impact on the company's value for its shareholders.</w:t>
      </w:r>
    </w:p>
    <w:p w14:paraId="239E70FB" w14:textId="77777777" w:rsidR="001D7D97" w:rsidRPr="008C22A5" w:rsidRDefault="001D7D97" w:rsidP="005C7384">
      <w:pPr>
        <w:spacing w:before="240" w:line="360" w:lineRule="auto"/>
        <w:rPr>
          <w:i/>
          <w:iCs/>
        </w:rPr>
      </w:pPr>
      <w:r w:rsidRPr="008C22A5">
        <w:rPr>
          <w:i/>
          <w:iCs/>
        </w:rPr>
        <w:t>Overview of Adjusted Close Prices and Monthly Returns:</w:t>
      </w:r>
    </w:p>
    <w:p w14:paraId="59410D36" w14:textId="4F6A22C7" w:rsidR="001D7D97" w:rsidRDefault="001D7D97" w:rsidP="005C7384">
      <w:pPr>
        <w:spacing w:before="240" w:line="360" w:lineRule="auto"/>
      </w:pPr>
      <w:r>
        <w:t>The adjusted close prices of the selected company exhibit significant fluctuations over the course of the observation period. The rates started at $18.982 in May 2018 and fluctuated over time. The price experienced a peak of $381.58667 in November 2021, followed by a decline to $123.18 in December 2022, and subsequently rebounded to $207.460007 in March 2023</w:t>
      </w:r>
      <w:r w:rsidR="006809BD">
        <w:t xml:space="preserve"> </w:t>
      </w:r>
      <w:r w:rsidR="006809BD" w:rsidRPr="006809BD">
        <w:t xml:space="preserve">(finance.yahoo.com, </w:t>
      </w:r>
      <w:r w:rsidR="00E604E4">
        <w:t>2024</w:t>
      </w:r>
      <w:r w:rsidR="006809BD" w:rsidRPr="006809BD">
        <w:t>)</w:t>
      </w:r>
      <w:r>
        <w:t>.</w:t>
      </w:r>
    </w:p>
    <w:p w14:paraId="2FA4BAF1" w14:textId="207C90A5" w:rsidR="001D7D97" w:rsidRDefault="001D7D97" w:rsidP="005C7384">
      <w:pPr>
        <w:spacing w:before="240" w:line="360" w:lineRule="auto"/>
      </w:pPr>
      <w:r>
        <w:t xml:space="preserve">After examining the monthly returns, it is clear that there is a mix of positive and negative returns consistently seen throughout the entire period. Some months experience significant increases, while others go through noteworthy decreases. For instance, the company achieved a return of </w:t>
      </w:r>
      <w:r>
        <w:lastRenderedPageBreak/>
        <w:t>0.741 in July 2020, indicating a significant increase in shareholder value. On the other hand, there was a negative return of -1 in April 2023, which suggests a substantial financial loss for investors</w:t>
      </w:r>
      <w:r w:rsidR="006809BD">
        <w:t xml:space="preserve"> </w:t>
      </w:r>
      <w:r w:rsidR="006809BD" w:rsidRPr="006809BD">
        <w:t>(Vega, 2021)</w:t>
      </w:r>
      <w:r>
        <w:t>.</w:t>
      </w:r>
    </w:p>
    <w:p w14:paraId="0AC4C3B0" w14:textId="77777777" w:rsidR="001D7D97" w:rsidRPr="008C22A5" w:rsidRDefault="001D7D97" w:rsidP="005C7384">
      <w:pPr>
        <w:spacing w:before="240" w:line="360" w:lineRule="auto"/>
        <w:rPr>
          <w:i/>
          <w:iCs/>
        </w:rPr>
      </w:pPr>
      <w:r w:rsidRPr="008C22A5">
        <w:rPr>
          <w:i/>
          <w:iCs/>
        </w:rPr>
        <w:t>Application of the Modigliani-Miller Theorem:</w:t>
      </w:r>
    </w:p>
    <w:p w14:paraId="79B1A065" w14:textId="77777777" w:rsidR="001D7D97" w:rsidRDefault="001D7D97" w:rsidP="005C7384">
      <w:pPr>
        <w:spacing w:before="240" w:line="360" w:lineRule="auto"/>
      </w:pPr>
      <w:r>
        <w:t>Proposal I: The Irrelevance of Capital Structure</w:t>
      </w:r>
    </w:p>
    <w:p w14:paraId="71615E5B" w14:textId="77777777" w:rsidR="00514CD7" w:rsidRDefault="001D7D97" w:rsidP="005C7384">
      <w:pPr>
        <w:spacing w:before="240" w:line="360" w:lineRule="auto"/>
      </w:pPr>
      <w:r>
        <w:t xml:space="preserve">Based on Proposition I of the MM theorem, it is suggested that the value of a corporation is not influenced by its capital structure in a perfect market. </w:t>
      </w:r>
      <w:r w:rsidR="00514CD7">
        <w:t>A company's stock prices and earnings may not be driven by capital structure changes. Market factors like industry trends, macroeconomic conditions, and corporate advancements cause these shifts.</w:t>
      </w:r>
    </w:p>
    <w:p w14:paraId="3F6DAA77" w14:textId="77777777" w:rsidR="00514CD7" w:rsidRDefault="00514CD7" w:rsidP="005C7384">
      <w:pPr>
        <w:spacing w:before="240" w:line="360" w:lineRule="auto"/>
      </w:pPr>
      <w:r>
        <w:t>Company stock prices may not reflect capital structure changes. It may reveal investors' opinions on the company's future, competitiveness, and market outlook.</w:t>
      </w:r>
    </w:p>
    <w:p w14:paraId="6D31762A" w14:textId="77777777" w:rsidR="00514CD7" w:rsidRDefault="00514CD7" w:rsidP="005C7384">
      <w:pPr>
        <w:spacing w:before="240" w:line="360" w:lineRule="auto"/>
      </w:pPr>
      <w:r>
        <w:t>Proposition II: Taxes and Company Capital Structure</w:t>
      </w:r>
    </w:p>
    <w:p w14:paraId="1342BEBA" w14:textId="712940B6" w:rsidR="00514CD7" w:rsidRDefault="00514CD7" w:rsidP="005C7384">
      <w:pPr>
        <w:spacing w:before="240" w:line="360" w:lineRule="auto"/>
      </w:pPr>
      <w:r>
        <w:t>Proposition II of the Modigliani-Miller theorem shows how taxes affect capital structure. The data does not address the company's tax implications, but they may alter its financing and capital structure. Companies evaluate debt financing's tax benefits, such interest deductibility, when capital structuring. The organization's finances, risk-taking, and long-term goals influence these decisions.</w:t>
      </w:r>
    </w:p>
    <w:p w14:paraId="204D6F35" w14:textId="029B8E7C" w:rsidR="001D7D97" w:rsidRDefault="00514CD7" w:rsidP="005C7384">
      <w:pPr>
        <w:spacing w:before="240" w:line="360" w:lineRule="auto"/>
      </w:pPr>
      <w:r>
        <w:t>Finally, the data sheds light on the company's stock prices and returns. Unknown are the company's capital structure decisions. The Modigliani-Miller theorem suggests that variables other than capital structure can affect stock prices and returns. Market dynamics and investor sentiment are examples. Thus, the company's capital structure and shareholder value require a comprehensive financial and strategic analysis (Netcials, 2024).</w:t>
      </w:r>
    </w:p>
    <w:p w14:paraId="41760B4F" w14:textId="77777777" w:rsidR="008C22A5" w:rsidRDefault="008C22A5" w:rsidP="005C7384">
      <w:pPr>
        <w:keepNext/>
        <w:spacing w:before="240" w:line="360" w:lineRule="auto"/>
      </w:pPr>
      <w:r>
        <w:rPr>
          <w:noProof/>
        </w:rPr>
        <w:lastRenderedPageBreak/>
        <w:drawing>
          <wp:inline distT="0" distB="0" distL="0" distR="0" wp14:anchorId="59A359FE" wp14:editId="4D82A095">
            <wp:extent cx="5802923" cy="2743200"/>
            <wp:effectExtent l="0" t="0" r="7620" b="0"/>
            <wp:docPr id="1623790292" name="Chart 1">
              <a:extLst xmlns:a="http://schemas.openxmlformats.org/drawingml/2006/main">
                <a:ext uri="{FF2B5EF4-FFF2-40B4-BE49-F238E27FC236}">
                  <a16:creationId xmlns:a16="http://schemas.microsoft.com/office/drawing/2014/main" id="{E209533D-FC95-6212-7158-9ACDA3CC78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607AFE" w14:textId="11E85528" w:rsidR="008C22A5" w:rsidRDefault="008C22A5" w:rsidP="005C7384">
      <w:pPr>
        <w:pStyle w:val="Caption"/>
        <w:spacing w:before="240" w:line="360" w:lineRule="auto"/>
      </w:pPr>
      <w:r>
        <w:t xml:space="preserve">Figure </w:t>
      </w:r>
      <w:r>
        <w:fldChar w:fldCharType="begin"/>
      </w:r>
      <w:r>
        <w:instrText xml:space="preserve"> SEQ Figure \* ARABIC </w:instrText>
      </w:r>
      <w:r>
        <w:fldChar w:fldCharType="separate"/>
      </w:r>
      <w:r w:rsidR="002D731A">
        <w:rPr>
          <w:noProof/>
        </w:rPr>
        <w:t>7</w:t>
      </w:r>
      <w:r>
        <w:fldChar w:fldCharType="end"/>
      </w:r>
      <w:r>
        <w:t xml:space="preserve"> Stock Price and Return (</w:t>
      </w:r>
      <w:r w:rsidR="00493130">
        <w:t>Self-Created</w:t>
      </w:r>
      <w:r>
        <w:t>)</w:t>
      </w:r>
    </w:p>
    <w:p w14:paraId="3D340713" w14:textId="77777777" w:rsidR="008C22A5" w:rsidRDefault="008C22A5" w:rsidP="005C7384">
      <w:pPr>
        <w:keepNext/>
        <w:spacing w:before="240" w:line="360" w:lineRule="auto"/>
      </w:pPr>
      <w:r w:rsidRPr="008C22A5">
        <w:rPr>
          <w:noProof/>
        </w:rPr>
        <w:drawing>
          <wp:inline distT="0" distB="0" distL="0" distR="0" wp14:anchorId="60F7603C" wp14:editId="53C9A5D2">
            <wp:extent cx="5943600" cy="2277745"/>
            <wp:effectExtent l="0" t="0" r="0" b="8255"/>
            <wp:docPr id="1700892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92688" name=""/>
                    <pic:cNvPicPr/>
                  </pic:nvPicPr>
                  <pic:blipFill>
                    <a:blip r:embed="rId14"/>
                    <a:stretch>
                      <a:fillRect/>
                    </a:stretch>
                  </pic:blipFill>
                  <pic:spPr>
                    <a:xfrm>
                      <a:off x="0" y="0"/>
                      <a:ext cx="5943600" cy="2277745"/>
                    </a:xfrm>
                    <a:prstGeom prst="rect">
                      <a:avLst/>
                    </a:prstGeom>
                  </pic:spPr>
                </pic:pic>
              </a:graphicData>
            </a:graphic>
          </wp:inline>
        </w:drawing>
      </w:r>
    </w:p>
    <w:p w14:paraId="3B5EACCC" w14:textId="3BAE4006" w:rsidR="006256AB" w:rsidRDefault="008C22A5" w:rsidP="005C7384">
      <w:pPr>
        <w:pStyle w:val="Caption"/>
        <w:spacing w:before="240" w:line="360" w:lineRule="auto"/>
      </w:pPr>
      <w:r>
        <w:t xml:space="preserve">Figure </w:t>
      </w:r>
      <w:r>
        <w:fldChar w:fldCharType="begin"/>
      </w:r>
      <w:r>
        <w:instrText xml:space="preserve"> SEQ Figure \* ARABIC </w:instrText>
      </w:r>
      <w:r>
        <w:fldChar w:fldCharType="separate"/>
      </w:r>
      <w:r w:rsidR="002D731A">
        <w:rPr>
          <w:noProof/>
        </w:rPr>
        <w:t>8</w:t>
      </w:r>
      <w:r>
        <w:fldChar w:fldCharType="end"/>
      </w:r>
      <w:r>
        <w:t xml:space="preserve">  </w:t>
      </w:r>
      <w:r w:rsidR="00493130">
        <w:t>5-year</w:t>
      </w:r>
      <w:r>
        <w:t xml:space="preserve"> stock price </w:t>
      </w:r>
      <w:r w:rsidRPr="00EA52AE">
        <w:t xml:space="preserve">(fullratio.com, </w:t>
      </w:r>
      <w:r w:rsidR="00E604E4">
        <w:t>2024</w:t>
      </w:r>
      <w:r w:rsidRPr="00EA52AE">
        <w:t>)</w:t>
      </w:r>
    </w:p>
    <w:p w14:paraId="3A17D1C5" w14:textId="0D583EED" w:rsidR="006256AB" w:rsidRDefault="007B5653" w:rsidP="005C7384">
      <w:pPr>
        <w:pStyle w:val="Heading1"/>
        <w:spacing w:before="240" w:line="360" w:lineRule="auto"/>
        <w:jc w:val="both"/>
      </w:pPr>
      <w:bookmarkStart w:id="14" w:name="_Toc164428980"/>
      <w:r>
        <w:t>Part C</w:t>
      </w:r>
      <w:bookmarkEnd w:id="14"/>
    </w:p>
    <w:p w14:paraId="7AB92611" w14:textId="5A1507AA" w:rsidR="006256AB" w:rsidRDefault="006256AB" w:rsidP="005C7384">
      <w:pPr>
        <w:pStyle w:val="Heading2"/>
        <w:spacing w:before="240" w:line="360" w:lineRule="auto"/>
      </w:pPr>
      <w:r>
        <w:t xml:space="preserve"> </w:t>
      </w:r>
      <w:bookmarkStart w:id="15" w:name="_Toc164428981"/>
      <w:r>
        <w:t>The purpose(s), aims and expected outcomes of this investment.</w:t>
      </w:r>
      <w:bookmarkEnd w:id="15"/>
    </w:p>
    <w:p w14:paraId="543D8175" w14:textId="77777777" w:rsidR="001D7D97" w:rsidRDefault="001D7D97" w:rsidP="005C7384">
      <w:pPr>
        <w:spacing w:before="240" w:line="360" w:lineRule="auto"/>
      </w:pPr>
      <w:r>
        <w:t>Over the past five years, Tesla has made substantial investments in the construction of Gigafactories, including Gigafactory Shanghai and Gigafactory Berlin. Now, let's delve into the purpose, objectives, and expected outcomes of these significant investments:</w:t>
      </w:r>
    </w:p>
    <w:p w14:paraId="16098B6A" w14:textId="77777777" w:rsidR="001D7D97" w:rsidRDefault="001D7D97" w:rsidP="005C7384">
      <w:pPr>
        <w:spacing w:before="240" w:line="360" w:lineRule="auto"/>
      </w:pPr>
      <w:r>
        <w:lastRenderedPageBreak/>
        <w:t>Tesla's Gigafactories are strategically designed to meet the increasing global demand for electric cars (EVs) and batteries by expanding their manufacturing capabilities. Tesla is strategically establishing manufacturing facilities in key markets to reduce production costs, enhance supply chain efficiency, and navigate trade restrictions and tariffs.</w:t>
      </w:r>
    </w:p>
    <w:p w14:paraId="3B51CAFE" w14:textId="79E53616" w:rsidR="001D7D97" w:rsidRDefault="001D7D97" w:rsidP="005C7384">
      <w:pPr>
        <w:spacing w:before="240" w:line="360" w:lineRule="auto"/>
      </w:pPr>
      <w:r>
        <w:t>Tesla's are carefully designed to significantly increase the company's manufacturing capabilities for electric vehicles and battery packs. Tesla is strategically ramping up production to meet the growing demand for its vehicles. By leveraging economies of scale and advanced manufacturing technology, the company aims to maintain its commitment to delivering high-quality products</w:t>
      </w:r>
      <w:r w:rsidR="006809BD">
        <w:t xml:space="preserve"> </w:t>
      </w:r>
      <w:r w:rsidR="006809BD" w:rsidRPr="006809BD">
        <w:t>(Tesla Inc., 2022)</w:t>
      </w:r>
      <w:r>
        <w:t>.</w:t>
      </w:r>
    </w:p>
    <w:p w14:paraId="442D8897" w14:textId="77777777" w:rsidR="00514CD7" w:rsidRDefault="001D7D97" w:rsidP="005C7384">
      <w:pPr>
        <w:spacing w:before="240" w:line="360" w:lineRule="auto"/>
      </w:pPr>
      <w:r>
        <w:t xml:space="preserve">Localization: Through the establishment of Gigafactories in different regions, Tesla can achieve local production, resulting in reduced shipping costs and shorter delivery times. </w:t>
      </w:r>
      <w:r w:rsidR="00514CD7">
        <w:t>With the Gigafactory in Shanghai, Tesla entered the rich Chinese market to better meet local demand and compete with Chinese companies that make electric cars.</w:t>
      </w:r>
    </w:p>
    <w:p w14:paraId="365829B3" w14:textId="21DDE5D8" w:rsidR="001D7D97" w:rsidRDefault="00514CD7" w:rsidP="005C7384">
      <w:pPr>
        <w:spacing w:before="240" w:line="360" w:lineRule="auto"/>
      </w:pPr>
      <w:r>
        <w:t>Tesla cuts costs by using economies of scale and vertical integration. Tesla's Gigafactories make batteries, electric motors, and other parts in-house. This makes the company less reliant on outside sources, which lowers production costs and could lead to lower prices for electric cars.</w:t>
      </w:r>
    </w:p>
    <w:p w14:paraId="6F448D98" w14:textId="77777777" w:rsidR="001D7D97" w:rsidRDefault="001D7D97" w:rsidP="005C7384">
      <w:pPr>
        <w:spacing w:before="240" w:line="360" w:lineRule="auto"/>
        <w:rPr>
          <w:i/>
          <w:iCs/>
        </w:rPr>
      </w:pPr>
      <w:r w:rsidRPr="008C22A5">
        <w:rPr>
          <w:i/>
          <w:iCs/>
        </w:rPr>
        <w:t>Expected Outcome:</w:t>
      </w:r>
    </w:p>
    <w:p w14:paraId="1150A3BB" w14:textId="77777777" w:rsidR="00514CD7" w:rsidRPr="00514CD7" w:rsidRDefault="00514CD7" w:rsidP="005C7384">
      <w:pPr>
        <w:spacing w:before="240" w:line="360" w:lineRule="auto"/>
      </w:pPr>
      <w:r w:rsidRPr="00514CD7">
        <w:t>Gigafactories will improve Tesla's production capacity, letting it keep up with orders and the growing demand for electric cars. Better production is important for Tesla's long-term growth and market development.</w:t>
      </w:r>
    </w:p>
    <w:p w14:paraId="5DA5FF65" w14:textId="77777777" w:rsidR="00514CD7" w:rsidRPr="00514CD7" w:rsidRDefault="00514CD7" w:rsidP="005C7384">
      <w:pPr>
        <w:spacing w:before="240" w:line="360" w:lineRule="auto"/>
      </w:pPr>
      <w:r w:rsidRPr="00514CD7">
        <w:t>Tesla wants to make more money by cutting costs and taking advantage of economies of scale. Using gigafactories, Tesla can make the best use of resources, speed up production, and raise car profit margins.</w:t>
      </w:r>
    </w:p>
    <w:p w14:paraId="4443A3F4" w14:textId="77777777" w:rsidR="00514CD7" w:rsidRPr="00514CD7" w:rsidRDefault="00514CD7" w:rsidP="005C7384">
      <w:pPr>
        <w:spacing w:before="240" w:line="360" w:lineRule="auto"/>
      </w:pPr>
      <w:r w:rsidRPr="00514CD7">
        <w:t>Giant plants are an important part of Tesla's plan to enter new markets and grow around the world. Tesla can meet the tastes, rules, and wants of local customers because it can make cars in different areas. Tesla's position and ability to compete around the world get better.</w:t>
      </w:r>
    </w:p>
    <w:p w14:paraId="71F58E72" w14:textId="77777777" w:rsidR="00514CD7" w:rsidRPr="00514CD7" w:rsidRDefault="00514CD7" w:rsidP="005C7384">
      <w:pPr>
        <w:spacing w:before="240" w:line="360" w:lineRule="auto"/>
      </w:pPr>
      <w:r w:rsidRPr="00514CD7">
        <w:lastRenderedPageBreak/>
        <w:t>Tesla's Gigafactories encourage new ideas and care for the environment. Tesla puts money into modern manufacturing and clean energy to make output more efficient and long-lasting. The company wants to speed up the switch to clean energy around the world.</w:t>
      </w:r>
    </w:p>
    <w:p w14:paraId="13D8E199" w14:textId="1FD01539" w:rsidR="00514CD7" w:rsidRPr="00514CD7" w:rsidRDefault="00514CD7" w:rsidP="005C7384">
      <w:pPr>
        <w:spacing w:before="240" w:line="360" w:lineRule="auto"/>
      </w:pPr>
      <w:r w:rsidRPr="00514CD7">
        <w:t>In conclusion, Tesla's investment in Gigafactories shows that the company is focused on increasing production capacity, growing its market, lowering costs, and coming up with new ideas for electric cars. Tesla wants localized production sites to make the company more profitable, increase business efficiency, and speed up the transition to clean energy around the world.</w:t>
      </w:r>
    </w:p>
    <w:p w14:paraId="08B986AF" w14:textId="335BA4AF" w:rsidR="006E1DF0" w:rsidRDefault="006256AB" w:rsidP="005C7384">
      <w:pPr>
        <w:pStyle w:val="Heading2"/>
        <w:spacing w:before="240" w:line="360" w:lineRule="auto"/>
      </w:pPr>
      <w:bookmarkStart w:id="16" w:name="_Toc164428982"/>
      <w:r>
        <w:t>The size of the investment, and how it was financed.</w:t>
      </w:r>
      <w:bookmarkEnd w:id="16"/>
    </w:p>
    <w:p w14:paraId="39812650" w14:textId="77777777" w:rsidR="00514CD7" w:rsidRDefault="00514CD7" w:rsidP="005C7384">
      <w:pPr>
        <w:spacing w:line="360" w:lineRule="auto"/>
      </w:pPr>
      <w:r>
        <w:t>Tesla, Inc. makes electric vehicles (EVs) and offers many other things and services as well. The business sells electric cars, systems that make and store energy, repair centers for cars, body shops, and charging stations.</w:t>
      </w:r>
    </w:p>
    <w:p w14:paraId="2AA7A281" w14:textId="77777777" w:rsidR="00514CD7" w:rsidRDefault="00514CD7" w:rsidP="005C7384">
      <w:pPr>
        <w:spacing w:line="360" w:lineRule="auto"/>
      </w:pPr>
      <w:r>
        <w:t>The company has $16.4 billion in cash and cash equivalents and $12.7 billion in short-term assets as of December 31, 2023. The company had $5.03 billion in committed credit that had not been used when the period finished. Tesla makes money from running activities like selling and maintaining cars, installing energy storage and solar energy systems, and giving loans and stock to people.</w:t>
      </w:r>
    </w:p>
    <w:p w14:paraId="7C1207BA" w14:textId="77777777" w:rsidR="00514CD7" w:rsidRDefault="00514CD7" w:rsidP="005C7384">
      <w:pPr>
        <w:spacing w:line="360" w:lineRule="auto"/>
      </w:pPr>
      <w:r>
        <w:t>Tesla's strategic goals are to invest in U.S. government securities and other investments, expand its product line, and offer financing to consumers. These goals guide Tesla's financial choices. The business has also gotten money from loans and stock sales. In 2008, Tesla Motors got a $40 million loan to speed up the production of the Roadster and grow its business supplying electric powertrains.</w:t>
      </w:r>
    </w:p>
    <w:p w14:paraId="5ABF54BE" w14:textId="77777777" w:rsidR="00514CD7" w:rsidRDefault="00514CD7" w:rsidP="005C7384">
      <w:pPr>
        <w:spacing w:line="360" w:lineRule="auto"/>
      </w:pPr>
      <w:r>
        <w:t>Elon Musk, the CEO of Tesla, has raised $44 billion for his projects, such as his plan to buy Twitter Inc. Lawrence Ellison, a Saudi Prince, and Sequoia Capital gave Musk $7.1 billion in May 2022. With the cash, Musk paid down his Tesla share-backed margin debt. This made the deal less risky for Musk and his lenders.</w:t>
      </w:r>
    </w:p>
    <w:p w14:paraId="7922E5B2" w14:textId="77777777" w:rsidR="00514CD7" w:rsidRDefault="00514CD7" w:rsidP="005C7384">
      <w:pPr>
        <w:spacing w:line="360" w:lineRule="auto"/>
      </w:pPr>
      <w:r>
        <w:t xml:space="preserve">In impact investment, Tesla's goal of speeding up the switch to renewable energy around the world is similar to the goal of sustainable finance. But the company has had problems with labor, human rights, and government, which may worry ESG investors. An impact investing firm called Triodos </w:t>
      </w:r>
      <w:r>
        <w:lastRenderedPageBreak/>
        <w:t>Investing Management had to look at Tesla's ESG performance and social and environmental effects before putting money into the company.</w:t>
      </w:r>
    </w:p>
    <w:p w14:paraId="5F22D143" w14:textId="4AD2D45A" w:rsidR="00514CD7" w:rsidRPr="00514CD7" w:rsidRDefault="00514CD7" w:rsidP="005C7384">
      <w:pPr>
        <w:spacing w:line="360" w:lineRule="auto"/>
      </w:pPr>
      <w:r>
        <w:t>Tesla has made financial decisions based on its long-term goals to give more products, invest in U.S. government bonds, and offer consumer financing. The company has been able to get money by borrowing and selling stock. A number of investors have promised to give the company a lot of money to help it reach its business goals. Investors in sustainable finance and social effect may be worried about how well the company does in terms of ESG.</w:t>
      </w:r>
    </w:p>
    <w:p w14:paraId="238BDD48" w14:textId="0BB1EA0C" w:rsidR="006256AB" w:rsidRDefault="006256AB" w:rsidP="005C7384">
      <w:pPr>
        <w:pStyle w:val="Heading2"/>
        <w:spacing w:before="240" w:line="360" w:lineRule="auto"/>
      </w:pPr>
      <w:bookmarkStart w:id="17" w:name="_Toc164428983"/>
      <w:r>
        <w:t>The feasibility of the investment, in terms of its current business</w:t>
      </w:r>
      <w:bookmarkEnd w:id="17"/>
    </w:p>
    <w:p w14:paraId="60A49F34" w14:textId="0000F783" w:rsidR="001D7D97" w:rsidRDefault="001D7D97" w:rsidP="005C7384">
      <w:pPr>
        <w:spacing w:before="240" w:line="360" w:lineRule="auto"/>
      </w:pPr>
      <w:r>
        <w:t xml:space="preserve">Investing in Tesla's potential success depends on various factors, including the company's financial position, business approach, and the market's appetite for electric vehicles (EVs). Tesla's financial position is robust, with a significant amount of cash and cash equivalents </w:t>
      </w:r>
      <w:r w:rsidR="00493130">
        <w:t>totalling</w:t>
      </w:r>
      <w:r>
        <w:t xml:space="preserve"> $16.4 billion, in addition to $12.7 billion in short-term investments as of December 31, 2023. In addition, the corporation had $5.03 billion in unutilized committed credit sums by the end of the mentioned period</w:t>
      </w:r>
      <w:r w:rsidR="00E604E4">
        <w:t xml:space="preserve"> </w:t>
      </w:r>
      <w:r w:rsidR="00E604E4" w:rsidRPr="00E604E4">
        <w:t>(Elon Musk Secures $7.1 Billion in New Financing for Twitter, 2022)</w:t>
      </w:r>
      <w:r>
        <w:t>.</w:t>
      </w:r>
    </w:p>
    <w:p w14:paraId="0E95B7BF" w14:textId="5F3BE77D" w:rsidR="001D7D97" w:rsidRDefault="001D7D97" w:rsidP="005C7384">
      <w:pPr>
        <w:spacing w:before="240" w:line="360" w:lineRule="auto"/>
      </w:pPr>
      <w:r>
        <w:t>Tesla's business model has successfully brought attractive electric cars to the market, including its claim of creating the "fastest car in the world," with the ability to go from 0 to 60 mph in just 1.9 seconds. The highly anticipated delivery of the new Roadster is expected to take place in 2023, accompanied by a starting price of $200,000. The company's unique business strategy, which focuses on retaining control over sales and service, has played a crucial role in its success since its initial public offering.</w:t>
      </w:r>
    </w:p>
    <w:p w14:paraId="1FD0AB4A" w14:textId="198841E5" w:rsidR="001D7D97" w:rsidRDefault="001D7D97" w:rsidP="005C7384">
      <w:pPr>
        <w:spacing w:before="240" w:line="360" w:lineRule="auto"/>
      </w:pPr>
      <w:r>
        <w:t>However, the widespread adoption of electric vehicles faces a significant challenge: the absence of convenient charging infrastructure for travel. Tesla plans to continue expanding its network of Supercharger stations across the United States, Europe, and Asia to address this concern.</w:t>
      </w:r>
    </w:p>
    <w:p w14:paraId="4D37267B" w14:textId="085F5521" w:rsidR="001D7D97" w:rsidRDefault="001D7D97" w:rsidP="005C7384">
      <w:pPr>
        <w:spacing w:before="240" w:line="360" w:lineRule="auto"/>
      </w:pPr>
      <w:r>
        <w:t>Tesla's financial performance has seen a significant improvement, with the company achieving its first annual profit in FY 2021. However, the company's cash flows from operating activities are significantly impacted by its cash investments to support the growth of its research and development, selling, general and administrative, and working capital.</w:t>
      </w:r>
    </w:p>
    <w:p w14:paraId="57CC2249" w14:textId="68D9F7F4" w:rsidR="001D7D97" w:rsidRDefault="001D7D97" w:rsidP="005C7384">
      <w:pPr>
        <w:spacing w:before="240" w:line="360" w:lineRule="auto"/>
      </w:pPr>
      <w:r>
        <w:lastRenderedPageBreak/>
        <w:t>Tesla has successfully secured funding through various means, including borrowing funds and issuing shares. Furthermore, the company has extended financing options for its vehicles across North America, Europe, and Asia. These options can be accessed primarily through financial institutions and the company's local subsidiaries in specific markets</w:t>
      </w:r>
      <w:r w:rsidR="00E604E4">
        <w:t xml:space="preserve"> </w:t>
      </w:r>
      <w:r w:rsidR="00E604E4" w:rsidRPr="00E604E4">
        <w:t xml:space="preserve">(www.imd.org, </w:t>
      </w:r>
      <w:r w:rsidR="00E604E4">
        <w:t>2024</w:t>
      </w:r>
      <w:r w:rsidR="00E604E4" w:rsidRPr="00E604E4">
        <w:t>)</w:t>
      </w:r>
      <w:r>
        <w:t>.</w:t>
      </w:r>
    </w:p>
    <w:p w14:paraId="7EDC1AEA" w14:textId="40EB4079" w:rsidR="001D7D97" w:rsidRDefault="00493130" w:rsidP="005C7384">
      <w:pPr>
        <w:spacing w:before="240" w:line="360" w:lineRule="auto"/>
      </w:pPr>
      <w:r>
        <w:t>To</w:t>
      </w:r>
      <w:r w:rsidR="001D7D97">
        <w:t xml:space="preserve"> assess the potential of investing in Tesla, it is crucial to take into account various factors including the company's financial position, business strategy, and the current demand for electric vehicles in the market. Despite Tesla's robust financial position and proven business strategy, the widespread adoption of electric vehicles faces a significant obstacle. To address this challenge, Tesla is actively expanding its network of Supercharger stations. The company has made significant progress in its financial performance, resulting in its first annual profit in FY 2021. However, the company's cash flows from operating activities are significantly impacted by its cash investments to support the growth of its research and development, selling, general and administrative, and working capital. When considering an investment in Tesla, it is crucial to carefully assess various factors, including the risks and rewards associated with the company's operations and the electric vehicle industry.</w:t>
      </w:r>
    </w:p>
    <w:p w14:paraId="5258B39F" w14:textId="46880376" w:rsidR="006256AB" w:rsidRDefault="006256AB" w:rsidP="005C7384">
      <w:pPr>
        <w:pStyle w:val="Heading2"/>
        <w:spacing w:before="240" w:line="360" w:lineRule="auto"/>
      </w:pPr>
      <w:bookmarkStart w:id="18" w:name="_Toc164428984"/>
      <w:r>
        <w:t>Current outcome of the investment</w:t>
      </w:r>
      <w:bookmarkEnd w:id="18"/>
    </w:p>
    <w:p w14:paraId="1A290F33" w14:textId="77777777" w:rsidR="00F64C8A" w:rsidRDefault="00F64C8A" w:rsidP="005C7384">
      <w:pPr>
        <w:spacing w:before="240" w:line="360" w:lineRule="auto"/>
      </w:pPr>
      <w:r>
        <w:t>Tesla has been invested successfully and not-successfully at different instances. The world's leading electric vehicle and energy storage company, Tesla Motors, was founded by Marc Tarpenning and Martin Eberhard in the year 2003. In 2008, Elon Musk, who had been one of the investors in the company, took over as the leader of the company. Axiom of greatness in Tesla is its involvements in hastening the transition into clean energy on a world scale. In 2008, Tesla has launched its first product called the Roadster and become a leading EV car company in the market now.</w:t>
      </w:r>
    </w:p>
    <w:p w14:paraId="028B8EA2" w14:textId="77777777" w:rsidR="00F64C8A" w:rsidRDefault="00F64C8A" w:rsidP="005C7384">
      <w:pPr>
        <w:spacing w:before="240" w:line="360" w:lineRule="auto"/>
      </w:pPr>
      <w:r>
        <w:t xml:space="preserve">Tesla's supply management, comparing to competitors using same strategies while multi-folding mass production and global recognition are the main factors that contributed to the success of EV market. The company runs 438 stores, gallery units and a hundred maintenance centers. However, they have rolled out 50,000 Superchargers all over the globe. Tesla's achievements in EV market are driving the company's shares to soaring heights. Investors may take advantage of this opportunity and generate returns settling for big money. The company must strive with both the </w:t>
      </w:r>
      <w:r>
        <w:lastRenderedPageBreak/>
        <w:t>automakers that have always been and the new EV opening. It possible to let the enterprise be relegated to the back burner (Castles, 2019).</w:t>
      </w:r>
    </w:p>
    <w:p w14:paraId="6E1557CD" w14:textId="77777777" w:rsidR="00F64C8A" w:rsidRDefault="00F64C8A" w:rsidP="005C7384">
      <w:pPr>
        <w:spacing w:before="240" w:line="360" w:lineRule="auto"/>
      </w:pPr>
      <w:r>
        <w:t>The ESG (Environmental, Social, and Governance) factors, the governance, labour and human rights problems, is what Tesla has been obligated to deal with. The sustainable financiers and the impact investors are usually distressed regarding such controversies. To achieve this Telsa, the company wants to boost the process of moving the world completely to green energy.</w:t>
      </w:r>
    </w:p>
    <w:p w14:paraId="0C1C1639" w14:textId="77777777" w:rsidR="00F64C8A" w:rsidRDefault="00F64C8A" w:rsidP="005C7384">
      <w:pPr>
        <w:spacing w:before="240" w:line="360" w:lineRule="auto"/>
      </w:pPr>
      <w:r>
        <w:t>Tesla's investment record has not been sinisterly frugal. For the reason that it is cost-effective in supply chain control, and for additional manufacturing capacity with minimum price, the organisation has fully participated in the electric vehicles (EV) market. The battle of Tesla for the lead of the automotive market is sharpened by both the traditional automakers and new EV makers. While ethical finance and impact investors admit the necessity of good governance, labor and human rights, they urge for cautiousness in making investment. However, Tesla's vision to speed up the transition of energy from the global unsustainable energy form is essential in their real success.</w:t>
      </w:r>
    </w:p>
    <w:p w14:paraId="2C8D51B0" w14:textId="77777777" w:rsidR="00F64C8A" w:rsidRDefault="00F64C8A" w:rsidP="005C7384">
      <w:pPr>
        <w:spacing w:before="240" w:line="360" w:lineRule="auto"/>
      </w:pPr>
    </w:p>
    <w:p w14:paraId="3781503F" w14:textId="5615A33C" w:rsidR="007B5653" w:rsidRDefault="007B5653" w:rsidP="005C7384">
      <w:pPr>
        <w:spacing w:before="240" w:line="360" w:lineRule="auto"/>
      </w:pPr>
      <w:r>
        <w:br w:type="page"/>
      </w:r>
    </w:p>
    <w:p w14:paraId="7701AC06" w14:textId="69307995" w:rsidR="007B5653" w:rsidRDefault="007B5653" w:rsidP="005C7384">
      <w:pPr>
        <w:pStyle w:val="Heading1"/>
        <w:spacing w:before="240" w:line="360" w:lineRule="auto"/>
        <w:jc w:val="both"/>
      </w:pPr>
      <w:bookmarkStart w:id="19" w:name="_Toc164428985"/>
      <w:r>
        <w:lastRenderedPageBreak/>
        <w:t>References</w:t>
      </w:r>
      <w:bookmarkEnd w:id="19"/>
    </w:p>
    <w:p w14:paraId="410D0857" w14:textId="77777777" w:rsidR="00E604E4" w:rsidRPr="00E604E4" w:rsidRDefault="00E604E4" w:rsidP="005C7384">
      <w:pPr>
        <w:spacing w:before="240" w:line="360" w:lineRule="auto"/>
        <w:rPr>
          <w:lang w:val="en-GB"/>
        </w:rPr>
      </w:pPr>
      <w:r>
        <w:t xml:space="preserve">Zheng, Z., 2024. Financial Analysis and Risk Study of Tesla Inc. Highlights in Business, </w:t>
      </w:r>
      <w:r>
        <w:rPr>
          <w:i/>
          <w:iCs/>
        </w:rPr>
        <w:t>Economics and Management</w:t>
      </w:r>
      <w:r>
        <w:t>, 24, pp.521-527. https://drpress.org/ojs/index.php/HBEM/article/download/16127/15649</w:t>
      </w:r>
      <w:r>
        <w:rPr>
          <w:lang w:val="en-GB"/>
        </w:rPr>
        <w:t xml:space="preserve"> </w:t>
      </w:r>
      <w:r>
        <w:t>2020: Record Deliveries and Stock Surge</w:t>
      </w:r>
    </w:p>
    <w:p w14:paraId="2C05D6E9" w14:textId="77777777" w:rsidR="00E604E4" w:rsidRDefault="00E604E4" w:rsidP="005C7384">
      <w:pPr>
        <w:pStyle w:val="NormalWeb"/>
        <w:spacing w:before="240" w:beforeAutospacing="0" w:after="240" w:afterAutospacing="0" w:line="360" w:lineRule="auto"/>
        <w:jc w:val="both"/>
      </w:pPr>
      <w:r>
        <w:t xml:space="preserve">Agung Tri Atidhira and Andi Ina Yustina (2017). The Influence of Return on Asset, Debt to Equity Ratio, Earnings per Share, and Company Size on Share Return in Property and Real Estate Companies. </w:t>
      </w:r>
      <w:r>
        <w:rPr>
          <w:i/>
          <w:iCs/>
        </w:rPr>
        <w:t>JAAF (Journal of Applied Accounting and Finance)</w:t>
      </w:r>
      <w:r>
        <w:t>, [online] 1(2), pp.128–146. doi:https://doi.org/10.33021/jaaf.v1i2.363.</w:t>
      </w:r>
    </w:p>
    <w:p w14:paraId="7712724C" w14:textId="77777777" w:rsidR="00E604E4" w:rsidRDefault="00E604E4" w:rsidP="005C7384">
      <w:pPr>
        <w:pStyle w:val="NormalWeb"/>
        <w:spacing w:before="240" w:beforeAutospacing="0" w:after="240" w:afterAutospacing="0" w:line="360" w:lineRule="auto"/>
        <w:jc w:val="both"/>
      </w:pPr>
      <w:r>
        <w:t xml:space="preserve">Almenhali, A., Alhajeri, H., Almansoori, H., Aljneibi, N., Almansoori, N., Alsulaity, N., Mohammed, Y. and Nobanee, H. (2021). </w:t>
      </w:r>
      <w:r>
        <w:rPr>
          <w:i/>
          <w:iCs/>
        </w:rPr>
        <w:t>Financial Analysis of Tesla</w:t>
      </w:r>
      <w:r>
        <w:t>. [online] papers.ssrn.com. Available at: https://papers.ssrn.com/sol3/papers.cfm?abstract_id=3896901.</w:t>
      </w:r>
    </w:p>
    <w:p w14:paraId="19B7BCA8" w14:textId="77777777" w:rsidR="00E604E4" w:rsidRDefault="00E604E4" w:rsidP="005C7384">
      <w:pPr>
        <w:pStyle w:val="NormalWeb"/>
        <w:spacing w:before="240" w:beforeAutospacing="0" w:after="240" w:afterAutospacing="0" w:line="360" w:lineRule="auto"/>
        <w:jc w:val="both"/>
      </w:pPr>
      <w:r>
        <w:t xml:space="preserve">Brusov, P., Filatova, T., Orekhova, N., Kulik, V., Chang, S.-I. and Lin, G. (2021). Generalization of the Modigliani–Miller Theory for the Case of Variable Profit. </w:t>
      </w:r>
      <w:r>
        <w:rPr>
          <w:i/>
          <w:iCs/>
        </w:rPr>
        <w:t>Mathematics</w:t>
      </w:r>
      <w:r>
        <w:t>, 9(11), p.1286. doi:https://doi.org/10.3390/math9111286.</w:t>
      </w:r>
    </w:p>
    <w:p w14:paraId="38CD3400" w14:textId="77777777" w:rsidR="00E604E4" w:rsidRDefault="00E604E4" w:rsidP="005C7384">
      <w:pPr>
        <w:pStyle w:val="NormalWeb"/>
        <w:spacing w:before="240" w:beforeAutospacing="0" w:after="240" w:afterAutospacing="0" w:line="360" w:lineRule="auto"/>
        <w:jc w:val="both"/>
      </w:pPr>
      <w:r>
        <w:t xml:space="preserve">CAPITAL STRUCTURE THEORIES: REVIEW OF LITERATURE. (2022). </w:t>
      </w:r>
      <w:r>
        <w:rPr>
          <w:i/>
          <w:iCs/>
        </w:rPr>
        <w:t>Ekonomicko-manazerske spektrum</w:t>
      </w:r>
      <w:r>
        <w:t>, [online] 16(1), pp.12–24. Available at: https://www.ceeol.com/search/article-detail?id=1048944.</w:t>
      </w:r>
    </w:p>
    <w:p w14:paraId="3350BBF8" w14:textId="77777777" w:rsidR="00E604E4" w:rsidRDefault="00E604E4" w:rsidP="005C7384">
      <w:pPr>
        <w:pStyle w:val="NormalWeb"/>
        <w:spacing w:before="240" w:beforeAutospacing="0" w:after="240" w:afterAutospacing="0" w:line="360" w:lineRule="auto"/>
        <w:jc w:val="both"/>
      </w:pPr>
      <w:r>
        <w:t xml:space="preserve">Clifford, C. (2019). </w:t>
      </w:r>
      <w:r>
        <w:rPr>
          <w:i/>
          <w:iCs/>
        </w:rPr>
        <w:t>Early on, Elon Musk gave Tesla a ’10% chance of success’</w:t>
      </w:r>
      <w:r>
        <w:t>. [online] CNBC. Available at: https://www.cnbc.com/2019/06/06/early-on-elon-musk-gave-tesla-a-10percent-chance-of-success.html.</w:t>
      </w:r>
    </w:p>
    <w:p w14:paraId="3B47D603" w14:textId="77777777" w:rsidR="00E604E4" w:rsidRDefault="00E604E4" w:rsidP="005C7384">
      <w:pPr>
        <w:pStyle w:val="NormalWeb"/>
        <w:spacing w:before="240" w:beforeAutospacing="0" w:after="240" w:afterAutospacing="0" w:line="360" w:lineRule="auto"/>
        <w:jc w:val="both"/>
      </w:pPr>
      <w:r>
        <w:t xml:space="preserve">Elon Musk Secures $7.1 Billion in New Financing for Twitter. (2022). </w:t>
      </w:r>
      <w:r>
        <w:rPr>
          <w:i/>
          <w:iCs/>
        </w:rPr>
        <w:t>Bloomberg.com</w:t>
      </w:r>
      <w:r>
        <w:t>. [online] 5 May. Available at: https://www.bloomberg.com/news/articles/2022-05-05/elon-musk-secures-7-2-billion-in-new-financing-for-twitter-deal [Accessed 19 Apr. 2024].</w:t>
      </w:r>
    </w:p>
    <w:p w14:paraId="4DE9FE6A" w14:textId="77777777" w:rsidR="00E604E4" w:rsidRDefault="00E604E4" w:rsidP="005C7384">
      <w:pPr>
        <w:pStyle w:val="NormalWeb"/>
        <w:spacing w:before="240" w:beforeAutospacing="0" w:after="240" w:afterAutospacing="0" w:line="360" w:lineRule="auto"/>
        <w:jc w:val="both"/>
      </w:pPr>
      <w:r>
        <w:t xml:space="preserve">Fang, J. (2022). </w:t>
      </w:r>
      <w:r>
        <w:rPr>
          <w:i/>
          <w:iCs/>
        </w:rPr>
        <w:t>An Overall Financial Analysis of Tesla</w:t>
      </w:r>
      <w:r>
        <w:t>. [online] Available at: https://www.atlantis-press.com/article/125975330.pdf.</w:t>
      </w:r>
    </w:p>
    <w:p w14:paraId="24D213BB" w14:textId="5A2CE744" w:rsidR="00E604E4" w:rsidRDefault="00E604E4" w:rsidP="005C7384">
      <w:pPr>
        <w:pStyle w:val="NormalWeb"/>
        <w:spacing w:before="240" w:beforeAutospacing="0" w:after="240" w:afterAutospacing="0" w:line="360" w:lineRule="auto"/>
        <w:jc w:val="both"/>
      </w:pPr>
      <w:r>
        <w:lastRenderedPageBreak/>
        <w:t xml:space="preserve">finance.yahoo.com. (2024). </w:t>
      </w:r>
      <w:r>
        <w:rPr>
          <w:i/>
          <w:iCs/>
        </w:rPr>
        <w:t>Tesla, Inc. (TSLA) Stock Historical Prices &amp; Data - Yahoo Finance</w:t>
      </w:r>
      <w:r>
        <w:t>. [online] Available at: https://finance.yahoo.com/quote/TSLA/history.</w:t>
      </w:r>
    </w:p>
    <w:p w14:paraId="2A4BC400" w14:textId="2E497ED2" w:rsidR="00E604E4" w:rsidRDefault="00E604E4" w:rsidP="005C7384">
      <w:pPr>
        <w:pStyle w:val="NormalWeb"/>
        <w:spacing w:before="240" w:beforeAutospacing="0" w:after="240" w:afterAutospacing="0" w:line="360" w:lineRule="auto"/>
        <w:jc w:val="both"/>
      </w:pPr>
      <w:r>
        <w:t xml:space="preserve">fullratio.com. (2024). </w:t>
      </w:r>
      <w:r>
        <w:rPr>
          <w:i/>
          <w:iCs/>
        </w:rPr>
        <w:t>NASDAQ: TSLA - Tesla stock analysis and financials</w:t>
      </w:r>
      <w:r>
        <w:t>. [online] Available at: https://fullratio.com/stocks/nasdaq-tsla/tesla.</w:t>
      </w:r>
    </w:p>
    <w:p w14:paraId="37AB1063" w14:textId="4FE85F13" w:rsidR="00E604E4" w:rsidRDefault="00E604E4" w:rsidP="005C7384">
      <w:pPr>
        <w:pStyle w:val="NormalWeb"/>
        <w:spacing w:before="240" w:beforeAutospacing="0" w:after="240" w:afterAutospacing="0" w:line="360" w:lineRule="auto"/>
        <w:jc w:val="both"/>
      </w:pPr>
      <w:r>
        <w:t xml:space="preserve">Hertina, D. (2021). The Influence of Current Ratio, Debt to Equity Ratio and Company Size on Return On Assets. </w:t>
      </w:r>
      <w:r>
        <w:rPr>
          <w:i/>
          <w:iCs/>
        </w:rPr>
        <w:t>Turkish Journal of Computer and Mathematics Education (TURCOMAT)</w:t>
      </w:r>
      <w:r>
        <w:t>, [online] 12(8), pp.1702–1709. doi</w:t>
      </w:r>
      <w:r w:rsidR="00493130">
        <w:t xml:space="preserve"> </w:t>
      </w:r>
      <w:r>
        <w:t>https://doi.org/10.17762/turcomat.v12i8.3237.</w:t>
      </w:r>
    </w:p>
    <w:p w14:paraId="38A07E62" w14:textId="77777777" w:rsidR="00E604E4" w:rsidRDefault="00E604E4" w:rsidP="005C7384">
      <w:pPr>
        <w:pStyle w:val="NormalWeb"/>
        <w:spacing w:before="240" w:beforeAutospacing="0" w:after="240" w:afterAutospacing="0" w:line="360" w:lineRule="auto"/>
        <w:jc w:val="both"/>
      </w:pPr>
      <w:r>
        <w:t xml:space="preserve">Hirdinis, M. (2019). Capital structure and firm size on firm value moderated by profitability. </w:t>
      </w:r>
      <w:r>
        <w:rPr>
          <w:i/>
          <w:iCs/>
        </w:rPr>
        <w:t>www.um.edu.mt</w:t>
      </w:r>
      <w:r>
        <w:t>. [online] Available at: https://www.um.edu.mt/library/oar/handle/123456789/43966.</w:t>
      </w:r>
    </w:p>
    <w:p w14:paraId="001D35F8" w14:textId="77777777" w:rsidR="00E604E4" w:rsidRDefault="00E604E4" w:rsidP="005C7384">
      <w:pPr>
        <w:pStyle w:val="NormalWeb"/>
        <w:spacing w:before="240" w:beforeAutospacing="0" w:after="240" w:afterAutospacing="0" w:line="360" w:lineRule="auto"/>
        <w:jc w:val="both"/>
      </w:pPr>
      <w:r>
        <w:t xml:space="preserve">Hossain, M.S. (2021). A revisit of capital structure puzzle: Global evidence and analysis. </w:t>
      </w:r>
      <w:r>
        <w:rPr>
          <w:i/>
          <w:iCs/>
        </w:rPr>
        <w:t>International Review of Economics &amp; Finance</w:t>
      </w:r>
      <w:r>
        <w:t>, 75, pp.657–678. doi:https://doi.org/10.1016/j.iref.2021.05.001.</w:t>
      </w:r>
    </w:p>
    <w:p w14:paraId="7BAC1FB1" w14:textId="77777777" w:rsidR="00E604E4" w:rsidRDefault="00E604E4" w:rsidP="005C7384">
      <w:pPr>
        <w:pStyle w:val="NormalWeb"/>
        <w:spacing w:before="240" w:beforeAutospacing="0" w:after="240" w:afterAutospacing="0" w:line="360" w:lineRule="auto"/>
        <w:jc w:val="both"/>
      </w:pPr>
      <w:r>
        <w:t xml:space="preserve">Huang, W. (2023). Understanding Tesla’s Financial Strength: Analysis of Financial Reports and DuPont Analysis. </w:t>
      </w:r>
      <w:r>
        <w:rPr>
          <w:i/>
          <w:iCs/>
        </w:rPr>
        <w:t>Highlights in Business, Economics and Management</w:t>
      </w:r>
      <w:r>
        <w:t>, 6, pp.250–261. doi:https://doi.org/10.54097/hbem.v6i.6325.</w:t>
      </w:r>
    </w:p>
    <w:p w14:paraId="1548B6C7" w14:textId="17D7D64D" w:rsidR="00E604E4" w:rsidRDefault="00E604E4" w:rsidP="005C7384">
      <w:pPr>
        <w:pStyle w:val="NormalWeb"/>
        <w:spacing w:before="240" w:beforeAutospacing="0" w:after="240" w:afterAutospacing="0" w:line="360" w:lineRule="auto"/>
        <w:jc w:val="both"/>
      </w:pPr>
      <w:r>
        <w:t xml:space="preserve">Hutabarat, M.I., Silalahi, H., Samosir, H.E.S., Siregar, M.R. and Damanik, H.M. (2023). Analysis </w:t>
      </w:r>
      <w:r w:rsidR="00493130">
        <w:t xml:space="preserve">of </w:t>
      </w:r>
      <w:r>
        <w:t xml:space="preserve">current ratio </w:t>
      </w:r>
      <w:r w:rsidR="00493130">
        <w:t>returns</w:t>
      </w:r>
      <w:r>
        <w:t xml:space="preserve"> on asset and debt to equity ratio on dividend payout ratio. </w:t>
      </w:r>
      <w:r>
        <w:rPr>
          <w:i/>
          <w:iCs/>
        </w:rPr>
        <w:t>Enrichment: Journal of Management</w:t>
      </w:r>
      <w:r>
        <w:t>, [online] 13(2), pp.1552–1559. doi</w:t>
      </w:r>
      <w:r w:rsidR="00493130">
        <w:t xml:space="preserve"> </w:t>
      </w:r>
      <w:r>
        <w:t>https://doi.org/10.35335/enrichment.v13i2.1477.</w:t>
      </w:r>
    </w:p>
    <w:p w14:paraId="21989A54" w14:textId="4749DE21" w:rsidR="00E604E4" w:rsidRDefault="00E604E4" w:rsidP="005C7384">
      <w:pPr>
        <w:pStyle w:val="NormalWeb"/>
        <w:spacing w:before="240" w:beforeAutospacing="0" w:after="240" w:afterAutospacing="0" w:line="360" w:lineRule="auto"/>
        <w:jc w:val="both"/>
      </w:pPr>
      <w:r>
        <w:t xml:space="preserve">Khan, M.A. (2021). Capital Structure Theories: A Comprehensive Review. </w:t>
      </w:r>
      <w:r>
        <w:rPr>
          <w:i/>
          <w:iCs/>
        </w:rPr>
        <w:t>Revista Gestão Inovação e Tecnologias</w:t>
      </w:r>
      <w:r>
        <w:t>, 11(3), pp.1562–1574. doi</w:t>
      </w:r>
      <w:r w:rsidR="00493130">
        <w:t xml:space="preserve"> </w:t>
      </w:r>
      <w:r>
        <w:t>https://doi.org/10.47059/revistageintec.v11i3.2031.</w:t>
      </w:r>
    </w:p>
    <w:p w14:paraId="76655E88" w14:textId="77DB8096" w:rsidR="00E604E4" w:rsidRDefault="00E604E4" w:rsidP="005C7384">
      <w:pPr>
        <w:pStyle w:val="NormalWeb"/>
        <w:spacing w:before="240" w:beforeAutospacing="0" w:after="240" w:afterAutospacing="0" w:line="360" w:lineRule="auto"/>
        <w:jc w:val="both"/>
      </w:pPr>
      <w:r>
        <w:t xml:space="preserve">Liu, R., Wang, Xue, Xu, Xie, Liu, C., Wang, R., Xu, J. and Xie, amp; (2024). </w:t>
      </w:r>
      <w:r>
        <w:rPr>
          <w:i/>
          <w:iCs/>
        </w:rPr>
        <w:t xml:space="preserve">This document is downloaded from </w:t>
      </w:r>
      <w:r w:rsidR="00493130">
        <w:rPr>
          <w:i/>
          <w:iCs/>
        </w:rPr>
        <w:t xml:space="preserve">the </w:t>
      </w:r>
      <w:r>
        <w:rPr>
          <w:i/>
          <w:iCs/>
        </w:rPr>
        <w:t>CityU Institutional Repository</w:t>
      </w:r>
      <w:r>
        <w:t>. [online] Available at: https://lbms03.cityu.edu.hk/oaps/ef2014-4313-lr631.pdf.</w:t>
      </w:r>
    </w:p>
    <w:p w14:paraId="29E87554" w14:textId="77777777" w:rsidR="00E604E4" w:rsidRDefault="00E604E4" w:rsidP="005C7384">
      <w:pPr>
        <w:pStyle w:val="NormalWeb"/>
        <w:spacing w:before="240" w:beforeAutospacing="0" w:after="240" w:afterAutospacing="0" w:line="360" w:lineRule="auto"/>
        <w:jc w:val="both"/>
      </w:pPr>
      <w:r>
        <w:lastRenderedPageBreak/>
        <w:t xml:space="preserve">Lusy, Y., Hermanto, T., Panjaitan, M. and Widyastuti (2018). Effects Of Current Ratio And Debt-To-Equity Ratio On Return On Asset And Return On Equity. </w:t>
      </w:r>
      <w:r>
        <w:rPr>
          <w:i/>
          <w:iCs/>
        </w:rPr>
        <w:t>International Journal of Business and Management Invention (IJBMI) ISSN</w:t>
      </w:r>
      <w:r>
        <w:t>, [online] 7(12), pp.31–39. Available at: https://core.ac.uk/download/pdf/250101791.pdf.</w:t>
      </w:r>
    </w:p>
    <w:p w14:paraId="55E9DCF9" w14:textId="5C9CE57F" w:rsidR="00E604E4" w:rsidRDefault="00E604E4" w:rsidP="005C7384">
      <w:pPr>
        <w:pStyle w:val="NormalWeb"/>
        <w:spacing w:before="240" w:beforeAutospacing="0" w:after="240" w:afterAutospacing="0" w:line="360" w:lineRule="auto"/>
        <w:jc w:val="both"/>
      </w:pPr>
      <w:r>
        <w:t xml:space="preserve">Macroaxis. (2024). </w:t>
      </w:r>
      <w:r>
        <w:rPr>
          <w:i/>
          <w:iCs/>
        </w:rPr>
        <w:t>Tesla debt - Macroaxis NASDAQ(TSLA)</w:t>
      </w:r>
      <w:r>
        <w:t>. [online] Available at: https://www.macroaxis.com/invest/bond/TSLA.</w:t>
      </w:r>
    </w:p>
    <w:p w14:paraId="07CF24E9" w14:textId="77777777" w:rsidR="00E604E4" w:rsidRDefault="00E604E4" w:rsidP="005C7384">
      <w:pPr>
        <w:pStyle w:val="NormalWeb"/>
        <w:spacing w:before="240" w:beforeAutospacing="0" w:after="240" w:afterAutospacing="0" w:line="360" w:lineRule="auto"/>
        <w:jc w:val="both"/>
      </w:pPr>
      <w:r>
        <w:t xml:space="preserve">macrotrends (2009). </w:t>
      </w:r>
      <w:r>
        <w:rPr>
          <w:i/>
          <w:iCs/>
        </w:rPr>
        <w:t>Tesla Current Ratio 2009-2019 | TSLA</w:t>
      </w:r>
      <w:r>
        <w:t>. [online] Macrotrends.net. Available at: https://www.macrotrends.net/stocks/charts/TSLA/tesla/current-ratio.</w:t>
      </w:r>
    </w:p>
    <w:p w14:paraId="30C7BA10" w14:textId="77777777" w:rsidR="00E604E4" w:rsidRDefault="00E604E4" w:rsidP="005C7384">
      <w:pPr>
        <w:pStyle w:val="NormalWeb"/>
        <w:spacing w:before="240" w:beforeAutospacing="0" w:after="240" w:afterAutospacing="0" w:line="360" w:lineRule="auto"/>
        <w:jc w:val="both"/>
      </w:pPr>
      <w:r>
        <w:t xml:space="preserve">Mariani, M., Pizzutilo, F., Caragnano, A. and Zito, M. (2021). Does it pay to be environmentally responsible? Investigating the effect on the weighted average cost of capital. </w:t>
      </w:r>
      <w:r>
        <w:rPr>
          <w:i/>
          <w:iCs/>
        </w:rPr>
        <w:t>Corporate Social Responsibility and Environmental Management</w:t>
      </w:r>
      <w:r>
        <w:t>, 28(6), pp.1854–1869. doi:https://doi.org/10.1002/csr.2164.</w:t>
      </w:r>
    </w:p>
    <w:p w14:paraId="7939D339" w14:textId="1AD4F6D2" w:rsidR="00E604E4" w:rsidRDefault="00E604E4" w:rsidP="005C7384">
      <w:pPr>
        <w:pStyle w:val="NormalWeb"/>
        <w:spacing w:before="240" w:beforeAutospacing="0" w:after="240" w:afterAutospacing="0" w:line="360" w:lineRule="auto"/>
        <w:jc w:val="both"/>
      </w:pPr>
      <w:r>
        <w:t xml:space="preserve">Netcials. (2024). </w:t>
      </w:r>
      <w:r>
        <w:rPr>
          <w:i/>
          <w:iCs/>
        </w:rPr>
        <w:t>Tesla (TSLA) Stock Returns (2013-2023)</w:t>
      </w:r>
      <w:r>
        <w:t>. [online] Available at: https://www.netcials.com/stock-returns-nasdaq/TSLA-Tesla-Inc/.</w:t>
      </w:r>
    </w:p>
    <w:p w14:paraId="3A6922A0" w14:textId="77777777" w:rsidR="00E604E4" w:rsidRDefault="00E604E4" w:rsidP="005C7384">
      <w:pPr>
        <w:pStyle w:val="NormalWeb"/>
        <w:spacing w:before="240" w:beforeAutospacing="0" w:after="240" w:afterAutospacing="0" w:line="360" w:lineRule="auto"/>
        <w:jc w:val="both"/>
      </w:pPr>
      <w:r>
        <w:t xml:space="preserve">Rahmawati, Y. and Hadian, H.N. (2022). The influence of Debt Equity Ratio (DER), Earning Per Share (EPS), and Price Earning Ratio (PER) on stock price. </w:t>
      </w:r>
      <w:r>
        <w:rPr>
          <w:i/>
          <w:iCs/>
        </w:rPr>
        <w:t>International Journal of Financial, Accounting, and Management</w:t>
      </w:r>
      <w:r>
        <w:t>, [online] 3(4), pp.289–300. doi:https://doi.org/10.35912/ijfam.v3i4.225.</w:t>
      </w:r>
    </w:p>
    <w:p w14:paraId="6E6223C5" w14:textId="77777777" w:rsidR="00E604E4" w:rsidRDefault="00E604E4" w:rsidP="005C7384">
      <w:pPr>
        <w:pStyle w:val="NormalWeb"/>
        <w:spacing w:before="240" w:beforeAutospacing="0" w:after="240" w:afterAutospacing="0" w:line="360" w:lineRule="auto"/>
        <w:jc w:val="both"/>
      </w:pPr>
      <w:r>
        <w:t xml:space="preserve">Sunaryo, D. (2021). Analysis Of Current Ratio, Debt To Assets Ratio And Gross Profit Margin On Financial Distress With Moderated Share Prices In Retail Companies Listed In Securities Exchange. </w:t>
      </w:r>
      <w:r>
        <w:rPr>
          <w:i/>
          <w:iCs/>
        </w:rPr>
        <w:t>International Journal of Educational Research &amp; Social Sciences</w:t>
      </w:r>
      <w:r>
        <w:t>, 2(1), pp.23–33. doi:https://doi.org/10.51601/ijersc.v2i1.39.</w:t>
      </w:r>
    </w:p>
    <w:p w14:paraId="46033FFE" w14:textId="77777777" w:rsidR="00E604E4" w:rsidRDefault="00E604E4" w:rsidP="005C7384">
      <w:pPr>
        <w:pStyle w:val="NormalWeb"/>
        <w:spacing w:before="240" w:beforeAutospacing="0" w:after="240" w:afterAutospacing="0" w:line="360" w:lineRule="auto"/>
        <w:jc w:val="both"/>
      </w:pPr>
      <w:r>
        <w:t xml:space="preserve">Tesla Inc. (2022). </w:t>
      </w:r>
      <w:r>
        <w:rPr>
          <w:i/>
          <w:iCs/>
        </w:rPr>
        <w:t>UNITED STATES SECURITIES AND EXCHANGE COMMISSION</w:t>
      </w:r>
      <w:r>
        <w:t>. [online] Available at: https://ir.tesla.com/_flysystem/s3/sec/000095017023001409/tsla-20221231-gen.pdf.</w:t>
      </w:r>
    </w:p>
    <w:p w14:paraId="05BABDD5" w14:textId="5D6AF5E0" w:rsidR="00E604E4" w:rsidRDefault="00E604E4" w:rsidP="005C7384">
      <w:pPr>
        <w:pStyle w:val="NormalWeb"/>
        <w:spacing w:before="240" w:beforeAutospacing="0" w:after="240" w:afterAutospacing="0" w:line="360" w:lineRule="auto"/>
        <w:jc w:val="both"/>
      </w:pPr>
      <w:r>
        <w:t xml:space="preserve">TradingView. (2024). </w:t>
      </w:r>
      <w:r>
        <w:rPr>
          <w:i/>
          <w:iCs/>
        </w:rPr>
        <w:t>BAY.MOTOREN WERKE AG ST Key Stats and Ratios – XETR:BMW</w:t>
      </w:r>
      <w:r>
        <w:t>. [online] Available at: https://www.tradingview.com/symbols/XETR-BMW/financials-statistics-and-ratios/.</w:t>
      </w:r>
    </w:p>
    <w:p w14:paraId="68113D96" w14:textId="77777777" w:rsidR="00E604E4" w:rsidRDefault="00E604E4" w:rsidP="005C7384">
      <w:pPr>
        <w:pStyle w:val="NormalWeb"/>
        <w:spacing w:before="240" w:beforeAutospacing="0" w:after="240" w:afterAutospacing="0" w:line="360" w:lineRule="auto"/>
        <w:jc w:val="both"/>
      </w:pPr>
      <w:r>
        <w:lastRenderedPageBreak/>
        <w:t xml:space="preserve">Vega, N. (2021). </w:t>
      </w:r>
      <w:r>
        <w:rPr>
          <w:i/>
          <w:iCs/>
        </w:rPr>
        <w:t>Here’s how much money you’d have if you invested $1,000 in Tesla 1, 5 and 10 years ago</w:t>
      </w:r>
      <w:r>
        <w:t>. [online] CNBC. Available at: https://www.cnbc.com/2021/11/04/how-much-youd-have-if-you-invested-in-tesla-1-5-and-10-years-ago.html.</w:t>
      </w:r>
    </w:p>
    <w:p w14:paraId="78749FF2" w14:textId="79A3CC2B" w:rsidR="00E604E4" w:rsidRDefault="00E604E4" w:rsidP="005C7384">
      <w:pPr>
        <w:pStyle w:val="NormalWeb"/>
        <w:spacing w:before="240" w:beforeAutospacing="0" w:after="240" w:afterAutospacing="0" w:line="360" w:lineRule="auto"/>
        <w:jc w:val="both"/>
      </w:pPr>
      <w:r>
        <w:t xml:space="preserve">www.imd.org. (2024). </w:t>
      </w:r>
      <w:r>
        <w:rPr>
          <w:i/>
          <w:iCs/>
        </w:rPr>
        <w:t>Financing change, changing finance: Should Triodos invest in Tesla?</w:t>
      </w:r>
      <w:r>
        <w:t xml:space="preserve"> [online] Available at: https://www.imd.org/research-knowledge/finance/case-studies/financing-change-changing-finance-should-triodos-invest-in-tesla/.</w:t>
      </w:r>
    </w:p>
    <w:p w14:paraId="2D28FBCE" w14:textId="776BDBC5" w:rsidR="00E604E4" w:rsidRDefault="00E604E4" w:rsidP="005C7384">
      <w:pPr>
        <w:pStyle w:val="NormalWeb"/>
        <w:spacing w:before="240" w:beforeAutospacing="0" w:after="240" w:afterAutospacing="0" w:line="360" w:lineRule="auto"/>
        <w:jc w:val="both"/>
      </w:pPr>
      <w:r>
        <w:t xml:space="preserve">www.macrotrends.net. (2024). </w:t>
      </w:r>
      <w:r>
        <w:rPr>
          <w:i/>
          <w:iCs/>
        </w:rPr>
        <w:t>BMW Financial Ratios for Analysis 2005-2020 | BAMXF</w:t>
      </w:r>
      <w:r>
        <w:t>. [online] Available at: https://www.macrotrends.net/stocks/charts/BAMXF/bmw/financial-ratios.</w:t>
      </w:r>
    </w:p>
    <w:p w14:paraId="5A91278C" w14:textId="77777777" w:rsidR="00E604E4" w:rsidRDefault="00E604E4" w:rsidP="005C7384">
      <w:pPr>
        <w:spacing w:before="240" w:line="360" w:lineRule="auto"/>
      </w:pPr>
      <w:r>
        <w:t xml:space="preserve">Motors, T., 2015. About Tesla. Retrieved November, 22, p.2015. </w:t>
      </w:r>
      <w:hyperlink r:id="rId15" w:history="1">
        <w:r w:rsidRPr="0079492E">
          <w:rPr>
            <w:rStyle w:val="Hyperlink"/>
          </w:rPr>
          <w:t>https://www.airtro.com/wp-content/uploads/2019/09/Variable-Speed-HVAC-White-Paper.pdf</w:t>
        </w:r>
      </w:hyperlink>
    </w:p>
    <w:p w14:paraId="5B8EE1C6" w14:textId="77777777" w:rsidR="007B5653" w:rsidRPr="007B5653" w:rsidRDefault="007B5653" w:rsidP="005C7384">
      <w:pPr>
        <w:spacing w:before="240" w:line="360" w:lineRule="auto"/>
        <w:rPr>
          <w:lang w:val="en-IN"/>
        </w:rPr>
      </w:pPr>
    </w:p>
    <w:bookmarkEnd w:id="0"/>
    <w:p w14:paraId="1FCFFF80" w14:textId="77777777" w:rsidR="004F54E5" w:rsidRPr="004F54E5" w:rsidRDefault="004F54E5" w:rsidP="005C7384">
      <w:pPr>
        <w:spacing w:before="240" w:line="360" w:lineRule="auto"/>
      </w:pPr>
    </w:p>
    <w:sectPr w:rsidR="004F54E5" w:rsidRPr="004F54E5" w:rsidSect="000269E3">
      <w:headerReference w:type="default" r:id="rId16"/>
      <w:footerReference w:type="default" r:id="rId17"/>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88C35" w14:textId="77777777" w:rsidR="000269E3" w:rsidRDefault="000269E3" w:rsidP="00E604E4">
      <w:pPr>
        <w:spacing w:before="0" w:line="240" w:lineRule="auto"/>
      </w:pPr>
      <w:r>
        <w:separator/>
      </w:r>
    </w:p>
  </w:endnote>
  <w:endnote w:type="continuationSeparator" w:id="0">
    <w:p w14:paraId="6424BB18" w14:textId="77777777" w:rsidR="000269E3" w:rsidRDefault="000269E3" w:rsidP="00E604E4">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344976"/>
      <w:docPartObj>
        <w:docPartGallery w:val="Page Numbers (Bottom of Page)"/>
        <w:docPartUnique/>
      </w:docPartObj>
    </w:sdtPr>
    <w:sdtEndPr>
      <w:rPr>
        <w:noProof/>
      </w:rPr>
    </w:sdtEndPr>
    <w:sdtContent>
      <w:p w14:paraId="01B38C2D" w14:textId="2C37CAC0" w:rsidR="00E604E4" w:rsidRDefault="00E604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EAFDB" w14:textId="77777777" w:rsidR="00E604E4" w:rsidRDefault="00E60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89CBE" w14:textId="77777777" w:rsidR="000269E3" w:rsidRDefault="000269E3" w:rsidP="00E604E4">
      <w:pPr>
        <w:spacing w:before="0" w:line="240" w:lineRule="auto"/>
      </w:pPr>
      <w:r>
        <w:separator/>
      </w:r>
    </w:p>
  </w:footnote>
  <w:footnote w:type="continuationSeparator" w:id="0">
    <w:p w14:paraId="58A3D9D2" w14:textId="77777777" w:rsidR="000269E3" w:rsidRDefault="000269E3" w:rsidP="00E604E4">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566C" w14:textId="3DD15FC8" w:rsidR="00E604E4" w:rsidRDefault="00E604E4" w:rsidP="00E604E4">
    <w:pPr>
      <w:pStyle w:val="Header"/>
      <w:spacing w:line="360" w:lineRule="auto"/>
    </w:pPr>
    <w:r w:rsidRPr="00E604E4">
      <w:t>MBA- MASTERS OF BUSINESS ADMINISTRATION</w:t>
    </w:r>
  </w:p>
  <w:p w14:paraId="1DDEB138" w14:textId="77777777" w:rsidR="00E604E4" w:rsidRDefault="00E604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hideSpellingErrors/>
  <w:hideGrammaticalErrors/>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F83"/>
    <w:rsid w:val="000269E3"/>
    <w:rsid w:val="00030444"/>
    <w:rsid w:val="0005199A"/>
    <w:rsid w:val="00052899"/>
    <w:rsid w:val="00056BD2"/>
    <w:rsid w:val="00080FBF"/>
    <w:rsid w:val="00084084"/>
    <w:rsid w:val="000B1A5D"/>
    <w:rsid w:val="000C55EC"/>
    <w:rsid w:val="00107648"/>
    <w:rsid w:val="001B6256"/>
    <w:rsid w:val="001D7D97"/>
    <w:rsid w:val="00210EF4"/>
    <w:rsid w:val="00231208"/>
    <w:rsid w:val="0027244F"/>
    <w:rsid w:val="00282BB9"/>
    <w:rsid w:val="002D42C8"/>
    <w:rsid w:val="002D731A"/>
    <w:rsid w:val="002E5015"/>
    <w:rsid w:val="002E6950"/>
    <w:rsid w:val="00301005"/>
    <w:rsid w:val="003826EF"/>
    <w:rsid w:val="003C57A9"/>
    <w:rsid w:val="00411F31"/>
    <w:rsid w:val="00493130"/>
    <w:rsid w:val="004E6AE6"/>
    <w:rsid w:val="004F54E5"/>
    <w:rsid w:val="00514CD7"/>
    <w:rsid w:val="0052791C"/>
    <w:rsid w:val="005335F0"/>
    <w:rsid w:val="005705B5"/>
    <w:rsid w:val="005B7ED1"/>
    <w:rsid w:val="005C7384"/>
    <w:rsid w:val="006256AB"/>
    <w:rsid w:val="006809BD"/>
    <w:rsid w:val="006810D3"/>
    <w:rsid w:val="00686DF5"/>
    <w:rsid w:val="0069455F"/>
    <w:rsid w:val="006E1DF0"/>
    <w:rsid w:val="0070583F"/>
    <w:rsid w:val="0073651C"/>
    <w:rsid w:val="00762EE6"/>
    <w:rsid w:val="007B5653"/>
    <w:rsid w:val="007E0EF1"/>
    <w:rsid w:val="00803001"/>
    <w:rsid w:val="008268B8"/>
    <w:rsid w:val="008938FB"/>
    <w:rsid w:val="008A6E6C"/>
    <w:rsid w:val="008C22A5"/>
    <w:rsid w:val="008F1AB2"/>
    <w:rsid w:val="0093187A"/>
    <w:rsid w:val="009F3181"/>
    <w:rsid w:val="00A3136A"/>
    <w:rsid w:val="00B00546"/>
    <w:rsid w:val="00B02F83"/>
    <w:rsid w:val="00B32600"/>
    <w:rsid w:val="00BB2F89"/>
    <w:rsid w:val="00BD6085"/>
    <w:rsid w:val="00C836D5"/>
    <w:rsid w:val="00C96A70"/>
    <w:rsid w:val="00CC4288"/>
    <w:rsid w:val="00CD7EB9"/>
    <w:rsid w:val="00D57355"/>
    <w:rsid w:val="00D63A27"/>
    <w:rsid w:val="00DF1BDD"/>
    <w:rsid w:val="00DF4A2C"/>
    <w:rsid w:val="00E05991"/>
    <w:rsid w:val="00E25058"/>
    <w:rsid w:val="00E26DC7"/>
    <w:rsid w:val="00E604E4"/>
    <w:rsid w:val="00EA4B9D"/>
    <w:rsid w:val="00EA7BE1"/>
    <w:rsid w:val="00F3367F"/>
    <w:rsid w:val="00F64C8A"/>
    <w:rsid w:val="00FA1ED2"/>
    <w:rsid w:val="00FA3D29"/>
    <w:rsid w:val="00FD5967"/>
    <w:rsid w:val="00FF72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B8252B"/>
  <w15:chartTrackingRefBased/>
  <w15:docId w15:val="{EBC443C3-EE2D-47D4-9CC2-38416831F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4E5"/>
    <w:rPr>
      <w:rFonts w:ascii="Times New Roman" w:hAnsi="Times New Roman"/>
      <w:sz w:val="24"/>
      <w:lang w:val="en-US"/>
    </w:rPr>
  </w:style>
  <w:style w:type="paragraph" w:styleId="Heading1">
    <w:name w:val="heading 1"/>
    <w:basedOn w:val="Normal"/>
    <w:next w:val="Normal"/>
    <w:link w:val="Heading1Char"/>
    <w:uiPriority w:val="9"/>
    <w:qFormat/>
    <w:rsid w:val="005B7ED1"/>
    <w:pPr>
      <w:keepNext/>
      <w:keepLines/>
      <w:spacing w:line="480" w:lineRule="auto"/>
      <w:jc w:val="center"/>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9F3181"/>
    <w:pPr>
      <w:keepNext/>
      <w:keepLines/>
      <w:outlineLvl w:val="1"/>
    </w:pPr>
    <w:rPr>
      <w:rFonts w:eastAsiaTheme="majorEastAsia" w:cstheme="majorBidi"/>
      <w:b/>
      <w: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ED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F3181"/>
    <w:rPr>
      <w:rFonts w:ascii="Times New Roman" w:eastAsiaTheme="majorEastAsia" w:hAnsi="Times New Roman" w:cstheme="majorBidi"/>
      <w:b/>
      <w:i/>
      <w:sz w:val="24"/>
      <w:szCs w:val="26"/>
      <w:u w:val="single"/>
      <w:lang w:val="en-US"/>
    </w:rPr>
  </w:style>
  <w:style w:type="paragraph" w:styleId="BodyText">
    <w:name w:val="Body Text"/>
    <w:basedOn w:val="Normal"/>
    <w:link w:val="BodyTextChar"/>
    <w:uiPriority w:val="1"/>
    <w:qFormat/>
    <w:rsid w:val="0052791C"/>
    <w:pPr>
      <w:widowControl w:val="0"/>
      <w:autoSpaceDE w:val="0"/>
      <w:autoSpaceDN w:val="0"/>
    </w:pPr>
    <w:rPr>
      <w:rFonts w:eastAsia="Times New Roman" w:cs="Times New Roman"/>
      <w:szCs w:val="28"/>
    </w:rPr>
  </w:style>
  <w:style w:type="character" w:customStyle="1" w:styleId="BodyTextChar">
    <w:name w:val="Body Text Char"/>
    <w:basedOn w:val="DefaultParagraphFont"/>
    <w:link w:val="BodyText"/>
    <w:uiPriority w:val="1"/>
    <w:rsid w:val="0052791C"/>
    <w:rPr>
      <w:rFonts w:ascii="Times New Roman" w:eastAsia="Times New Roman" w:hAnsi="Times New Roman" w:cs="Times New Roman"/>
      <w:kern w:val="0"/>
      <w:sz w:val="24"/>
      <w:szCs w:val="28"/>
      <w:lang w:val="en-US"/>
    </w:rPr>
  </w:style>
  <w:style w:type="character" w:styleId="Hyperlink">
    <w:name w:val="Hyperlink"/>
    <w:basedOn w:val="DefaultParagraphFont"/>
    <w:uiPriority w:val="99"/>
    <w:unhideWhenUsed/>
    <w:rsid w:val="006E1DF0"/>
    <w:rPr>
      <w:color w:val="0563C1" w:themeColor="hyperlink"/>
      <w:u w:val="single"/>
    </w:rPr>
  </w:style>
  <w:style w:type="character" w:styleId="UnresolvedMention">
    <w:name w:val="Unresolved Mention"/>
    <w:basedOn w:val="DefaultParagraphFont"/>
    <w:uiPriority w:val="99"/>
    <w:semiHidden/>
    <w:unhideWhenUsed/>
    <w:rsid w:val="006E1DF0"/>
    <w:rPr>
      <w:color w:val="605E5C"/>
      <w:shd w:val="clear" w:color="auto" w:fill="E1DFDD"/>
    </w:rPr>
  </w:style>
  <w:style w:type="paragraph" w:styleId="TOCHeading">
    <w:name w:val="TOC Heading"/>
    <w:basedOn w:val="Heading1"/>
    <w:next w:val="Normal"/>
    <w:uiPriority w:val="39"/>
    <w:unhideWhenUsed/>
    <w:qFormat/>
    <w:rsid w:val="0073651C"/>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3651C"/>
    <w:pPr>
      <w:spacing w:after="100"/>
    </w:pPr>
  </w:style>
  <w:style w:type="paragraph" w:styleId="TOC2">
    <w:name w:val="toc 2"/>
    <w:basedOn w:val="Normal"/>
    <w:next w:val="Normal"/>
    <w:autoRedefine/>
    <w:uiPriority w:val="39"/>
    <w:unhideWhenUsed/>
    <w:rsid w:val="0073651C"/>
    <w:pPr>
      <w:spacing w:after="100"/>
      <w:ind w:left="240"/>
    </w:pPr>
  </w:style>
  <w:style w:type="paragraph" w:styleId="Caption">
    <w:name w:val="caption"/>
    <w:basedOn w:val="Normal"/>
    <w:next w:val="Normal"/>
    <w:uiPriority w:val="35"/>
    <w:unhideWhenUsed/>
    <w:qFormat/>
    <w:rsid w:val="008938FB"/>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E604E4"/>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Header">
    <w:name w:val="header"/>
    <w:basedOn w:val="Normal"/>
    <w:link w:val="HeaderChar"/>
    <w:uiPriority w:val="99"/>
    <w:unhideWhenUsed/>
    <w:rsid w:val="00E604E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604E4"/>
    <w:rPr>
      <w:rFonts w:ascii="Times New Roman" w:hAnsi="Times New Roman"/>
      <w:sz w:val="24"/>
      <w:lang w:val="en-US"/>
    </w:rPr>
  </w:style>
  <w:style w:type="paragraph" w:styleId="Footer">
    <w:name w:val="footer"/>
    <w:basedOn w:val="Normal"/>
    <w:link w:val="FooterChar"/>
    <w:uiPriority w:val="99"/>
    <w:unhideWhenUsed/>
    <w:rsid w:val="00E604E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604E4"/>
    <w:rPr>
      <w:rFonts w:ascii="Times New Roman" w:hAnsi="Times New Roman"/>
      <w:sz w:val="24"/>
      <w:lang w:val="en-US"/>
    </w:rPr>
  </w:style>
  <w:style w:type="paragraph" w:styleId="NoSpacing">
    <w:name w:val="No Spacing"/>
    <w:link w:val="NoSpacingChar"/>
    <w:uiPriority w:val="1"/>
    <w:qFormat/>
    <w:rsid w:val="00E604E4"/>
    <w:pPr>
      <w:spacing w:before="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04E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99594">
      <w:bodyDiv w:val="1"/>
      <w:marLeft w:val="0"/>
      <w:marRight w:val="0"/>
      <w:marTop w:val="0"/>
      <w:marBottom w:val="0"/>
      <w:divBdr>
        <w:top w:val="none" w:sz="0" w:space="0" w:color="auto"/>
        <w:left w:val="none" w:sz="0" w:space="0" w:color="auto"/>
        <w:bottom w:val="none" w:sz="0" w:space="0" w:color="auto"/>
        <w:right w:val="none" w:sz="0" w:space="0" w:color="auto"/>
      </w:divBdr>
    </w:div>
    <w:div w:id="198786785">
      <w:bodyDiv w:val="1"/>
      <w:marLeft w:val="0"/>
      <w:marRight w:val="0"/>
      <w:marTop w:val="0"/>
      <w:marBottom w:val="0"/>
      <w:divBdr>
        <w:top w:val="none" w:sz="0" w:space="0" w:color="auto"/>
        <w:left w:val="none" w:sz="0" w:space="0" w:color="auto"/>
        <w:bottom w:val="none" w:sz="0" w:space="0" w:color="auto"/>
        <w:right w:val="none" w:sz="0" w:space="0" w:color="auto"/>
      </w:divBdr>
    </w:div>
    <w:div w:id="202401514">
      <w:bodyDiv w:val="1"/>
      <w:marLeft w:val="0"/>
      <w:marRight w:val="0"/>
      <w:marTop w:val="0"/>
      <w:marBottom w:val="0"/>
      <w:divBdr>
        <w:top w:val="none" w:sz="0" w:space="0" w:color="auto"/>
        <w:left w:val="none" w:sz="0" w:space="0" w:color="auto"/>
        <w:bottom w:val="none" w:sz="0" w:space="0" w:color="auto"/>
        <w:right w:val="none" w:sz="0" w:space="0" w:color="auto"/>
      </w:divBdr>
    </w:div>
    <w:div w:id="602961216">
      <w:bodyDiv w:val="1"/>
      <w:marLeft w:val="0"/>
      <w:marRight w:val="0"/>
      <w:marTop w:val="0"/>
      <w:marBottom w:val="0"/>
      <w:divBdr>
        <w:top w:val="none" w:sz="0" w:space="0" w:color="auto"/>
        <w:left w:val="none" w:sz="0" w:space="0" w:color="auto"/>
        <w:bottom w:val="none" w:sz="0" w:space="0" w:color="auto"/>
        <w:right w:val="none" w:sz="0" w:space="0" w:color="auto"/>
      </w:divBdr>
      <w:divsChild>
        <w:div w:id="1323269637">
          <w:marLeft w:val="0"/>
          <w:marRight w:val="0"/>
          <w:marTop w:val="0"/>
          <w:marBottom w:val="0"/>
          <w:divBdr>
            <w:top w:val="none" w:sz="0" w:space="0" w:color="auto"/>
            <w:left w:val="none" w:sz="0" w:space="0" w:color="auto"/>
            <w:bottom w:val="none" w:sz="0" w:space="0" w:color="auto"/>
            <w:right w:val="none" w:sz="0" w:space="0" w:color="auto"/>
          </w:divBdr>
        </w:div>
      </w:divsChild>
    </w:div>
    <w:div w:id="1256595671">
      <w:bodyDiv w:val="1"/>
      <w:marLeft w:val="0"/>
      <w:marRight w:val="0"/>
      <w:marTop w:val="0"/>
      <w:marBottom w:val="0"/>
      <w:divBdr>
        <w:top w:val="none" w:sz="0" w:space="0" w:color="auto"/>
        <w:left w:val="none" w:sz="0" w:space="0" w:color="auto"/>
        <w:bottom w:val="none" w:sz="0" w:space="0" w:color="auto"/>
        <w:right w:val="none" w:sz="0" w:space="0" w:color="auto"/>
      </w:divBdr>
    </w:div>
    <w:div w:id="1660504452">
      <w:bodyDiv w:val="1"/>
      <w:marLeft w:val="0"/>
      <w:marRight w:val="0"/>
      <w:marTop w:val="0"/>
      <w:marBottom w:val="0"/>
      <w:divBdr>
        <w:top w:val="none" w:sz="0" w:space="0" w:color="auto"/>
        <w:left w:val="none" w:sz="0" w:space="0" w:color="auto"/>
        <w:bottom w:val="none" w:sz="0" w:space="0" w:color="auto"/>
        <w:right w:val="none" w:sz="0" w:space="0" w:color="auto"/>
      </w:divBdr>
    </w:div>
    <w:div w:id="1808669451">
      <w:bodyDiv w:val="1"/>
      <w:marLeft w:val="0"/>
      <w:marRight w:val="0"/>
      <w:marTop w:val="0"/>
      <w:marBottom w:val="0"/>
      <w:divBdr>
        <w:top w:val="none" w:sz="0" w:space="0" w:color="auto"/>
        <w:left w:val="none" w:sz="0" w:space="0" w:color="auto"/>
        <w:bottom w:val="none" w:sz="0" w:space="0" w:color="auto"/>
        <w:right w:val="none" w:sz="0" w:space="0" w:color="auto"/>
      </w:divBdr>
    </w:div>
    <w:div w:id="1835217304">
      <w:bodyDiv w:val="1"/>
      <w:marLeft w:val="0"/>
      <w:marRight w:val="0"/>
      <w:marTop w:val="0"/>
      <w:marBottom w:val="0"/>
      <w:divBdr>
        <w:top w:val="none" w:sz="0" w:space="0" w:color="auto"/>
        <w:left w:val="none" w:sz="0" w:space="0" w:color="auto"/>
        <w:bottom w:val="none" w:sz="0" w:space="0" w:color="auto"/>
        <w:right w:val="none" w:sz="0" w:space="0" w:color="auto"/>
      </w:divBdr>
    </w:div>
    <w:div w:id="207890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airtro.com/wp-content/uploads/2019/09/Variable-Speed-HVAC-White-Paper.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ystemJP\Documents\Freelancing\tes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ystemJP\Documents\Freelancing\tesl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ystemJP\Documents\Freelancing\tesl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Liquidity</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Ratio!$A$6:$B$6</c:f>
              <c:strCache>
                <c:ptCount val="2"/>
                <c:pt idx="0">
                  <c:v>1. Current Ratio</c:v>
                </c:pt>
                <c:pt idx="1">
                  <c:v>Current Assets / Current Liabilities</c:v>
                </c:pt>
              </c:strCache>
            </c:strRef>
          </c:tx>
          <c:spPr>
            <a:solidFill>
              <a:schemeClr val="accent1"/>
            </a:solidFill>
            <a:ln>
              <a:noFill/>
            </a:ln>
            <a:effectLst/>
          </c:spPr>
          <c:invertIfNegative val="0"/>
          <c:cat>
            <c:numRef>
              <c:f>Ratio!$C$2:$G$2</c:f>
              <c:numCache>
                <c:formatCode>General</c:formatCode>
                <c:ptCount val="5"/>
                <c:pt idx="0">
                  <c:v>2023</c:v>
                </c:pt>
                <c:pt idx="1">
                  <c:v>2022</c:v>
                </c:pt>
                <c:pt idx="2">
                  <c:v>2021</c:v>
                </c:pt>
                <c:pt idx="3">
                  <c:v>2020</c:v>
                </c:pt>
                <c:pt idx="4">
                  <c:v>2019</c:v>
                </c:pt>
              </c:numCache>
            </c:numRef>
          </c:cat>
          <c:val>
            <c:numRef>
              <c:f>Ratio!$C$6:$G$6</c:f>
              <c:numCache>
                <c:formatCode>#,##0.00</c:formatCode>
                <c:ptCount val="5"/>
                <c:pt idx="0">
                  <c:v>1.7258939752330598</c:v>
                </c:pt>
                <c:pt idx="1">
                  <c:v>1.53195552061103</c:v>
                </c:pt>
                <c:pt idx="2">
                  <c:v>1.3752854605430094</c:v>
                </c:pt>
                <c:pt idx="3">
                  <c:v>1.8751403705783267</c:v>
                </c:pt>
                <c:pt idx="4">
                  <c:v>1.1346207931002157</c:v>
                </c:pt>
              </c:numCache>
            </c:numRef>
          </c:val>
          <c:extLst>
            <c:ext xmlns:c16="http://schemas.microsoft.com/office/drawing/2014/chart" uri="{C3380CC4-5D6E-409C-BE32-E72D297353CC}">
              <c16:uniqueId val="{00000000-2732-4761-BBF3-C36B4E75693A}"/>
            </c:ext>
          </c:extLst>
        </c:ser>
        <c:ser>
          <c:idx val="1"/>
          <c:order val="1"/>
          <c:tx>
            <c:strRef>
              <c:f>Ratio!$A$7:$B$7</c:f>
              <c:strCache>
                <c:ptCount val="2"/>
                <c:pt idx="0">
                  <c:v>2. Quick Ratio</c:v>
                </c:pt>
                <c:pt idx="1">
                  <c:v>(Current Assets - Inventory) / Current Liabilities</c:v>
                </c:pt>
              </c:strCache>
            </c:strRef>
          </c:tx>
          <c:spPr>
            <a:solidFill>
              <a:schemeClr val="accent2"/>
            </a:solidFill>
            <a:ln>
              <a:noFill/>
            </a:ln>
            <a:effectLst/>
          </c:spPr>
          <c:invertIfNegative val="0"/>
          <c:cat>
            <c:numRef>
              <c:f>Ratio!$C$2:$G$2</c:f>
              <c:numCache>
                <c:formatCode>General</c:formatCode>
                <c:ptCount val="5"/>
                <c:pt idx="0">
                  <c:v>2023</c:v>
                </c:pt>
                <c:pt idx="1">
                  <c:v>2022</c:v>
                </c:pt>
                <c:pt idx="2">
                  <c:v>2021</c:v>
                </c:pt>
                <c:pt idx="3">
                  <c:v>2020</c:v>
                </c:pt>
                <c:pt idx="4">
                  <c:v>2019</c:v>
                </c:pt>
              </c:numCache>
            </c:numRef>
          </c:cat>
          <c:val>
            <c:numRef>
              <c:f>Ratio!$C$7:$G$7</c:f>
              <c:numCache>
                <c:formatCode>#,##0.00</c:formatCode>
                <c:ptCount val="5"/>
                <c:pt idx="0">
                  <c:v>1.2519131765688047</c:v>
                </c:pt>
                <c:pt idx="1">
                  <c:v>1.0512561308922086</c:v>
                </c:pt>
                <c:pt idx="2">
                  <c:v>1.0831261101243339</c:v>
                </c:pt>
                <c:pt idx="3">
                  <c:v>1.5873104997192589</c:v>
                </c:pt>
                <c:pt idx="4">
                  <c:v>0.80163119902503044</c:v>
                </c:pt>
              </c:numCache>
            </c:numRef>
          </c:val>
          <c:extLst>
            <c:ext xmlns:c16="http://schemas.microsoft.com/office/drawing/2014/chart" uri="{C3380CC4-5D6E-409C-BE32-E72D297353CC}">
              <c16:uniqueId val="{00000001-2732-4761-BBF3-C36B4E75693A}"/>
            </c:ext>
          </c:extLst>
        </c:ser>
        <c:dLbls>
          <c:showLegendKey val="0"/>
          <c:showVal val="0"/>
          <c:showCatName val="0"/>
          <c:showSerName val="0"/>
          <c:showPercent val="0"/>
          <c:showBubbleSize val="0"/>
        </c:dLbls>
        <c:gapWidth val="219"/>
        <c:overlap val="-27"/>
        <c:axId val="448214208"/>
        <c:axId val="448215648"/>
      </c:barChart>
      <c:catAx>
        <c:axId val="448214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15648"/>
        <c:crosses val="autoZero"/>
        <c:auto val="1"/>
        <c:lblAlgn val="ctr"/>
        <c:lblOffset val="100"/>
        <c:noMultiLvlLbl val="0"/>
      </c:catAx>
      <c:valAx>
        <c:axId val="448215648"/>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14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Leverage</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Ratio!$A$12:$B$12</c:f>
              <c:strCache>
                <c:ptCount val="2"/>
                <c:pt idx="0">
                  <c:v>1. Debt-to-Equity Ratio</c:v>
                </c:pt>
                <c:pt idx="1">
                  <c:v>Total Debt / Total Equity</c:v>
                </c:pt>
              </c:strCache>
            </c:strRef>
          </c:tx>
          <c:spPr>
            <a:solidFill>
              <a:schemeClr val="accent1"/>
            </a:solidFill>
            <a:ln>
              <a:noFill/>
            </a:ln>
            <a:effectLst/>
          </c:spPr>
          <c:invertIfNegative val="0"/>
          <c:cat>
            <c:numRef>
              <c:f>Ratio!$C$2:$G$2</c:f>
              <c:numCache>
                <c:formatCode>General</c:formatCode>
                <c:ptCount val="5"/>
                <c:pt idx="0">
                  <c:v>2023</c:v>
                </c:pt>
                <c:pt idx="1">
                  <c:v>2022</c:v>
                </c:pt>
                <c:pt idx="2">
                  <c:v>2021</c:v>
                </c:pt>
                <c:pt idx="3">
                  <c:v>2020</c:v>
                </c:pt>
                <c:pt idx="4">
                  <c:v>2019</c:v>
                </c:pt>
              </c:numCache>
            </c:numRef>
          </c:cat>
          <c:val>
            <c:numRef>
              <c:f>Ratio!$C$12:$G$12</c:f>
              <c:numCache>
                <c:formatCode>0.00</c:formatCode>
                <c:ptCount val="5"/>
                <c:pt idx="0">
                  <c:v>-0.17830571255228789</c:v>
                </c:pt>
                <c:pt idx="1">
                  <c:v>-0.23499015748031496</c:v>
                </c:pt>
                <c:pt idx="2">
                  <c:v>-0.28828381198449765</c:v>
                </c:pt>
                <c:pt idx="3">
                  <c:v>-0.27469066366704165</c:v>
                </c:pt>
                <c:pt idx="4">
                  <c:v>1.2736476276820792</c:v>
                </c:pt>
              </c:numCache>
            </c:numRef>
          </c:val>
          <c:extLst>
            <c:ext xmlns:c16="http://schemas.microsoft.com/office/drawing/2014/chart" uri="{C3380CC4-5D6E-409C-BE32-E72D297353CC}">
              <c16:uniqueId val="{00000000-AE4C-4398-9252-6491BDFF4368}"/>
            </c:ext>
          </c:extLst>
        </c:ser>
        <c:ser>
          <c:idx val="1"/>
          <c:order val="1"/>
          <c:tx>
            <c:strRef>
              <c:f>Ratio!$A$13:$B$13</c:f>
              <c:strCache>
                <c:ptCount val="2"/>
                <c:pt idx="0">
                  <c:v>2. Debt Ratio</c:v>
                </c:pt>
                <c:pt idx="1">
                  <c:v>Total Debt / Total Assets</c:v>
                </c:pt>
              </c:strCache>
            </c:strRef>
          </c:tx>
          <c:spPr>
            <a:solidFill>
              <a:schemeClr val="accent2"/>
            </a:solidFill>
            <a:ln>
              <a:noFill/>
            </a:ln>
            <a:effectLst/>
          </c:spPr>
          <c:invertIfNegative val="0"/>
          <c:cat>
            <c:numRef>
              <c:f>Ratio!$C$2:$G$2</c:f>
              <c:numCache>
                <c:formatCode>General</c:formatCode>
                <c:ptCount val="5"/>
                <c:pt idx="0">
                  <c:v>2023</c:v>
                </c:pt>
                <c:pt idx="1">
                  <c:v>2022</c:v>
                </c:pt>
                <c:pt idx="2">
                  <c:v>2021</c:v>
                </c:pt>
                <c:pt idx="3">
                  <c:v>2020</c:v>
                </c:pt>
                <c:pt idx="4">
                  <c:v>2019</c:v>
                </c:pt>
              </c:numCache>
            </c:numRef>
          </c:cat>
          <c:val>
            <c:numRef>
              <c:f>Ratio!$C$13:$G$13</c:f>
              <c:numCache>
                <c:formatCode>0.00</c:formatCode>
                <c:ptCount val="5"/>
                <c:pt idx="0">
                  <c:v>-0.10474779117972575</c:v>
                </c:pt>
                <c:pt idx="1">
                  <c:v>-0.1275838616434696</c:v>
                </c:pt>
                <c:pt idx="2">
                  <c:v>-0.14007500281662938</c:v>
                </c:pt>
                <c:pt idx="3">
                  <c:v>-0.1170706450870599</c:v>
                </c:pt>
                <c:pt idx="4">
                  <c:v>0.24567897636188754</c:v>
                </c:pt>
              </c:numCache>
            </c:numRef>
          </c:val>
          <c:extLst>
            <c:ext xmlns:c16="http://schemas.microsoft.com/office/drawing/2014/chart" uri="{C3380CC4-5D6E-409C-BE32-E72D297353CC}">
              <c16:uniqueId val="{00000001-AE4C-4398-9252-6491BDFF4368}"/>
            </c:ext>
          </c:extLst>
        </c:ser>
        <c:dLbls>
          <c:showLegendKey val="0"/>
          <c:showVal val="0"/>
          <c:showCatName val="0"/>
          <c:showSerName val="0"/>
          <c:showPercent val="0"/>
          <c:showBubbleSize val="0"/>
        </c:dLbls>
        <c:gapWidth val="219"/>
        <c:overlap val="-27"/>
        <c:axId val="703733424"/>
        <c:axId val="703743984"/>
      </c:barChart>
      <c:catAx>
        <c:axId val="703733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743984"/>
        <c:crosses val="autoZero"/>
        <c:auto val="1"/>
        <c:lblAlgn val="ctr"/>
        <c:lblOffset val="100"/>
        <c:noMultiLvlLbl val="0"/>
      </c:catAx>
      <c:valAx>
        <c:axId val="7037439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733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'Stock Price'!$B$1</c:f>
              <c:strCache>
                <c:ptCount val="1"/>
                <c:pt idx="0">
                  <c:v>Adj Close</c:v>
                </c:pt>
              </c:strCache>
            </c:strRef>
          </c:tx>
          <c:spPr>
            <a:solidFill>
              <a:schemeClr val="accent1"/>
            </a:solidFill>
            <a:ln>
              <a:noFill/>
            </a:ln>
            <a:effectLst/>
          </c:spPr>
          <c:invertIfNegative val="0"/>
          <c:cat>
            <c:numRef>
              <c:f>'Stock Price'!$A$2:$A$61</c:f>
              <c:numCache>
                <c:formatCode>m/d/yyyy</c:formatCode>
                <c:ptCount val="60"/>
                <c:pt idx="0">
                  <c:v>43221</c:v>
                </c:pt>
                <c:pt idx="1">
                  <c:v>43252</c:v>
                </c:pt>
                <c:pt idx="2">
                  <c:v>43282</c:v>
                </c:pt>
                <c:pt idx="3">
                  <c:v>43313</c:v>
                </c:pt>
                <c:pt idx="4">
                  <c:v>43344</c:v>
                </c:pt>
                <c:pt idx="5">
                  <c:v>43374</c:v>
                </c:pt>
                <c:pt idx="6">
                  <c:v>43405</c:v>
                </c:pt>
                <c:pt idx="7">
                  <c:v>43435</c:v>
                </c:pt>
                <c:pt idx="8">
                  <c:v>43466</c:v>
                </c:pt>
                <c:pt idx="9">
                  <c:v>43497</c:v>
                </c:pt>
                <c:pt idx="10">
                  <c:v>43525</c:v>
                </c:pt>
                <c:pt idx="11">
                  <c:v>43556</c:v>
                </c:pt>
                <c:pt idx="12">
                  <c:v>43586</c:v>
                </c:pt>
                <c:pt idx="13">
                  <c:v>43617</c:v>
                </c:pt>
                <c:pt idx="14">
                  <c:v>43647</c:v>
                </c:pt>
                <c:pt idx="15">
                  <c:v>43678</c:v>
                </c:pt>
                <c:pt idx="16">
                  <c:v>43709</c:v>
                </c:pt>
                <c:pt idx="17">
                  <c:v>43739</c:v>
                </c:pt>
                <c:pt idx="18">
                  <c:v>43770</c:v>
                </c:pt>
                <c:pt idx="19">
                  <c:v>43800</c:v>
                </c:pt>
                <c:pt idx="20">
                  <c:v>43831</c:v>
                </c:pt>
                <c:pt idx="21">
                  <c:v>43862</c:v>
                </c:pt>
                <c:pt idx="22">
                  <c:v>43891</c:v>
                </c:pt>
                <c:pt idx="23">
                  <c:v>43922</c:v>
                </c:pt>
                <c:pt idx="24">
                  <c:v>43952</c:v>
                </c:pt>
                <c:pt idx="25">
                  <c:v>43983</c:v>
                </c:pt>
                <c:pt idx="26">
                  <c:v>44013</c:v>
                </c:pt>
                <c:pt idx="27">
                  <c:v>44044</c:v>
                </c:pt>
                <c:pt idx="28">
                  <c:v>44075</c:v>
                </c:pt>
                <c:pt idx="29">
                  <c:v>44105</c:v>
                </c:pt>
                <c:pt idx="30">
                  <c:v>44136</c:v>
                </c:pt>
                <c:pt idx="31">
                  <c:v>44166</c:v>
                </c:pt>
                <c:pt idx="32">
                  <c:v>44197</c:v>
                </c:pt>
                <c:pt idx="33">
                  <c:v>44228</c:v>
                </c:pt>
                <c:pt idx="34">
                  <c:v>44256</c:v>
                </c:pt>
                <c:pt idx="35">
                  <c:v>44287</c:v>
                </c:pt>
                <c:pt idx="36">
                  <c:v>44317</c:v>
                </c:pt>
                <c:pt idx="37">
                  <c:v>44348</c:v>
                </c:pt>
                <c:pt idx="38">
                  <c:v>44378</c:v>
                </c:pt>
                <c:pt idx="39">
                  <c:v>44409</c:v>
                </c:pt>
                <c:pt idx="40">
                  <c:v>44440</c:v>
                </c:pt>
                <c:pt idx="41">
                  <c:v>44470</c:v>
                </c:pt>
                <c:pt idx="42">
                  <c:v>44501</c:v>
                </c:pt>
                <c:pt idx="43">
                  <c:v>44531</c:v>
                </c:pt>
                <c:pt idx="44">
                  <c:v>44562</c:v>
                </c:pt>
                <c:pt idx="45">
                  <c:v>44593</c:v>
                </c:pt>
                <c:pt idx="46">
                  <c:v>44621</c:v>
                </c:pt>
                <c:pt idx="47">
                  <c:v>44652</c:v>
                </c:pt>
                <c:pt idx="48">
                  <c:v>44682</c:v>
                </c:pt>
                <c:pt idx="49">
                  <c:v>44713</c:v>
                </c:pt>
                <c:pt idx="50">
                  <c:v>44743</c:v>
                </c:pt>
                <c:pt idx="51">
                  <c:v>44774</c:v>
                </c:pt>
                <c:pt idx="52">
                  <c:v>44805</c:v>
                </c:pt>
                <c:pt idx="53">
                  <c:v>44835</c:v>
                </c:pt>
                <c:pt idx="54">
                  <c:v>44866</c:v>
                </c:pt>
                <c:pt idx="55">
                  <c:v>44896</c:v>
                </c:pt>
                <c:pt idx="56">
                  <c:v>44927</c:v>
                </c:pt>
                <c:pt idx="57">
                  <c:v>44958</c:v>
                </c:pt>
                <c:pt idx="58">
                  <c:v>44986</c:v>
                </c:pt>
                <c:pt idx="59">
                  <c:v>45017</c:v>
                </c:pt>
              </c:numCache>
            </c:numRef>
          </c:cat>
          <c:val>
            <c:numRef>
              <c:f>'Stock Price'!$B$2:$B$61</c:f>
              <c:numCache>
                <c:formatCode>General</c:formatCode>
                <c:ptCount val="60"/>
                <c:pt idx="0">
                  <c:v>18.981999999999999</c:v>
                </c:pt>
                <c:pt idx="1">
                  <c:v>22.863333000000001</c:v>
                </c:pt>
                <c:pt idx="2">
                  <c:v>19.875999</c:v>
                </c:pt>
                <c:pt idx="3">
                  <c:v>20.110665999999998</c:v>
                </c:pt>
                <c:pt idx="4">
                  <c:v>17.651333000000001</c:v>
                </c:pt>
                <c:pt idx="5">
                  <c:v>22.488001000000001</c:v>
                </c:pt>
                <c:pt idx="6">
                  <c:v>23.365334000000001</c:v>
                </c:pt>
                <c:pt idx="7">
                  <c:v>22.186665999999999</c:v>
                </c:pt>
                <c:pt idx="8">
                  <c:v>20.468</c:v>
                </c:pt>
                <c:pt idx="9">
                  <c:v>21.325333000000001</c:v>
                </c:pt>
                <c:pt idx="10">
                  <c:v>18.657333000000001</c:v>
                </c:pt>
                <c:pt idx="11">
                  <c:v>15.912667000000001</c:v>
                </c:pt>
                <c:pt idx="12">
                  <c:v>12.343999999999999</c:v>
                </c:pt>
                <c:pt idx="13">
                  <c:v>14.897333</c:v>
                </c:pt>
                <c:pt idx="14">
                  <c:v>16.107332</c:v>
                </c:pt>
                <c:pt idx="15">
                  <c:v>15.040666999999999</c:v>
                </c:pt>
                <c:pt idx="16">
                  <c:v>16.058001000000001</c:v>
                </c:pt>
                <c:pt idx="17">
                  <c:v>20.994667</c:v>
                </c:pt>
                <c:pt idx="18">
                  <c:v>21.995999999999999</c:v>
                </c:pt>
                <c:pt idx="19">
                  <c:v>27.888666000000001</c:v>
                </c:pt>
                <c:pt idx="20">
                  <c:v>43.371333999999997</c:v>
                </c:pt>
                <c:pt idx="21">
                  <c:v>44.532665000000001</c:v>
                </c:pt>
                <c:pt idx="22">
                  <c:v>34.933334000000002</c:v>
                </c:pt>
                <c:pt idx="23">
                  <c:v>52.125332</c:v>
                </c:pt>
                <c:pt idx="24">
                  <c:v>55.666668000000001</c:v>
                </c:pt>
                <c:pt idx="25">
                  <c:v>71.987335000000002</c:v>
                </c:pt>
                <c:pt idx="26">
                  <c:v>95.384003000000007</c:v>
                </c:pt>
                <c:pt idx="27">
                  <c:v>166.106674</c:v>
                </c:pt>
                <c:pt idx="28">
                  <c:v>143.00332599999999</c:v>
                </c:pt>
                <c:pt idx="29">
                  <c:v>129.346664</c:v>
                </c:pt>
                <c:pt idx="30">
                  <c:v>189.199997</c:v>
                </c:pt>
                <c:pt idx="31">
                  <c:v>235.22332800000001</c:v>
                </c:pt>
                <c:pt idx="32">
                  <c:v>264.51001000000002</c:v>
                </c:pt>
                <c:pt idx="33">
                  <c:v>225.16667200000001</c:v>
                </c:pt>
                <c:pt idx="34">
                  <c:v>222.643326</c:v>
                </c:pt>
                <c:pt idx="35">
                  <c:v>236.479996</c:v>
                </c:pt>
                <c:pt idx="36">
                  <c:v>208.40666200000001</c:v>
                </c:pt>
                <c:pt idx="37">
                  <c:v>226.566666</c:v>
                </c:pt>
                <c:pt idx="38">
                  <c:v>229.066666</c:v>
                </c:pt>
                <c:pt idx="39">
                  <c:v>245.240005</c:v>
                </c:pt>
                <c:pt idx="40">
                  <c:v>258.49334700000003</c:v>
                </c:pt>
                <c:pt idx="41">
                  <c:v>371.33334400000001</c:v>
                </c:pt>
                <c:pt idx="42">
                  <c:v>381.58667000000003</c:v>
                </c:pt>
                <c:pt idx="43">
                  <c:v>352.26001000000002</c:v>
                </c:pt>
                <c:pt idx="44">
                  <c:v>312.23998999999998</c:v>
                </c:pt>
                <c:pt idx="45">
                  <c:v>290.14334100000002</c:v>
                </c:pt>
                <c:pt idx="46">
                  <c:v>359.20001200000002</c:v>
                </c:pt>
                <c:pt idx="47">
                  <c:v>290.25332600000002</c:v>
                </c:pt>
                <c:pt idx="48">
                  <c:v>252.75332599999999</c:v>
                </c:pt>
                <c:pt idx="49">
                  <c:v>224.47332800000001</c:v>
                </c:pt>
                <c:pt idx="50">
                  <c:v>297.14999399999999</c:v>
                </c:pt>
                <c:pt idx="51">
                  <c:v>275.60998499999999</c:v>
                </c:pt>
                <c:pt idx="52">
                  <c:v>265.25</c:v>
                </c:pt>
                <c:pt idx="53">
                  <c:v>227.53999300000001</c:v>
                </c:pt>
                <c:pt idx="54">
                  <c:v>194.699997</c:v>
                </c:pt>
                <c:pt idx="55">
                  <c:v>123.18</c:v>
                </c:pt>
                <c:pt idx="56">
                  <c:v>173.220001</c:v>
                </c:pt>
                <c:pt idx="57">
                  <c:v>205.71000699999999</c:v>
                </c:pt>
                <c:pt idx="58">
                  <c:v>207.46000699999999</c:v>
                </c:pt>
                <c:pt idx="59">
                  <c:v>164.30999800000001</c:v>
                </c:pt>
              </c:numCache>
            </c:numRef>
          </c:val>
          <c:extLst>
            <c:ext xmlns:c16="http://schemas.microsoft.com/office/drawing/2014/chart" uri="{C3380CC4-5D6E-409C-BE32-E72D297353CC}">
              <c16:uniqueId val="{00000000-2B3A-4738-9B40-9AD133ED1969}"/>
            </c:ext>
          </c:extLst>
        </c:ser>
        <c:dLbls>
          <c:showLegendKey val="0"/>
          <c:showVal val="0"/>
          <c:showCatName val="0"/>
          <c:showSerName val="0"/>
          <c:showPercent val="0"/>
          <c:showBubbleSize val="0"/>
        </c:dLbls>
        <c:gapWidth val="219"/>
        <c:overlap val="-27"/>
        <c:axId val="579995072"/>
        <c:axId val="579982592"/>
      </c:barChart>
      <c:lineChart>
        <c:grouping val="standard"/>
        <c:varyColors val="0"/>
        <c:ser>
          <c:idx val="1"/>
          <c:order val="1"/>
          <c:tx>
            <c:strRef>
              <c:f>'Stock Price'!$C$1</c:f>
              <c:strCache>
                <c:ptCount val="1"/>
                <c:pt idx="0">
                  <c:v>Return</c:v>
                </c:pt>
              </c:strCache>
            </c:strRef>
          </c:tx>
          <c:spPr>
            <a:ln w="28575" cap="rnd">
              <a:solidFill>
                <a:schemeClr val="accent2"/>
              </a:solidFill>
              <a:round/>
            </a:ln>
            <a:effectLst/>
          </c:spPr>
          <c:marker>
            <c:symbol val="none"/>
          </c:marker>
          <c:val>
            <c:numRef>
              <c:f>'Stock Price'!$C$2:$C$61</c:f>
              <c:numCache>
                <c:formatCode>0%</c:formatCode>
                <c:ptCount val="60"/>
                <c:pt idx="0">
                  <c:v>0.20447439679696564</c:v>
                </c:pt>
                <c:pt idx="1">
                  <c:v>-0.13066047719289223</c:v>
                </c:pt>
                <c:pt idx="2">
                  <c:v>1.1806551207815928E-2</c:v>
                </c:pt>
                <c:pt idx="3">
                  <c:v>-0.12228998283796258</c:v>
                </c:pt>
                <c:pt idx="4">
                  <c:v>0.27401148683784954</c:v>
                </c:pt>
                <c:pt idx="5">
                  <c:v>3.9013383181546464E-2</c:v>
                </c:pt>
                <c:pt idx="6">
                  <c:v>-5.0445159482847612E-2</c:v>
                </c:pt>
                <c:pt idx="7">
                  <c:v>-7.7463914587257002E-2</c:v>
                </c:pt>
                <c:pt idx="8">
                  <c:v>4.1886505765096761E-2</c:v>
                </c:pt>
                <c:pt idx="9">
                  <c:v>-0.1251094179865796</c:v>
                </c:pt>
                <c:pt idx="10">
                  <c:v>-0.14710923581628738</c:v>
                </c:pt>
                <c:pt idx="11">
                  <c:v>-0.22426580032121587</c:v>
                </c:pt>
                <c:pt idx="12">
                  <c:v>0.20684810434219056</c:v>
                </c:pt>
                <c:pt idx="13">
                  <c:v>8.1222524864014239E-2</c:v>
                </c:pt>
                <c:pt idx="14">
                  <c:v>-6.6222326577734941E-2</c:v>
                </c:pt>
                <c:pt idx="15">
                  <c:v>6.7638888621096516E-2</c:v>
                </c:pt>
                <c:pt idx="16">
                  <c:v>0.30742718225014426</c:v>
                </c:pt>
                <c:pt idx="17">
                  <c:v>4.7694635975888494E-2</c:v>
                </c:pt>
                <c:pt idx="18">
                  <c:v>0.26789716312056749</c:v>
                </c:pt>
                <c:pt idx="19">
                  <c:v>0.55515986315014121</c:v>
                </c:pt>
                <c:pt idx="20">
                  <c:v>2.6776464841962302E-2</c:v>
                </c:pt>
                <c:pt idx="21">
                  <c:v>-0.21555707478993227</c:v>
                </c:pt>
                <c:pt idx="22">
                  <c:v>0.49213733793631026</c:v>
                </c:pt>
                <c:pt idx="23">
                  <c:v>6.793886703685649E-2</c:v>
                </c:pt>
                <c:pt idx="24">
                  <c:v>0.29318562770812867</c:v>
                </c:pt>
                <c:pt idx="25">
                  <c:v>0.32501089254102827</c:v>
                </c:pt>
                <c:pt idx="26">
                  <c:v>0.74145211750024775</c:v>
                </c:pt>
                <c:pt idx="27">
                  <c:v>-0.13908741559655821</c:v>
                </c:pt>
                <c:pt idx="28">
                  <c:v>-9.5498911682655438E-2</c:v>
                </c:pt>
                <c:pt idx="29">
                  <c:v>0.46273580739585207</c:v>
                </c:pt>
                <c:pt idx="30">
                  <c:v>0.24325228186975084</c:v>
                </c:pt>
                <c:pt idx="31">
                  <c:v>0.12450585683406372</c:v>
                </c:pt>
                <c:pt idx="32">
                  <c:v>-0.14874045031414884</c:v>
                </c:pt>
                <c:pt idx="33">
                  <c:v>-1.120656968274596E-2</c:v>
                </c:pt>
                <c:pt idx="34">
                  <c:v>6.21472480158691E-2</c:v>
                </c:pt>
                <c:pt idx="35">
                  <c:v>-0.11871335620286456</c:v>
                </c:pt>
                <c:pt idx="36">
                  <c:v>8.7137348805097145E-2</c:v>
                </c:pt>
                <c:pt idx="37">
                  <c:v>1.1034279861804561E-2</c:v>
                </c:pt>
                <c:pt idx="38">
                  <c:v>7.0605380007582597E-2</c:v>
                </c:pt>
                <c:pt idx="39">
                  <c:v>5.4042332938298673E-2</c:v>
                </c:pt>
                <c:pt idx="40">
                  <c:v>0.43652959857415585</c:v>
                </c:pt>
                <c:pt idx="41">
                  <c:v>2.7612187716705601E-2</c:v>
                </c:pt>
                <c:pt idx="42">
                  <c:v>-7.6854519053299222E-2</c:v>
                </c:pt>
                <c:pt idx="43">
                  <c:v>-0.11360931943424415</c:v>
                </c:pt>
                <c:pt idx="44">
                  <c:v>-7.0768158172180184E-2</c:v>
                </c:pt>
                <c:pt idx="45">
                  <c:v>0.23800880889422166</c:v>
                </c:pt>
                <c:pt idx="46">
                  <c:v>-0.19194511051408317</c:v>
                </c:pt>
                <c:pt idx="47">
                  <c:v>-0.12919748592303823</c:v>
                </c:pt>
                <c:pt idx="48">
                  <c:v>-0.11188773832396563</c:v>
                </c:pt>
                <c:pt idx="49">
                  <c:v>0.32376526265962424</c:v>
                </c:pt>
                <c:pt idx="50">
                  <c:v>-7.2488673851361402E-2</c:v>
                </c:pt>
                <c:pt idx="51">
                  <c:v>-3.7589294887120997E-2</c:v>
                </c:pt>
                <c:pt idx="52">
                  <c:v>-0.14216779264844481</c:v>
                </c:pt>
                <c:pt idx="53">
                  <c:v>-0.14432625916447142</c:v>
                </c:pt>
                <c:pt idx="54">
                  <c:v>-0.36733435080638438</c:v>
                </c:pt>
                <c:pt idx="55">
                  <c:v>0.40623478649131339</c:v>
                </c:pt>
                <c:pt idx="56">
                  <c:v>0.18756497986626841</c:v>
                </c:pt>
                <c:pt idx="57">
                  <c:v>8.507121386661565E-3</c:v>
                </c:pt>
                <c:pt idx="58">
                  <c:v>-0.2079919384173162</c:v>
                </c:pt>
                <c:pt idx="59">
                  <c:v>-1</c:v>
                </c:pt>
              </c:numCache>
            </c:numRef>
          </c:val>
          <c:smooth val="0"/>
          <c:extLst>
            <c:ext xmlns:c16="http://schemas.microsoft.com/office/drawing/2014/chart" uri="{C3380CC4-5D6E-409C-BE32-E72D297353CC}">
              <c16:uniqueId val="{00000001-2B3A-4738-9B40-9AD133ED1969}"/>
            </c:ext>
          </c:extLst>
        </c:ser>
        <c:dLbls>
          <c:showLegendKey val="0"/>
          <c:showVal val="0"/>
          <c:showCatName val="0"/>
          <c:showSerName val="0"/>
          <c:showPercent val="0"/>
          <c:showBubbleSize val="0"/>
        </c:dLbls>
        <c:marker val="1"/>
        <c:smooth val="0"/>
        <c:axId val="579993632"/>
        <c:axId val="579984992"/>
      </c:lineChart>
      <c:dateAx>
        <c:axId val="579995072"/>
        <c:scaling>
          <c:orientation val="minMax"/>
        </c:scaling>
        <c:delete val="0"/>
        <c:axPos val="b"/>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982592"/>
        <c:crosses val="autoZero"/>
        <c:auto val="1"/>
        <c:lblOffset val="100"/>
        <c:baseTimeUnit val="months"/>
      </c:dateAx>
      <c:valAx>
        <c:axId val="579982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995072"/>
        <c:crosses val="autoZero"/>
        <c:crossBetween val="between"/>
      </c:valAx>
      <c:valAx>
        <c:axId val="579984992"/>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993632"/>
        <c:crosses val="max"/>
        <c:crossBetween val="between"/>
      </c:valAx>
      <c:catAx>
        <c:axId val="579993632"/>
        <c:scaling>
          <c:orientation val="minMax"/>
        </c:scaling>
        <c:delete val="1"/>
        <c:axPos val="b"/>
        <c:majorTickMark val="none"/>
        <c:minorTickMark val="none"/>
        <c:tickLblPos val="nextTo"/>
        <c:crossAx val="5799849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64745-365C-4AB4-818D-020931871A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5661</Words>
  <Characters>36242</Characters>
  <Application>Microsoft Office Word</Application>
  <DocSecurity>0</DocSecurity>
  <Lines>302</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parthpatel940857@gmail.com</cp:lastModifiedBy>
  <cp:revision>2</cp:revision>
  <dcterms:created xsi:type="dcterms:W3CDTF">2024-04-20T09:58:00Z</dcterms:created>
  <dcterms:modified xsi:type="dcterms:W3CDTF">2024-04-20T09:58:00Z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46242cdf9b5c20f3b32f3bff43c9239925bf55218f44e2aeac60fb9e56917021</vt:lpwstr>
  </property>
</Properties>
</file>