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bookmarkStart w:id="0" w:name="_Hlk61338482"/>
    <w:p w14:paraId="566A16A9" w14:textId="20387CC1" w:rsidR="00E95B62" w:rsidRDefault="00E95B62" w:rsidP="001B7A87">
      <w:pPr>
        <w:shd w:val="clear" w:color="auto" w:fill="FFFFFF"/>
        <w:spacing w:after="0" w:line="240" w:lineRule="auto"/>
        <w:textAlignment w:val="baseline"/>
        <w:outlineLvl w:val="0"/>
        <w:rPr>
          <w:rFonts w:ascii="Georgia" w:eastAsia="Times New Roman" w:hAnsi="Georgia" w:cs="Times New Roman"/>
          <w:color w:val="121212"/>
          <w:kern w:val="36"/>
          <w:sz w:val="20"/>
          <w:szCs w:val="20"/>
          <w:lang w:eastAsia="en-GB"/>
        </w:rPr>
      </w:pPr>
      <w:r>
        <w:rPr>
          <w:rFonts w:ascii="Georgia" w:eastAsia="Times New Roman" w:hAnsi="Georgia" w:cs="Times New Roman"/>
          <w:color w:val="121212"/>
          <w:kern w:val="36"/>
          <w:sz w:val="20"/>
          <w:szCs w:val="20"/>
          <w:lang w:eastAsia="en-GB"/>
        </w:rPr>
        <w:fldChar w:fldCharType="begin"/>
      </w:r>
      <w:r>
        <w:rPr>
          <w:rFonts w:ascii="Georgia" w:eastAsia="Times New Roman" w:hAnsi="Georgia" w:cs="Times New Roman"/>
          <w:color w:val="121212"/>
          <w:kern w:val="36"/>
          <w:sz w:val="20"/>
          <w:szCs w:val="20"/>
          <w:lang w:eastAsia="en-GB"/>
        </w:rPr>
        <w:instrText xml:space="preserve"> HYPERLINK "</w:instrText>
      </w:r>
      <w:r w:rsidRPr="00E95B62">
        <w:rPr>
          <w:rFonts w:ascii="Georgia" w:eastAsia="Times New Roman" w:hAnsi="Georgia" w:cs="Times New Roman"/>
          <w:color w:val="121212"/>
          <w:kern w:val="36"/>
          <w:sz w:val="20"/>
          <w:szCs w:val="20"/>
          <w:lang w:eastAsia="en-GB"/>
        </w:rPr>
        <w:instrText>https://www.theguardian.com/sustainable-business/2015/jan/14/10-companies-business-school-education-philanthropy-inequality</w:instrText>
      </w:r>
      <w:r>
        <w:rPr>
          <w:rFonts w:ascii="Georgia" w:eastAsia="Times New Roman" w:hAnsi="Georgia" w:cs="Times New Roman"/>
          <w:color w:val="121212"/>
          <w:kern w:val="36"/>
          <w:sz w:val="20"/>
          <w:szCs w:val="20"/>
          <w:lang w:eastAsia="en-GB"/>
        </w:rPr>
        <w:instrText xml:space="preserve">" </w:instrText>
      </w:r>
      <w:r>
        <w:rPr>
          <w:rFonts w:ascii="Georgia" w:eastAsia="Times New Roman" w:hAnsi="Georgia" w:cs="Times New Roman"/>
          <w:color w:val="121212"/>
          <w:kern w:val="36"/>
          <w:sz w:val="20"/>
          <w:szCs w:val="20"/>
          <w:lang w:eastAsia="en-GB"/>
        </w:rPr>
        <w:fldChar w:fldCharType="separate"/>
      </w:r>
      <w:r w:rsidRPr="00913352">
        <w:rPr>
          <w:rStyle w:val="Hyperlink"/>
          <w:rFonts w:ascii="Georgia" w:eastAsia="Times New Roman" w:hAnsi="Georgia" w:cs="Times New Roman"/>
          <w:kern w:val="36"/>
          <w:sz w:val="20"/>
          <w:szCs w:val="20"/>
          <w:lang w:eastAsia="en-GB"/>
        </w:rPr>
        <w:t>https://www.theguardian.com/sustainable-business/2015/jan/14/10-companies-business-school-education-philanthropy-inequality</w:t>
      </w:r>
      <w:r>
        <w:rPr>
          <w:rFonts w:ascii="Georgia" w:eastAsia="Times New Roman" w:hAnsi="Georgia" w:cs="Times New Roman"/>
          <w:color w:val="121212"/>
          <w:kern w:val="36"/>
          <w:sz w:val="20"/>
          <w:szCs w:val="20"/>
          <w:lang w:eastAsia="en-GB"/>
        </w:rPr>
        <w:fldChar w:fldCharType="end"/>
      </w:r>
    </w:p>
    <w:bookmarkEnd w:id="0"/>
    <w:p w14:paraId="2B0C9928" w14:textId="77777777" w:rsidR="00E95B62" w:rsidRPr="00E95B62" w:rsidRDefault="00E95B62" w:rsidP="001B7A87">
      <w:pPr>
        <w:shd w:val="clear" w:color="auto" w:fill="FFFFFF"/>
        <w:spacing w:after="0" w:line="240" w:lineRule="auto"/>
        <w:textAlignment w:val="baseline"/>
        <w:outlineLvl w:val="0"/>
        <w:rPr>
          <w:rFonts w:ascii="Georgia" w:eastAsia="Times New Roman" w:hAnsi="Georgia" w:cs="Times New Roman"/>
          <w:color w:val="121212"/>
          <w:kern w:val="36"/>
          <w:sz w:val="20"/>
          <w:szCs w:val="20"/>
          <w:lang w:eastAsia="en-GB"/>
        </w:rPr>
      </w:pPr>
    </w:p>
    <w:p w14:paraId="7098BEEC" w14:textId="18C19B28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outlineLvl w:val="0"/>
        <w:rPr>
          <w:rFonts w:ascii="Georgia" w:eastAsia="Times New Roman" w:hAnsi="Georgia" w:cs="Times New Roman"/>
          <w:b/>
          <w:bCs/>
          <w:color w:val="121212"/>
          <w:kern w:val="36"/>
          <w:sz w:val="40"/>
          <w:szCs w:val="40"/>
          <w:lang w:eastAsia="en-GB"/>
        </w:rPr>
      </w:pPr>
      <w:bookmarkStart w:id="1" w:name="_Hlk61338405"/>
      <w:r w:rsidRPr="001B7A87">
        <w:rPr>
          <w:rFonts w:ascii="Georgia" w:eastAsia="Times New Roman" w:hAnsi="Georgia" w:cs="Times New Roman"/>
          <w:b/>
          <w:bCs/>
          <w:color w:val="121212"/>
          <w:kern w:val="36"/>
          <w:sz w:val="40"/>
          <w:szCs w:val="40"/>
          <w:lang w:eastAsia="en-GB"/>
        </w:rPr>
        <w:t xml:space="preserve">10 companies spending millions on </w:t>
      </w:r>
      <w:proofErr w:type="gramStart"/>
      <w:r w:rsidRPr="001B7A87">
        <w:rPr>
          <w:rFonts w:ascii="Georgia" w:eastAsia="Times New Roman" w:hAnsi="Georgia" w:cs="Times New Roman"/>
          <w:b/>
          <w:bCs/>
          <w:color w:val="121212"/>
          <w:kern w:val="36"/>
          <w:sz w:val="40"/>
          <w:szCs w:val="40"/>
          <w:lang w:eastAsia="en-GB"/>
        </w:rPr>
        <w:t>education</w:t>
      </w:r>
      <w:proofErr w:type="gramEnd"/>
    </w:p>
    <w:bookmarkEnd w:id="1"/>
    <w:p w14:paraId="78936916" w14:textId="77777777" w:rsidR="00E95B62" w:rsidRDefault="00E95B62" w:rsidP="001B7A87">
      <w:pPr>
        <w:shd w:val="clear" w:color="auto" w:fill="FFFFFF"/>
        <w:spacing w:after="120" w:line="300" w:lineRule="atLeast"/>
        <w:textAlignment w:val="baseline"/>
        <w:rPr>
          <w:rFonts w:ascii="Times New Roman" w:eastAsia="Times New Roman" w:hAnsi="Times New Roman" w:cs="Times New Roman"/>
          <w:b/>
          <w:bCs/>
          <w:color w:val="121212"/>
          <w:sz w:val="32"/>
          <w:szCs w:val="32"/>
          <w:lang w:eastAsia="en-GB"/>
        </w:rPr>
      </w:pPr>
    </w:p>
    <w:p w14:paraId="14B8C2E9" w14:textId="78BFFE80" w:rsidR="001B7A87" w:rsidRPr="001B7A87" w:rsidRDefault="001B7A87" w:rsidP="001B7A87">
      <w:pPr>
        <w:shd w:val="clear" w:color="auto" w:fill="FFFFFF"/>
        <w:spacing w:after="120" w:line="300" w:lineRule="atLeast"/>
        <w:textAlignment w:val="baseline"/>
        <w:rPr>
          <w:rFonts w:ascii="Georgia" w:eastAsia="Times New Roman" w:hAnsi="Georgia" w:cs="Times New Roman"/>
          <w:b/>
          <w:bCs/>
          <w:color w:val="121212"/>
          <w:sz w:val="27"/>
          <w:szCs w:val="27"/>
          <w:lang w:eastAsia="en-GB"/>
        </w:rPr>
      </w:pPr>
      <w:r w:rsidRPr="001B7A87">
        <w:rPr>
          <w:rFonts w:ascii="Georgia" w:eastAsia="Times New Roman" w:hAnsi="Georgia" w:cs="Times New Roman"/>
          <w:b/>
          <w:bCs/>
          <w:color w:val="121212"/>
          <w:sz w:val="27"/>
          <w:szCs w:val="27"/>
          <w:lang w:eastAsia="en-GB"/>
        </w:rPr>
        <w:t xml:space="preserve">Overall, the world’s largest businesses are spending a small percentage of their sustainability budgets on education. These corporations are doing the </w:t>
      </w:r>
      <w:proofErr w:type="gramStart"/>
      <w:r w:rsidRPr="001B7A87">
        <w:rPr>
          <w:rFonts w:ascii="Georgia" w:eastAsia="Times New Roman" w:hAnsi="Georgia" w:cs="Times New Roman"/>
          <w:b/>
          <w:bCs/>
          <w:color w:val="121212"/>
          <w:sz w:val="27"/>
          <w:szCs w:val="27"/>
          <w:lang w:eastAsia="en-GB"/>
        </w:rPr>
        <w:t>most</w:t>
      </w:r>
      <w:proofErr w:type="gramEnd"/>
    </w:p>
    <w:p w14:paraId="0F1A1BF2" w14:textId="77777777" w:rsidR="001B7A87" w:rsidRPr="001B7A87" w:rsidRDefault="001B7A87" w:rsidP="001B7A87">
      <w:pPr>
        <w:numPr>
          <w:ilvl w:val="0"/>
          <w:numId w:val="1"/>
        </w:numPr>
        <w:shd w:val="clear" w:color="auto" w:fill="FFFFFF"/>
        <w:spacing w:line="300" w:lineRule="atLeast"/>
        <w:textAlignment w:val="baseline"/>
        <w:rPr>
          <w:rFonts w:ascii="Georgia" w:eastAsia="Times New Roman" w:hAnsi="Georgia" w:cs="Times New Roman"/>
          <w:b/>
          <w:bCs/>
          <w:color w:val="121212"/>
          <w:sz w:val="27"/>
          <w:szCs w:val="27"/>
          <w:lang w:eastAsia="en-GB"/>
        </w:rPr>
      </w:pPr>
      <w:hyperlink r:id="rId5" w:history="1">
        <w:r w:rsidRPr="001B7A87">
          <w:rPr>
            <w:rFonts w:ascii="Georgia" w:eastAsia="Times New Roman" w:hAnsi="Georgia" w:cs="Times New Roman"/>
            <w:b/>
            <w:bCs/>
            <w:color w:val="AB0613"/>
            <w:sz w:val="27"/>
            <w:szCs w:val="27"/>
            <w:bdr w:val="none" w:sz="0" w:space="0" w:color="auto" w:frame="1"/>
            <w:lang w:eastAsia="en-GB"/>
          </w:rPr>
          <w:t>Why more companies should be investing in education</w:t>
        </w:r>
      </w:hyperlink>
    </w:p>
    <w:p w14:paraId="77AEC856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121212"/>
          <w:sz w:val="27"/>
          <w:szCs w:val="27"/>
          <w:lang w:eastAsia="en-GB"/>
        </w:rPr>
      </w:pPr>
      <w:r w:rsidRPr="001B7A87">
        <w:rPr>
          <w:rFonts w:ascii="Times New Roman" w:eastAsia="Times New Roman" w:hAnsi="Times New Roman" w:cs="Times New Roman"/>
          <w:noProof/>
          <w:color w:val="121212"/>
          <w:sz w:val="27"/>
          <w:szCs w:val="27"/>
          <w:lang w:eastAsia="en-GB"/>
        </w:rPr>
        <w:drawing>
          <wp:inline distT="0" distB="0" distL="0" distR="0" wp14:anchorId="190EF291" wp14:editId="6D7C5DD8">
            <wp:extent cx="2095500" cy="1257300"/>
            <wp:effectExtent l="0" t="0" r="0" b="0"/>
            <wp:docPr id="1" name="Picture 1" descr="Computer studies class in In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mputer studies class in India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0" cy="1257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4878A4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121212"/>
          <w:sz w:val="27"/>
          <w:szCs w:val="27"/>
          <w:lang w:eastAsia="en-GB"/>
        </w:rPr>
      </w:pPr>
      <w:r w:rsidRPr="001B7A87">
        <w:rPr>
          <w:rFonts w:ascii="Times New Roman" w:eastAsia="Times New Roman" w:hAnsi="Times New Roman" w:cs="Times New Roman"/>
          <w:color w:val="121212"/>
          <w:sz w:val="27"/>
          <w:szCs w:val="27"/>
          <w:bdr w:val="none" w:sz="0" w:space="0" w:color="auto" w:frame="1"/>
          <w:lang w:eastAsia="en-GB"/>
        </w:rPr>
        <w:t>Students take a computer-studies class at school in Hazira, India. Many children around the globe lack access to even basic education. Photograph: David Gee 5/</w:t>
      </w:r>
      <w:proofErr w:type="spellStart"/>
      <w:r w:rsidRPr="001B7A87">
        <w:rPr>
          <w:rFonts w:ascii="Times New Roman" w:eastAsia="Times New Roman" w:hAnsi="Times New Roman" w:cs="Times New Roman"/>
          <w:color w:val="121212"/>
          <w:sz w:val="27"/>
          <w:szCs w:val="27"/>
          <w:bdr w:val="none" w:sz="0" w:space="0" w:color="auto" w:frame="1"/>
          <w:lang w:eastAsia="en-GB"/>
        </w:rPr>
        <w:t>Alamy</w:t>
      </w:r>
      <w:proofErr w:type="spellEnd"/>
    </w:p>
    <w:p w14:paraId="0248E68D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i/>
          <w:iCs/>
          <w:color w:val="C70000"/>
          <w:sz w:val="27"/>
          <w:szCs w:val="27"/>
          <w:lang w:eastAsia="en-GB"/>
        </w:rPr>
      </w:pPr>
      <w:hyperlink r:id="rId7" w:history="1">
        <w:r w:rsidRPr="001B7A87">
          <w:rPr>
            <w:rFonts w:ascii="inherit" w:eastAsia="Times New Roman" w:hAnsi="inherit" w:cs="Times New Roman"/>
            <w:b/>
            <w:bCs/>
            <w:color w:val="C70000"/>
            <w:sz w:val="27"/>
            <w:szCs w:val="27"/>
            <w:bdr w:val="none" w:sz="0" w:space="0" w:color="auto" w:frame="1"/>
            <w:lang w:eastAsia="en-GB"/>
          </w:rPr>
          <w:t>Bruce Watson</w:t>
        </w:r>
      </w:hyperlink>
    </w:p>
    <w:p w14:paraId="41C160D3" w14:textId="77777777" w:rsidR="001B7A87" w:rsidRPr="001B7A87" w:rsidRDefault="001B7A87" w:rsidP="001B7A87">
      <w:pPr>
        <w:shd w:val="clear" w:color="auto" w:fill="FFFFFF"/>
        <w:spacing w:after="90" w:line="240" w:lineRule="auto"/>
        <w:textAlignment w:val="baseline"/>
        <w:rPr>
          <w:rFonts w:ascii="Helvetica" w:eastAsia="Times New Roman" w:hAnsi="Helvetica" w:cs="Helvetica"/>
          <w:color w:val="767676"/>
          <w:sz w:val="27"/>
          <w:szCs w:val="27"/>
          <w:lang w:eastAsia="en-GB"/>
        </w:rPr>
      </w:pPr>
      <w:r w:rsidRPr="001B7A87">
        <w:rPr>
          <w:rFonts w:ascii="Helvetica" w:eastAsia="Times New Roman" w:hAnsi="Helvetica" w:cs="Helvetica"/>
          <w:color w:val="767676"/>
          <w:sz w:val="27"/>
          <w:szCs w:val="27"/>
          <w:lang w:eastAsia="en-GB"/>
        </w:rPr>
        <w:t>Wed 14 Jan 2015 05.01 GMT</w:t>
      </w:r>
    </w:p>
    <w:p w14:paraId="6EDCDC49" w14:textId="34181341" w:rsidR="001B7A87" w:rsidRPr="001B7A87" w:rsidRDefault="001B7A87" w:rsidP="001B7A87">
      <w:pPr>
        <w:shd w:val="clear" w:color="auto" w:fill="FFFFFF"/>
        <w:spacing w:after="90" w:line="240" w:lineRule="auto"/>
        <w:textAlignment w:val="baseline"/>
        <w:rPr>
          <w:rFonts w:ascii="Helvetica" w:eastAsia="Times New Roman" w:hAnsi="Helvetica" w:cs="Helvetica"/>
          <w:b/>
          <w:bCs/>
          <w:color w:val="C70000"/>
          <w:sz w:val="27"/>
          <w:szCs w:val="27"/>
          <w:lang w:eastAsia="en-GB"/>
        </w:rPr>
      </w:pPr>
    </w:p>
    <w:p w14:paraId="29FBDD79" w14:textId="77777777" w:rsidR="001B7A87" w:rsidRPr="001B7A87" w:rsidRDefault="001B7A87" w:rsidP="001B7A87">
      <w:pPr>
        <w:shd w:val="clear" w:color="auto" w:fill="FFFFFF"/>
        <w:spacing w:after="24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 xml:space="preserve">The sheer number of worthy issues that deserve corporate attention and investment can often seem endless. There’s infrastructure, health, food, clean water and much, much more. In this context, </w:t>
      </w:r>
      <w:proofErr w:type="gramStart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it’s</w:t>
      </w:r>
      <w:proofErr w:type="gramEnd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 xml:space="preserve"> perhaps easy to understand why education, key to pulling people out of poverty, often falls by the wayside.</w:t>
      </w:r>
    </w:p>
    <w:p w14:paraId="3E6C35A9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Global education faces an annual budgetary shortfall of $26bn, </w:t>
      </w:r>
      <w:hyperlink r:id="rId8" w:history="1"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 xml:space="preserve">according to </w:t>
        </w:r>
        <w:proofErr w:type="spellStart"/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>Unesco</w:t>
        </w:r>
        <w:proofErr w:type="spellEnd"/>
      </w:hyperlink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 xml:space="preserve">. While governments, foundations and </w:t>
      </w:r>
      <w:proofErr w:type="spellStart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nonprofits</w:t>
      </w:r>
      <w:proofErr w:type="spellEnd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 xml:space="preserve"> can help with various aspects of this problem, education spending is certainly also a business issue. After all, educated workers are better equipped to become gainful employees – and profitable consumers. But education spending among the world’s largest companies </w:t>
      </w:r>
      <w:proofErr w:type="gramStart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isn’t</w:t>
      </w:r>
      <w:proofErr w:type="gramEnd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 xml:space="preserve"> nearly enough to meet the shortfall.</w:t>
      </w:r>
    </w:p>
    <w:p w14:paraId="585371E7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From 2011 to 2013, Fortune Global 500 companies spent $2.6bn on education annually, $1bn of which went to hardest-hit areas such as the Asia Pacific, Africa and Latin America, according to a study released by </w:t>
      </w:r>
      <w:hyperlink r:id="rId9" w:history="1"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 xml:space="preserve">the </w:t>
        </w:r>
        <w:proofErr w:type="spellStart"/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>Varkey</w:t>
        </w:r>
        <w:proofErr w:type="spellEnd"/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 xml:space="preserve"> Foundation</w:t>
        </w:r>
      </w:hyperlink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on Wednesday. These companies spent 13% of their corporate social responsibility (CSR) contributions – and 10.4% of their grants – on education.</w:t>
      </w:r>
    </w:p>
    <w:p w14:paraId="14459F22" w14:textId="77777777" w:rsidR="001B7A87" w:rsidRPr="001B7A87" w:rsidRDefault="001B7A87" w:rsidP="001B7A87">
      <w:pPr>
        <w:shd w:val="clear" w:color="auto" w:fill="FFFFFF"/>
        <w:spacing w:after="24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lastRenderedPageBreak/>
        <w:t xml:space="preserve">Those funds were </w:t>
      </w:r>
      <w:proofErr w:type="gramStart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closely connected</w:t>
      </w:r>
      <w:proofErr w:type="gramEnd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 xml:space="preserve"> to the companies’ immediate interests. Businesses tend to spend </w:t>
      </w:r>
      <w:proofErr w:type="gramStart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the majority of</w:t>
      </w:r>
      <w:proofErr w:type="gramEnd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 xml:space="preserve"> their money in their host countries, followed by projects in countries connected to their supply chains.</w:t>
      </w:r>
    </w:p>
    <w:p w14:paraId="4DF6AAA0" w14:textId="77777777" w:rsidR="001B7A87" w:rsidRPr="001B7A87" w:rsidRDefault="001B7A87" w:rsidP="001B7A87">
      <w:pPr>
        <w:shd w:val="clear" w:color="auto" w:fill="FFFFFF"/>
        <w:spacing w:after="24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Here are the top 10 companies that are spending their sustainability budgets on education:</w:t>
      </w:r>
    </w:p>
    <w:p w14:paraId="0AFC9CB6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outlineLvl w:val="1"/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</w:pPr>
      <w:r w:rsidRPr="001B7A87"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  <w:t>1. Banco Santander</w:t>
      </w:r>
    </w:p>
    <w:p w14:paraId="1814AAC4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Educational spending: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$196.5m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Percent of CSR budget: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79%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Noteworthy program: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 xml:space="preserve"> Among its other programs, Spanish-based Banco Santander was involved in the </w:t>
      </w:r>
      <w:proofErr w:type="spellStart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Becalos</w:t>
      </w:r>
      <w:proofErr w:type="spellEnd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 xml:space="preserve"> project, which gave ATM users the option of donating 5 pesos to education – and then matched the funds. In 2012, </w:t>
      </w:r>
      <w:hyperlink r:id="rId10" w:history="1"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>Santander customers donated</w:t>
        </w:r>
      </w:hyperlink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$15.9m.</w:t>
      </w:r>
    </w:p>
    <w:p w14:paraId="6BE7E0F7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outlineLvl w:val="1"/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</w:pPr>
      <w:r w:rsidRPr="001B7A87"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  <w:t>2. IBM</w:t>
      </w:r>
    </w:p>
    <w:p w14:paraId="39AE53AD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Educational spending: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$144m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Percent of CSR budget: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72%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Noteworthy program: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One of IBM’s programs, </w:t>
      </w:r>
      <w:proofErr w:type="spellStart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fldChar w:fldCharType="begin"/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instrText xml:space="preserve"> HYPERLINK "http://www.kidsmartearlylearning.org/EN/" </w:instrTex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fldChar w:fldCharType="separate"/>
      </w:r>
      <w:r w:rsidRPr="001B7A87">
        <w:rPr>
          <w:rFonts w:ascii="Georgia" w:eastAsia="Times New Roman" w:hAnsi="Georgia" w:cs="Times New Roman"/>
          <w:color w:val="C70000"/>
          <w:sz w:val="27"/>
          <w:szCs w:val="27"/>
          <w:bdr w:val="none" w:sz="0" w:space="0" w:color="auto" w:frame="1"/>
          <w:lang w:eastAsia="en-GB"/>
        </w:rPr>
        <w:t>KidSmart</w:t>
      </w:r>
      <w:proofErr w:type="spellEnd"/>
      <w:r w:rsidRPr="001B7A87">
        <w:rPr>
          <w:rFonts w:ascii="Georgia" w:eastAsia="Times New Roman" w:hAnsi="Georgia" w:cs="Times New Roman"/>
          <w:color w:val="C70000"/>
          <w:sz w:val="27"/>
          <w:szCs w:val="27"/>
          <w:bdr w:val="none" w:sz="0" w:space="0" w:color="auto" w:frame="1"/>
          <w:lang w:eastAsia="en-GB"/>
        </w:rPr>
        <w:t xml:space="preserve"> early learning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fldChar w:fldCharType="end"/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 xml:space="preserve">, is a partnership with the United Way, the Bank Street College of Education and the </w:t>
      </w:r>
      <w:proofErr w:type="spellStart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Center</w:t>
      </w:r>
      <w:proofErr w:type="spellEnd"/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 xml:space="preserve"> for Children and Technology. It aims to use technology to help beginning students around the globe.</w:t>
      </w:r>
    </w:p>
    <w:p w14:paraId="6FCCD5B5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outlineLvl w:val="1"/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</w:pPr>
      <w:r w:rsidRPr="001B7A87"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  <w:t>3. Telefonica</w:t>
      </w:r>
    </w:p>
    <w:p w14:paraId="202F73FF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Educational spending: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$129.9m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Percent of CSR budget: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65%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Noteworthy program: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Spanish-based telecommunications provider </w:t>
      </w:r>
      <w:hyperlink r:id="rId11" w:history="1"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 xml:space="preserve">Telefonica’s </w:t>
        </w:r>
        <w:proofErr w:type="spellStart"/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>EducaRed</w:t>
        </w:r>
        <w:proofErr w:type="spellEnd"/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 xml:space="preserve"> portal</w:t>
        </w:r>
      </w:hyperlink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is designed to integrate information technologies into classrooms around the globe.</w:t>
      </w:r>
    </w:p>
    <w:p w14:paraId="5781BF33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outlineLvl w:val="1"/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</w:pPr>
      <w:r w:rsidRPr="001B7A87"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  <w:t>4. ExxonMobil</w:t>
      </w:r>
    </w:p>
    <w:p w14:paraId="2790DEE5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Educational spending: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$115.5m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Percent of CSR budget: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39%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Noteworthy program: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US-based ExxonMobil was a founding sponsor of the </w:t>
      </w:r>
      <w:hyperlink r:id="rId12" w:history="1"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>National Math and Science Initiative</w:t>
        </w:r>
      </w:hyperlink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, which works to improve math and science education in the US.</w:t>
      </w:r>
    </w:p>
    <w:p w14:paraId="7BC3C916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outlineLvl w:val="1"/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</w:pPr>
      <w:r w:rsidRPr="001B7A87"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  <w:t>5. Target</w:t>
      </w:r>
    </w:p>
    <w:p w14:paraId="21063F4A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Educational spending: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$95.2m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Percent of CSR budget: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37%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Noteworthy program: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In 2015, </w:t>
      </w:r>
      <w:hyperlink r:id="rId13" w:anchor="page=61" w:history="1"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>US-based Target</w:t>
        </w:r>
      </w:hyperlink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plans to spend $1bn on education – double its 2009 contribution.</w:t>
      </w:r>
    </w:p>
    <w:p w14:paraId="07B6BBC0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outlineLvl w:val="1"/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</w:pPr>
      <w:r w:rsidRPr="001B7A87"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  <w:t>6. GlaxoSmithKline</w:t>
      </w:r>
    </w:p>
    <w:p w14:paraId="084D5B44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Educational spending: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$86.6m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Percent of CSR budget: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54%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Noteworthy program: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UK-based GlaxoSmithKline funds educational projects around the world, including </w:t>
      </w:r>
      <w:hyperlink r:id="rId14" w:history="1"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>India’s Ashirwad School</w:t>
        </w:r>
      </w:hyperlink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for children with intellectual disabilities.</w:t>
      </w:r>
    </w:p>
    <w:p w14:paraId="1AB3011E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outlineLvl w:val="1"/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</w:pPr>
      <w:r w:rsidRPr="001B7A87"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  <w:t>7. Microsoft</w:t>
      </w:r>
    </w:p>
    <w:p w14:paraId="603EA554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Educational spending: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$86.5m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Percent of CSR budget: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9%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Noteworthy program: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Microsoft unveiled its </w:t>
      </w:r>
      <w:hyperlink r:id="rId15" w:history="1"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>YouthSpark program</w:t>
        </w:r>
      </w:hyperlink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, which is designed to help create educational and economic opportunities for children around the world, in 2012. According to the company, it has served 227 million young people since then.</w:t>
      </w:r>
    </w:p>
    <w:p w14:paraId="5E5961A7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outlineLvl w:val="1"/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</w:pPr>
      <w:r w:rsidRPr="001B7A87"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  <w:t>8. Toyota Motor</w:t>
      </w:r>
    </w:p>
    <w:p w14:paraId="26043137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Educational spending: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$83.5m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Percent of CSR budget: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41%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Noteworthy program: </w:t>
      </w:r>
      <w:hyperlink r:id="rId16" w:history="1"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>Toyota’s Family Literacy Program</w:t>
        </w:r>
      </w:hyperlink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, in operation since 1991, works to help underserved children – and their parents – become better readers.</w:t>
      </w:r>
    </w:p>
    <w:p w14:paraId="09E0D3E4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outlineLvl w:val="1"/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</w:pPr>
      <w:r w:rsidRPr="001B7A87"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  <w:t>9. Rio Tinto Group</w:t>
      </w:r>
    </w:p>
    <w:p w14:paraId="112D7B31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Educational spending: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$81.6m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Percent of CSR budget: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27%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Noteworthy program: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Since 2004, </w:t>
      </w:r>
      <w:hyperlink r:id="rId17" w:history="1"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>UK-based Rio Tinto</w:t>
        </w:r>
      </w:hyperlink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has provided early literacy materials to 250,000 Australian families. The company has also invested deeply in aboriginal education, science education, scholarships and other programs.</w:t>
      </w:r>
    </w:p>
    <w:p w14:paraId="18DBC478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outlineLvl w:val="1"/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</w:pPr>
      <w:r w:rsidRPr="001B7A87">
        <w:rPr>
          <w:rFonts w:ascii="Georgia" w:eastAsia="Times New Roman" w:hAnsi="Georgia" w:cs="Times New Roman"/>
          <w:b/>
          <w:bCs/>
          <w:color w:val="121212"/>
          <w:sz w:val="36"/>
          <w:szCs w:val="36"/>
          <w:lang w:eastAsia="en-GB"/>
        </w:rPr>
        <w:t>10. Wells Fargo</w:t>
      </w:r>
    </w:p>
    <w:p w14:paraId="420CF5E0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Educational spending: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$81.6m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Percent of CSR budget: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24%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br/>
      </w:r>
      <w:r w:rsidRPr="001B7A87">
        <w:rPr>
          <w:rFonts w:ascii="inherit" w:eastAsia="Times New Roman" w:hAnsi="inherit" w:cs="Times New Roman"/>
          <w:b/>
          <w:bCs/>
          <w:color w:val="121212"/>
          <w:sz w:val="27"/>
          <w:szCs w:val="27"/>
          <w:bdr w:val="none" w:sz="0" w:space="0" w:color="auto" w:frame="1"/>
          <w:lang w:eastAsia="en-GB"/>
        </w:rPr>
        <w:t>Noteworthy program: </w:t>
      </w:r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In 2013, </w:t>
      </w:r>
      <w:hyperlink r:id="rId18" w:history="1">
        <w:r w:rsidRPr="001B7A87">
          <w:rPr>
            <w:rFonts w:ascii="Georgia" w:eastAsia="Times New Roman" w:hAnsi="Georgia" w:cs="Times New Roman"/>
            <w:color w:val="C70000"/>
            <w:sz w:val="27"/>
            <w:szCs w:val="27"/>
            <w:bdr w:val="none" w:sz="0" w:space="0" w:color="auto" w:frame="1"/>
            <w:lang w:eastAsia="en-GB"/>
          </w:rPr>
          <w:t>Wells Fargo</w:t>
        </w:r>
      </w:hyperlink>
      <w:r w:rsidRPr="001B7A87"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  <w:t> donated $81.6m to 8,000 educational programs in the US.</w:t>
      </w:r>
    </w:p>
    <w:p w14:paraId="06417AC1" w14:textId="77777777" w:rsidR="001B7A87" w:rsidRPr="001B7A87" w:rsidRDefault="001B7A87" w:rsidP="001B7A87">
      <w:pPr>
        <w:shd w:val="clear" w:color="auto" w:fill="FFFFFF"/>
        <w:spacing w:after="0" w:line="240" w:lineRule="auto"/>
        <w:textAlignment w:val="baseline"/>
        <w:rPr>
          <w:rFonts w:ascii="Georgia" w:eastAsia="Times New Roman" w:hAnsi="Georgia" w:cs="Times New Roman"/>
          <w:color w:val="121212"/>
          <w:sz w:val="27"/>
          <w:szCs w:val="27"/>
          <w:lang w:eastAsia="en-GB"/>
        </w:rPr>
      </w:pPr>
      <w:hyperlink r:id="rId19" w:history="1">
        <w:r w:rsidRPr="001B7A87">
          <w:rPr>
            <w:rFonts w:ascii="inherit" w:eastAsia="Times New Roman" w:hAnsi="inherit" w:cs="Times New Roman"/>
            <w:i/>
            <w:iCs/>
            <w:color w:val="C70000"/>
            <w:sz w:val="27"/>
            <w:szCs w:val="27"/>
            <w:bdr w:val="none" w:sz="0" w:space="0" w:color="auto" w:frame="1"/>
            <w:lang w:eastAsia="en-GB"/>
          </w:rPr>
          <w:t>The role of business in development</w:t>
        </w:r>
      </w:hyperlink>
      <w:r w:rsidRPr="001B7A87">
        <w:rPr>
          <w:rFonts w:ascii="inherit" w:eastAsia="Times New Roman" w:hAnsi="inherit" w:cs="Times New Roman"/>
          <w:i/>
          <w:iCs/>
          <w:color w:val="121212"/>
          <w:sz w:val="27"/>
          <w:szCs w:val="27"/>
          <w:bdr w:val="none" w:sz="0" w:space="0" w:color="auto" w:frame="1"/>
          <w:lang w:eastAsia="en-GB"/>
        </w:rPr>
        <w:t> hub is funded by Business Call to Action. All content is editorially independent except for pieces labelled “brought to you by”. Find out more </w:t>
      </w:r>
      <w:hyperlink r:id="rId20" w:history="1">
        <w:r w:rsidRPr="001B7A87">
          <w:rPr>
            <w:rFonts w:ascii="inherit" w:eastAsia="Times New Roman" w:hAnsi="inherit" w:cs="Times New Roman"/>
            <w:i/>
            <w:iCs/>
            <w:color w:val="C70000"/>
            <w:sz w:val="27"/>
            <w:szCs w:val="27"/>
            <w:bdr w:val="none" w:sz="0" w:space="0" w:color="auto" w:frame="1"/>
            <w:lang w:eastAsia="en-GB"/>
          </w:rPr>
          <w:t>here</w:t>
        </w:r>
      </w:hyperlink>
      <w:r w:rsidRPr="001B7A87">
        <w:rPr>
          <w:rFonts w:ascii="inherit" w:eastAsia="Times New Roman" w:hAnsi="inherit" w:cs="Times New Roman"/>
          <w:i/>
          <w:iCs/>
          <w:color w:val="121212"/>
          <w:sz w:val="27"/>
          <w:szCs w:val="27"/>
          <w:bdr w:val="none" w:sz="0" w:space="0" w:color="auto" w:frame="1"/>
          <w:lang w:eastAsia="en-GB"/>
        </w:rPr>
        <w:t>.</w:t>
      </w:r>
    </w:p>
    <w:p w14:paraId="1BD703FE" w14:textId="77777777" w:rsidR="00BB3E29" w:rsidRDefault="00BB3E29"/>
    <w:sectPr w:rsidR="00BB3E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8FC5CCC"/>
    <w:multiLevelType w:val="multilevel"/>
    <w:tmpl w:val="73D29C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A13515D"/>
    <w:multiLevelType w:val="multilevel"/>
    <w:tmpl w:val="6826E3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7A87"/>
    <w:rsid w:val="00184EAA"/>
    <w:rsid w:val="001B7A87"/>
    <w:rsid w:val="003D278E"/>
    <w:rsid w:val="00550356"/>
    <w:rsid w:val="00BB3E29"/>
    <w:rsid w:val="00E95B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947266"/>
  <w15:chartTrackingRefBased/>
  <w15:docId w15:val="{9B4C6DBD-2A10-4404-9D39-A2F20836AC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95B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5B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0336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660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31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1174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98795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00236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745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21586">
                  <w:marLeft w:val="0"/>
                  <w:marRight w:val="0"/>
                  <w:marTop w:val="0"/>
                  <w:marBottom w:val="18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5490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9226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5052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4682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75131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1799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3919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242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149080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20989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72389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7211315">
                                  <w:marLeft w:val="0"/>
                                  <w:marRight w:val="0"/>
                                  <w:marTop w:val="0"/>
                                  <w:marBottom w:val="9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0758581">
                                      <w:marLeft w:val="0"/>
                                      <w:marRight w:val="0"/>
                                      <w:marTop w:val="0"/>
                                      <w:marBottom w:val="9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950090059">
                          <w:marLeft w:val="0"/>
                          <w:marRight w:val="0"/>
                          <w:marTop w:val="0"/>
                          <w:marBottom w:val="9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09666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5" w:color="DCDCDC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421475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0" w:color="DCDCDC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3388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7817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568015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948162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050184969">
                                      <w:marLeft w:val="6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single" w:sz="6" w:space="3" w:color="DCDCDC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225316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78514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92375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527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1059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unesdoc.unesco.org/images/0021/002199/219998E.pdf" TargetMode="External"/><Relationship Id="rId13" Type="http://schemas.openxmlformats.org/officeDocument/2006/relationships/hyperlink" Target="https://corporate.target.com/_media/TargetCorp/csr/pdf/2013-corporate-responsibility-report.pdf" TargetMode="External"/><Relationship Id="rId18" Type="http://schemas.openxmlformats.org/officeDocument/2006/relationships/hyperlink" Target="https://www.wellsfargo.com/about/csr/charitable/where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theguardian.com/profile/bruce-watson" TargetMode="External"/><Relationship Id="rId12" Type="http://schemas.openxmlformats.org/officeDocument/2006/relationships/hyperlink" Target="http://corporate.exxonmobil.com/en/community/math-and-science/national-math-and-science-initiative" TargetMode="External"/><Relationship Id="rId17" Type="http://schemas.openxmlformats.org/officeDocument/2006/relationships/hyperlink" Target="http://www.riotinto.com/ironore/education-9612.aspx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toyota-global.com/sustainability/social_contribution/education/overseas/families.html" TargetMode="External"/><Relationship Id="rId20" Type="http://schemas.openxmlformats.org/officeDocument/2006/relationships/hyperlink" Target="https://www.theguardian.com/sponsored-content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hyperlink" Target="http://www.fundacion.telefonica.com/en/educacion_innovacion/educared/index.htm" TargetMode="External"/><Relationship Id="rId5" Type="http://schemas.openxmlformats.org/officeDocument/2006/relationships/hyperlink" Target="https://www.theguardian.com/sustainable-business/2015/jan/14/companies-business-education-health-jobs-employees-careers" TargetMode="External"/><Relationship Id="rId15" Type="http://schemas.openxmlformats.org/officeDocument/2006/relationships/hyperlink" Target="http://www.microsoft.com/about/corporatecitizenship/en-us/youthspark/" TargetMode="External"/><Relationship Id="rId10" Type="http://schemas.openxmlformats.org/officeDocument/2006/relationships/hyperlink" Target="https://servicios.santander.com.mx/responsabilidad/sustentabilidad-2012/english/social.html" TargetMode="External"/><Relationship Id="rId19" Type="http://schemas.openxmlformats.org/officeDocument/2006/relationships/hyperlink" Target="https://www.theguardian.com/sustainable-business/role-business-developme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varkeygemsfoundation.org/" TargetMode="External"/><Relationship Id="rId14" Type="http://schemas.openxmlformats.org/officeDocument/2006/relationships/hyperlink" Target="http://www.gsk-india.com/corporate-urbanprojects.html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942</Words>
  <Characters>5374</Characters>
  <Application>Microsoft Office Word</Application>
  <DocSecurity>0</DocSecurity>
  <Lines>44</Lines>
  <Paragraphs>12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13</vt:i4>
      </vt:variant>
    </vt:vector>
  </HeadingPairs>
  <TitlesOfParts>
    <vt:vector size="14" baseType="lpstr">
      <vt:lpstr/>
      <vt:lpstr>https://www.theguardian.com/sustainable-business/2015/jan/14/10-companies-busine</vt:lpstr>
      <vt:lpstr/>
      <vt:lpstr>10 companies spending millions on education</vt:lpstr>
      <vt:lpstr>    1. Banco Santander</vt:lpstr>
      <vt:lpstr>    2. IBM</vt:lpstr>
      <vt:lpstr>    3. Telefonica</vt:lpstr>
      <vt:lpstr>    4. ExxonMobil</vt:lpstr>
      <vt:lpstr>    5. Target</vt:lpstr>
      <vt:lpstr>    6. GlaxoSmithKline</vt:lpstr>
      <vt:lpstr>    7. Microsoft</vt:lpstr>
      <vt:lpstr>    8. Toyota Motor</vt:lpstr>
      <vt:lpstr>    9. Rio Tinto Group</vt:lpstr>
      <vt:lpstr>    10. Wells Fargo</vt:lpstr>
    </vt:vector>
  </TitlesOfParts>
  <Company/>
  <LinksUpToDate>false</LinksUpToDate>
  <CharactersWithSpaces>6304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2</cp:revision>
  <dcterms:created xsi:type="dcterms:W3CDTF">2021-01-12T10:03:00Z</dcterms:created>
  <dcterms:modified xsi:type="dcterms:W3CDTF">2021-01-12T11:27:00Z</dcterms:modified>
</cp:coreProperties>
</file>