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1ABBC3" w14:textId="77777777" w:rsidR="00D46900" w:rsidRPr="00D46900" w:rsidRDefault="00D46900" w:rsidP="00257239">
      <w:pPr>
        <w:spacing w:line="360" w:lineRule="auto"/>
        <w:rPr>
          <w:b/>
          <w:bCs/>
          <w:sz w:val="24"/>
          <w:szCs w:val="24"/>
        </w:rPr>
      </w:pPr>
      <w:r w:rsidRPr="00954B86">
        <w:rPr>
          <w:b/>
          <w:bCs/>
          <w:sz w:val="24"/>
          <w:szCs w:val="24"/>
        </w:rPr>
        <w:t>Give a detailed account of Alexander’s relationship with Bagoas in the sources and include analysis of reasons for the differences.</w:t>
      </w:r>
    </w:p>
    <w:p w14:paraId="43A20A98" w14:textId="77777777" w:rsidR="00D46900" w:rsidRDefault="00D46900" w:rsidP="00257239">
      <w:pPr>
        <w:spacing w:line="360" w:lineRule="auto"/>
        <w:rPr>
          <w:sz w:val="24"/>
          <w:szCs w:val="24"/>
        </w:rPr>
      </w:pPr>
    </w:p>
    <w:p w14:paraId="3A7D527E" w14:textId="77777777" w:rsidR="00257239" w:rsidRDefault="00257239" w:rsidP="00257239">
      <w:pPr>
        <w:spacing w:line="360" w:lineRule="auto"/>
        <w:rPr>
          <w:sz w:val="24"/>
          <w:szCs w:val="24"/>
        </w:rPr>
      </w:pPr>
      <w:r>
        <w:rPr>
          <w:sz w:val="24"/>
          <w:szCs w:val="24"/>
        </w:rPr>
        <w:t xml:space="preserve">The story of the relationship between Alexander the Great and Bagoas is told by various writers </w:t>
      </w:r>
      <w:r w:rsidR="008D0534">
        <w:rPr>
          <w:sz w:val="24"/>
          <w:szCs w:val="24"/>
        </w:rPr>
        <w:t>and in differing ways according</w:t>
      </w:r>
      <w:r>
        <w:rPr>
          <w:sz w:val="24"/>
          <w:szCs w:val="24"/>
        </w:rPr>
        <w:t xml:space="preserve"> to which writer we read- although the basis of who Bagoas and Alexander were and the very basic background of their relationship seems to be quite similar regardless, there is variation in how the nature of it is implied, whether it be a romantic/sexual relationship or something else.</w:t>
      </w:r>
    </w:p>
    <w:p w14:paraId="74D28D7A" w14:textId="77777777" w:rsidR="00257239" w:rsidRDefault="00257239" w:rsidP="00257239">
      <w:pPr>
        <w:spacing w:line="360" w:lineRule="auto"/>
        <w:rPr>
          <w:sz w:val="24"/>
          <w:szCs w:val="24"/>
        </w:rPr>
      </w:pPr>
    </w:p>
    <w:p w14:paraId="4C8A7C21" w14:textId="77777777" w:rsidR="00257239" w:rsidRDefault="00257239" w:rsidP="00257239">
      <w:pPr>
        <w:spacing w:line="360" w:lineRule="auto"/>
        <w:rPr>
          <w:sz w:val="24"/>
          <w:szCs w:val="24"/>
        </w:rPr>
      </w:pPr>
      <w:r>
        <w:rPr>
          <w:sz w:val="24"/>
          <w:szCs w:val="24"/>
        </w:rPr>
        <w:t xml:space="preserve">Firstly, Quintus Curtius Rufus in his </w:t>
      </w:r>
      <w:r>
        <w:rPr>
          <w:i/>
          <w:iCs/>
          <w:sz w:val="24"/>
          <w:szCs w:val="24"/>
        </w:rPr>
        <w:t xml:space="preserve">History of Alexander </w:t>
      </w:r>
      <w:r>
        <w:rPr>
          <w:sz w:val="24"/>
          <w:szCs w:val="24"/>
        </w:rPr>
        <w:t xml:space="preserve">tells that Bagoas was a eunuch that was successful in winning the regard of Alexander through his prostitution. Bagoas was given to </w:t>
      </w:r>
      <w:r w:rsidRPr="00D17EAB">
        <w:rPr>
          <w:sz w:val="24"/>
          <w:szCs w:val="24"/>
        </w:rPr>
        <w:t xml:space="preserve">Alexander by </w:t>
      </w:r>
      <w:r w:rsidRPr="008D0534">
        <w:rPr>
          <w:sz w:val="24"/>
          <w:szCs w:val="24"/>
        </w:rPr>
        <w:t>Nabarzanes</w:t>
      </w:r>
      <w:r w:rsidRPr="00D17EAB">
        <w:rPr>
          <w:sz w:val="24"/>
          <w:szCs w:val="24"/>
        </w:rPr>
        <w:t xml:space="preserve"> and was allegedly </w:t>
      </w:r>
      <w:r>
        <w:rPr>
          <w:sz w:val="24"/>
          <w:szCs w:val="24"/>
        </w:rPr>
        <w:t xml:space="preserve">a former favourite of Darius who had allegedly also had a relationship with the eunuch. </w:t>
      </w:r>
    </w:p>
    <w:p w14:paraId="77C8CCBC" w14:textId="77777777" w:rsidR="00257239" w:rsidRDefault="00257239" w:rsidP="00257239">
      <w:pPr>
        <w:spacing w:line="360" w:lineRule="auto"/>
        <w:rPr>
          <w:sz w:val="24"/>
          <w:szCs w:val="24"/>
        </w:rPr>
      </w:pPr>
    </w:p>
    <w:p w14:paraId="6D6344D3" w14:textId="77777777" w:rsidR="00257239" w:rsidRDefault="00257239" w:rsidP="00257239">
      <w:pPr>
        <w:spacing w:line="360" w:lineRule="auto"/>
        <w:rPr>
          <w:sz w:val="24"/>
          <w:szCs w:val="24"/>
        </w:rPr>
      </w:pPr>
      <w:r>
        <w:rPr>
          <w:sz w:val="24"/>
          <w:szCs w:val="24"/>
        </w:rPr>
        <w:t>However, Alexander’s relationship with Bagoas is not necessarily presented as romantic, as might first be suggested- this can be supported by Alexander’s actions in honouring only ‘friends of the king, not his harlots’</w:t>
      </w:r>
      <w:r>
        <w:rPr>
          <w:rStyle w:val="FootnoteReference"/>
          <w:sz w:val="24"/>
          <w:szCs w:val="24"/>
        </w:rPr>
        <w:footnoteReference w:id="1"/>
      </w:r>
      <w:r>
        <w:rPr>
          <w:sz w:val="24"/>
          <w:szCs w:val="24"/>
        </w:rPr>
        <w:t>. This could potentially imply that the relationship between the two is not one that Alexander regarded highly. Alexander also claims that it is not Persian custom to ‘mate with males who made females of themselves’</w:t>
      </w:r>
      <w:r>
        <w:rPr>
          <w:rStyle w:val="FootnoteReference"/>
          <w:sz w:val="24"/>
          <w:szCs w:val="24"/>
        </w:rPr>
        <w:footnoteReference w:id="2"/>
      </w:r>
      <w:r>
        <w:rPr>
          <w:sz w:val="24"/>
          <w:szCs w:val="24"/>
        </w:rPr>
        <w:t xml:space="preserve"> suggesting that there may not have been a relationship of any nature. Although, it is still plausible that the two had a sexual relationship of some form. Curtius does, in fact, at one point explicitly state that, in reference to a relationship with Bagoas, ‘Alexander soon had one’</w:t>
      </w:r>
      <w:r>
        <w:rPr>
          <w:rStyle w:val="FootnoteReference"/>
          <w:sz w:val="24"/>
          <w:szCs w:val="24"/>
        </w:rPr>
        <w:footnoteReference w:id="3"/>
      </w:r>
      <w:r>
        <w:rPr>
          <w:sz w:val="24"/>
          <w:szCs w:val="24"/>
        </w:rPr>
        <w:t xml:space="preserve"> which further backs the implicated sexual or romantic nature. Ogden tells that we are significantly reliant on Curtius in gaining a more in-depth account of this relationship as other sources such as Dicaearchus and Plutarch are considerably less thorough in their description or ‘proof’ of a sexual relationship.</w:t>
      </w:r>
    </w:p>
    <w:p w14:paraId="14544EA9" w14:textId="77777777" w:rsidR="00257239" w:rsidRDefault="00257239" w:rsidP="00257239">
      <w:pPr>
        <w:spacing w:line="360" w:lineRule="auto"/>
        <w:rPr>
          <w:sz w:val="24"/>
          <w:szCs w:val="24"/>
        </w:rPr>
      </w:pPr>
    </w:p>
    <w:p w14:paraId="015A748D" w14:textId="77777777" w:rsidR="00257239" w:rsidRDefault="00257239" w:rsidP="00257239">
      <w:pPr>
        <w:spacing w:line="360" w:lineRule="auto"/>
        <w:rPr>
          <w:sz w:val="24"/>
          <w:szCs w:val="24"/>
        </w:rPr>
      </w:pPr>
      <w:r>
        <w:rPr>
          <w:sz w:val="24"/>
          <w:szCs w:val="24"/>
        </w:rPr>
        <w:t>It could be argued that regardless of whether the nature of this relationship was romantic or not, he still had a significant influence over him or was regarded at least highly enough by Alexander that he listened to him. This can be seen in Bagoas’ persuading of Alexander to kill Orxines; due to him giving Bagoas nothing when giving presents to Alexander’s friends after his pillaging of Cyrus’ tomb. Curtius demonstrates this influence, ‘the eunuch directed the power he had attained’</w:t>
      </w:r>
      <w:r>
        <w:rPr>
          <w:rStyle w:val="FootnoteReference"/>
          <w:sz w:val="24"/>
          <w:szCs w:val="24"/>
        </w:rPr>
        <w:footnoteReference w:id="4"/>
      </w:r>
      <w:r>
        <w:rPr>
          <w:sz w:val="24"/>
          <w:szCs w:val="24"/>
        </w:rPr>
        <w:t xml:space="preserve"> and also by claiming Bagoas ‘inflamed the king’s love for him’</w:t>
      </w:r>
      <w:r>
        <w:rPr>
          <w:rStyle w:val="FootnoteReference"/>
          <w:sz w:val="24"/>
          <w:szCs w:val="24"/>
        </w:rPr>
        <w:footnoteReference w:id="5"/>
      </w:r>
      <w:r>
        <w:rPr>
          <w:sz w:val="24"/>
          <w:szCs w:val="24"/>
        </w:rPr>
        <w:t>. This could suggest that although there are romantic connotations to what Curtius says, the relationship was based more so on Bagoas’ thirst for power and the knowledge that being of importance to Alexander would help with this substantially.</w:t>
      </w:r>
    </w:p>
    <w:p w14:paraId="0635FFD2" w14:textId="77777777" w:rsidR="00257239" w:rsidRDefault="00257239" w:rsidP="00257239">
      <w:pPr>
        <w:spacing w:line="360" w:lineRule="auto"/>
        <w:rPr>
          <w:sz w:val="24"/>
          <w:szCs w:val="24"/>
        </w:rPr>
      </w:pPr>
    </w:p>
    <w:p w14:paraId="60A3D06A" w14:textId="77777777" w:rsidR="00257239" w:rsidRDefault="00257239" w:rsidP="00257239">
      <w:pPr>
        <w:spacing w:line="360" w:lineRule="auto"/>
        <w:rPr>
          <w:sz w:val="24"/>
          <w:szCs w:val="24"/>
        </w:rPr>
      </w:pPr>
      <w:r>
        <w:rPr>
          <w:sz w:val="24"/>
          <w:szCs w:val="24"/>
        </w:rPr>
        <w:t>Plutarch writes of a different event in the relationship between Alexander and Bagoas; his main focus is an alleged kiss between the two which took place during singing and dancing contests that Alexander was viewing. In this account, Bagoas is referred to as ‘his favourite’</w:t>
      </w:r>
      <w:r>
        <w:rPr>
          <w:rStyle w:val="FootnoteReference"/>
          <w:sz w:val="24"/>
          <w:szCs w:val="24"/>
        </w:rPr>
        <w:footnoteReference w:id="6"/>
      </w:r>
      <w:r>
        <w:rPr>
          <w:sz w:val="24"/>
          <w:szCs w:val="24"/>
        </w:rPr>
        <w:t xml:space="preserve"> which would support Curtius’ mentioning of the same relationship. According to Plutarch, Bagoas won the song and dance prize and so sat by Alexander’s side in the theatre where the Macedonians allegedly loudly cheered that Alexander should kiss Bagoas for being the victor, Alexander in the end ‘kissed him tenderly’</w:t>
      </w:r>
      <w:r>
        <w:rPr>
          <w:rStyle w:val="FootnoteReference"/>
          <w:sz w:val="24"/>
          <w:szCs w:val="24"/>
        </w:rPr>
        <w:footnoteReference w:id="7"/>
      </w:r>
      <w:r>
        <w:rPr>
          <w:sz w:val="24"/>
          <w:szCs w:val="24"/>
        </w:rPr>
        <w:t>. The connotations of this are strongly supportive of the romantic- the use of ‘tenderly’</w:t>
      </w:r>
      <w:r>
        <w:rPr>
          <w:rStyle w:val="FootnoteReference"/>
          <w:sz w:val="24"/>
          <w:szCs w:val="24"/>
        </w:rPr>
        <w:footnoteReference w:id="8"/>
      </w:r>
      <w:r>
        <w:rPr>
          <w:sz w:val="24"/>
          <w:szCs w:val="24"/>
        </w:rPr>
        <w:t xml:space="preserve"> would imply care and likely a loving relationship, particularly when referring back to the early reference of Bagoas as his ‘favourite’</w:t>
      </w:r>
      <w:r>
        <w:rPr>
          <w:rStyle w:val="FootnoteReference"/>
          <w:sz w:val="24"/>
          <w:szCs w:val="24"/>
        </w:rPr>
        <w:footnoteReference w:id="9"/>
      </w:r>
      <w:r>
        <w:rPr>
          <w:sz w:val="24"/>
          <w:szCs w:val="24"/>
        </w:rPr>
        <w:t>. With the presence of this adjective it seems difficult to suggest the relationship was platonic.</w:t>
      </w:r>
    </w:p>
    <w:p w14:paraId="077F4F88" w14:textId="77777777" w:rsidR="00257239" w:rsidRDefault="00257239" w:rsidP="00257239">
      <w:pPr>
        <w:spacing w:line="360" w:lineRule="auto"/>
        <w:rPr>
          <w:sz w:val="24"/>
          <w:szCs w:val="24"/>
        </w:rPr>
      </w:pPr>
    </w:p>
    <w:p w14:paraId="3A1AC08A" w14:textId="77777777" w:rsidR="00257239" w:rsidRDefault="00257239" w:rsidP="00257239">
      <w:pPr>
        <w:spacing w:line="360" w:lineRule="auto"/>
        <w:rPr>
          <w:sz w:val="24"/>
          <w:szCs w:val="24"/>
        </w:rPr>
      </w:pPr>
      <w:r>
        <w:rPr>
          <w:sz w:val="24"/>
          <w:szCs w:val="24"/>
        </w:rPr>
        <w:t>Tarn dismisses Plutarch’s account, claiming that he is ‘demonstrably wrong’</w:t>
      </w:r>
      <w:r>
        <w:rPr>
          <w:rStyle w:val="FootnoteReference"/>
          <w:sz w:val="24"/>
          <w:szCs w:val="24"/>
        </w:rPr>
        <w:footnoteReference w:id="10"/>
      </w:r>
      <w:r>
        <w:rPr>
          <w:sz w:val="24"/>
          <w:szCs w:val="24"/>
        </w:rPr>
        <w:t xml:space="preserve"> as the event is claimed to have taken place within a theatre, ignoring that this Eastern region did not have </w:t>
      </w:r>
      <w:r>
        <w:rPr>
          <w:sz w:val="24"/>
          <w:szCs w:val="24"/>
        </w:rPr>
        <w:lastRenderedPageBreak/>
        <w:t>theatres. Tarn continues on to claim that this shows his account was in fact ‘written by a Greek’</w:t>
      </w:r>
      <w:r>
        <w:rPr>
          <w:rStyle w:val="FootnoteReference"/>
          <w:sz w:val="24"/>
          <w:szCs w:val="24"/>
        </w:rPr>
        <w:footnoteReference w:id="11"/>
      </w:r>
      <w:r>
        <w:rPr>
          <w:sz w:val="24"/>
          <w:szCs w:val="24"/>
        </w:rPr>
        <w:t>. Tarn ultimately rejects Plutarch due to the claim that the story is inconsistent with Alexander’s characteristics. This would make Plutarch’s account unreliable; however, we can see an overlap with the account given by Dicaearchus.</w:t>
      </w:r>
    </w:p>
    <w:p w14:paraId="2F594773" w14:textId="77777777" w:rsidR="00257239" w:rsidRDefault="00257239" w:rsidP="00257239">
      <w:pPr>
        <w:spacing w:line="360" w:lineRule="auto"/>
        <w:rPr>
          <w:sz w:val="24"/>
          <w:szCs w:val="24"/>
        </w:rPr>
      </w:pPr>
    </w:p>
    <w:p w14:paraId="0F16CE0A" w14:textId="14034B85" w:rsidR="00257239" w:rsidRDefault="00257239" w:rsidP="00257239">
      <w:pPr>
        <w:spacing w:line="360" w:lineRule="auto"/>
        <w:rPr>
          <w:sz w:val="24"/>
          <w:szCs w:val="24"/>
        </w:rPr>
      </w:pPr>
      <w:r>
        <w:rPr>
          <w:sz w:val="24"/>
          <w:szCs w:val="24"/>
        </w:rPr>
        <w:t>In Athenaeus</w:t>
      </w:r>
      <w:r w:rsidR="007C712F">
        <w:rPr>
          <w:sz w:val="24"/>
          <w:szCs w:val="24"/>
        </w:rPr>
        <w:t>’ Deipnosophistae</w:t>
      </w:r>
      <w:r>
        <w:rPr>
          <w:sz w:val="24"/>
          <w:szCs w:val="24"/>
        </w:rPr>
        <w:t>, Dicaearchus speaks of the same event as Plutarch, however the account differs slightly. Dicaearchus claims that ‘Alexander repeatedly kissed Bagoas’</w:t>
      </w:r>
      <w:r>
        <w:rPr>
          <w:rStyle w:val="FootnoteReference"/>
          <w:sz w:val="24"/>
          <w:szCs w:val="24"/>
        </w:rPr>
        <w:footnoteReference w:id="12"/>
      </w:r>
      <w:r>
        <w:rPr>
          <w:sz w:val="24"/>
          <w:szCs w:val="24"/>
        </w:rPr>
        <w:t xml:space="preserve"> as opposed to Plutarch’s implication that it was only after Bagoas’ victory that this kiss took place. This would denote that rather than this being simply a victory kiss, there may have been more to it- which supports and overlaps with Plutarch’s implications. Dicaearchus further implies this by claiming that not only did Alexander kiss him repeatedly, but also ‘deeply’</w:t>
      </w:r>
      <w:r>
        <w:rPr>
          <w:rStyle w:val="FootnoteReference"/>
          <w:sz w:val="24"/>
          <w:szCs w:val="24"/>
        </w:rPr>
        <w:footnoteReference w:id="13"/>
      </w:r>
      <w:r>
        <w:rPr>
          <w:sz w:val="24"/>
          <w:szCs w:val="24"/>
        </w:rPr>
        <w:t xml:space="preserve"> and that he was ‘enthralled by the eunuch’</w:t>
      </w:r>
      <w:r>
        <w:rPr>
          <w:rStyle w:val="FootnoteReference"/>
          <w:sz w:val="24"/>
          <w:szCs w:val="24"/>
        </w:rPr>
        <w:footnoteReference w:id="14"/>
      </w:r>
      <w:r>
        <w:rPr>
          <w:sz w:val="24"/>
          <w:szCs w:val="24"/>
        </w:rPr>
        <w:t>. Dicaearchus therefore alludes to a sexual relationship</w:t>
      </w:r>
      <w:r w:rsidR="005B4A1A">
        <w:rPr>
          <w:sz w:val="24"/>
          <w:szCs w:val="24"/>
        </w:rPr>
        <w:t>, similarly to both Plutarch and Curtius.</w:t>
      </w:r>
    </w:p>
    <w:p w14:paraId="78EAFF24" w14:textId="77777777" w:rsidR="00257239" w:rsidRDefault="00257239" w:rsidP="00257239">
      <w:pPr>
        <w:spacing w:line="360" w:lineRule="auto"/>
        <w:rPr>
          <w:sz w:val="24"/>
          <w:szCs w:val="24"/>
        </w:rPr>
      </w:pPr>
    </w:p>
    <w:p w14:paraId="6A4AFA0B" w14:textId="4A480124" w:rsidR="00257239" w:rsidRDefault="00257239" w:rsidP="00257239">
      <w:pPr>
        <w:spacing w:line="360" w:lineRule="auto"/>
        <w:rPr>
          <w:sz w:val="24"/>
          <w:szCs w:val="24"/>
        </w:rPr>
      </w:pPr>
      <w:r>
        <w:rPr>
          <w:sz w:val="24"/>
          <w:szCs w:val="24"/>
        </w:rPr>
        <w:t>However, Dicaearchus provides a significant lack of ‘proof’ that any of this actually took place; in fact, Ogden asserts that there is ‘no known history of eunuchism at the Macedonian court’</w:t>
      </w:r>
      <w:r>
        <w:rPr>
          <w:rStyle w:val="FootnoteReference"/>
          <w:sz w:val="24"/>
          <w:szCs w:val="24"/>
        </w:rPr>
        <w:footnoteReference w:id="15"/>
      </w:r>
      <w:r>
        <w:rPr>
          <w:sz w:val="24"/>
          <w:szCs w:val="24"/>
        </w:rPr>
        <w:t xml:space="preserve"> which suggests he may not even have existed, however we must take into account that Bagoas is named in multiple accounts of Alexander’s life which implies there is some truth to this.</w:t>
      </w:r>
      <w:r w:rsidR="00DC79BC">
        <w:rPr>
          <w:sz w:val="24"/>
          <w:szCs w:val="24"/>
        </w:rPr>
        <w:t xml:space="preserve"> The amount of ‘proof’ from each account is what separates each one, Curtius’ account offers more alleged proof and we therefore hear about Bagoas and the relationship in more detail whereas Dicaearchus and Plutarch offer less proof and therefore a less in-depth account.</w:t>
      </w:r>
    </w:p>
    <w:p w14:paraId="59675C79" w14:textId="77777777" w:rsidR="00257239" w:rsidRDefault="00257239" w:rsidP="00257239">
      <w:pPr>
        <w:spacing w:line="360" w:lineRule="auto"/>
        <w:rPr>
          <w:sz w:val="24"/>
          <w:szCs w:val="24"/>
        </w:rPr>
      </w:pPr>
    </w:p>
    <w:p w14:paraId="6D537E0C" w14:textId="2B669AE8" w:rsidR="00257239" w:rsidRPr="00D74122" w:rsidRDefault="00257239" w:rsidP="00257239">
      <w:pPr>
        <w:spacing w:line="360" w:lineRule="auto"/>
        <w:rPr>
          <w:sz w:val="24"/>
          <w:szCs w:val="24"/>
        </w:rPr>
      </w:pPr>
      <w:r>
        <w:rPr>
          <w:sz w:val="24"/>
          <w:szCs w:val="24"/>
        </w:rPr>
        <w:t xml:space="preserve">Overall, it is quite difficult to contextualise the relationship between Bagoas and Alexander as we have minimal evidence about not only the relationship but also about who Bagoas actually </w:t>
      </w:r>
      <w:r>
        <w:rPr>
          <w:i/>
          <w:iCs/>
          <w:sz w:val="24"/>
          <w:szCs w:val="24"/>
        </w:rPr>
        <w:t>was</w:t>
      </w:r>
      <w:r>
        <w:rPr>
          <w:sz w:val="24"/>
          <w:szCs w:val="24"/>
        </w:rPr>
        <w:t xml:space="preserve">. We are told that he was a favourite of Darius later handed down to Alexander </w:t>
      </w:r>
      <w:r>
        <w:rPr>
          <w:sz w:val="24"/>
          <w:szCs w:val="24"/>
        </w:rPr>
        <w:lastRenderedPageBreak/>
        <w:t xml:space="preserve">and soon became a favourite of his too, however, we lack much else. This in turn makes it difficult to </w:t>
      </w:r>
      <w:r w:rsidR="008D0534">
        <w:rPr>
          <w:sz w:val="24"/>
          <w:szCs w:val="24"/>
        </w:rPr>
        <w:t>know for certain the nature of the relationship between the two. However, judging by the overlap between authors</w:t>
      </w:r>
      <w:r w:rsidR="005B4A1A">
        <w:rPr>
          <w:sz w:val="24"/>
          <w:szCs w:val="24"/>
        </w:rPr>
        <w:t xml:space="preserve"> and the differing amounts of ‘proof’ and detail we have access to</w:t>
      </w:r>
      <w:r w:rsidR="008D0534">
        <w:rPr>
          <w:sz w:val="24"/>
          <w:szCs w:val="24"/>
        </w:rPr>
        <w:t>, it is likely that it was of a sexual nature.</w:t>
      </w:r>
      <w:r w:rsidR="005B4A1A">
        <w:rPr>
          <w:sz w:val="24"/>
          <w:szCs w:val="24"/>
        </w:rPr>
        <w:t xml:space="preserve"> </w:t>
      </w:r>
    </w:p>
    <w:p w14:paraId="3717885F" w14:textId="77777777" w:rsidR="009B12FA" w:rsidRDefault="009B12FA" w:rsidP="00D46900">
      <w:pPr>
        <w:spacing w:line="360" w:lineRule="auto"/>
        <w:jc w:val="center"/>
        <w:rPr>
          <w:b/>
          <w:bCs/>
          <w:sz w:val="32"/>
          <w:szCs w:val="32"/>
        </w:rPr>
      </w:pPr>
    </w:p>
    <w:p w14:paraId="1CD781A6" w14:textId="51603153" w:rsidR="009B12FA" w:rsidRPr="009B12FA" w:rsidRDefault="009B12FA" w:rsidP="009B12FA">
      <w:pPr>
        <w:spacing w:line="360" w:lineRule="auto"/>
        <w:rPr>
          <w:b/>
          <w:bCs/>
          <w:sz w:val="24"/>
          <w:szCs w:val="24"/>
        </w:rPr>
      </w:pPr>
      <w:r w:rsidRPr="009B12FA">
        <w:rPr>
          <w:b/>
          <w:bCs/>
          <w:sz w:val="24"/>
          <w:szCs w:val="24"/>
        </w:rPr>
        <w:t>WORD COUNT:</w:t>
      </w:r>
      <w:r>
        <w:rPr>
          <w:b/>
          <w:bCs/>
          <w:sz w:val="24"/>
          <w:szCs w:val="24"/>
        </w:rPr>
        <w:t xml:space="preserve"> </w:t>
      </w:r>
      <w:r w:rsidR="005B4A1A">
        <w:rPr>
          <w:b/>
          <w:bCs/>
          <w:sz w:val="24"/>
          <w:szCs w:val="24"/>
        </w:rPr>
        <w:t>1017</w:t>
      </w:r>
    </w:p>
    <w:p w14:paraId="12958EAE" w14:textId="77777777" w:rsidR="009B12FA" w:rsidRDefault="009B12FA" w:rsidP="00D46900">
      <w:pPr>
        <w:spacing w:line="360" w:lineRule="auto"/>
        <w:jc w:val="center"/>
        <w:rPr>
          <w:b/>
          <w:bCs/>
          <w:sz w:val="32"/>
          <w:szCs w:val="32"/>
        </w:rPr>
      </w:pPr>
    </w:p>
    <w:p w14:paraId="0E8F66BB" w14:textId="77777777" w:rsidR="009B12FA" w:rsidRDefault="009B12FA" w:rsidP="00D46900">
      <w:pPr>
        <w:spacing w:line="360" w:lineRule="auto"/>
        <w:jc w:val="center"/>
        <w:rPr>
          <w:b/>
          <w:bCs/>
          <w:sz w:val="32"/>
          <w:szCs w:val="32"/>
        </w:rPr>
      </w:pPr>
    </w:p>
    <w:p w14:paraId="2E64CC48" w14:textId="77777777" w:rsidR="009B12FA" w:rsidRDefault="009B12FA" w:rsidP="00D46900">
      <w:pPr>
        <w:spacing w:line="360" w:lineRule="auto"/>
        <w:jc w:val="center"/>
        <w:rPr>
          <w:b/>
          <w:bCs/>
          <w:sz w:val="32"/>
          <w:szCs w:val="32"/>
        </w:rPr>
      </w:pPr>
    </w:p>
    <w:p w14:paraId="6BFDB068" w14:textId="77777777" w:rsidR="009B12FA" w:rsidRDefault="009B12FA" w:rsidP="00D46900">
      <w:pPr>
        <w:spacing w:line="360" w:lineRule="auto"/>
        <w:jc w:val="center"/>
        <w:rPr>
          <w:b/>
          <w:bCs/>
          <w:sz w:val="32"/>
          <w:szCs w:val="32"/>
        </w:rPr>
      </w:pPr>
    </w:p>
    <w:p w14:paraId="7E658634" w14:textId="77777777" w:rsidR="009B12FA" w:rsidRDefault="009B12FA" w:rsidP="00D46900">
      <w:pPr>
        <w:spacing w:line="360" w:lineRule="auto"/>
        <w:jc w:val="center"/>
        <w:rPr>
          <w:b/>
          <w:bCs/>
          <w:sz w:val="32"/>
          <w:szCs w:val="32"/>
        </w:rPr>
      </w:pPr>
    </w:p>
    <w:p w14:paraId="17DA85FC" w14:textId="77777777" w:rsidR="009B12FA" w:rsidRDefault="009B12FA" w:rsidP="00D46900">
      <w:pPr>
        <w:spacing w:line="360" w:lineRule="auto"/>
        <w:jc w:val="center"/>
        <w:rPr>
          <w:b/>
          <w:bCs/>
          <w:sz w:val="32"/>
          <w:szCs w:val="32"/>
        </w:rPr>
      </w:pPr>
    </w:p>
    <w:p w14:paraId="3552C939" w14:textId="77777777" w:rsidR="009B12FA" w:rsidRDefault="009B12FA" w:rsidP="00D46900">
      <w:pPr>
        <w:spacing w:line="360" w:lineRule="auto"/>
        <w:jc w:val="center"/>
        <w:rPr>
          <w:b/>
          <w:bCs/>
          <w:sz w:val="32"/>
          <w:szCs w:val="32"/>
        </w:rPr>
      </w:pPr>
    </w:p>
    <w:p w14:paraId="43FE5DC8" w14:textId="77777777" w:rsidR="009B12FA" w:rsidRDefault="009B12FA" w:rsidP="00D46900">
      <w:pPr>
        <w:spacing w:line="360" w:lineRule="auto"/>
        <w:jc w:val="center"/>
        <w:rPr>
          <w:b/>
          <w:bCs/>
          <w:sz w:val="32"/>
          <w:szCs w:val="32"/>
        </w:rPr>
      </w:pPr>
    </w:p>
    <w:p w14:paraId="1060A5D7" w14:textId="77777777" w:rsidR="009B12FA" w:rsidRDefault="009B12FA" w:rsidP="00D46900">
      <w:pPr>
        <w:spacing w:line="360" w:lineRule="auto"/>
        <w:jc w:val="center"/>
        <w:rPr>
          <w:b/>
          <w:bCs/>
          <w:sz w:val="32"/>
          <w:szCs w:val="32"/>
        </w:rPr>
      </w:pPr>
    </w:p>
    <w:p w14:paraId="66C6D6F6" w14:textId="77777777" w:rsidR="009B12FA" w:rsidRDefault="009B12FA" w:rsidP="00D46900">
      <w:pPr>
        <w:spacing w:line="360" w:lineRule="auto"/>
        <w:jc w:val="center"/>
        <w:rPr>
          <w:b/>
          <w:bCs/>
          <w:sz w:val="32"/>
          <w:szCs w:val="32"/>
        </w:rPr>
      </w:pPr>
    </w:p>
    <w:p w14:paraId="75317B7F" w14:textId="77777777" w:rsidR="009B12FA" w:rsidRDefault="009B12FA" w:rsidP="00D46900">
      <w:pPr>
        <w:spacing w:line="360" w:lineRule="auto"/>
        <w:jc w:val="center"/>
        <w:rPr>
          <w:b/>
          <w:bCs/>
          <w:sz w:val="32"/>
          <w:szCs w:val="32"/>
        </w:rPr>
      </w:pPr>
    </w:p>
    <w:p w14:paraId="065BB911" w14:textId="77777777" w:rsidR="009B12FA" w:rsidRDefault="009B12FA" w:rsidP="00D46900">
      <w:pPr>
        <w:spacing w:line="360" w:lineRule="auto"/>
        <w:jc w:val="center"/>
        <w:rPr>
          <w:b/>
          <w:bCs/>
          <w:sz w:val="32"/>
          <w:szCs w:val="32"/>
        </w:rPr>
      </w:pPr>
    </w:p>
    <w:p w14:paraId="07D77375" w14:textId="77777777" w:rsidR="009B12FA" w:rsidRDefault="009B12FA" w:rsidP="00D46900">
      <w:pPr>
        <w:spacing w:line="360" w:lineRule="auto"/>
        <w:jc w:val="center"/>
        <w:rPr>
          <w:b/>
          <w:bCs/>
          <w:sz w:val="32"/>
          <w:szCs w:val="32"/>
        </w:rPr>
      </w:pPr>
    </w:p>
    <w:p w14:paraId="7650D0BE" w14:textId="77777777" w:rsidR="009B12FA" w:rsidRDefault="009B12FA" w:rsidP="005B4A1A">
      <w:pPr>
        <w:spacing w:line="360" w:lineRule="auto"/>
        <w:rPr>
          <w:b/>
          <w:bCs/>
          <w:sz w:val="32"/>
          <w:szCs w:val="32"/>
        </w:rPr>
      </w:pPr>
    </w:p>
    <w:p w14:paraId="1564F7B2" w14:textId="77777777" w:rsidR="00D46900" w:rsidRDefault="00D46900" w:rsidP="00D46900">
      <w:pPr>
        <w:spacing w:line="360" w:lineRule="auto"/>
        <w:jc w:val="center"/>
        <w:rPr>
          <w:b/>
          <w:bCs/>
          <w:sz w:val="32"/>
          <w:szCs w:val="32"/>
        </w:rPr>
      </w:pPr>
      <w:r>
        <w:rPr>
          <w:b/>
          <w:bCs/>
          <w:sz w:val="32"/>
          <w:szCs w:val="32"/>
        </w:rPr>
        <w:lastRenderedPageBreak/>
        <w:t>BIBLOGRAPHY</w:t>
      </w:r>
    </w:p>
    <w:p w14:paraId="5D7F2614" w14:textId="77777777" w:rsidR="009B12FA" w:rsidRDefault="009B12FA" w:rsidP="00D46900">
      <w:pPr>
        <w:spacing w:line="360" w:lineRule="auto"/>
        <w:jc w:val="center"/>
        <w:rPr>
          <w:b/>
          <w:bCs/>
          <w:sz w:val="32"/>
          <w:szCs w:val="32"/>
        </w:rPr>
      </w:pPr>
    </w:p>
    <w:p w14:paraId="5BA44401" w14:textId="77777777" w:rsidR="005B4A1A" w:rsidRPr="009B12FA" w:rsidRDefault="005B4A1A" w:rsidP="007C712F">
      <w:pPr>
        <w:pStyle w:val="ListParagraph"/>
        <w:numPr>
          <w:ilvl w:val="0"/>
          <w:numId w:val="1"/>
        </w:numPr>
        <w:spacing w:line="480" w:lineRule="auto"/>
        <w:rPr>
          <w:rFonts w:ascii="Arial" w:hAnsi="Arial" w:cs="Arial"/>
          <w:color w:val="000000" w:themeColor="text1"/>
          <w:sz w:val="20"/>
          <w:szCs w:val="20"/>
          <w:shd w:val="clear" w:color="auto" w:fill="FFFFFF"/>
        </w:rPr>
      </w:pPr>
      <w:r w:rsidRPr="009B12FA">
        <w:rPr>
          <w:rStyle w:val="bibliographicauthorname"/>
          <w:rFonts w:ascii="Arial" w:hAnsi="Arial" w:cs="Arial"/>
          <w:color w:val="000000" w:themeColor="text1"/>
          <w:sz w:val="20"/>
          <w:szCs w:val="20"/>
          <w:shd w:val="clear" w:color="auto" w:fill="FFFFFF"/>
        </w:rPr>
        <w:t>Athenaeus</w:t>
      </w:r>
      <w:r w:rsidRPr="009B12FA">
        <w:rPr>
          <w:rFonts w:ascii="Arial" w:hAnsi="Arial" w:cs="Arial"/>
          <w:color w:val="000000" w:themeColor="text1"/>
          <w:sz w:val="20"/>
          <w:szCs w:val="20"/>
          <w:shd w:val="clear" w:color="auto" w:fill="FFFFFF"/>
        </w:rPr>
        <w:t>. </w:t>
      </w:r>
      <w:r w:rsidRPr="009B12FA">
        <w:rPr>
          <w:rFonts w:ascii="Arial" w:hAnsi="Arial" w:cs="Arial"/>
          <w:i/>
          <w:iCs/>
          <w:color w:val="000000" w:themeColor="text1"/>
          <w:sz w:val="20"/>
          <w:szCs w:val="20"/>
          <w:shd w:val="clear" w:color="auto" w:fill="FFFFFF"/>
        </w:rPr>
        <w:t>The Learned Banqueters, Volume VI: Books 12-13.594b. </w:t>
      </w:r>
      <w:r w:rsidRPr="009B12FA">
        <w:rPr>
          <w:rStyle w:val="editorandtranslators"/>
          <w:rFonts w:ascii="Arial" w:hAnsi="Arial" w:cs="Arial"/>
          <w:color w:val="000000" w:themeColor="text1"/>
          <w:sz w:val="20"/>
          <w:szCs w:val="20"/>
          <w:shd w:val="clear" w:color="auto" w:fill="FFFFFF"/>
        </w:rPr>
        <w:t>Edited and translated by </w:t>
      </w:r>
      <w:r w:rsidRPr="009B12FA">
        <w:rPr>
          <w:rStyle w:val="contributorname"/>
          <w:rFonts w:ascii="Arial" w:hAnsi="Arial" w:cs="Arial"/>
          <w:color w:val="000000" w:themeColor="text1"/>
          <w:sz w:val="20"/>
          <w:szCs w:val="20"/>
          <w:shd w:val="clear" w:color="auto" w:fill="FFFFFF"/>
        </w:rPr>
        <w:t>S. Douglas Olson</w:t>
      </w:r>
      <w:r w:rsidRPr="009B12FA">
        <w:rPr>
          <w:rStyle w:val="editorandtranslators"/>
          <w:rFonts w:ascii="Arial" w:hAnsi="Arial" w:cs="Arial"/>
          <w:color w:val="000000" w:themeColor="text1"/>
          <w:sz w:val="20"/>
          <w:szCs w:val="20"/>
          <w:shd w:val="clear" w:color="auto" w:fill="FFFFFF"/>
        </w:rPr>
        <w:t>. </w:t>
      </w:r>
      <w:r w:rsidRPr="009B12FA">
        <w:rPr>
          <w:rFonts w:ascii="Arial" w:hAnsi="Arial" w:cs="Arial"/>
          <w:color w:val="000000" w:themeColor="text1"/>
          <w:sz w:val="20"/>
          <w:szCs w:val="20"/>
          <w:shd w:val="clear" w:color="auto" w:fill="FFFFFF"/>
        </w:rPr>
        <w:t>Loeb Classical Library 327. Cambridge, MA: Harvard University Press, 2010.</w:t>
      </w:r>
    </w:p>
    <w:p w14:paraId="47D1BE3E" w14:textId="77777777" w:rsidR="005B4A1A" w:rsidRPr="009B12FA" w:rsidRDefault="005B4A1A" w:rsidP="007C712F">
      <w:pPr>
        <w:pStyle w:val="ListParagraph"/>
        <w:numPr>
          <w:ilvl w:val="0"/>
          <w:numId w:val="1"/>
        </w:numPr>
        <w:spacing w:line="480" w:lineRule="auto"/>
        <w:rPr>
          <w:rFonts w:ascii="Arial" w:hAnsi="Arial" w:cs="Arial"/>
          <w:color w:val="000000" w:themeColor="text1"/>
          <w:sz w:val="20"/>
          <w:szCs w:val="20"/>
          <w:shd w:val="clear" w:color="auto" w:fill="FFFFFF"/>
        </w:rPr>
      </w:pPr>
      <w:r w:rsidRPr="009B12FA">
        <w:rPr>
          <w:rFonts w:ascii="Arial" w:hAnsi="Arial" w:cs="Arial"/>
          <w:color w:val="000000" w:themeColor="text1"/>
          <w:sz w:val="20"/>
          <w:szCs w:val="20"/>
          <w:shd w:val="clear" w:color="auto" w:fill="FFFFFF"/>
        </w:rPr>
        <w:t>Badian, E. (1958). The Eunuch Bagoas. </w:t>
      </w:r>
      <w:r w:rsidRPr="009B12FA">
        <w:rPr>
          <w:rFonts w:ascii="Arial" w:hAnsi="Arial" w:cs="Arial"/>
          <w:i/>
          <w:iCs/>
          <w:color w:val="000000" w:themeColor="text1"/>
          <w:sz w:val="20"/>
          <w:szCs w:val="20"/>
          <w:shd w:val="clear" w:color="auto" w:fill="FFFFFF"/>
        </w:rPr>
        <w:t>The Classical Quarterly</w:t>
      </w:r>
      <w:r w:rsidRPr="009B12FA">
        <w:rPr>
          <w:rFonts w:ascii="Arial" w:hAnsi="Arial" w:cs="Arial"/>
          <w:color w:val="000000" w:themeColor="text1"/>
          <w:sz w:val="20"/>
          <w:szCs w:val="20"/>
          <w:shd w:val="clear" w:color="auto" w:fill="FFFFFF"/>
        </w:rPr>
        <w:t>, [online] 8(3-4), pp.144-157. Available at: https://www-jstor-org.ezproxy.uwtsd.ac.uk/stable/pdf/637975.pdf?refreqid=excelsior%3A18b8163b84a875e1d7087368ad810c7c [Accessed 7 Jan. 2020].</w:t>
      </w:r>
    </w:p>
    <w:p w14:paraId="547C2F3B" w14:textId="77777777" w:rsidR="005B4A1A" w:rsidRPr="009B12FA" w:rsidRDefault="005B4A1A" w:rsidP="007C712F">
      <w:pPr>
        <w:pStyle w:val="ListParagraph"/>
        <w:numPr>
          <w:ilvl w:val="0"/>
          <w:numId w:val="1"/>
        </w:numPr>
        <w:spacing w:line="480" w:lineRule="auto"/>
        <w:rPr>
          <w:rFonts w:ascii="Arial" w:hAnsi="Arial" w:cs="Arial"/>
          <w:color w:val="000000" w:themeColor="text1"/>
          <w:sz w:val="20"/>
          <w:szCs w:val="20"/>
          <w:shd w:val="clear" w:color="auto" w:fill="FFFFFF"/>
        </w:rPr>
      </w:pPr>
      <w:r w:rsidRPr="009B12FA">
        <w:rPr>
          <w:rFonts w:ascii="Arial" w:hAnsi="Arial" w:cs="Arial"/>
          <w:color w:val="000000" w:themeColor="text1"/>
          <w:sz w:val="20"/>
          <w:szCs w:val="20"/>
          <w:shd w:val="clear" w:color="auto" w:fill="FFFFFF"/>
        </w:rPr>
        <w:t>Lloyd, A. (2009). </w:t>
      </w:r>
      <w:r w:rsidRPr="009B12FA">
        <w:rPr>
          <w:rFonts w:ascii="Arial" w:hAnsi="Arial" w:cs="Arial"/>
          <w:i/>
          <w:iCs/>
          <w:color w:val="000000" w:themeColor="text1"/>
          <w:sz w:val="20"/>
          <w:szCs w:val="20"/>
          <w:shd w:val="clear" w:color="auto" w:fill="FFFFFF"/>
        </w:rPr>
        <w:t>Battle in antiquity</w:t>
      </w:r>
      <w:r w:rsidRPr="009B12FA">
        <w:rPr>
          <w:rFonts w:ascii="Arial" w:hAnsi="Arial" w:cs="Arial"/>
          <w:color w:val="000000" w:themeColor="text1"/>
          <w:sz w:val="20"/>
          <w:szCs w:val="20"/>
          <w:shd w:val="clear" w:color="auto" w:fill="FFFFFF"/>
        </w:rPr>
        <w:t>. Swansea: Classical Press of Wales, p.157.</w:t>
      </w:r>
    </w:p>
    <w:p w14:paraId="3B2CDB0D" w14:textId="77777777" w:rsidR="005B4A1A" w:rsidRPr="009B12FA" w:rsidRDefault="005B4A1A" w:rsidP="007C712F">
      <w:pPr>
        <w:pStyle w:val="ListParagraph"/>
        <w:numPr>
          <w:ilvl w:val="0"/>
          <w:numId w:val="1"/>
        </w:numPr>
        <w:spacing w:line="480" w:lineRule="auto"/>
        <w:rPr>
          <w:rFonts w:ascii="Arial" w:hAnsi="Arial" w:cs="Arial"/>
          <w:color w:val="000000" w:themeColor="text1"/>
          <w:sz w:val="20"/>
          <w:szCs w:val="20"/>
          <w:shd w:val="clear" w:color="auto" w:fill="FFFFFF"/>
        </w:rPr>
      </w:pPr>
      <w:r w:rsidRPr="009B12FA">
        <w:rPr>
          <w:rFonts w:ascii="Arial" w:hAnsi="Arial" w:cs="Arial"/>
          <w:color w:val="000000" w:themeColor="text1"/>
          <w:sz w:val="20"/>
          <w:szCs w:val="20"/>
          <w:shd w:val="clear" w:color="auto" w:fill="FFFFFF"/>
        </w:rPr>
        <w:t>Ogden, D. (2011). </w:t>
      </w:r>
      <w:r w:rsidRPr="009B12FA">
        <w:rPr>
          <w:rFonts w:ascii="Arial" w:hAnsi="Arial" w:cs="Arial"/>
          <w:i/>
          <w:iCs/>
          <w:color w:val="000000" w:themeColor="text1"/>
          <w:sz w:val="20"/>
          <w:szCs w:val="20"/>
          <w:shd w:val="clear" w:color="auto" w:fill="FFFFFF"/>
        </w:rPr>
        <w:t>Alexander the Great: Myth, Genesis and Sexuality</w:t>
      </w:r>
      <w:r w:rsidRPr="009B12FA">
        <w:rPr>
          <w:rFonts w:ascii="Arial" w:hAnsi="Arial" w:cs="Arial"/>
          <w:color w:val="000000" w:themeColor="text1"/>
          <w:sz w:val="20"/>
          <w:szCs w:val="20"/>
          <w:shd w:val="clear" w:color="auto" w:fill="FFFFFF"/>
        </w:rPr>
        <w:t>. Exeter: University of Exeter Press, pp.167-168.</w:t>
      </w:r>
    </w:p>
    <w:p w14:paraId="42DC5BC9" w14:textId="77777777" w:rsidR="005B4A1A" w:rsidRPr="009B12FA" w:rsidRDefault="005B4A1A" w:rsidP="007C712F">
      <w:pPr>
        <w:pStyle w:val="ListParagraph"/>
        <w:numPr>
          <w:ilvl w:val="0"/>
          <w:numId w:val="1"/>
        </w:numPr>
        <w:spacing w:line="480" w:lineRule="auto"/>
        <w:rPr>
          <w:rFonts w:ascii="Arial" w:hAnsi="Arial" w:cs="Arial"/>
          <w:color w:val="000000" w:themeColor="text1"/>
          <w:sz w:val="20"/>
          <w:szCs w:val="20"/>
          <w:shd w:val="clear" w:color="auto" w:fill="FFFFFF"/>
        </w:rPr>
      </w:pPr>
      <w:r w:rsidRPr="009B12FA">
        <w:rPr>
          <w:rStyle w:val="bibliographicauthorname"/>
          <w:rFonts w:ascii="Arial" w:hAnsi="Arial" w:cs="Arial"/>
          <w:color w:val="000000" w:themeColor="text1"/>
          <w:sz w:val="20"/>
          <w:szCs w:val="20"/>
          <w:shd w:val="clear" w:color="auto" w:fill="FFFFFF"/>
        </w:rPr>
        <w:t>Plutarch</w:t>
      </w:r>
      <w:r w:rsidRPr="009B12FA">
        <w:rPr>
          <w:rFonts w:ascii="Arial" w:hAnsi="Arial" w:cs="Arial"/>
          <w:color w:val="000000" w:themeColor="text1"/>
          <w:sz w:val="20"/>
          <w:szCs w:val="20"/>
          <w:shd w:val="clear" w:color="auto" w:fill="FFFFFF"/>
        </w:rPr>
        <w:t>. </w:t>
      </w:r>
      <w:r w:rsidRPr="009B12FA">
        <w:rPr>
          <w:rFonts w:ascii="Arial" w:hAnsi="Arial" w:cs="Arial"/>
          <w:i/>
          <w:iCs/>
          <w:color w:val="000000" w:themeColor="text1"/>
          <w:sz w:val="20"/>
          <w:szCs w:val="20"/>
          <w:shd w:val="clear" w:color="auto" w:fill="FFFFFF"/>
        </w:rPr>
        <w:t>Lives, Volume VII: Demosthenes and Cicero. Alexander and Caesar. </w:t>
      </w:r>
      <w:r w:rsidRPr="009B12FA">
        <w:rPr>
          <w:rStyle w:val="translators"/>
          <w:rFonts w:ascii="Arial" w:hAnsi="Arial" w:cs="Arial"/>
          <w:color w:val="000000" w:themeColor="text1"/>
          <w:sz w:val="20"/>
          <w:szCs w:val="20"/>
          <w:shd w:val="clear" w:color="auto" w:fill="FFFFFF"/>
        </w:rPr>
        <w:t>Translated by </w:t>
      </w:r>
      <w:r w:rsidRPr="009B12FA">
        <w:rPr>
          <w:rStyle w:val="contributorname"/>
          <w:rFonts w:ascii="Arial" w:hAnsi="Arial" w:cs="Arial"/>
          <w:color w:val="000000" w:themeColor="text1"/>
          <w:sz w:val="20"/>
          <w:szCs w:val="20"/>
          <w:shd w:val="clear" w:color="auto" w:fill="FFFFFF"/>
        </w:rPr>
        <w:t>Bernadotte Perrin</w:t>
      </w:r>
      <w:r w:rsidRPr="009B12FA">
        <w:rPr>
          <w:rStyle w:val="translators"/>
          <w:rFonts w:ascii="Arial" w:hAnsi="Arial" w:cs="Arial"/>
          <w:color w:val="000000" w:themeColor="text1"/>
          <w:sz w:val="20"/>
          <w:szCs w:val="20"/>
          <w:shd w:val="clear" w:color="auto" w:fill="FFFFFF"/>
        </w:rPr>
        <w:t>. </w:t>
      </w:r>
      <w:r w:rsidRPr="009B12FA">
        <w:rPr>
          <w:rFonts w:ascii="Arial" w:hAnsi="Arial" w:cs="Arial"/>
          <w:color w:val="000000" w:themeColor="text1"/>
          <w:sz w:val="20"/>
          <w:szCs w:val="20"/>
          <w:shd w:val="clear" w:color="auto" w:fill="FFFFFF"/>
        </w:rPr>
        <w:t>Loeb Classical Library 99. Cambridge, MA: Harvard University Press, 1919.</w:t>
      </w:r>
      <w:r w:rsidRPr="009B12FA">
        <w:rPr>
          <w:rStyle w:val="bibliographicauthorname"/>
          <w:rFonts w:ascii="Arial" w:hAnsi="Arial" w:cs="Arial"/>
          <w:color w:val="000000" w:themeColor="text1"/>
          <w:sz w:val="20"/>
          <w:szCs w:val="20"/>
          <w:shd w:val="clear" w:color="auto" w:fill="FFFFFF"/>
        </w:rPr>
        <w:t>Quintus Curtius</w:t>
      </w:r>
      <w:r w:rsidRPr="009B12FA">
        <w:rPr>
          <w:rFonts w:ascii="Arial" w:hAnsi="Arial" w:cs="Arial"/>
          <w:color w:val="000000" w:themeColor="text1"/>
          <w:sz w:val="20"/>
          <w:szCs w:val="20"/>
          <w:shd w:val="clear" w:color="auto" w:fill="FFFFFF"/>
        </w:rPr>
        <w:t>. </w:t>
      </w:r>
      <w:r w:rsidRPr="009B12FA">
        <w:rPr>
          <w:rFonts w:ascii="Arial" w:hAnsi="Arial" w:cs="Arial"/>
          <w:i/>
          <w:iCs/>
          <w:color w:val="000000" w:themeColor="text1"/>
          <w:sz w:val="20"/>
          <w:szCs w:val="20"/>
          <w:shd w:val="clear" w:color="auto" w:fill="FFFFFF"/>
        </w:rPr>
        <w:t>History of Alexander, Volume I: Books 1-5. </w:t>
      </w:r>
      <w:r w:rsidRPr="009B12FA">
        <w:rPr>
          <w:rStyle w:val="translators"/>
          <w:rFonts w:ascii="Arial" w:hAnsi="Arial" w:cs="Arial"/>
          <w:color w:val="000000" w:themeColor="text1"/>
          <w:sz w:val="20"/>
          <w:szCs w:val="20"/>
          <w:shd w:val="clear" w:color="auto" w:fill="FFFFFF"/>
        </w:rPr>
        <w:t>Translated by </w:t>
      </w:r>
      <w:r w:rsidRPr="009B12FA">
        <w:rPr>
          <w:rStyle w:val="contributorname"/>
          <w:rFonts w:ascii="Arial" w:hAnsi="Arial" w:cs="Arial"/>
          <w:color w:val="000000" w:themeColor="text1"/>
          <w:sz w:val="20"/>
          <w:szCs w:val="20"/>
          <w:shd w:val="clear" w:color="auto" w:fill="FFFFFF"/>
        </w:rPr>
        <w:t>J. C. Rolfe</w:t>
      </w:r>
      <w:r w:rsidRPr="009B12FA">
        <w:rPr>
          <w:rStyle w:val="translators"/>
          <w:rFonts w:ascii="Arial" w:hAnsi="Arial" w:cs="Arial"/>
          <w:color w:val="000000" w:themeColor="text1"/>
          <w:sz w:val="20"/>
          <w:szCs w:val="20"/>
          <w:shd w:val="clear" w:color="auto" w:fill="FFFFFF"/>
        </w:rPr>
        <w:t>. </w:t>
      </w:r>
      <w:r w:rsidRPr="009B12FA">
        <w:rPr>
          <w:rFonts w:ascii="Arial" w:hAnsi="Arial" w:cs="Arial"/>
          <w:color w:val="000000" w:themeColor="text1"/>
          <w:sz w:val="20"/>
          <w:szCs w:val="20"/>
          <w:shd w:val="clear" w:color="auto" w:fill="FFFFFF"/>
        </w:rPr>
        <w:t>Loeb Classical Library 368. Cambridge, MA: Harvard University Press, 1946.</w:t>
      </w:r>
    </w:p>
    <w:p w14:paraId="1ABA1499" w14:textId="77777777" w:rsidR="005B4A1A" w:rsidRPr="009B12FA" w:rsidRDefault="005B4A1A" w:rsidP="007C712F">
      <w:pPr>
        <w:pStyle w:val="ListParagraph"/>
        <w:numPr>
          <w:ilvl w:val="0"/>
          <w:numId w:val="1"/>
        </w:numPr>
        <w:spacing w:line="480" w:lineRule="auto"/>
        <w:rPr>
          <w:rFonts w:ascii="Arial" w:hAnsi="Arial" w:cs="Arial"/>
          <w:color w:val="000000" w:themeColor="text1"/>
          <w:sz w:val="20"/>
          <w:szCs w:val="20"/>
          <w:shd w:val="clear" w:color="auto" w:fill="FFFFFF"/>
        </w:rPr>
      </w:pPr>
      <w:r w:rsidRPr="009B12FA">
        <w:rPr>
          <w:rStyle w:val="bibliographicauthorname"/>
          <w:rFonts w:ascii="Arial" w:hAnsi="Arial" w:cs="Arial"/>
          <w:color w:val="000000" w:themeColor="text1"/>
          <w:sz w:val="20"/>
          <w:szCs w:val="20"/>
          <w:shd w:val="clear" w:color="auto" w:fill="FFFFFF"/>
        </w:rPr>
        <w:t>Quintus Curtius</w:t>
      </w:r>
      <w:r w:rsidRPr="009B12FA">
        <w:rPr>
          <w:rFonts w:ascii="Arial" w:hAnsi="Arial" w:cs="Arial"/>
          <w:color w:val="000000" w:themeColor="text1"/>
          <w:sz w:val="20"/>
          <w:szCs w:val="20"/>
          <w:shd w:val="clear" w:color="auto" w:fill="FFFFFF"/>
        </w:rPr>
        <w:t>. </w:t>
      </w:r>
      <w:r w:rsidRPr="009B12FA">
        <w:rPr>
          <w:rFonts w:ascii="Arial" w:hAnsi="Arial" w:cs="Arial"/>
          <w:i/>
          <w:iCs/>
          <w:color w:val="000000" w:themeColor="text1"/>
          <w:sz w:val="20"/>
          <w:szCs w:val="20"/>
          <w:shd w:val="clear" w:color="auto" w:fill="FFFFFF"/>
        </w:rPr>
        <w:t>History of Alexander, Volume I: Books 1-5. </w:t>
      </w:r>
      <w:r w:rsidRPr="009B12FA">
        <w:rPr>
          <w:rStyle w:val="translators"/>
          <w:rFonts w:ascii="Arial" w:hAnsi="Arial" w:cs="Arial"/>
          <w:color w:val="000000" w:themeColor="text1"/>
          <w:sz w:val="20"/>
          <w:szCs w:val="20"/>
          <w:shd w:val="clear" w:color="auto" w:fill="FFFFFF"/>
        </w:rPr>
        <w:t>Translated by </w:t>
      </w:r>
      <w:r w:rsidRPr="009B12FA">
        <w:rPr>
          <w:rStyle w:val="contributorname"/>
          <w:rFonts w:ascii="Arial" w:hAnsi="Arial" w:cs="Arial"/>
          <w:color w:val="000000" w:themeColor="text1"/>
          <w:sz w:val="20"/>
          <w:szCs w:val="20"/>
          <w:shd w:val="clear" w:color="auto" w:fill="FFFFFF"/>
        </w:rPr>
        <w:t>J. C. Rolfe</w:t>
      </w:r>
      <w:r w:rsidRPr="009B12FA">
        <w:rPr>
          <w:rStyle w:val="translators"/>
          <w:rFonts w:ascii="Arial" w:hAnsi="Arial" w:cs="Arial"/>
          <w:color w:val="000000" w:themeColor="text1"/>
          <w:sz w:val="20"/>
          <w:szCs w:val="20"/>
          <w:shd w:val="clear" w:color="auto" w:fill="FFFFFF"/>
        </w:rPr>
        <w:t>. </w:t>
      </w:r>
      <w:r w:rsidRPr="009B12FA">
        <w:rPr>
          <w:rFonts w:ascii="Arial" w:hAnsi="Arial" w:cs="Arial"/>
          <w:color w:val="000000" w:themeColor="text1"/>
          <w:sz w:val="20"/>
          <w:szCs w:val="20"/>
          <w:shd w:val="clear" w:color="auto" w:fill="FFFFFF"/>
        </w:rPr>
        <w:t>Loeb Classical Library 368. Cambridge, MA: Harvard University Press, 1946.</w:t>
      </w:r>
    </w:p>
    <w:p w14:paraId="6D9B49B4" w14:textId="77777777" w:rsidR="00257239" w:rsidRPr="00954B86" w:rsidRDefault="00257239" w:rsidP="00257239">
      <w:pPr>
        <w:spacing w:line="360" w:lineRule="auto"/>
        <w:rPr>
          <w:sz w:val="24"/>
          <w:szCs w:val="24"/>
        </w:rPr>
      </w:pPr>
    </w:p>
    <w:p w14:paraId="79675ED2" w14:textId="77777777" w:rsidR="00257239" w:rsidRPr="00954B86" w:rsidRDefault="00257239" w:rsidP="00257239">
      <w:pPr>
        <w:spacing w:line="360" w:lineRule="auto"/>
        <w:rPr>
          <w:sz w:val="24"/>
          <w:szCs w:val="24"/>
        </w:rPr>
      </w:pPr>
    </w:p>
    <w:p w14:paraId="0DADA430" w14:textId="77777777" w:rsidR="00257239" w:rsidRDefault="00257239" w:rsidP="00257239">
      <w:pPr>
        <w:spacing w:line="360" w:lineRule="auto"/>
        <w:rPr>
          <w:sz w:val="24"/>
          <w:szCs w:val="24"/>
        </w:rPr>
      </w:pPr>
    </w:p>
    <w:p w14:paraId="59808FB1" w14:textId="77777777" w:rsidR="00257239" w:rsidRDefault="00257239" w:rsidP="00257239">
      <w:pPr>
        <w:spacing w:line="360" w:lineRule="auto"/>
        <w:rPr>
          <w:sz w:val="24"/>
          <w:szCs w:val="24"/>
        </w:rPr>
      </w:pPr>
    </w:p>
    <w:p w14:paraId="3415535E" w14:textId="77777777" w:rsidR="00257239" w:rsidRDefault="00257239" w:rsidP="00257239">
      <w:pPr>
        <w:spacing w:line="360" w:lineRule="auto"/>
        <w:rPr>
          <w:sz w:val="24"/>
          <w:szCs w:val="24"/>
        </w:rPr>
      </w:pPr>
    </w:p>
    <w:p w14:paraId="312BFD5D" w14:textId="77777777" w:rsidR="00257239" w:rsidRDefault="00257239" w:rsidP="00257239">
      <w:pPr>
        <w:spacing w:line="360" w:lineRule="auto"/>
        <w:rPr>
          <w:sz w:val="24"/>
          <w:szCs w:val="24"/>
        </w:rPr>
      </w:pPr>
    </w:p>
    <w:p w14:paraId="7FA3A5CF" w14:textId="77777777" w:rsidR="00257239" w:rsidRDefault="00257239" w:rsidP="00257239">
      <w:pPr>
        <w:spacing w:line="360" w:lineRule="auto"/>
        <w:rPr>
          <w:sz w:val="24"/>
          <w:szCs w:val="24"/>
        </w:rPr>
      </w:pPr>
    </w:p>
    <w:p w14:paraId="441CEBE9" w14:textId="77777777" w:rsidR="00257239" w:rsidRDefault="00257239" w:rsidP="00257239">
      <w:pPr>
        <w:spacing w:line="360" w:lineRule="auto"/>
        <w:rPr>
          <w:sz w:val="24"/>
          <w:szCs w:val="24"/>
        </w:rPr>
      </w:pPr>
    </w:p>
    <w:p w14:paraId="24933146" w14:textId="77777777" w:rsidR="00257239" w:rsidRDefault="00257239" w:rsidP="00257239">
      <w:pPr>
        <w:spacing w:line="360" w:lineRule="auto"/>
        <w:rPr>
          <w:sz w:val="24"/>
          <w:szCs w:val="24"/>
        </w:rPr>
      </w:pPr>
    </w:p>
    <w:p w14:paraId="3DD605EC" w14:textId="77777777" w:rsidR="00257239" w:rsidRDefault="00257239" w:rsidP="00257239">
      <w:pPr>
        <w:spacing w:line="360" w:lineRule="auto"/>
        <w:rPr>
          <w:sz w:val="24"/>
          <w:szCs w:val="24"/>
        </w:rPr>
      </w:pPr>
    </w:p>
    <w:p w14:paraId="56AE111D" w14:textId="77777777" w:rsidR="00257239" w:rsidRDefault="00257239"/>
    <w:sectPr w:rsidR="002572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6AC23A" w14:textId="77777777" w:rsidR="00257239" w:rsidRDefault="00257239" w:rsidP="00257239">
      <w:pPr>
        <w:spacing w:after="0" w:line="240" w:lineRule="auto"/>
      </w:pPr>
      <w:r>
        <w:separator/>
      </w:r>
    </w:p>
  </w:endnote>
  <w:endnote w:type="continuationSeparator" w:id="0">
    <w:p w14:paraId="2F377D0C" w14:textId="77777777" w:rsidR="00257239" w:rsidRDefault="00257239" w:rsidP="002572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17FDCF" w14:textId="77777777" w:rsidR="00257239" w:rsidRDefault="00257239" w:rsidP="00257239">
      <w:pPr>
        <w:spacing w:after="0" w:line="240" w:lineRule="auto"/>
      </w:pPr>
      <w:r>
        <w:separator/>
      </w:r>
    </w:p>
  </w:footnote>
  <w:footnote w:type="continuationSeparator" w:id="0">
    <w:p w14:paraId="378A2BF2" w14:textId="77777777" w:rsidR="00257239" w:rsidRDefault="00257239" w:rsidP="00257239">
      <w:pPr>
        <w:spacing w:after="0" w:line="240" w:lineRule="auto"/>
      </w:pPr>
      <w:r>
        <w:continuationSeparator/>
      </w:r>
    </w:p>
  </w:footnote>
  <w:footnote w:id="1">
    <w:p w14:paraId="3E9FD3F1" w14:textId="77777777" w:rsidR="00257239" w:rsidRDefault="00257239" w:rsidP="00257239">
      <w:pPr>
        <w:pStyle w:val="FootnoteText"/>
      </w:pPr>
      <w:r>
        <w:rPr>
          <w:rStyle w:val="FootnoteReference"/>
        </w:rPr>
        <w:footnoteRef/>
      </w:r>
      <w:r>
        <w:t xml:space="preserve"> Quintus Curtius Rufus 10.1.22-42</w:t>
      </w:r>
    </w:p>
  </w:footnote>
  <w:footnote w:id="2">
    <w:p w14:paraId="14929DB8" w14:textId="77777777" w:rsidR="00257239" w:rsidRDefault="00257239" w:rsidP="00257239">
      <w:pPr>
        <w:pStyle w:val="FootnoteText"/>
      </w:pPr>
      <w:r>
        <w:rPr>
          <w:rStyle w:val="FootnoteReference"/>
        </w:rPr>
        <w:footnoteRef/>
      </w:r>
      <w:r>
        <w:t xml:space="preserve"> Quintus Curtius Rufus 10.1.22-42</w:t>
      </w:r>
    </w:p>
    <w:p w14:paraId="57B9552A" w14:textId="77777777" w:rsidR="00257239" w:rsidRDefault="00257239" w:rsidP="00257239">
      <w:pPr>
        <w:pStyle w:val="FootnoteText"/>
      </w:pPr>
    </w:p>
  </w:footnote>
  <w:footnote w:id="3">
    <w:p w14:paraId="7C05045F" w14:textId="77777777" w:rsidR="00257239" w:rsidRDefault="00257239" w:rsidP="00257239">
      <w:pPr>
        <w:pStyle w:val="FootnoteText"/>
      </w:pPr>
      <w:r>
        <w:rPr>
          <w:rStyle w:val="FootnoteReference"/>
        </w:rPr>
        <w:footnoteRef/>
      </w:r>
      <w:r>
        <w:t xml:space="preserve"> Quintus Curtius Rufus 6.2.22-3, Ogden</w:t>
      </w:r>
      <w:r w:rsidR="009B12FA">
        <w:t xml:space="preserve"> 2011</w:t>
      </w:r>
    </w:p>
  </w:footnote>
  <w:footnote w:id="4">
    <w:p w14:paraId="6785A1BA" w14:textId="52D83C1D" w:rsidR="00257239" w:rsidRDefault="00257239" w:rsidP="00257239">
      <w:pPr>
        <w:pStyle w:val="FootnoteText"/>
      </w:pPr>
      <w:r>
        <w:rPr>
          <w:rStyle w:val="FootnoteReference"/>
        </w:rPr>
        <w:footnoteRef/>
      </w:r>
      <w:r>
        <w:t xml:space="preserve"> Quintus Curtius Rufus 10.1.25-7, Ogden</w:t>
      </w:r>
      <w:r w:rsidR="00FF63D8">
        <w:t xml:space="preserve">, </w:t>
      </w:r>
      <w:bookmarkStart w:id="0" w:name="_GoBack"/>
      <w:bookmarkEnd w:id="0"/>
      <w:r w:rsidR="00FF63D8">
        <w:t>2011</w:t>
      </w:r>
    </w:p>
  </w:footnote>
  <w:footnote w:id="5">
    <w:p w14:paraId="0C9A4819" w14:textId="04D96AB0" w:rsidR="00257239" w:rsidRDefault="00257239" w:rsidP="00257239">
      <w:pPr>
        <w:pStyle w:val="FootnoteText"/>
      </w:pPr>
      <w:r>
        <w:rPr>
          <w:rStyle w:val="FootnoteReference"/>
        </w:rPr>
        <w:footnoteRef/>
      </w:r>
      <w:r>
        <w:t xml:space="preserve"> Quintus Curtius Rufus 10.1.29, Ogden</w:t>
      </w:r>
      <w:r w:rsidR="00FF63D8">
        <w:t>, 2011</w:t>
      </w:r>
    </w:p>
  </w:footnote>
  <w:footnote w:id="6">
    <w:p w14:paraId="15CC8D4C" w14:textId="77777777" w:rsidR="00257239" w:rsidRDefault="00257239" w:rsidP="00257239">
      <w:pPr>
        <w:pStyle w:val="FootnoteText"/>
      </w:pPr>
      <w:r>
        <w:rPr>
          <w:rStyle w:val="FootnoteReference"/>
        </w:rPr>
        <w:footnoteRef/>
      </w:r>
      <w:r>
        <w:t xml:space="preserve"> Plutarch Alexander 67</w:t>
      </w:r>
    </w:p>
  </w:footnote>
  <w:footnote w:id="7">
    <w:p w14:paraId="63556883" w14:textId="77777777" w:rsidR="00257239" w:rsidRDefault="00257239" w:rsidP="00257239">
      <w:pPr>
        <w:pStyle w:val="FootnoteText"/>
      </w:pPr>
      <w:r>
        <w:rPr>
          <w:rStyle w:val="FootnoteReference"/>
        </w:rPr>
        <w:footnoteRef/>
      </w:r>
      <w:r>
        <w:t xml:space="preserve"> Plutarch Alexander 67</w:t>
      </w:r>
    </w:p>
  </w:footnote>
  <w:footnote w:id="8">
    <w:p w14:paraId="5E974381" w14:textId="77777777" w:rsidR="00257239" w:rsidRDefault="00257239" w:rsidP="00257239">
      <w:pPr>
        <w:pStyle w:val="FootnoteText"/>
      </w:pPr>
      <w:r>
        <w:rPr>
          <w:rStyle w:val="FootnoteReference"/>
        </w:rPr>
        <w:footnoteRef/>
      </w:r>
      <w:r>
        <w:t xml:space="preserve"> Plutarch Alexander 67</w:t>
      </w:r>
    </w:p>
  </w:footnote>
  <w:footnote w:id="9">
    <w:p w14:paraId="6C058480" w14:textId="77777777" w:rsidR="00257239" w:rsidRDefault="00257239" w:rsidP="00257239">
      <w:pPr>
        <w:pStyle w:val="FootnoteText"/>
      </w:pPr>
      <w:r>
        <w:rPr>
          <w:rStyle w:val="FootnoteReference"/>
        </w:rPr>
        <w:footnoteRef/>
      </w:r>
      <w:r>
        <w:t xml:space="preserve"> Plutarch Alexander 67</w:t>
      </w:r>
    </w:p>
  </w:footnote>
  <w:footnote w:id="10">
    <w:p w14:paraId="2AB91E22" w14:textId="77777777" w:rsidR="00257239" w:rsidRDefault="00257239" w:rsidP="00257239">
      <w:pPr>
        <w:pStyle w:val="FootnoteText"/>
      </w:pPr>
      <w:r>
        <w:rPr>
          <w:rStyle w:val="FootnoteReference"/>
        </w:rPr>
        <w:footnoteRef/>
      </w:r>
      <w:r>
        <w:t xml:space="preserve"> Badian</w:t>
      </w:r>
      <w:r w:rsidR="00D46900">
        <w:t>, E,</w:t>
      </w:r>
      <w:r>
        <w:t xml:space="preserve"> </w:t>
      </w:r>
      <w:r w:rsidR="009B12FA">
        <w:t>1958</w:t>
      </w:r>
    </w:p>
  </w:footnote>
  <w:footnote w:id="11">
    <w:p w14:paraId="1AC5CD1B" w14:textId="77777777" w:rsidR="00257239" w:rsidRDefault="00257239" w:rsidP="00257239">
      <w:pPr>
        <w:pStyle w:val="FootnoteText"/>
      </w:pPr>
      <w:r>
        <w:rPr>
          <w:rStyle w:val="FootnoteReference"/>
        </w:rPr>
        <w:footnoteRef/>
      </w:r>
      <w:r>
        <w:t xml:space="preserve"> Badian</w:t>
      </w:r>
      <w:r w:rsidR="00D46900">
        <w:t>, E,</w:t>
      </w:r>
      <w:r>
        <w:t xml:space="preserve"> </w:t>
      </w:r>
      <w:r w:rsidR="00000718">
        <w:t>1958</w:t>
      </w:r>
    </w:p>
  </w:footnote>
  <w:footnote w:id="12">
    <w:p w14:paraId="315A349D" w14:textId="77777777" w:rsidR="00257239" w:rsidRDefault="00257239" w:rsidP="00257239">
      <w:pPr>
        <w:pStyle w:val="FootnoteText"/>
      </w:pPr>
      <w:r>
        <w:rPr>
          <w:rStyle w:val="FootnoteReference"/>
        </w:rPr>
        <w:footnoteRef/>
      </w:r>
      <w:r>
        <w:t xml:space="preserve"> </w:t>
      </w:r>
      <w:r w:rsidR="00000718">
        <w:t>Athenaeus</w:t>
      </w:r>
      <w:r>
        <w:t xml:space="preserve"> 603B</w:t>
      </w:r>
    </w:p>
  </w:footnote>
  <w:footnote w:id="13">
    <w:p w14:paraId="6CA14087" w14:textId="77777777" w:rsidR="00257239" w:rsidRDefault="00257239" w:rsidP="00257239">
      <w:pPr>
        <w:pStyle w:val="FootnoteText"/>
      </w:pPr>
      <w:r>
        <w:rPr>
          <w:rStyle w:val="FootnoteReference"/>
        </w:rPr>
        <w:footnoteRef/>
      </w:r>
      <w:r>
        <w:t xml:space="preserve"> </w:t>
      </w:r>
      <w:r w:rsidR="00000718">
        <w:t>Athenaeus</w:t>
      </w:r>
      <w:r>
        <w:t xml:space="preserve"> 603B</w:t>
      </w:r>
    </w:p>
  </w:footnote>
  <w:footnote w:id="14">
    <w:p w14:paraId="01355E8D" w14:textId="77777777" w:rsidR="00257239" w:rsidRDefault="00257239" w:rsidP="00257239">
      <w:pPr>
        <w:pStyle w:val="FootnoteText"/>
      </w:pPr>
      <w:r>
        <w:rPr>
          <w:rStyle w:val="FootnoteReference"/>
        </w:rPr>
        <w:footnoteRef/>
      </w:r>
      <w:r>
        <w:t xml:space="preserve"> </w:t>
      </w:r>
      <w:r w:rsidR="00000718">
        <w:t>Athenaeus</w:t>
      </w:r>
      <w:r>
        <w:t xml:space="preserve"> 603B</w:t>
      </w:r>
    </w:p>
  </w:footnote>
  <w:footnote w:id="15">
    <w:p w14:paraId="77790316" w14:textId="77777777" w:rsidR="00257239" w:rsidRDefault="00257239" w:rsidP="00257239">
      <w:pPr>
        <w:pStyle w:val="FootnoteText"/>
      </w:pPr>
      <w:r>
        <w:rPr>
          <w:rStyle w:val="FootnoteReference"/>
        </w:rPr>
        <w:footnoteRef/>
      </w:r>
      <w:r>
        <w:t xml:space="preserve"> Ogden, </w:t>
      </w:r>
      <w:r w:rsidR="00000718">
        <w:t>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0E45158"/>
    <w:multiLevelType w:val="hybridMultilevel"/>
    <w:tmpl w:val="AC18A0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7239"/>
    <w:rsid w:val="00000718"/>
    <w:rsid w:val="00257239"/>
    <w:rsid w:val="005B4A1A"/>
    <w:rsid w:val="007C712F"/>
    <w:rsid w:val="008D0534"/>
    <w:rsid w:val="009B12FA"/>
    <w:rsid w:val="00B511EB"/>
    <w:rsid w:val="00BF765F"/>
    <w:rsid w:val="00D0669F"/>
    <w:rsid w:val="00D46900"/>
    <w:rsid w:val="00DC79BC"/>
    <w:rsid w:val="00FF63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0943E5"/>
  <w15:chartTrackingRefBased/>
  <w15:docId w15:val="{1643B36C-8F54-4C8F-BEE2-47F3E7744B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723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25723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57239"/>
    <w:rPr>
      <w:sz w:val="20"/>
      <w:szCs w:val="20"/>
    </w:rPr>
  </w:style>
  <w:style w:type="character" w:styleId="FootnoteReference">
    <w:name w:val="footnote reference"/>
    <w:basedOn w:val="DefaultParagraphFont"/>
    <w:uiPriority w:val="99"/>
    <w:semiHidden/>
    <w:unhideWhenUsed/>
    <w:rsid w:val="00257239"/>
    <w:rPr>
      <w:vertAlign w:val="superscript"/>
    </w:rPr>
  </w:style>
  <w:style w:type="paragraph" w:styleId="ListParagraph">
    <w:name w:val="List Paragraph"/>
    <w:basedOn w:val="Normal"/>
    <w:uiPriority w:val="34"/>
    <w:qFormat/>
    <w:rsid w:val="00D46900"/>
    <w:pPr>
      <w:ind w:left="720"/>
      <w:contextualSpacing/>
    </w:pPr>
  </w:style>
  <w:style w:type="character" w:customStyle="1" w:styleId="bibliographicauthorname">
    <w:name w:val="bibliographicauthorname"/>
    <w:basedOn w:val="DefaultParagraphFont"/>
    <w:rsid w:val="00BF765F"/>
  </w:style>
  <w:style w:type="character" w:customStyle="1" w:styleId="translators">
    <w:name w:val="translators"/>
    <w:basedOn w:val="DefaultParagraphFont"/>
    <w:rsid w:val="00BF765F"/>
  </w:style>
  <w:style w:type="character" w:customStyle="1" w:styleId="contributorname">
    <w:name w:val="contributorname"/>
    <w:basedOn w:val="DefaultParagraphFont"/>
    <w:rsid w:val="00BF765F"/>
  </w:style>
  <w:style w:type="character" w:customStyle="1" w:styleId="editorandtranslators">
    <w:name w:val="editorandtranslators"/>
    <w:basedOn w:val="DefaultParagraphFont"/>
    <w:rsid w:val="009B12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1086</Words>
  <Characters>6192</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Hamby</dc:creator>
  <cp:keywords/>
  <dc:description/>
  <cp:lastModifiedBy>Rebecca Hamby</cp:lastModifiedBy>
  <cp:revision>3</cp:revision>
  <dcterms:created xsi:type="dcterms:W3CDTF">2020-01-13T20:57:00Z</dcterms:created>
  <dcterms:modified xsi:type="dcterms:W3CDTF">2020-01-13T20:57:00Z</dcterms:modified>
</cp:coreProperties>
</file>