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4A99A" w14:textId="5B87D7EA" w:rsidR="009D5E90" w:rsidRDefault="009D5E90" w:rsidP="009D5E90">
      <w:pPr>
        <w:rPr>
          <w:rFonts w:ascii="Arial" w:hAnsi="Arial" w:cs="Arial"/>
          <w:b/>
          <w:bCs/>
          <w:sz w:val="28"/>
          <w:szCs w:val="28"/>
        </w:rPr>
      </w:pPr>
      <w:r>
        <w:rPr>
          <w:rFonts w:ascii="Arial" w:hAnsi="Arial" w:cs="Arial"/>
          <w:b/>
          <w:bCs/>
          <w:i/>
          <w:iCs/>
          <w:color w:val="000000"/>
          <w:sz w:val="28"/>
          <w:szCs w:val="28"/>
        </w:rPr>
        <w:t>A comparison of the marketing methods of two multinational hotel brands</w:t>
      </w:r>
      <w:r>
        <w:rPr>
          <w:rFonts w:ascii="Arial" w:hAnsi="Arial" w:cs="Arial"/>
          <w:b/>
          <w:bCs/>
          <w:sz w:val="28"/>
          <w:szCs w:val="28"/>
        </w:rPr>
        <w:t>.</w:t>
      </w:r>
    </w:p>
    <w:p w14:paraId="05731F1A" w14:textId="77777777" w:rsidR="009D5E90" w:rsidRDefault="009D5E90" w:rsidP="009D5E90"/>
    <w:p w14:paraId="63FB6404" w14:textId="77777777" w:rsidR="009D5E90" w:rsidRDefault="009D5E90" w:rsidP="009D5E90">
      <w:pPr>
        <w:pStyle w:val="NormalWeb"/>
        <w:spacing w:before="0" w:beforeAutospacing="0" w:after="0" w:afterAutospacing="0"/>
      </w:pPr>
      <w:r>
        <w:rPr>
          <w:rFonts w:ascii="Arial" w:hAnsi="Arial" w:cs="Arial"/>
          <w:b/>
          <w:bCs/>
          <w:color w:val="000000"/>
        </w:rPr>
        <w:t xml:space="preserve">Name: </w:t>
      </w:r>
      <w:proofErr w:type="spellStart"/>
      <w:r>
        <w:rPr>
          <w:rFonts w:ascii="Arial" w:hAnsi="Arial" w:cs="Arial"/>
          <w:b/>
          <w:bCs/>
          <w:color w:val="000000"/>
        </w:rPr>
        <w:t>Rezwana</w:t>
      </w:r>
      <w:proofErr w:type="spellEnd"/>
      <w:r>
        <w:rPr>
          <w:rFonts w:ascii="Arial" w:hAnsi="Arial" w:cs="Arial"/>
          <w:b/>
          <w:bCs/>
          <w:color w:val="000000"/>
        </w:rPr>
        <w:t xml:space="preserve"> </w:t>
      </w:r>
      <w:proofErr w:type="spellStart"/>
      <w:r>
        <w:rPr>
          <w:rFonts w:ascii="Arial" w:hAnsi="Arial" w:cs="Arial"/>
          <w:b/>
          <w:bCs/>
          <w:color w:val="000000"/>
        </w:rPr>
        <w:t>Laboni</w:t>
      </w:r>
      <w:proofErr w:type="spellEnd"/>
      <w:r>
        <w:rPr>
          <w:rFonts w:ascii="Arial" w:hAnsi="Arial" w:cs="Arial"/>
          <w:b/>
          <w:bCs/>
          <w:color w:val="000000"/>
        </w:rPr>
        <w:t> </w:t>
      </w:r>
    </w:p>
    <w:p w14:paraId="3E38DD06" w14:textId="77777777" w:rsidR="009D5E90" w:rsidRDefault="009D5E90" w:rsidP="009D5E90">
      <w:pPr>
        <w:pStyle w:val="NormalWeb"/>
        <w:spacing w:before="0" w:beforeAutospacing="0" w:after="0" w:afterAutospacing="0"/>
      </w:pPr>
      <w:r>
        <w:rPr>
          <w:rFonts w:ascii="Arial" w:hAnsi="Arial" w:cs="Arial"/>
          <w:b/>
          <w:bCs/>
          <w:color w:val="000000"/>
        </w:rPr>
        <w:t>Student ID: 2242894</w:t>
      </w:r>
    </w:p>
    <w:p w14:paraId="2683F46A" w14:textId="77777777" w:rsidR="009D5E90" w:rsidRDefault="009D5E90" w:rsidP="009D5E90">
      <w:pPr>
        <w:pStyle w:val="NormalWeb"/>
        <w:spacing w:before="0" w:beforeAutospacing="0" w:after="0" w:afterAutospacing="0"/>
      </w:pPr>
      <w:r>
        <w:rPr>
          <w:rFonts w:ascii="Arial" w:hAnsi="Arial" w:cs="Arial"/>
          <w:b/>
          <w:bCs/>
          <w:color w:val="000000"/>
        </w:rPr>
        <w:t>Module: Marketing Essentials BMIH4005</w:t>
      </w:r>
    </w:p>
    <w:p w14:paraId="2F445A0E" w14:textId="77777777" w:rsidR="009D5E90" w:rsidRDefault="009D5E90" w:rsidP="009D5E90">
      <w:pPr>
        <w:pStyle w:val="NormalWeb"/>
        <w:spacing w:before="0" w:beforeAutospacing="0" w:after="0" w:afterAutospacing="0"/>
      </w:pPr>
      <w:r>
        <w:rPr>
          <w:rFonts w:ascii="Arial" w:hAnsi="Arial" w:cs="Arial"/>
          <w:b/>
          <w:bCs/>
          <w:color w:val="000000"/>
        </w:rPr>
        <w:t xml:space="preserve">Lecturer Name: </w:t>
      </w:r>
      <w:proofErr w:type="spellStart"/>
      <w:r>
        <w:rPr>
          <w:rFonts w:ascii="Arial" w:hAnsi="Arial" w:cs="Arial"/>
          <w:b/>
          <w:bCs/>
          <w:color w:val="000000"/>
        </w:rPr>
        <w:t>Hwu</w:t>
      </w:r>
      <w:proofErr w:type="spellEnd"/>
      <w:r>
        <w:rPr>
          <w:rFonts w:ascii="Arial" w:hAnsi="Arial" w:cs="Arial"/>
          <w:b/>
          <w:bCs/>
          <w:color w:val="000000"/>
        </w:rPr>
        <w:t xml:space="preserve"> Thomas </w:t>
      </w:r>
    </w:p>
    <w:p w14:paraId="6C3F92DD" w14:textId="77777777" w:rsidR="009D5E90" w:rsidRDefault="009D5E90" w:rsidP="009D5E90"/>
    <w:p w14:paraId="5DF228EF" w14:textId="77777777" w:rsidR="009D5E90" w:rsidRDefault="009D5E90" w:rsidP="009D5E90">
      <w:pPr>
        <w:pStyle w:val="NormalWeb"/>
        <w:spacing w:before="0" w:beforeAutospacing="0" w:after="0" w:afterAutospacing="0"/>
      </w:pPr>
      <w:r>
        <w:rPr>
          <w:rFonts w:ascii="Arial" w:hAnsi="Arial" w:cs="Arial"/>
          <w:color w:val="000000"/>
        </w:rPr>
        <w:t>Marketing strategies are crucial for customer retention, brand establishment, and overall success in the competitive business world. This essay focuses on analysing the marketing methods of two multinational hotel brands: Holiday Inn and Six Senses. While Holiday Inn is a widely recognised global brand with a presence in more than 1,173 locations, Six Senses, with its 22 hotels and 6 spas, proves that size doesn't necessarily determine the effectiveness of marketing efforts.</w:t>
      </w:r>
    </w:p>
    <w:p w14:paraId="2E195462" w14:textId="77777777" w:rsidR="009D5E90" w:rsidRDefault="009D5E90" w:rsidP="009D5E90"/>
    <w:p w14:paraId="1CC6FB3C" w14:textId="77777777" w:rsidR="009D5E90" w:rsidRDefault="009D5E90" w:rsidP="009D5E90">
      <w:pPr>
        <w:pStyle w:val="NormalWeb"/>
        <w:spacing w:before="0" w:beforeAutospacing="0" w:after="0" w:afterAutospacing="0"/>
      </w:pPr>
      <w:r>
        <w:rPr>
          <w:rFonts w:ascii="Arial" w:hAnsi="Arial" w:cs="Arial"/>
          <w:color w:val="000000"/>
        </w:rPr>
        <w:t>First, I’ll explore how weather, changing social attitudes and competitors such as Airbnb affect both hotel brands.</w:t>
      </w:r>
    </w:p>
    <w:p w14:paraId="18A0F927" w14:textId="77777777" w:rsidR="009D5E90" w:rsidRDefault="009D5E90" w:rsidP="009D5E90"/>
    <w:p w14:paraId="7283042A" w14:textId="77777777" w:rsidR="009D5E90" w:rsidRDefault="009D5E90" w:rsidP="009D5E90">
      <w:pPr>
        <w:pStyle w:val="NormalWeb"/>
        <w:spacing w:before="0" w:beforeAutospacing="0" w:after="0" w:afterAutospacing="0"/>
      </w:pPr>
      <w:r>
        <w:rPr>
          <w:rFonts w:ascii="Arial" w:hAnsi="Arial" w:cs="Arial"/>
          <w:color w:val="000000"/>
        </w:rPr>
        <w:t>The business of many established hotel brands is commonly affected by fluctuating seasonal demands. A considerable number of customers book hotels as part of their holiday arrangements, but poor weather can significantly diminish the overall experience, thereby posing a genuine challenge for hotel chains. Hotels invest significant resources in creating an inviting atmosphere, amenities, and services that cater to guests' desires. However, they have little control over weather conditions. Despite their best efforts to provide alternative indoor activities or entertainment options, the impact of poor weather can't be fully mitigated. As mentioned earlier, Six Senses operates in 22 hotels which are primarily in tropical locations. In regions like India, the presence of harsh monsoon seasons can result in a decrease in customer visits during that time. Similarly, Six Senses' resort in China may be susceptible to earthquakes, which could potentially discourage potential guests from staying there. Holiday Inn faces similar challenges, if not more, considering their larger number of locations compared to Six Senses. With hotels spread across various parts of Asia, such as Bangladesh, there is a higher potential for encountering issues such as flooding, earthquakes, and storms that can affect customer demand and operations.</w:t>
      </w:r>
    </w:p>
    <w:p w14:paraId="2743A589" w14:textId="77777777" w:rsidR="009D5E90" w:rsidRDefault="009D5E90" w:rsidP="009D5E90"/>
    <w:p w14:paraId="6932505C" w14:textId="355F593B" w:rsidR="009D5E90" w:rsidRDefault="009D5E90" w:rsidP="009D5E90">
      <w:pPr>
        <w:pStyle w:val="NormalWeb"/>
        <w:spacing w:before="0" w:beforeAutospacing="0" w:after="300" w:afterAutospacing="0"/>
      </w:pPr>
      <w:r>
        <w:rPr>
          <w:rFonts w:ascii="Arial" w:hAnsi="Arial" w:cs="Arial"/>
          <w:color w:val="000000"/>
        </w:rPr>
        <w:t>Sustainability has become a prominent concern for businesses, and consumers now have certain expectations for brands to prioritise it (Kotler, 2019, p.27). Six Senses has capitalised on this trend by wholeheartedly embracing sustainability and making significant investments towards their green credentials. Consequently, Six Senses has enhanced both their brand value and economic worth, which can influence consumers' purchasing decisions (</w:t>
      </w:r>
      <w:proofErr w:type="spellStart"/>
      <w:r>
        <w:rPr>
          <w:rFonts w:ascii="Arial" w:hAnsi="Arial" w:cs="Arial"/>
          <w:color w:val="000000"/>
        </w:rPr>
        <w:t>Tressider</w:t>
      </w:r>
      <w:proofErr w:type="spellEnd"/>
      <w:r>
        <w:rPr>
          <w:rFonts w:ascii="Arial" w:hAnsi="Arial" w:cs="Arial"/>
          <w:color w:val="000000"/>
        </w:rPr>
        <w:t xml:space="preserve"> &amp; Hirst, 2012, p.176). Six Senses offers consumers the opportunity to indulge in ‘Rough Lux,' which refers to luxurious experiences that incorporate social and cultural elements tied to specific geographical locations (</w:t>
      </w:r>
      <w:proofErr w:type="spellStart"/>
      <w:r>
        <w:rPr>
          <w:rFonts w:ascii="Arial" w:hAnsi="Arial" w:cs="Arial"/>
          <w:color w:val="000000"/>
        </w:rPr>
        <w:t>Tressider</w:t>
      </w:r>
      <w:proofErr w:type="spellEnd"/>
      <w:r>
        <w:rPr>
          <w:rFonts w:ascii="Arial" w:hAnsi="Arial" w:cs="Arial"/>
          <w:color w:val="000000"/>
        </w:rPr>
        <w:t xml:space="preserve"> &amp; Hirst, p.189</w:t>
      </w:r>
      <w:proofErr w:type="gramStart"/>
      <w:r>
        <w:rPr>
          <w:rFonts w:ascii="Arial" w:hAnsi="Arial" w:cs="Arial"/>
          <w:color w:val="000000"/>
        </w:rPr>
        <w:t>).Holiday</w:t>
      </w:r>
      <w:proofErr w:type="gramEnd"/>
      <w:r>
        <w:rPr>
          <w:rFonts w:ascii="Arial" w:hAnsi="Arial" w:cs="Arial"/>
          <w:color w:val="000000"/>
        </w:rPr>
        <w:t xml:space="preserve"> Inn doesn’t mention any sustainable initiatives on their website which could potentially make them a less appealing brand. In today's environmentally conscious world, consumers increasingly prioritise businesses that demonstrate a commitment to sustainability. By not highlighting their sustainable practices, Holiday Inn may miss out on attracting ‘greener’ customers who actively seek out brands that align with their values. Moreover, the lack of transparency regarding sustainable initiatives raises questions about the brand's overall environmental impact and social responsibility.</w:t>
      </w:r>
    </w:p>
    <w:p w14:paraId="4A41C039" w14:textId="77777777" w:rsidR="009D5E90" w:rsidRDefault="009D5E90" w:rsidP="009D5E90">
      <w:pPr>
        <w:pStyle w:val="NormalWeb"/>
        <w:spacing w:before="0" w:beforeAutospacing="0" w:after="0" w:afterAutospacing="0"/>
      </w:pPr>
      <w:r>
        <w:rPr>
          <w:rFonts w:ascii="Arial" w:hAnsi="Arial" w:cs="Arial"/>
          <w:color w:val="000000"/>
        </w:rPr>
        <w:t>“Airbnb has listed more rooms to rent than any hotel chain in the world” (Roach, 2018, p.1). In a 2014 study within 50 US states, it was found that Airbnb reduced profits for “established hotels” by 3.7% (</w:t>
      </w:r>
      <w:r>
        <w:rPr>
          <w:rFonts w:ascii="Arial" w:hAnsi="Arial" w:cs="Arial"/>
          <w:i/>
          <w:iCs/>
          <w:color w:val="000000"/>
        </w:rPr>
        <w:t>ibid)</w:t>
      </w:r>
      <w:r>
        <w:rPr>
          <w:rFonts w:ascii="Arial" w:hAnsi="Arial" w:cs="Arial"/>
          <w:color w:val="000000"/>
        </w:rPr>
        <w:t xml:space="preserve">. This emphasises the threat Airbnb poses to the hotel industry. Customers are more inclined to use Airbnb than stay in a hotel, this could be due to lower </w:t>
      </w:r>
      <w:r>
        <w:rPr>
          <w:rFonts w:ascii="Arial" w:hAnsi="Arial" w:cs="Arial"/>
          <w:color w:val="000000"/>
        </w:rPr>
        <w:lastRenderedPageBreak/>
        <w:t>prices or because Airbnb offers consumers a home-like accommodation. However, it’s important to acknowledge that Airbnb poses a greater threat to traditional hotels, particularly in larger cities. This observation highlights the potential impact of Airbnb on hotel chains like Holiday Inn, while its impact on Six Senses may be comparatively lesser.</w:t>
      </w:r>
    </w:p>
    <w:p w14:paraId="57782CA3" w14:textId="77777777" w:rsidR="009D5E90" w:rsidRDefault="009D5E90" w:rsidP="009D5E90"/>
    <w:p w14:paraId="38555291" w14:textId="681B96E8" w:rsidR="009D5E90" w:rsidRDefault="009D5E90" w:rsidP="009D5E90">
      <w:pPr>
        <w:pStyle w:val="NormalWeb"/>
        <w:spacing w:before="0" w:beforeAutospacing="0" w:after="0" w:afterAutospacing="0"/>
      </w:pPr>
      <w:r>
        <w:rPr>
          <w:rFonts w:ascii="Arial" w:hAnsi="Arial" w:cs="Arial"/>
          <w:color w:val="000000"/>
        </w:rPr>
        <w:t xml:space="preserve">According to data from </w:t>
      </w:r>
      <w:proofErr w:type="spellStart"/>
      <w:r>
        <w:rPr>
          <w:rFonts w:ascii="Arial" w:hAnsi="Arial" w:cs="Arial"/>
          <w:color w:val="000000"/>
        </w:rPr>
        <w:t>SimilarWebTool</w:t>
      </w:r>
      <w:proofErr w:type="spellEnd"/>
      <w:r>
        <w:rPr>
          <w:rStyle w:val="FootnoteReference"/>
          <w:rFonts w:ascii="Arial" w:hAnsi="Arial" w:cs="Arial"/>
          <w:color w:val="000000"/>
        </w:rPr>
        <w:footnoteReference w:id="1"/>
      </w:r>
      <w:r>
        <w:rPr>
          <w:rFonts w:ascii="Arial" w:hAnsi="Arial" w:cs="Arial"/>
          <w:color w:val="000000"/>
        </w:rPr>
        <w:t xml:space="preserve"> the gender demographics of Holiday Inn customers show that 46.19% are male and 53.48% are female. Similarly, for Six Senses, 49.19% of customers are male and 50.81% are female. The average age range for both Holiday Inn and Six Senses falls between 25 and 34, with the subsequent age group being 34 to 44. These statistics indicate that both hotel brands primarily appeal to older millennials. These findings suggest that both brands have managed to establish a relatively balanced gender appeal, which indicates how they cater to a diverse range of customers. The primary age range for both brands falls between 25 and 34, indicating a strong appeal to older millennials. This age group often includes young professionals, couples, and small families who are seeking comfortable and convenient accommodations during their travels. These brands may prioritise features and services that resonate with the lifestyles and travel preferences of older millennials, such as: technology integration, wellness amenities, sustainable practices, and experience offerings.</w:t>
      </w:r>
    </w:p>
    <w:p w14:paraId="3C4D46FD" w14:textId="77777777" w:rsidR="009D5E90" w:rsidRDefault="009D5E90" w:rsidP="009D5E90"/>
    <w:p w14:paraId="7BA9283B" w14:textId="4A8763B2" w:rsidR="009D5E90" w:rsidRDefault="009D5E90" w:rsidP="009D5E90">
      <w:pPr>
        <w:pStyle w:val="NormalWeb"/>
        <w:spacing w:before="0" w:beforeAutospacing="0" w:after="0" w:afterAutospacing="0"/>
      </w:pPr>
      <w:r>
        <w:rPr>
          <w:rFonts w:ascii="Arial" w:hAnsi="Arial" w:cs="Arial"/>
          <w:color w:val="000000"/>
        </w:rPr>
        <w:t>Marketing methods have taken into consideration customer experience and as stated by Abbot ‘what people really desire are not products but satisfying experiences (Abbot, 1995, p.40). Holiday Inn appears to create satisfying experiences for families as they make the lives of parents as easy and stress-free as possible. Holiday Inn often uses ‘odd-even prices’ for their hotel rooms, ‘Odd-even prices’ is the practice of ending prices with an odd number, this can result in customers perceiving the price to be lower than prices with even numbers (Blythe, 2019, p.169). </w:t>
      </w:r>
    </w:p>
    <w:p w14:paraId="237954D9" w14:textId="77777777" w:rsidR="009D5E90" w:rsidRDefault="009D5E90" w:rsidP="009D5E90"/>
    <w:p w14:paraId="00B8D497" w14:textId="77777777" w:rsidR="009D5E90" w:rsidRDefault="009D5E90" w:rsidP="009D5E90">
      <w:pPr>
        <w:pStyle w:val="NormalWeb"/>
        <w:spacing w:before="0" w:beforeAutospacing="0" w:after="0" w:afterAutospacing="0"/>
      </w:pPr>
      <w:r>
        <w:rPr>
          <w:rFonts w:ascii="Arial" w:hAnsi="Arial" w:cs="Arial"/>
          <w:color w:val="000000"/>
        </w:rPr>
        <w:t>Loyalty programmes can improve and strengthen a customer’s brand experience (Kotler, 2019, p.17). Both brands actively promote the IHG rewards app, although Six Senses opts for a more subtle placement of the promotion within the banner, while Holiday Inn employs more noticeable tactics to draw attention to the app, the rewards app is prominently featured on the navigation bar and is the first thing mentioned in the initial copy on the Holiday Inn website.</w:t>
      </w:r>
    </w:p>
    <w:p w14:paraId="4DC04A78" w14:textId="77777777" w:rsidR="009D5E90" w:rsidRDefault="009D5E90" w:rsidP="009D5E90"/>
    <w:p w14:paraId="64F5BE7A" w14:textId="2E9F4FDE" w:rsidR="009D5E90" w:rsidRDefault="009D5E90" w:rsidP="009D5E90">
      <w:pPr>
        <w:pStyle w:val="NormalWeb"/>
        <w:spacing w:before="0" w:beforeAutospacing="0" w:after="0" w:afterAutospacing="0"/>
      </w:pPr>
      <w:r>
        <w:rPr>
          <w:rFonts w:ascii="Arial" w:hAnsi="Arial" w:cs="Arial"/>
          <w:color w:val="000000"/>
        </w:rPr>
        <w:t>Whilst many brands attract new business through referrals and word of mouth, most new customers will come “through marketing in directories” such as billboards and online platforms (</w:t>
      </w:r>
      <w:proofErr w:type="spellStart"/>
      <w:r>
        <w:rPr>
          <w:rFonts w:ascii="Arial" w:hAnsi="Arial" w:cs="Arial"/>
          <w:color w:val="000000"/>
        </w:rPr>
        <w:t>Mcclurg</w:t>
      </w:r>
      <w:proofErr w:type="spellEnd"/>
      <w:r>
        <w:rPr>
          <w:rFonts w:ascii="Arial" w:hAnsi="Arial" w:cs="Arial"/>
          <w:color w:val="000000"/>
        </w:rPr>
        <w:t>, 2013, p.28). This is unsurprising as more than 46% of the world’s population are now online (Kotler, 2019, p.23). This highlights the significance of a brand's online presence and the crucial role of a user-friendly and accessible website in attracting and retaining customers. During the analysis of both hotel brand websites, several factors were considered, including accessibility, utilisation of images and content, and more.</w:t>
      </w:r>
    </w:p>
    <w:p w14:paraId="42992E4E" w14:textId="77777777" w:rsidR="009D5E90" w:rsidRDefault="009D5E90" w:rsidP="009D5E90"/>
    <w:p w14:paraId="099233F7" w14:textId="2D953A96" w:rsidR="009D5E90" w:rsidRDefault="009D5E90" w:rsidP="009D5E90">
      <w:pPr>
        <w:pStyle w:val="NormalWeb"/>
        <w:spacing w:before="0" w:beforeAutospacing="0" w:after="300" w:afterAutospacing="0"/>
      </w:pPr>
      <w:r>
        <w:rPr>
          <w:rFonts w:ascii="Arial" w:hAnsi="Arial" w:cs="Arial"/>
          <w:color w:val="000000"/>
        </w:rPr>
        <w:t xml:space="preserve">When examining the Holiday Inn website, one might notice the relevant hero image that captures a laughing mother and child, effectively displaying the brand's focus on families. The customer's initial view includes the brand logo and an enticing call to action to download the IHG rewards app. Additionally, there are three tiles prominently displayed, showcasing the brand's benefits, each with a clear call to action that leads directly to the respective product pages. This layout effectively breaks down the content into easily scannable sections. The three </w:t>
      </w:r>
      <w:proofErr w:type="spellStart"/>
      <w:r>
        <w:rPr>
          <w:rFonts w:ascii="Arial" w:hAnsi="Arial" w:cs="Arial"/>
          <w:color w:val="000000"/>
        </w:rPr>
        <w:t>tiles</w:t>
      </w:r>
      <w:proofErr w:type="spellEnd"/>
      <w:r>
        <w:rPr>
          <w:rFonts w:ascii="Arial" w:hAnsi="Arial" w:cs="Arial"/>
          <w:color w:val="000000"/>
        </w:rPr>
        <w:t xml:space="preserve"> include bullet points which are known to make text quicker to read (Winters 2017, p.146) and incorporate family lifestyle images, further resonating with the brand's target audience. A noteworthy aspect of the website's landing page is the use of </w:t>
      </w:r>
      <w:r>
        <w:rPr>
          <w:rFonts w:ascii="Arial" w:hAnsi="Arial" w:cs="Arial"/>
          <w:color w:val="000000"/>
        </w:rPr>
        <w:lastRenderedPageBreak/>
        <w:t>plain language and a conversational tone. This approach proves beneficial for parents who are seeking information quickly and prefer not to navigate through an abundance of technical jargon. The website's content is structured to provide a user-friendly experience, ensuring that visitors can easily access the information they need without any unnecessary complexity. Nevertheless, the website does have some downfalls, such as its use of vibrant imagery which can sometimes make it challenging to read the copy clearly. For instance, in the first hero banner, the text is white while the background image is bright, making the text difficult to read.</w:t>
      </w:r>
    </w:p>
    <w:p w14:paraId="48E04519" w14:textId="20F1B833" w:rsidR="009D5E90" w:rsidRDefault="009D5E90" w:rsidP="009D5E90">
      <w:pPr>
        <w:pStyle w:val="NormalWeb"/>
        <w:spacing w:before="0" w:beforeAutospacing="0" w:after="0" w:afterAutospacing="0"/>
      </w:pPr>
      <w:r>
        <w:rPr>
          <w:rFonts w:ascii="Arial" w:hAnsi="Arial" w:cs="Arial"/>
          <w:color w:val="000000"/>
        </w:rPr>
        <w:t xml:space="preserve">When looking at the Six Senses website, the customer first sees the brand name and a video montage of positive travel experiences which engages the customer from the start. The first paragraph immediately reveals one of the core values of the brand, </w:t>
      </w:r>
      <w:proofErr w:type="gramStart"/>
      <w:r>
        <w:rPr>
          <w:rFonts w:ascii="Arial" w:hAnsi="Arial" w:cs="Arial"/>
          <w:color w:val="000000"/>
        </w:rPr>
        <w:t>health</w:t>
      </w:r>
      <w:proofErr w:type="gramEnd"/>
      <w:r>
        <w:rPr>
          <w:rFonts w:ascii="Arial" w:hAnsi="Arial" w:cs="Arial"/>
          <w:color w:val="000000"/>
        </w:rPr>
        <w:t xml:space="preserve"> and wellbeing. Subsequent paragraphs further reinforce the brand's values and assure the customer that they have arrived at the right destination. By defining core values early on, the company is transparent about their brand and fosters trustworthiness among its visitors.</w:t>
      </w:r>
    </w:p>
    <w:p w14:paraId="5EC7BD07" w14:textId="77777777" w:rsidR="009D5E90" w:rsidRDefault="009D5E90" w:rsidP="009D5E90"/>
    <w:p w14:paraId="2FAB936E" w14:textId="487FBF35" w:rsidR="009D5E90" w:rsidRDefault="009D5E90" w:rsidP="009D5E90">
      <w:pPr>
        <w:pStyle w:val="NormalWeb"/>
        <w:spacing w:before="0" w:beforeAutospacing="0" w:after="0" w:afterAutospacing="0"/>
      </w:pPr>
      <w:r>
        <w:rPr>
          <w:rFonts w:ascii="Arial" w:hAnsi="Arial" w:cs="Arial"/>
          <w:color w:val="000000"/>
        </w:rPr>
        <w:t>Additionally, the website features a prominent pop-up that invites viewers to subscribe to the newsletter for exclusive offers and updates, providing customers with an opportunity to gather more information from the brand and initiate their customer journey. Six Senses also uses a generous amount of negative spacing around their boxes, drawing attention to the copy and compelling customers to focus on the next. However, it’s worth noting that the text size is relatively small, which may hinder accessibility for some users. Moreover, unlike Holiday Inn, Six Senses does not utilise bullet points and tiles to break up their content. This approach may make it more challenging for viewers to effectively absorb the information presented on the Six Senses website.</w:t>
      </w:r>
    </w:p>
    <w:p w14:paraId="6443AD4A" w14:textId="77777777" w:rsidR="009D5E90" w:rsidRDefault="009D5E90" w:rsidP="009D5E90"/>
    <w:p w14:paraId="135BD0EB" w14:textId="464F3014" w:rsidR="009D5E90" w:rsidRDefault="009D5E90" w:rsidP="009D5E90">
      <w:pPr>
        <w:pStyle w:val="NormalWeb"/>
        <w:spacing w:before="0" w:beforeAutospacing="0" w:after="0" w:afterAutospacing="0"/>
      </w:pPr>
      <w:r>
        <w:rPr>
          <w:rFonts w:ascii="Arial" w:hAnsi="Arial" w:cs="Arial"/>
          <w:color w:val="000000"/>
        </w:rPr>
        <w:t>After examining the performance of both websites between February and April 2023</w:t>
      </w:r>
      <w:r>
        <w:rPr>
          <w:rStyle w:val="FootnoteReference"/>
          <w:rFonts w:ascii="Arial" w:hAnsi="Arial" w:cs="Arial"/>
          <w:color w:val="000000"/>
        </w:rPr>
        <w:footnoteReference w:id="2"/>
      </w:r>
      <w:r>
        <w:rPr>
          <w:rFonts w:ascii="Arial" w:hAnsi="Arial" w:cs="Arial"/>
          <w:color w:val="000000"/>
        </w:rPr>
        <w:t xml:space="preserve">, it’s evident that while Holiday Inn attracts more visitors, Six Senses enjoys better engagement rates with its audience. </w:t>
      </w:r>
      <w:hyperlink r:id="rId7" w:history="1">
        <w:r>
          <w:rPr>
            <w:rStyle w:val="Hyperlink"/>
            <w:rFonts w:ascii="Arial" w:hAnsi="Arial" w:cs="Arial"/>
          </w:rPr>
          <w:t>Holidayinn.com</w:t>
        </w:r>
      </w:hyperlink>
      <w:r>
        <w:rPr>
          <w:rFonts w:ascii="Arial" w:hAnsi="Arial" w:cs="Arial"/>
          <w:color w:val="000000"/>
        </w:rPr>
        <w:t xml:space="preserve"> receives 517,739 monthly visits, whereas </w:t>
      </w:r>
      <w:hyperlink r:id="rId8" w:history="1">
        <w:r>
          <w:rPr>
            <w:rStyle w:val="Hyperlink"/>
            <w:rFonts w:ascii="Arial" w:hAnsi="Arial" w:cs="Arial"/>
          </w:rPr>
          <w:t>sixsenses.com</w:t>
        </w:r>
      </w:hyperlink>
      <w:r>
        <w:rPr>
          <w:rFonts w:ascii="Arial" w:hAnsi="Arial" w:cs="Arial"/>
          <w:color w:val="000000"/>
        </w:rPr>
        <w:t xml:space="preserve"> receives 409,259 visits. However, visitors to the Six Senses website tend to spend more time on the site compared to those visiting Holiday Inn, indicating that Six Senses has a more engaging website. Additionally, people explore more pages per visit on the Six Senses website than on Holiday Inn, indicating a greater interest in reading and exploring the content offered by Six Senses. Nevertheless, it should be noted that Six Senses has a slightly higher bounce rate than Holiday Inn, but the difference is only 0.12%.</w:t>
      </w:r>
    </w:p>
    <w:p w14:paraId="446A8377" w14:textId="77777777" w:rsidR="009D5E90" w:rsidRDefault="009D5E90" w:rsidP="009D5E90"/>
    <w:p w14:paraId="454239A2" w14:textId="4D56B3A3" w:rsidR="009D5E90" w:rsidRDefault="009D5E90" w:rsidP="009D5E90">
      <w:pPr>
        <w:pStyle w:val="NormalWeb"/>
        <w:spacing w:before="0" w:beforeAutospacing="0" w:after="0" w:afterAutospacing="0"/>
      </w:pPr>
      <w:r>
        <w:rPr>
          <w:rFonts w:ascii="Arial" w:hAnsi="Arial" w:cs="Arial"/>
          <w:color w:val="000000"/>
        </w:rPr>
        <w:t>On social media, both accounts post frequently to create brand buzz. However, many of the Six Senses Instagram accounts regularly repost customer content such as stories, this is a great real-time marketing technique as these customers are shaping their own and other customer’s brand experiences (Kotler, 2019, p.19). Whilst viewing the Instagram accounts of Six Senses and Holiday Inn it’s clear the brand takes a customer-engagement approach to their social media strategy. With over 219,000 followers on their main Instagram account (@sixsenses) Six senses has more followers and posts than Holiday Inn on Instagram. This highlights the effectiveness of Six Senses' social media strategy on Instagram compared to Holiday Inn.</w:t>
      </w:r>
    </w:p>
    <w:p w14:paraId="18A9C7AF" w14:textId="77777777" w:rsidR="009D5E90" w:rsidRDefault="009D5E90" w:rsidP="009D5E90">
      <w:pPr>
        <w:pStyle w:val="NormalWeb"/>
        <w:spacing w:before="0" w:beforeAutospacing="0" w:after="0" w:afterAutospacing="0"/>
      </w:pPr>
    </w:p>
    <w:p w14:paraId="0654ECEE" w14:textId="7DDD234B" w:rsidR="009D5E90" w:rsidRPr="00DE278C" w:rsidRDefault="009D5E90" w:rsidP="009D5E90">
      <w:pPr>
        <w:pStyle w:val="NormalWeb"/>
        <w:spacing w:before="0" w:beforeAutospacing="0" w:after="0" w:afterAutospacing="0"/>
        <w:rPr>
          <w:rFonts w:ascii="Arial" w:hAnsi="Arial" w:cs="Arial"/>
          <w:color w:val="000000"/>
        </w:rPr>
      </w:pPr>
      <w:r>
        <w:rPr>
          <w:rFonts w:ascii="Arial" w:hAnsi="Arial" w:cs="Arial"/>
          <w:color w:val="000000"/>
        </w:rPr>
        <w:t xml:space="preserve">In conclusion, the analysis of Holiday Inn and Six Senses' marketing methods reveals important insights. Both brands face challenges from weather, social attitudes, and competition like Airbnb. Six Senses stands out by embracing sustainability, enhancing their brand value. However, Holiday Inn's lack of sustainable initiatives may make them less appealing to environmentally conscious consumers. While Airbnb poses a threat to </w:t>
      </w:r>
      <w:r w:rsidRPr="00DE278C">
        <w:rPr>
          <w:rFonts w:ascii="Arial" w:hAnsi="Arial" w:cs="Arial"/>
          <w:color w:val="000000"/>
        </w:rPr>
        <w:lastRenderedPageBreak/>
        <w:t>traditional hotels, Six Senses is comparatively less affected. Website analysis shows that Holiday Inn effectively caters to families with user friendly design, while Six Senses prioritises core values but lacks a user-friendly website design. Six Senses enjoys better engagement rates, despite receiving fewer visits. In social media, Six Senses has a larger following and employs a customer engagement approach. By understanding these factors, hotel brands can better position themselves for success.</w:t>
      </w:r>
    </w:p>
    <w:p w14:paraId="279FE038" w14:textId="77777777" w:rsidR="0085268B" w:rsidRPr="00DE278C" w:rsidRDefault="0085268B" w:rsidP="009D5E90">
      <w:pPr>
        <w:pStyle w:val="NormalWeb"/>
        <w:spacing w:before="0" w:beforeAutospacing="0" w:after="0" w:afterAutospacing="0"/>
        <w:rPr>
          <w:rFonts w:ascii="Arial" w:hAnsi="Arial" w:cs="Arial"/>
          <w:color w:val="000000"/>
        </w:rPr>
      </w:pPr>
    </w:p>
    <w:p w14:paraId="28B1A24A" w14:textId="26356734" w:rsidR="009D5E90" w:rsidRPr="00DE278C" w:rsidRDefault="009D5E90" w:rsidP="009D5E90">
      <w:pPr>
        <w:pStyle w:val="NormalWeb"/>
        <w:spacing w:before="0" w:beforeAutospacing="0" w:after="0" w:afterAutospacing="0"/>
        <w:rPr>
          <w:rFonts w:ascii="Arial" w:hAnsi="Arial" w:cs="Arial"/>
          <w:b/>
          <w:bCs/>
        </w:rPr>
      </w:pPr>
      <w:r w:rsidRPr="00DE278C">
        <w:rPr>
          <w:rFonts w:ascii="Arial" w:hAnsi="Arial" w:cs="Arial"/>
          <w:b/>
          <w:bCs/>
          <w:color w:val="000000"/>
        </w:rPr>
        <w:t>Bibliography</w:t>
      </w:r>
    </w:p>
    <w:p w14:paraId="0E1FFDB8" w14:textId="77777777" w:rsidR="009D5E90" w:rsidRPr="00DE278C" w:rsidRDefault="009D5E90" w:rsidP="009D5E90">
      <w:pPr>
        <w:pStyle w:val="NormalWeb"/>
        <w:spacing w:before="0" w:beforeAutospacing="0" w:after="0" w:afterAutospacing="0"/>
        <w:rPr>
          <w:rFonts w:ascii="Arial" w:hAnsi="Arial" w:cs="Arial"/>
          <w:color w:val="000000"/>
        </w:rPr>
      </w:pPr>
    </w:p>
    <w:p w14:paraId="031229FA" w14:textId="2D5B0779" w:rsidR="009D5E90" w:rsidRPr="00DE278C" w:rsidRDefault="009D5E90" w:rsidP="009D5E90">
      <w:pPr>
        <w:pStyle w:val="NormalWeb"/>
        <w:spacing w:before="0" w:beforeAutospacing="0" w:after="0" w:afterAutospacing="0"/>
        <w:rPr>
          <w:rFonts w:ascii="Arial" w:hAnsi="Arial" w:cs="Arial"/>
        </w:rPr>
      </w:pPr>
      <w:r w:rsidRPr="00DE278C">
        <w:rPr>
          <w:rFonts w:ascii="Arial" w:hAnsi="Arial" w:cs="Arial"/>
          <w:color w:val="000000"/>
        </w:rPr>
        <w:t xml:space="preserve">Abbott, Lawrence (1995). </w:t>
      </w:r>
      <w:r w:rsidRPr="00DE278C">
        <w:rPr>
          <w:rFonts w:ascii="Arial" w:hAnsi="Arial" w:cs="Arial"/>
          <w:i/>
          <w:iCs/>
          <w:color w:val="000000"/>
        </w:rPr>
        <w:t>Quality and Competition</w:t>
      </w:r>
      <w:r w:rsidRPr="00DE278C">
        <w:rPr>
          <w:rFonts w:ascii="Arial" w:hAnsi="Arial" w:cs="Arial"/>
          <w:color w:val="000000"/>
        </w:rPr>
        <w:t>. New York: Columbia University Press, pp.40-41. </w:t>
      </w:r>
    </w:p>
    <w:p w14:paraId="6AE1022E" w14:textId="77777777" w:rsidR="009D5E90" w:rsidRPr="00DE278C" w:rsidRDefault="009D5E90" w:rsidP="009D5E90">
      <w:pPr>
        <w:rPr>
          <w:rFonts w:ascii="Arial" w:hAnsi="Arial" w:cs="Arial"/>
        </w:rPr>
      </w:pPr>
    </w:p>
    <w:p w14:paraId="551D9EEA" w14:textId="20E8134B" w:rsidR="009D5E90" w:rsidRPr="00DE278C" w:rsidRDefault="009D5E90" w:rsidP="009D5E90">
      <w:pPr>
        <w:pStyle w:val="NormalWeb"/>
        <w:spacing w:before="0" w:beforeAutospacing="0" w:after="0" w:afterAutospacing="0"/>
        <w:rPr>
          <w:rFonts w:ascii="Arial" w:hAnsi="Arial" w:cs="Arial"/>
        </w:rPr>
      </w:pPr>
      <w:r w:rsidRPr="00DE278C">
        <w:rPr>
          <w:rFonts w:ascii="Arial" w:hAnsi="Arial" w:cs="Arial"/>
          <w:color w:val="000000"/>
        </w:rPr>
        <w:t xml:space="preserve">Blythe, Jim &amp; Martin, Jane (2019). </w:t>
      </w:r>
      <w:r w:rsidRPr="00DE278C">
        <w:rPr>
          <w:rFonts w:ascii="Arial" w:hAnsi="Arial" w:cs="Arial"/>
          <w:i/>
          <w:iCs/>
          <w:color w:val="000000"/>
        </w:rPr>
        <w:t>Essentials of Marketing</w:t>
      </w:r>
      <w:r w:rsidRPr="00DE278C">
        <w:rPr>
          <w:rFonts w:ascii="Arial" w:hAnsi="Arial" w:cs="Arial"/>
          <w:color w:val="000000"/>
        </w:rPr>
        <w:t>, Pearson, pp.150-169. </w:t>
      </w:r>
    </w:p>
    <w:p w14:paraId="6C665FAE" w14:textId="77777777" w:rsidR="009D5E90" w:rsidRPr="00DE278C" w:rsidRDefault="009D5E90" w:rsidP="009D5E90">
      <w:pPr>
        <w:rPr>
          <w:rFonts w:ascii="Arial" w:hAnsi="Arial" w:cs="Arial"/>
        </w:rPr>
      </w:pPr>
    </w:p>
    <w:p w14:paraId="2E718CE6" w14:textId="23C73C24" w:rsidR="009D5E90" w:rsidRPr="00DE278C" w:rsidRDefault="009D5E90" w:rsidP="009D5E90">
      <w:pPr>
        <w:pStyle w:val="NormalWeb"/>
        <w:spacing w:before="0" w:beforeAutospacing="0" w:after="0" w:afterAutospacing="0"/>
        <w:rPr>
          <w:rFonts w:ascii="Arial" w:hAnsi="Arial" w:cs="Arial"/>
        </w:rPr>
      </w:pPr>
      <w:r w:rsidRPr="00DE278C">
        <w:rPr>
          <w:rFonts w:ascii="Arial" w:hAnsi="Arial" w:cs="Arial"/>
          <w:color w:val="000000"/>
        </w:rPr>
        <w:t xml:space="preserve">Kotler, Phil T. (2019). </w:t>
      </w:r>
      <w:r w:rsidRPr="00DE278C">
        <w:rPr>
          <w:rFonts w:ascii="Arial" w:hAnsi="Arial" w:cs="Arial"/>
          <w:i/>
          <w:iCs/>
          <w:color w:val="000000"/>
        </w:rPr>
        <w:t>Principles of Marketing,</w:t>
      </w:r>
      <w:r w:rsidRPr="00DE278C">
        <w:rPr>
          <w:rFonts w:ascii="Arial" w:hAnsi="Arial" w:cs="Arial"/>
          <w:color w:val="000000"/>
        </w:rPr>
        <w:t xml:space="preserve"> Pearson. pp.11-28. </w:t>
      </w:r>
    </w:p>
    <w:p w14:paraId="5537229A" w14:textId="77777777" w:rsidR="009D5E90" w:rsidRPr="00DE278C" w:rsidRDefault="009D5E90" w:rsidP="009D5E90">
      <w:pPr>
        <w:rPr>
          <w:rFonts w:ascii="Arial" w:hAnsi="Arial" w:cs="Arial"/>
        </w:rPr>
      </w:pPr>
    </w:p>
    <w:p w14:paraId="3F375FFD" w14:textId="7BB6E774" w:rsidR="009D5E90" w:rsidRPr="00DE278C" w:rsidRDefault="009D5E90" w:rsidP="009D5E90">
      <w:pPr>
        <w:pStyle w:val="NormalWeb"/>
        <w:spacing w:before="0" w:beforeAutospacing="0" w:after="0" w:afterAutospacing="0"/>
        <w:rPr>
          <w:rFonts w:ascii="Arial" w:hAnsi="Arial" w:cs="Arial"/>
        </w:rPr>
      </w:pPr>
      <w:proofErr w:type="spellStart"/>
      <w:r w:rsidRPr="00DE278C">
        <w:rPr>
          <w:rFonts w:ascii="Arial" w:hAnsi="Arial" w:cs="Arial"/>
          <w:color w:val="000000"/>
        </w:rPr>
        <w:t>Mcclurg</w:t>
      </w:r>
      <w:proofErr w:type="spellEnd"/>
      <w:r w:rsidRPr="00DE278C">
        <w:rPr>
          <w:rFonts w:ascii="Arial" w:hAnsi="Arial" w:cs="Arial"/>
          <w:color w:val="000000"/>
        </w:rPr>
        <w:t xml:space="preserve">, Robert (2013). </w:t>
      </w:r>
      <w:r w:rsidRPr="00DE278C">
        <w:rPr>
          <w:rFonts w:ascii="Arial" w:hAnsi="Arial" w:cs="Arial"/>
          <w:i/>
          <w:iCs/>
          <w:color w:val="000000"/>
        </w:rPr>
        <w:t>DIGITAL MARKETING Is Key to Practice Growth: Making sense of SEO, PPC, DIY, DID, and social networking</w:t>
      </w:r>
      <w:r w:rsidRPr="00DE278C">
        <w:rPr>
          <w:rFonts w:ascii="Arial" w:hAnsi="Arial" w:cs="Arial"/>
          <w:color w:val="000000"/>
        </w:rPr>
        <w:t xml:space="preserve">, </w:t>
      </w:r>
      <w:hyperlink r:id="rId9" w:history="1">
        <w:r w:rsidRPr="00DE278C">
          <w:rPr>
            <w:rStyle w:val="Hyperlink"/>
            <w:rFonts w:ascii="Arial" w:hAnsi="Arial" w:cs="Arial"/>
            <w:color w:val="000000"/>
          </w:rPr>
          <w:t>Family Advocate</w:t>
        </w:r>
      </w:hyperlink>
      <w:r w:rsidRPr="00DE278C">
        <w:rPr>
          <w:rFonts w:ascii="Arial" w:hAnsi="Arial" w:cs="Arial"/>
          <w:color w:val="000000"/>
        </w:rPr>
        <w:t xml:space="preserve">, Vol. 35, No. 3 pp. 28-30 </w:t>
      </w:r>
    </w:p>
    <w:p w14:paraId="4A6A31EB" w14:textId="77777777" w:rsidR="009D5E90" w:rsidRPr="00DE278C" w:rsidRDefault="009D5E90" w:rsidP="009D5E90">
      <w:pPr>
        <w:rPr>
          <w:rFonts w:ascii="Arial" w:hAnsi="Arial" w:cs="Arial"/>
        </w:rPr>
      </w:pPr>
    </w:p>
    <w:p w14:paraId="6709E95F" w14:textId="183A70FF" w:rsidR="009D5E90" w:rsidRPr="00DE278C" w:rsidRDefault="009D5E90" w:rsidP="009D5E90">
      <w:pPr>
        <w:pStyle w:val="NormalWeb"/>
        <w:spacing w:before="0" w:beforeAutospacing="0" w:after="0" w:afterAutospacing="0"/>
        <w:rPr>
          <w:rFonts w:ascii="Arial" w:hAnsi="Arial" w:cs="Arial"/>
        </w:rPr>
      </w:pPr>
      <w:r w:rsidRPr="00DE278C">
        <w:rPr>
          <w:rFonts w:ascii="Arial" w:hAnsi="Arial" w:cs="Arial"/>
          <w:color w:val="000000"/>
        </w:rPr>
        <w:t xml:space="preserve">Roach, John C (2018). </w:t>
      </w:r>
      <w:r w:rsidRPr="00DE278C">
        <w:rPr>
          <w:rFonts w:ascii="Arial" w:hAnsi="Arial" w:cs="Arial"/>
          <w:i/>
          <w:iCs/>
          <w:color w:val="000000"/>
        </w:rPr>
        <w:t>How Airbnb has affected the hotel industry</w:t>
      </w:r>
      <w:r w:rsidRPr="00DE278C">
        <w:rPr>
          <w:rFonts w:ascii="Arial" w:hAnsi="Arial" w:cs="Arial"/>
          <w:color w:val="000000"/>
        </w:rPr>
        <w:t xml:space="preserve">, </w:t>
      </w:r>
      <w:hyperlink r:id="rId10" w:history="1">
        <w:r w:rsidRPr="00DE278C">
          <w:rPr>
            <w:rStyle w:val="Hyperlink"/>
            <w:rFonts w:ascii="Arial" w:hAnsi="Arial" w:cs="Arial"/>
            <w:color w:val="000000"/>
          </w:rPr>
          <w:t xml:space="preserve">Monthly </w:t>
        </w:r>
        <w:proofErr w:type="spellStart"/>
        <w:r w:rsidRPr="00DE278C">
          <w:rPr>
            <w:rStyle w:val="Hyperlink"/>
            <w:rFonts w:ascii="Arial" w:hAnsi="Arial" w:cs="Arial"/>
            <w:color w:val="000000"/>
          </w:rPr>
          <w:t>Labor</w:t>
        </w:r>
        <w:proofErr w:type="spellEnd"/>
        <w:r w:rsidRPr="00DE278C">
          <w:rPr>
            <w:rStyle w:val="Hyperlink"/>
            <w:rFonts w:ascii="Arial" w:hAnsi="Arial" w:cs="Arial"/>
            <w:color w:val="000000"/>
          </w:rPr>
          <w:t xml:space="preserve"> Review</w:t>
        </w:r>
      </w:hyperlink>
      <w:r w:rsidRPr="00DE278C">
        <w:rPr>
          <w:rFonts w:ascii="Arial" w:hAnsi="Arial" w:cs="Arial"/>
          <w:color w:val="000000"/>
        </w:rPr>
        <w:t>, pp.1-2. </w:t>
      </w:r>
    </w:p>
    <w:p w14:paraId="024ADC06" w14:textId="77777777" w:rsidR="009D5E90" w:rsidRPr="00DE278C" w:rsidRDefault="009D5E90" w:rsidP="009D5E90">
      <w:pPr>
        <w:rPr>
          <w:rFonts w:ascii="Arial" w:hAnsi="Arial" w:cs="Arial"/>
        </w:rPr>
      </w:pPr>
    </w:p>
    <w:p w14:paraId="0CE784FC" w14:textId="5F116BD0" w:rsidR="009D5E90" w:rsidRPr="00DE278C" w:rsidRDefault="009D5E90" w:rsidP="009D5E90">
      <w:pPr>
        <w:pStyle w:val="NormalWeb"/>
        <w:spacing w:before="0" w:beforeAutospacing="0" w:after="0" w:afterAutospacing="0"/>
        <w:rPr>
          <w:rFonts w:ascii="Arial" w:hAnsi="Arial" w:cs="Arial"/>
        </w:rPr>
      </w:pPr>
      <w:proofErr w:type="spellStart"/>
      <w:r w:rsidRPr="00DE278C">
        <w:rPr>
          <w:rFonts w:ascii="Arial" w:hAnsi="Arial" w:cs="Arial"/>
          <w:color w:val="000000"/>
        </w:rPr>
        <w:t>Tresidder</w:t>
      </w:r>
      <w:proofErr w:type="spellEnd"/>
      <w:r w:rsidRPr="00DE278C">
        <w:rPr>
          <w:rFonts w:ascii="Arial" w:hAnsi="Arial" w:cs="Arial"/>
          <w:color w:val="000000"/>
        </w:rPr>
        <w:t xml:space="preserve">, Richard, and Craig Hirst. (2012) </w:t>
      </w:r>
      <w:r w:rsidRPr="00DE278C">
        <w:rPr>
          <w:rFonts w:ascii="Arial" w:hAnsi="Arial" w:cs="Arial"/>
          <w:i/>
          <w:iCs/>
          <w:color w:val="000000"/>
        </w:rPr>
        <w:t xml:space="preserve">Marketing in Food, Hospitality, Tourism and </w:t>
      </w:r>
      <w:proofErr w:type="gramStart"/>
      <w:r w:rsidRPr="00DE278C">
        <w:rPr>
          <w:rFonts w:ascii="Arial" w:hAnsi="Arial" w:cs="Arial"/>
          <w:i/>
          <w:iCs/>
          <w:color w:val="000000"/>
        </w:rPr>
        <w:t>Events :</w:t>
      </w:r>
      <w:proofErr w:type="gramEnd"/>
      <w:r w:rsidRPr="00DE278C">
        <w:rPr>
          <w:rFonts w:ascii="Arial" w:hAnsi="Arial" w:cs="Arial"/>
          <w:i/>
          <w:iCs/>
          <w:color w:val="000000"/>
        </w:rPr>
        <w:t xml:space="preserve"> A Critical Approach</w:t>
      </w:r>
      <w:r w:rsidRPr="00DE278C">
        <w:rPr>
          <w:rFonts w:ascii="Arial" w:hAnsi="Arial" w:cs="Arial"/>
          <w:color w:val="000000"/>
        </w:rPr>
        <w:t>, Goodfellow Publishers. pp.176-189. </w:t>
      </w:r>
    </w:p>
    <w:p w14:paraId="28E570DF" w14:textId="77777777" w:rsidR="009D5E90" w:rsidRPr="00DE278C" w:rsidRDefault="009D5E90" w:rsidP="009D5E90">
      <w:pPr>
        <w:rPr>
          <w:rFonts w:ascii="Arial" w:hAnsi="Arial" w:cs="Arial"/>
        </w:rPr>
      </w:pPr>
    </w:p>
    <w:p w14:paraId="0527E3C3" w14:textId="55E21054" w:rsidR="009D5E90" w:rsidRPr="00DE278C" w:rsidRDefault="009D5E90" w:rsidP="009D5E90">
      <w:pPr>
        <w:pStyle w:val="NormalWeb"/>
        <w:spacing w:before="0" w:beforeAutospacing="0" w:after="0" w:afterAutospacing="0"/>
        <w:rPr>
          <w:rFonts w:ascii="Arial" w:hAnsi="Arial" w:cs="Arial"/>
          <w:color w:val="343332"/>
        </w:rPr>
      </w:pPr>
      <w:r w:rsidRPr="00DE278C">
        <w:rPr>
          <w:rFonts w:ascii="Arial" w:hAnsi="Arial" w:cs="Arial"/>
          <w:color w:val="343332"/>
        </w:rPr>
        <w:t xml:space="preserve">Winters, Sarah (2017). </w:t>
      </w:r>
      <w:r w:rsidRPr="00DE278C">
        <w:rPr>
          <w:rFonts w:ascii="Arial" w:hAnsi="Arial" w:cs="Arial"/>
          <w:i/>
          <w:iCs/>
          <w:color w:val="343332"/>
        </w:rPr>
        <w:t>Content Design</w:t>
      </w:r>
      <w:r w:rsidRPr="00DE278C">
        <w:rPr>
          <w:rFonts w:ascii="Arial" w:hAnsi="Arial" w:cs="Arial"/>
          <w:color w:val="343332"/>
        </w:rPr>
        <w:t>, London: Amazon. p.146</w:t>
      </w:r>
    </w:p>
    <w:p w14:paraId="5C994CF1" w14:textId="00299F02" w:rsidR="0085268B" w:rsidRPr="00DE278C" w:rsidRDefault="0085268B" w:rsidP="009D5E90">
      <w:pPr>
        <w:pStyle w:val="NormalWeb"/>
        <w:spacing w:before="0" w:beforeAutospacing="0" w:after="0" w:afterAutospacing="0"/>
        <w:rPr>
          <w:rFonts w:ascii="Arial" w:hAnsi="Arial" w:cs="Arial"/>
          <w:color w:val="343332"/>
        </w:rPr>
      </w:pPr>
    </w:p>
    <w:p w14:paraId="57C5C0F4" w14:textId="485B34BD" w:rsidR="0085268B" w:rsidRPr="00DE278C" w:rsidRDefault="0085268B" w:rsidP="009D5E90">
      <w:pPr>
        <w:pStyle w:val="NormalWeb"/>
        <w:spacing w:before="0" w:beforeAutospacing="0" w:after="0" w:afterAutospacing="0"/>
        <w:rPr>
          <w:rFonts w:ascii="Arial" w:hAnsi="Arial" w:cs="Arial"/>
          <w:b/>
          <w:bCs/>
          <w:color w:val="343332"/>
        </w:rPr>
      </w:pPr>
      <w:r w:rsidRPr="00DE278C">
        <w:rPr>
          <w:rFonts w:ascii="Arial" w:hAnsi="Arial" w:cs="Arial"/>
          <w:b/>
          <w:bCs/>
          <w:color w:val="343332"/>
        </w:rPr>
        <w:t>Appendix</w:t>
      </w:r>
    </w:p>
    <w:p w14:paraId="16A5E5D6" w14:textId="77777777" w:rsidR="0085268B" w:rsidRPr="00DE278C" w:rsidRDefault="0085268B" w:rsidP="009D5E90">
      <w:pPr>
        <w:pStyle w:val="NormalWeb"/>
        <w:spacing w:before="0" w:beforeAutospacing="0" w:after="0" w:afterAutospacing="0"/>
        <w:rPr>
          <w:rFonts w:ascii="Arial" w:hAnsi="Arial" w:cs="Arial"/>
        </w:rPr>
      </w:pPr>
    </w:p>
    <w:p w14:paraId="4981FF8A" w14:textId="45DF5258" w:rsidR="00242C51" w:rsidRPr="00DE278C" w:rsidRDefault="00DE278C" w:rsidP="009D5E90">
      <w:pPr>
        <w:tabs>
          <w:tab w:val="left" w:pos="1690"/>
        </w:tabs>
        <w:rPr>
          <w:rFonts w:ascii="Arial" w:hAnsi="Arial" w:cs="Arial"/>
        </w:rPr>
      </w:pPr>
      <w:r w:rsidRPr="00DE278C">
        <w:rPr>
          <w:rFonts w:ascii="Arial" w:hAnsi="Arial" w:cs="Arial"/>
        </w:rPr>
        <w:t>Appendix 1</w:t>
      </w:r>
    </w:p>
    <w:p w14:paraId="2366E378" w14:textId="77777777" w:rsidR="00DE278C" w:rsidRPr="00DE278C" w:rsidRDefault="00DE278C" w:rsidP="009D5E90">
      <w:pPr>
        <w:tabs>
          <w:tab w:val="left" w:pos="1690"/>
        </w:tabs>
        <w:rPr>
          <w:rFonts w:ascii="Arial" w:hAnsi="Arial" w:cs="Arial"/>
        </w:rPr>
      </w:pPr>
    </w:p>
    <w:p w14:paraId="2FA0BC4D" w14:textId="3D3142D8" w:rsidR="00DE278C" w:rsidRPr="00DE278C" w:rsidRDefault="00DE278C" w:rsidP="009D5E90">
      <w:pPr>
        <w:tabs>
          <w:tab w:val="left" w:pos="1690"/>
        </w:tabs>
        <w:rPr>
          <w:rFonts w:ascii="Arial" w:hAnsi="Arial" w:cs="Arial"/>
        </w:rPr>
      </w:pPr>
      <w:r w:rsidRPr="00DE278C">
        <w:rPr>
          <w:rFonts w:ascii="Arial" w:hAnsi="Arial" w:cs="Arial"/>
          <w:noProof/>
        </w:rPr>
        <w:drawing>
          <wp:inline distT="0" distB="0" distL="0" distR="0" wp14:anchorId="703078EB" wp14:editId="7AF4FBF2">
            <wp:extent cx="6219388" cy="38665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811" t="16237" r="58909" b="10271"/>
                    <a:stretch/>
                  </pic:blipFill>
                  <pic:spPr bwMode="auto">
                    <a:xfrm>
                      <a:off x="0" y="0"/>
                      <a:ext cx="6233195" cy="3875099"/>
                    </a:xfrm>
                    <a:prstGeom prst="rect">
                      <a:avLst/>
                    </a:prstGeom>
                    <a:ln>
                      <a:noFill/>
                    </a:ln>
                    <a:extLst>
                      <a:ext uri="{53640926-AAD7-44D8-BBD7-CCE9431645EC}">
                        <a14:shadowObscured xmlns:a14="http://schemas.microsoft.com/office/drawing/2010/main"/>
                      </a:ext>
                    </a:extLst>
                  </pic:spPr>
                </pic:pic>
              </a:graphicData>
            </a:graphic>
          </wp:inline>
        </w:drawing>
      </w:r>
    </w:p>
    <w:p w14:paraId="25DE208D" w14:textId="55939105" w:rsidR="00DE278C" w:rsidRPr="00DE278C" w:rsidRDefault="00DE278C" w:rsidP="009D5E90">
      <w:pPr>
        <w:tabs>
          <w:tab w:val="left" w:pos="1690"/>
        </w:tabs>
        <w:rPr>
          <w:rFonts w:ascii="Arial" w:hAnsi="Arial" w:cs="Arial"/>
        </w:rPr>
      </w:pPr>
    </w:p>
    <w:p w14:paraId="192F57D1" w14:textId="23727883" w:rsidR="00DE278C" w:rsidRDefault="00DE278C" w:rsidP="009D5E90">
      <w:pPr>
        <w:tabs>
          <w:tab w:val="left" w:pos="1690"/>
        </w:tabs>
        <w:rPr>
          <w:rFonts w:ascii="Arial" w:hAnsi="Arial" w:cs="Arial"/>
        </w:rPr>
      </w:pPr>
      <w:r w:rsidRPr="00DE278C">
        <w:rPr>
          <w:rFonts w:ascii="Arial" w:hAnsi="Arial" w:cs="Arial"/>
        </w:rPr>
        <w:t xml:space="preserve">Appendix 2 </w:t>
      </w:r>
    </w:p>
    <w:p w14:paraId="5A75FB0B" w14:textId="77777777" w:rsidR="00DE278C" w:rsidRDefault="00DE278C" w:rsidP="009D5E90">
      <w:pPr>
        <w:tabs>
          <w:tab w:val="left" w:pos="1690"/>
        </w:tabs>
        <w:rPr>
          <w:noProof/>
        </w:rPr>
      </w:pPr>
    </w:p>
    <w:p w14:paraId="79860E55" w14:textId="62651225" w:rsidR="00DE278C" w:rsidRPr="00DE278C" w:rsidRDefault="00DE278C" w:rsidP="009D5E90">
      <w:pPr>
        <w:tabs>
          <w:tab w:val="left" w:pos="1690"/>
        </w:tabs>
        <w:rPr>
          <w:rFonts w:ascii="Arial" w:hAnsi="Arial" w:cs="Arial"/>
        </w:rPr>
      </w:pPr>
      <w:r>
        <w:rPr>
          <w:noProof/>
        </w:rPr>
        <w:drawing>
          <wp:inline distT="0" distB="0" distL="0" distR="0" wp14:anchorId="6B78D421" wp14:editId="279CBBED">
            <wp:extent cx="6543040" cy="4240981"/>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9883" t="20226" r="57789" b="5342"/>
                    <a:stretch/>
                  </pic:blipFill>
                  <pic:spPr bwMode="auto">
                    <a:xfrm>
                      <a:off x="0" y="0"/>
                      <a:ext cx="6566555" cy="4256223"/>
                    </a:xfrm>
                    <a:prstGeom prst="rect">
                      <a:avLst/>
                    </a:prstGeom>
                    <a:ln>
                      <a:noFill/>
                    </a:ln>
                    <a:extLst>
                      <a:ext uri="{53640926-AAD7-44D8-BBD7-CCE9431645EC}">
                        <a14:shadowObscured xmlns:a14="http://schemas.microsoft.com/office/drawing/2010/main"/>
                      </a:ext>
                    </a:extLst>
                  </pic:spPr>
                </pic:pic>
              </a:graphicData>
            </a:graphic>
          </wp:inline>
        </w:drawing>
      </w:r>
    </w:p>
    <w:sectPr w:rsidR="00DE278C" w:rsidRPr="00DE27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AAEE3" w14:textId="77777777" w:rsidR="009D5E90" w:rsidRDefault="009D5E90" w:rsidP="009D5E90">
      <w:r>
        <w:separator/>
      </w:r>
    </w:p>
  </w:endnote>
  <w:endnote w:type="continuationSeparator" w:id="0">
    <w:p w14:paraId="327A9B7F" w14:textId="77777777" w:rsidR="009D5E90" w:rsidRDefault="009D5E90" w:rsidP="009D5E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8A8B7" w14:textId="77777777" w:rsidR="009D5E90" w:rsidRDefault="009D5E90" w:rsidP="009D5E90">
      <w:r>
        <w:separator/>
      </w:r>
    </w:p>
  </w:footnote>
  <w:footnote w:type="continuationSeparator" w:id="0">
    <w:p w14:paraId="2A37DA60" w14:textId="77777777" w:rsidR="009D5E90" w:rsidRDefault="009D5E90" w:rsidP="009D5E90">
      <w:r>
        <w:continuationSeparator/>
      </w:r>
    </w:p>
  </w:footnote>
  <w:footnote w:id="1">
    <w:p w14:paraId="05793F31" w14:textId="5B891654" w:rsidR="009D5E90" w:rsidRDefault="009D5E90">
      <w:pPr>
        <w:pStyle w:val="FootnoteText"/>
      </w:pPr>
      <w:r>
        <w:rPr>
          <w:rStyle w:val="FootnoteReference"/>
        </w:rPr>
        <w:footnoteRef/>
      </w:r>
      <w:r>
        <w:t xml:space="preserve"> Appendix 1</w:t>
      </w:r>
    </w:p>
    <w:p w14:paraId="352A7DF1" w14:textId="77777777" w:rsidR="009D5E90" w:rsidRDefault="009D5E90">
      <w:pPr>
        <w:pStyle w:val="FootnoteText"/>
      </w:pPr>
    </w:p>
  </w:footnote>
  <w:footnote w:id="2">
    <w:p w14:paraId="66F44582" w14:textId="6D6E9615" w:rsidR="009D5E90" w:rsidRDefault="009D5E90">
      <w:pPr>
        <w:pStyle w:val="FootnoteText"/>
      </w:pPr>
      <w:r>
        <w:rPr>
          <w:rStyle w:val="FootnoteReference"/>
        </w:rPr>
        <w:footnoteRef/>
      </w:r>
      <w:r>
        <w:t xml:space="preserve"> Appendix 2</w:t>
      </w:r>
    </w:p>
    <w:p w14:paraId="742C9E2E" w14:textId="77777777" w:rsidR="009D5E90" w:rsidRDefault="009D5E90">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E90"/>
    <w:rsid w:val="004A44C0"/>
    <w:rsid w:val="00585F38"/>
    <w:rsid w:val="0085268B"/>
    <w:rsid w:val="009D5E90"/>
    <w:rsid w:val="00DE2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81DB55"/>
  <w15:chartTrackingRefBased/>
  <w15:docId w15:val="{15553874-6522-455E-BFC9-A6B69234B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E90"/>
    <w:pPr>
      <w:spacing w:after="0" w:line="240" w:lineRule="auto"/>
    </w:pPr>
    <w:rPr>
      <w:rFonts w:ascii="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D5E90"/>
    <w:rPr>
      <w:color w:val="0000FF"/>
      <w:u w:val="single"/>
    </w:rPr>
  </w:style>
  <w:style w:type="paragraph" w:styleId="NormalWeb">
    <w:name w:val="Normal (Web)"/>
    <w:basedOn w:val="Normal"/>
    <w:uiPriority w:val="99"/>
    <w:unhideWhenUsed/>
    <w:rsid w:val="009D5E90"/>
    <w:pPr>
      <w:spacing w:before="100" w:beforeAutospacing="1" w:after="100" w:afterAutospacing="1"/>
    </w:pPr>
  </w:style>
  <w:style w:type="paragraph" w:styleId="FootnoteText">
    <w:name w:val="footnote text"/>
    <w:basedOn w:val="Normal"/>
    <w:link w:val="FootnoteTextChar"/>
    <w:uiPriority w:val="99"/>
    <w:semiHidden/>
    <w:unhideWhenUsed/>
    <w:rsid w:val="009D5E90"/>
    <w:rPr>
      <w:sz w:val="20"/>
      <w:szCs w:val="20"/>
    </w:rPr>
  </w:style>
  <w:style w:type="character" w:customStyle="1" w:styleId="FootnoteTextChar">
    <w:name w:val="Footnote Text Char"/>
    <w:basedOn w:val="DefaultParagraphFont"/>
    <w:link w:val="FootnoteText"/>
    <w:uiPriority w:val="99"/>
    <w:semiHidden/>
    <w:rsid w:val="009D5E90"/>
    <w:rPr>
      <w:rFonts w:ascii="Calibri" w:hAnsi="Calibri" w:cs="Calibri"/>
      <w:sz w:val="20"/>
      <w:szCs w:val="20"/>
      <w:lang w:eastAsia="en-GB"/>
    </w:rPr>
  </w:style>
  <w:style w:type="character" w:styleId="FootnoteReference">
    <w:name w:val="footnote reference"/>
    <w:basedOn w:val="DefaultParagraphFont"/>
    <w:uiPriority w:val="99"/>
    <w:semiHidden/>
    <w:unhideWhenUsed/>
    <w:rsid w:val="009D5E9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319474">
      <w:bodyDiv w:val="1"/>
      <w:marLeft w:val="0"/>
      <w:marRight w:val="0"/>
      <w:marTop w:val="0"/>
      <w:marBottom w:val="0"/>
      <w:divBdr>
        <w:top w:val="none" w:sz="0" w:space="0" w:color="auto"/>
        <w:left w:val="none" w:sz="0" w:space="0" w:color="auto"/>
        <w:bottom w:val="none" w:sz="0" w:space="0" w:color="auto"/>
        <w:right w:val="none" w:sz="0" w:space="0" w:color="auto"/>
      </w:divBdr>
    </w:div>
    <w:div w:id="126199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tect-eu.mimecast.com/s/597hCOZj7cJml9vH5AbNP?domain=sixsenses.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rotect-eu.mimecast.com/s/ttmWCJPMZIRElmKhVilvy?domain=holidayinn.com" TargetMode="External"/><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0" Type="http://schemas.openxmlformats.org/officeDocument/2006/relationships/hyperlink" Target="https://protect-eu.mimecast.com/s/V9JZCM9Pjug4D0zIWEP-F?domain=jstor.org" TargetMode="External"/><Relationship Id="rId4" Type="http://schemas.openxmlformats.org/officeDocument/2006/relationships/webSettings" Target="webSettings.xml"/><Relationship Id="rId9" Type="http://schemas.openxmlformats.org/officeDocument/2006/relationships/hyperlink" Target="https://protect-eu.mimecast.com/s/bMzCCLPOgIAnVpQuPeUi3?domain=jstor.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C3CCA5-587C-4B0B-95D1-FF059490B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1981</Words>
  <Characters>11296</Characters>
  <Application>Microsoft Office Word</Application>
  <DocSecurity>0</DocSecurity>
  <Lines>94</Lines>
  <Paragraphs>26</Paragraphs>
  <ScaleCrop>false</ScaleCrop>
  <Company>EDF Energy</Company>
  <LinksUpToDate>false</LinksUpToDate>
  <CharactersWithSpaces>13251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Nahida Usha</dc:creator>
  <cp:keywords/>
  <dc:description/>
  <cp:lastModifiedBy>Nahida Usha</cp:lastModifiedBy>
  <cp:revision>2</cp:revision>
  <dcterms:created xsi:type="dcterms:W3CDTF">2023-05-19T21:36:00Z</dcterms:created>
  <dcterms:modified xsi:type="dcterms:W3CDTF">2023-05-19T21:36:00Z</dcterms:modified>
</cp:coreProperties>
</file>