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DE4BBE" w14:textId="77777777" w:rsidR="00B770E0" w:rsidRDefault="00B770E0" w:rsidP="00EF333A">
      <w:pPr>
        <w:pStyle w:val="Title"/>
        <w:spacing w:before="1600" w:after="600"/>
        <w:jc w:val="center"/>
        <w:rPr>
          <w:rFonts w:ascii="Arial" w:hAnsi="Arial" w:cs="Arial"/>
          <w:sz w:val="32"/>
          <w:szCs w:val="32"/>
        </w:rPr>
      </w:pPr>
      <w:r w:rsidRPr="00B770E0">
        <w:drawing>
          <wp:inline distT="0" distB="0" distL="0" distR="0" wp14:anchorId="3BFD3F8C" wp14:editId="4307FE39">
            <wp:extent cx="5729605" cy="2757487"/>
            <wp:effectExtent l="0" t="0" r="0" b="0"/>
            <wp:docPr id="2513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4555" cy="2759869"/>
                    </a:xfrm>
                    <a:prstGeom prst="rect">
                      <a:avLst/>
                    </a:prstGeom>
                    <a:noFill/>
                    <a:ln>
                      <a:noFill/>
                    </a:ln>
                  </pic:spPr>
                </pic:pic>
              </a:graphicData>
            </a:graphic>
          </wp:inline>
        </w:drawing>
      </w:r>
    </w:p>
    <w:p w14:paraId="4E15E2A5" w14:textId="089BF3A2" w:rsidR="00EF333A" w:rsidRDefault="00EF333A" w:rsidP="00EF333A">
      <w:pPr>
        <w:pStyle w:val="Title"/>
        <w:spacing w:before="1600" w:after="600"/>
        <w:jc w:val="center"/>
        <w:rPr>
          <w:rFonts w:ascii="Arial" w:hAnsi="Arial" w:cs="Arial"/>
          <w:sz w:val="32"/>
          <w:szCs w:val="32"/>
        </w:rPr>
      </w:pPr>
      <w:r w:rsidRPr="00EF333A">
        <w:rPr>
          <w:rFonts w:ascii="Arial" w:hAnsi="Arial" w:cs="Arial"/>
          <w:sz w:val="32"/>
          <w:szCs w:val="32"/>
        </w:rPr>
        <w:t>Exploring the Effects of Staff Shortages on NHS Healthcare Delivery</w:t>
      </w:r>
    </w:p>
    <w:p w14:paraId="353B1AF6" w14:textId="77777777" w:rsidR="00CB1649" w:rsidRDefault="00CB1649" w:rsidP="00CB1649">
      <w:pPr>
        <w:jc w:val="center"/>
      </w:pPr>
      <w:r>
        <w:t xml:space="preserve">  BA (Hons) Leadership and Management Skills in the Workplace</w:t>
      </w:r>
    </w:p>
    <w:p w14:paraId="37861E91" w14:textId="77777777" w:rsidR="00CB1649" w:rsidRDefault="00CB1649" w:rsidP="00CB1649">
      <w:pPr>
        <w:jc w:val="center"/>
      </w:pPr>
      <w:r>
        <w:t>LCLM6005 Independent Project</w:t>
      </w:r>
    </w:p>
    <w:p w14:paraId="6E7B6C0A" w14:textId="4866FC13" w:rsidR="00CB1649" w:rsidRDefault="00CB1649" w:rsidP="00CB1649">
      <w:pPr>
        <w:jc w:val="center"/>
      </w:pPr>
      <w:r>
        <w:t>Supervisor’s name:</w:t>
      </w:r>
      <w:r>
        <w:t xml:space="preserve"> </w:t>
      </w:r>
      <w:r w:rsidR="00A12CAD">
        <w:t>M</w:t>
      </w:r>
      <w:r w:rsidR="0070647D">
        <w:t>D Kalam</w:t>
      </w:r>
    </w:p>
    <w:p w14:paraId="0A38FB1B" w14:textId="77777777" w:rsidR="00004E05" w:rsidRPr="00004E05" w:rsidRDefault="00004E05" w:rsidP="00004E05">
      <w:pPr>
        <w:keepNext/>
        <w:keepLines/>
        <w:spacing w:before="360" w:after="0" w:line="360" w:lineRule="auto"/>
        <w:jc w:val="both"/>
        <w:outlineLvl w:val="0"/>
        <w:rPr>
          <w:rFonts w:ascii="Arial" w:eastAsia="DengXian Light" w:hAnsi="Arial" w:cs="Arial"/>
          <w:b/>
          <w:bCs/>
          <w:kern w:val="0"/>
          <w:sz w:val="28"/>
          <w:szCs w:val="40"/>
          <w14:ligatures w14:val="none"/>
        </w:rPr>
      </w:pPr>
      <w:bookmarkStart w:id="0" w:name="_Toc206448006"/>
      <w:r w:rsidRPr="00004E05">
        <w:rPr>
          <w:rFonts w:ascii="Arial" w:eastAsia="DengXian Light" w:hAnsi="Arial" w:cs="Arial"/>
          <w:b/>
          <w:bCs/>
          <w:kern w:val="0"/>
          <w:sz w:val="28"/>
          <w:szCs w:val="40"/>
          <w14:ligatures w14:val="none"/>
        </w:rPr>
        <w:t>Acknowledgement</w:t>
      </w:r>
      <w:bookmarkEnd w:id="0"/>
    </w:p>
    <w:p w14:paraId="4705DF99" w14:textId="77777777" w:rsidR="00004E05" w:rsidRPr="00004E05" w:rsidRDefault="00004E05" w:rsidP="00FB6E3B">
      <w:pPr>
        <w:spacing w:after="0" w:line="360" w:lineRule="auto"/>
        <w:jc w:val="both"/>
        <w:rPr>
          <w:rFonts w:ascii="Arial" w:eastAsia="Aptos" w:hAnsi="Arial" w:cs="Arial"/>
          <w:kern w:val="0"/>
          <w:sz w:val="22"/>
          <w14:ligatures w14:val="none"/>
        </w:rPr>
      </w:pPr>
      <w:r w:rsidRPr="00004E05">
        <w:rPr>
          <w:rFonts w:ascii="Arial" w:eastAsia="Aptos" w:hAnsi="Arial" w:cs="Arial"/>
          <w:kern w:val="0"/>
          <w:sz w:val="22"/>
          <w14:ligatures w14:val="none"/>
        </w:rPr>
        <w:t xml:space="preserve">I am deeply grateful to my supervisor, MD Kalam, for the ongoing support, constructive guidance, and practical advice that have been invaluable in completing this dissertation. </w:t>
      </w:r>
    </w:p>
    <w:p w14:paraId="41F6769F" w14:textId="77777777" w:rsidR="00004E05" w:rsidRPr="00004E05" w:rsidRDefault="00004E05" w:rsidP="00FB6E3B">
      <w:pPr>
        <w:spacing w:after="0" w:line="360" w:lineRule="auto"/>
        <w:jc w:val="both"/>
        <w:rPr>
          <w:rFonts w:ascii="Arial" w:eastAsia="Aptos" w:hAnsi="Arial" w:cs="Arial"/>
          <w:kern w:val="0"/>
          <w:sz w:val="22"/>
          <w14:ligatures w14:val="none"/>
        </w:rPr>
      </w:pPr>
      <w:r w:rsidRPr="00004E05">
        <w:rPr>
          <w:rFonts w:ascii="Arial" w:eastAsia="Aptos" w:hAnsi="Arial" w:cs="Arial"/>
          <w:kern w:val="0"/>
          <w:sz w:val="22"/>
          <w14:ligatures w14:val="none"/>
        </w:rPr>
        <w:t xml:space="preserve">I also wish to thank my university colleagues, whose encouragement and companionship have made the past three years of study both rewarding and enjoyable. </w:t>
      </w:r>
    </w:p>
    <w:p w14:paraId="290C7F1A" w14:textId="77777777" w:rsidR="00004E05" w:rsidRPr="00004E05" w:rsidRDefault="00004E05" w:rsidP="00FB6E3B">
      <w:pPr>
        <w:spacing w:after="0" w:line="360" w:lineRule="auto"/>
        <w:jc w:val="both"/>
        <w:rPr>
          <w:rFonts w:ascii="Arial" w:eastAsia="Aptos" w:hAnsi="Arial" w:cs="Arial"/>
          <w:kern w:val="0"/>
          <w:sz w:val="22"/>
          <w14:ligatures w14:val="none"/>
        </w:rPr>
      </w:pPr>
      <w:r w:rsidRPr="00004E05">
        <w:rPr>
          <w:rFonts w:ascii="Arial" w:eastAsia="Aptos" w:hAnsi="Arial" w:cs="Arial"/>
          <w:kern w:val="0"/>
          <w:sz w:val="22"/>
          <w14:ligatures w14:val="none"/>
        </w:rPr>
        <w:t>Above all, I would like to thank my family for their constant support, patience, and sacrifices, which have been the foundation of this achievement.</w:t>
      </w:r>
    </w:p>
    <w:p w14:paraId="5F74DB77" w14:textId="77777777" w:rsidR="00004E05" w:rsidRPr="00004E05" w:rsidRDefault="00004E05" w:rsidP="00004E05">
      <w:pPr>
        <w:spacing w:after="0" w:line="360" w:lineRule="auto"/>
        <w:jc w:val="both"/>
        <w:rPr>
          <w:rFonts w:ascii="Arial" w:eastAsia="Aptos" w:hAnsi="Arial" w:cs="Arial"/>
          <w:kern w:val="0"/>
          <w:sz w:val="22"/>
          <w14:ligatures w14:val="none"/>
        </w:rPr>
      </w:pPr>
    </w:p>
    <w:p w14:paraId="22197924" w14:textId="61126C6E" w:rsidR="00004E05" w:rsidRPr="00FB6E3B" w:rsidRDefault="00004E05" w:rsidP="00FB6E3B">
      <w:pPr>
        <w:spacing w:line="360" w:lineRule="auto"/>
        <w:rPr>
          <w:rFonts w:ascii="Arial" w:eastAsia="Aptos" w:hAnsi="Arial" w:cs="Arial"/>
          <w:kern w:val="0"/>
          <w:sz w:val="22"/>
          <w14:ligatures w14:val="none"/>
        </w:rPr>
      </w:pPr>
      <w:bookmarkStart w:id="1" w:name="_Toc206448007"/>
      <w:r w:rsidRPr="00004E05">
        <w:rPr>
          <w:rFonts w:ascii="Arial" w:eastAsia="DengXian Light" w:hAnsi="Arial" w:cs="Arial"/>
          <w:b/>
          <w:bCs/>
          <w:kern w:val="0"/>
          <w:sz w:val="28"/>
          <w:szCs w:val="40"/>
          <w14:ligatures w14:val="none"/>
        </w:rPr>
        <w:t>Declaration</w:t>
      </w:r>
      <w:bookmarkEnd w:id="1"/>
    </w:p>
    <w:p w14:paraId="46492C93" w14:textId="77777777" w:rsidR="00004E05" w:rsidRPr="00004E05" w:rsidRDefault="00004E05" w:rsidP="00004E05">
      <w:pPr>
        <w:spacing w:after="0" w:line="360" w:lineRule="auto"/>
        <w:jc w:val="both"/>
        <w:rPr>
          <w:rFonts w:ascii="Arial" w:eastAsia="Aptos" w:hAnsi="Arial" w:cs="Arial"/>
          <w:kern w:val="0"/>
          <w:sz w:val="22"/>
          <w14:ligatures w14:val="none"/>
        </w:rPr>
      </w:pPr>
      <w:r w:rsidRPr="00004E05">
        <w:rPr>
          <w:rFonts w:ascii="Arial" w:eastAsia="Aptos" w:hAnsi="Arial" w:cs="Arial"/>
          <w:kern w:val="0"/>
          <w:sz w:val="22"/>
          <w14:ligatures w14:val="none"/>
        </w:rPr>
        <w:t>I confirm that this dissertation is my own original work based on independent research and study. I did not copy from any source without giving proper credit in the reference list. All data, findings, and arguments are clearly explained using valid and honest sources. I have followed all university rules about academic integrity and ethical practice. No part of this work was written by someone else or submitted for any other academic purpose before.</w:t>
      </w:r>
    </w:p>
    <w:p w14:paraId="003FDCB9" w14:textId="77777777" w:rsidR="00004E05" w:rsidRPr="00004E05" w:rsidRDefault="00004E05" w:rsidP="00004E05">
      <w:pPr>
        <w:spacing w:after="0" w:line="360" w:lineRule="auto"/>
        <w:jc w:val="both"/>
        <w:rPr>
          <w:rFonts w:ascii="Arial" w:eastAsia="Aptos" w:hAnsi="Arial" w:cs="Arial"/>
          <w:b/>
          <w:bCs/>
          <w:kern w:val="0"/>
          <w:sz w:val="22"/>
          <w14:ligatures w14:val="none"/>
        </w:rPr>
      </w:pPr>
    </w:p>
    <w:p w14:paraId="2D03461A" w14:textId="4196DF54" w:rsidR="00004E05" w:rsidRPr="00004E05" w:rsidRDefault="00004E05" w:rsidP="00004E05">
      <w:pPr>
        <w:spacing w:after="0" w:line="360" w:lineRule="auto"/>
        <w:jc w:val="both"/>
        <w:rPr>
          <w:rFonts w:ascii="Arial" w:eastAsia="Aptos" w:hAnsi="Arial" w:cs="Arial"/>
          <w:kern w:val="0"/>
          <w:sz w:val="22"/>
          <w14:ligatures w14:val="none"/>
        </w:rPr>
      </w:pPr>
      <w:r w:rsidRPr="00004E05">
        <w:rPr>
          <w:rFonts w:ascii="Arial" w:eastAsia="Aptos" w:hAnsi="Arial" w:cs="Arial"/>
          <w:b/>
          <w:bCs/>
          <w:kern w:val="0"/>
          <w:sz w:val="22"/>
          <w14:ligatures w14:val="none"/>
        </w:rPr>
        <w:t>Student Name</w:t>
      </w:r>
      <w:r w:rsidRPr="00004E05">
        <w:rPr>
          <w:rFonts w:ascii="Arial" w:eastAsia="Aptos" w:hAnsi="Arial" w:cs="Arial"/>
          <w:kern w:val="0"/>
          <w:sz w:val="22"/>
          <w14:ligatures w14:val="none"/>
        </w:rPr>
        <w:t>:</w:t>
      </w:r>
      <w:r w:rsidR="0059616F">
        <w:rPr>
          <w:rFonts w:ascii="Arial" w:eastAsia="Aptos" w:hAnsi="Arial" w:cs="Arial"/>
          <w:kern w:val="0"/>
          <w:sz w:val="22"/>
          <w14:ligatures w14:val="none"/>
        </w:rPr>
        <w:t xml:space="preserve"> Sarah N’guessan</w:t>
      </w:r>
      <w:r w:rsidRPr="00004E05">
        <w:rPr>
          <w:rFonts w:ascii="Arial" w:eastAsia="Aptos" w:hAnsi="Arial" w:cs="Arial"/>
          <w:kern w:val="0"/>
          <w:sz w:val="22"/>
          <w14:ligatures w14:val="none"/>
        </w:rPr>
        <w:tab/>
      </w:r>
      <w:r w:rsidRPr="00004E05">
        <w:rPr>
          <w:rFonts w:ascii="Arial" w:eastAsia="Aptos" w:hAnsi="Arial" w:cs="Arial"/>
          <w:b/>
          <w:bCs/>
          <w:kern w:val="0"/>
          <w:sz w:val="22"/>
          <w14:ligatures w14:val="none"/>
        </w:rPr>
        <w:t>Signature</w:t>
      </w:r>
      <w:r w:rsidRPr="00004E05">
        <w:rPr>
          <w:rFonts w:ascii="Arial" w:eastAsia="Aptos" w:hAnsi="Arial" w:cs="Arial"/>
          <w:kern w:val="0"/>
          <w:sz w:val="22"/>
          <w14:ligatures w14:val="none"/>
        </w:rPr>
        <w:t xml:space="preserve">: </w:t>
      </w:r>
      <w:r w:rsidR="0059616F">
        <w:rPr>
          <w:rFonts w:ascii="Arial" w:eastAsia="Aptos" w:hAnsi="Arial" w:cs="Arial"/>
          <w:kern w:val="0"/>
          <w:sz w:val="22"/>
          <w14:ligatures w14:val="none"/>
        </w:rPr>
        <w:t>SNC</w:t>
      </w:r>
    </w:p>
    <w:p w14:paraId="565B47F7" w14:textId="77777777" w:rsidR="00004E05" w:rsidRPr="00CB1649" w:rsidRDefault="00004E05" w:rsidP="00004E05"/>
    <w:p w14:paraId="76501B15" w14:textId="7EC8A2FE" w:rsidR="00EF333A" w:rsidRPr="00EF333A" w:rsidRDefault="00EF333A" w:rsidP="00EF333A">
      <w:pPr>
        <w:rPr>
          <w:rFonts w:ascii="Arial" w:eastAsia="Times New Roman" w:hAnsi="Arial" w:cs="Arial"/>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EF333A">
        <w:rPr>
          <w:rFonts w:ascii="Arial" w:eastAsia="Times New Roman" w:hAnsi="Arial" w:cs="Arial"/>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Abstract </w:t>
      </w:r>
    </w:p>
    <w:p w14:paraId="77B844F9" w14:textId="77777777" w:rsidR="00EF333A" w:rsidRPr="00EF333A" w:rsidRDefault="00EF333A" w:rsidP="00EF333A">
      <w:pPr>
        <w:spacing w:after="200" w:line="240" w:lineRule="auto"/>
        <w:jc w:val="both"/>
        <w:rPr>
          <w:rFonts w:ascii="Arial" w:eastAsia="Times New Roman" w:hAnsi="Arial" w:cs="Arial"/>
          <w:kern w:val="0"/>
          <w:sz w:val="22"/>
          <w:szCs w:val="22"/>
          <w:lang w:eastAsia="en-GB"/>
          <w14:ligatures w14:val="none"/>
        </w:rPr>
      </w:pPr>
      <w:r w:rsidRPr="00EF333A">
        <w:rPr>
          <w:rFonts w:ascii="Arial" w:eastAsia="Times New Roman" w:hAnsi="Arial" w:cs="Arial"/>
          <w:kern w:val="0"/>
          <w:sz w:val="22"/>
          <w:szCs w:val="22"/>
          <w:lang w:eastAsia="en-GB"/>
          <w14:ligatures w14:val="none"/>
        </w:rPr>
        <w:t>Workforce shortages have become one of the most pressing operational challenges facing the NHS, yet their true scale and consequences are often obscured by headline vacancy statistics. This dissertation examines the impact of workforce shortages on the delivery of healthcare within the NHS in England, focusing on patient safety, care quality, staff wellbeing, and organisational performance. Adopting an interpretivist research philosophy, the study employs a qualitative, desk-based design structured as a narrative review and thematic analysis of secondary sources, drawing on academic literature, NHS workforce statistics, sector and policy reports, and major public inquiry findings, including the Francis Report (2013) and the Ockenden Review (2022).</w:t>
      </w:r>
    </w:p>
    <w:p w14:paraId="733AFA3E" w14:textId="77777777" w:rsidR="00EF333A" w:rsidRPr="00EF333A" w:rsidRDefault="00EF333A" w:rsidP="00EF333A">
      <w:pPr>
        <w:spacing w:after="200" w:line="240" w:lineRule="auto"/>
        <w:jc w:val="both"/>
        <w:rPr>
          <w:rFonts w:ascii="Arial" w:eastAsia="Times New Roman" w:hAnsi="Arial" w:cs="Arial"/>
          <w:kern w:val="0"/>
          <w:sz w:val="22"/>
          <w:szCs w:val="22"/>
          <w:lang w:eastAsia="en-GB"/>
          <w14:ligatures w14:val="none"/>
        </w:rPr>
      </w:pPr>
      <w:r w:rsidRPr="00EF333A">
        <w:rPr>
          <w:rFonts w:ascii="Arial" w:eastAsia="Times New Roman" w:hAnsi="Arial" w:cs="Arial"/>
          <w:kern w:val="0"/>
          <w:sz w:val="22"/>
          <w:szCs w:val="22"/>
          <w:lang w:eastAsia="en-GB"/>
          <w14:ligatures w14:val="none"/>
        </w:rPr>
        <w:t>The analysis finds that headline vacancy rates significantly understate the operational scale of the shortage, and that a safety-oriented “staffing gap” metric offers a more meaningful basis for measurement and policy design. Understaffing was found to translate into patient safety risk through identifiable mechanisms — including missed care and delayed clinical escalation — moderated by organisational culture and skill mix rather than staffing numbers alone. The research further identifies a self-reinforcing relationship between understaffing, staff burnout, and attrition, positioning retention as a driver of the crisis of comparable significance to recruitment shortfalls. Current policy responses, principally international recruitment and domestic training expansion, were found to be only partially matched to the retention-driven and geographically uneven nature of the crisis.</w:t>
      </w:r>
    </w:p>
    <w:p w14:paraId="389F0B0B" w14:textId="77777777" w:rsidR="00EF333A" w:rsidRPr="00EF333A" w:rsidRDefault="00EF333A" w:rsidP="00EF333A">
      <w:pPr>
        <w:spacing w:after="200" w:line="240" w:lineRule="auto"/>
        <w:jc w:val="both"/>
        <w:rPr>
          <w:rFonts w:ascii="Arial" w:eastAsia="Times New Roman" w:hAnsi="Arial" w:cs="Arial"/>
          <w:kern w:val="0"/>
          <w:sz w:val="22"/>
          <w:szCs w:val="22"/>
          <w:lang w:eastAsia="en-GB"/>
          <w14:ligatures w14:val="none"/>
        </w:rPr>
      </w:pPr>
      <w:r w:rsidRPr="00EF333A">
        <w:rPr>
          <w:rFonts w:ascii="Arial" w:eastAsia="Times New Roman" w:hAnsi="Arial" w:cs="Arial"/>
          <w:kern w:val="0"/>
          <w:sz w:val="22"/>
          <w:szCs w:val="22"/>
          <w:lang w:eastAsia="en-GB"/>
          <w14:ligatures w14:val="none"/>
        </w:rPr>
        <w:t>The dissertation concludes that NHS workforce shortages constitute a structural, self-reinforcing problem rather than a transient operational difficulty, and recommends that future workforce policy adopt safety-based measurement, prioritise retention alongside recruitment, and target interventions regionally rather than at the national aggregate level.</w:t>
      </w:r>
    </w:p>
    <w:p w14:paraId="48777BD6" w14:textId="77777777" w:rsidR="00EF333A" w:rsidRPr="00EF333A" w:rsidRDefault="00EF333A" w:rsidP="00EF333A">
      <w:pPr>
        <w:spacing w:after="200" w:line="240" w:lineRule="auto"/>
        <w:rPr>
          <w:rFonts w:ascii="Arial" w:eastAsia="Times New Roman" w:hAnsi="Arial" w:cs="Arial"/>
          <w:kern w:val="0"/>
          <w:sz w:val="22"/>
          <w:szCs w:val="22"/>
          <w:lang w:eastAsia="en-GB"/>
          <w14:ligatures w14:val="none"/>
        </w:rPr>
      </w:pPr>
      <w:r w:rsidRPr="00EF333A">
        <w:rPr>
          <w:rFonts w:ascii="Arial" w:eastAsia="Times New Roman" w:hAnsi="Arial" w:cs="Arial"/>
          <w:b/>
          <w:bCs/>
          <w:kern w:val="0"/>
          <w:sz w:val="22"/>
          <w:szCs w:val="22"/>
          <w:lang w:eastAsia="en-GB"/>
          <w14:ligatures w14:val="none"/>
        </w:rPr>
        <w:t xml:space="preserve">Keywords: </w:t>
      </w:r>
      <w:r w:rsidRPr="00EF333A">
        <w:rPr>
          <w:rFonts w:ascii="Arial" w:eastAsia="Times New Roman" w:hAnsi="Arial" w:cs="Arial"/>
          <w:kern w:val="0"/>
          <w:sz w:val="22"/>
          <w:szCs w:val="22"/>
          <w:lang w:eastAsia="en-GB"/>
          <w14:ligatures w14:val="none"/>
        </w:rPr>
        <w:t>NHS workforce shortages, staffing levels, patient safety, staff burnout, retention, healthcare policy</w:t>
      </w:r>
    </w:p>
    <w:p w14:paraId="3A745540" w14:textId="77777777" w:rsidR="00EF333A" w:rsidRPr="0011412C" w:rsidRDefault="00EF333A" w:rsidP="00EF333A">
      <w:pPr>
        <w:spacing w:before="200" w:after="300" w:line="240" w:lineRule="auto"/>
        <w:rPr>
          <w:rFonts w:ascii="Arial" w:eastAsia="Times New Roman" w:hAnsi="Arial" w:cs="Arial"/>
          <w:kern w:val="0"/>
          <w:sz w:val="32"/>
          <w:szCs w:val="32"/>
          <w:lang w:eastAsia="en-GB"/>
          <w14:ligatures w14:val="none"/>
        </w:rPr>
      </w:pPr>
      <w:r w:rsidRPr="0011412C">
        <w:rPr>
          <w:rFonts w:ascii="Arial" w:eastAsia="Times New Roman" w:hAnsi="Arial" w:cs="Arial"/>
          <w:kern w:val="0"/>
          <w:sz w:val="32"/>
          <w:szCs w:val="32"/>
          <w:lang w:eastAsia="en-GB"/>
          <w14:ligatures w14:val="none"/>
        </w:rPr>
        <w:t>Table of Contents</w:t>
      </w:r>
    </w:p>
    <w:sdt>
      <w:sdtPr>
        <w:rPr>
          <w:rFonts w:ascii="Times New Roman" w:eastAsia="Times New Roman" w:hAnsi="Times New Roman" w:cs="Times New Roman"/>
          <w:kern w:val="0"/>
          <w:sz w:val="20"/>
          <w:szCs w:val="20"/>
          <w:lang w:eastAsia="en-GB"/>
          <w14:ligatures w14:val="none"/>
        </w:rPr>
        <w:alias w:val="Table of Contents"/>
        <w:id w:val="2127653504"/>
      </w:sdtPr>
      <w:sdtEndPr/>
      <w:sdtContent>
        <w:p w14:paraId="1BF750E5" w14:textId="77777777" w:rsidR="00EF333A" w:rsidRPr="0011412C" w:rsidRDefault="00EF333A" w:rsidP="00EF333A">
          <w:pPr>
            <w:tabs>
              <w:tab w:val="right" w:leader="dot" w:pos="9016"/>
            </w:tabs>
            <w:spacing w:after="100" w:line="240" w:lineRule="auto"/>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EF333A">
            <w:rPr>
              <w:rFonts w:ascii="Times New Roman" w:eastAsia="Times New Roman" w:hAnsi="Times New Roman" w:cs="Times New Roman"/>
              <w:kern w:val="0"/>
              <w:sz w:val="20"/>
              <w:szCs w:val="20"/>
              <w:lang w:eastAsia="en-GB"/>
              <w14:ligatures w14:val="none"/>
            </w:rPr>
            <w:fldChar w:fldCharType="begin"/>
          </w:r>
          <w:r w:rsidRPr="00EF333A">
            <w:rPr>
              <w:rFonts w:ascii="Times New Roman" w:eastAsia="Times New Roman" w:hAnsi="Times New Roman" w:cs="Times New Roman"/>
              <w:kern w:val="0"/>
              <w:sz w:val="20"/>
              <w:szCs w:val="20"/>
              <w:lang w:eastAsia="en-GB"/>
              <w14:ligatures w14:val="none"/>
            </w:rPr>
            <w:instrText>TOC \h \o "1-3"</w:instrText>
          </w:r>
          <w:r w:rsidRPr="00EF333A">
            <w:rPr>
              <w:rFonts w:ascii="Times New Roman" w:eastAsia="Times New Roman" w:hAnsi="Times New Roman" w:cs="Times New Roman"/>
              <w:kern w:val="0"/>
              <w:sz w:val="20"/>
              <w:szCs w:val="20"/>
              <w:lang w:eastAsia="en-GB"/>
              <w14:ligatures w14:val="none"/>
            </w:rPr>
            <w:fldChar w:fldCharType="separate"/>
          </w:r>
          <w:hyperlink w:anchor="_Toc237456564"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Abstract</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_Toc237456564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79E71018" w14:textId="77777777" w:rsidR="00EF333A" w:rsidRPr="0011412C" w:rsidRDefault="00EF333A" w:rsidP="00EF333A">
          <w:pPr>
            <w:tabs>
              <w:tab w:val="right" w:leader="dot" w:pos="9016"/>
            </w:tabs>
            <w:spacing w:after="100" w:line="240" w:lineRule="auto"/>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565"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Chapter 1: Introduction</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_Toc237456565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30615DAF" w14:textId="77777777" w:rsidR="00EF333A" w:rsidRPr="0011412C" w:rsidRDefault="00EF333A" w:rsidP="00EF333A">
          <w:pPr>
            <w:tabs>
              <w:tab w:val="right" w:leader="dot" w:pos="9016"/>
            </w:tabs>
            <w:spacing w:after="100" w:line="240" w:lineRule="auto"/>
            <w:ind w:left="2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566"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1.1 Background of the Research Study</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_Toc237456566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2253CAE2" w14:textId="77777777" w:rsidR="00EF333A" w:rsidRPr="0011412C" w:rsidRDefault="00EF333A" w:rsidP="00EF333A">
          <w:pPr>
            <w:tabs>
              <w:tab w:val="right" w:leader="dot" w:pos="9016"/>
            </w:tabs>
            <w:spacing w:after="100" w:line="240" w:lineRule="auto"/>
            <w:ind w:left="2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567"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1.2 Research Problem</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_Toc237456567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039AFE72" w14:textId="77777777" w:rsidR="00EF333A" w:rsidRPr="0011412C" w:rsidRDefault="00EF333A" w:rsidP="00EF333A">
          <w:pPr>
            <w:tabs>
              <w:tab w:val="right" w:leader="dot" w:pos="9016"/>
            </w:tabs>
            <w:spacing w:after="100" w:line="240" w:lineRule="auto"/>
            <w:ind w:left="2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568"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1.3 Research Aim</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_Toc237456568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6C2013AF" w14:textId="77777777" w:rsidR="00EF333A" w:rsidRPr="0011412C" w:rsidRDefault="00EF333A" w:rsidP="00EF333A">
          <w:pPr>
            <w:tabs>
              <w:tab w:val="right" w:leader="dot" w:pos="9016"/>
            </w:tabs>
            <w:spacing w:after="100" w:line="240" w:lineRule="auto"/>
            <w:ind w:left="2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569"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1.4 Research Objectives</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_Toc237456569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25A00A3A" w14:textId="77777777" w:rsidR="00EF333A" w:rsidRPr="0011412C" w:rsidRDefault="00EF333A" w:rsidP="00EF333A">
          <w:pPr>
            <w:tabs>
              <w:tab w:val="right" w:leader="dot" w:pos="9016"/>
            </w:tabs>
            <w:spacing w:after="100" w:line="240" w:lineRule="auto"/>
            <w:ind w:left="2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570"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1.5 Research Questions</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_Toc237456570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07B50B0C" w14:textId="77777777" w:rsidR="00EF333A" w:rsidRPr="0011412C" w:rsidRDefault="00EF333A" w:rsidP="00EF333A">
          <w:pPr>
            <w:tabs>
              <w:tab w:val="right" w:leader="dot" w:pos="9016"/>
            </w:tabs>
            <w:spacing w:after="100" w:line="240" w:lineRule="auto"/>
            <w:ind w:left="2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571"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1.6 Significance or Rationale of the Research Study</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_Toc237456571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477572C6" w14:textId="77777777" w:rsidR="00EF333A" w:rsidRPr="0011412C" w:rsidRDefault="00EF333A" w:rsidP="00EF333A">
          <w:pPr>
            <w:tabs>
              <w:tab w:val="right" w:leader="dot" w:pos="9016"/>
            </w:tabs>
            <w:spacing w:after="100" w:line="240" w:lineRule="auto"/>
            <w:ind w:left="2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572"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1.7 Scope of the Research Study</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_Toc237456572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7FC0DE3B" w14:textId="77777777" w:rsidR="00EF333A" w:rsidRPr="0011412C" w:rsidRDefault="00EF333A" w:rsidP="00EF333A">
          <w:pPr>
            <w:tabs>
              <w:tab w:val="right" w:leader="dot" w:pos="9016"/>
            </w:tabs>
            <w:spacing w:after="100" w:line="240" w:lineRule="auto"/>
            <w:ind w:left="2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573"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1.8 Dissertation Structure</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_Toc237456573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251A8881" w14:textId="77777777" w:rsidR="00EF333A" w:rsidRPr="0011412C" w:rsidRDefault="00EF333A" w:rsidP="00EF333A">
          <w:pPr>
            <w:tabs>
              <w:tab w:val="right" w:leader="dot" w:pos="9016"/>
            </w:tabs>
            <w:spacing w:after="100" w:line="240" w:lineRule="auto"/>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574"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Chapter 2: Literature Review</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_Toc237456574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05F37523" w14:textId="77777777" w:rsidR="00EF333A" w:rsidRPr="0011412C" w:rsidRDefault="00EF333A" w:rsidP="00EF333A">
          <w:pPr>
            <w:tabs>
              <w:tab w:val="right" w:leader="dot" w:pos="9016"/>
            </w:tabs>
            <w:spacing w:after="100" w:line="240" w:lineRule="auto"/>
            <w:ind w:left="2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575"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2.1 Introduction</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_Toc237456575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67E18300" w14:textId="77777777" w:rsidR="00EF333A" w:rsidRPr="0011412C" w:rsidRDefault="00EF333A" w:rsidP="00EF333A">
          <w:pPr>
            <w:tabs>
              <w:tab w:val="right" w:leader="dot" w:pos="9016"/>
            </w:tabs>
            <w:spacing w:after="100" w:line="240" w:lineRule="auto"/>
            <w:ind w:left="2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576"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2.2 Conceptualising and Measuring Workforce Shortages</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_Toc237456576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516B752F" w14:textId="77777777" w:rsidR="00EF333A" w:rsidRPr="0011412C" w:rsidRDefault="00EF333A" w:rsidP="00EF333A">
          <w:pPr>
            <w:tabs>
              <w:tab w:val="right" w:leader="dot" w:pos="9016"/>
            </w:tabs>
            <w:spacing w:after="100" w:line="240" w:lineRule="auto"/>
            <w:ind w:left="2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577"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2.3 Staffing Levels and Patient Outcomes</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_Toc237456577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227B7247" w14:textId="77777777" w:rsidR="00EF333A" w:rsidRPr="0011412C" w:rsidRDefault="00EF333A" w:rsidP="00EF333A">
          <w:pPr>
            <w:tabs>
              <w:tab w:val="right" w:leader="dot" w:pos="9016"/>
            </w:tabs>
            <w:spacing w:after="100" w:line="240" w:lineRule="auto"/>
            <w:ind w:left="2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578"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2.4 Evidence from Public Inquiries</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_Toc237456578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74DBDE57" w14:textId="77777777" w:rsidR="00EF333A" w:rsidRPr="0011412C" w:rsidRDefault="00EF333A" w:rsidP="00EF333A">
          <w:pPr>
            <w:tabs>
              <w:tab w:val="right" w:leader="dot" w:pos="9016"/>
            </w:tabs>
            <w:spacing w:after="100" w:line="240" w:lineRule="auto"/>
            <w:ind w:left="2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579"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2.5 Staff Wellbeing, Burnout, and Retention</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_Toc237456579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31ED9390" w14:textId="77777777" w:rsidR="00EF333A" w:rsidRPr="0011412C" w:rsidRDefault="00EF333A" w:rsidP="00EF333A">
          <w:pPr>
            <w:tabs>
              <w:tab w:val="right" w:leader="dot" w:pos="9016"/>
            </w:tabs>
            <w:spacing w:after="100" w:line="240" w:lineRule="auto"/>
            <w:ind w:left="2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580"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2.6 Policy Responses</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_Toc237456580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0242BAC8" w14:textId="77777777" w:rsidR="00EF333A" w:rsidRPr="0011412C" w:rsidRDefault="00EF333A" w:rsidP="00EF333A">
          <w:pPr>
            <w:tabs>
              <w:tab w:val="right" w:leader="dot" w:pos="9016"/>
            </w:tabs>
            <w:spacing w:after="100" w:line="240" w:lineRule="auto"/>
            <w:ind w:left="2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581"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2.7 Gaps in the Literature</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_Toc237456581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5504385D" w14:textId="77777777" w:rsidR="00EF333A" w:rsidRPr="0011412C" w:rsidRDefault="00EF333A" w:rsidP="00EF333A">
          <w:pPr>
            <w:tabs>
              <w:tab w:val="right" w:leader="dot" w:pos="9016"/>
            </w:tabs>
            <w:spacing w:after="100" w:line="240" w:lineRule="auto"/>
            <w:ind w:left="2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582"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2.8 Conclusion</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_Toc237456582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1DF319FC" w14:textId="77777777" w:rsidR="00EF333A" w:rsidRPr="0011412C" w:rsidRDefault="00EF333A" w:rsidP="00EF333A">
          <w:pPr>
            <w:tabs>
              <w:tab w:val="right" w:leader="dot" w:pos="9016"/>
            </w:tabs>
            <w:spacing w:after="100" w:line="240" w:lineRule="auto"/>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583"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Chapter 3: Methodology</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_Toc237456583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1238ACFF" w14:textId="77777777" w:rsidR="00EF333A" w:rsidRPr="0011412C" w:rsidRDefault="00EF333A" w:rsidP="00EF333A">
          <w:pPr>
            <w:tabs>
              <w:tab w:val="right" w:leader="dot" w:pos="9016"/>
            </w:tabs>
            <w:spacing w:after="100" w:line="240" w:lineRule="auto"/>
            <w:ind w:left="2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584"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3.1 Introduction</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_Toc237456584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23515AF3" w14:textId="77777777" w:rsidR="00EF333A" w:rsidRPr="0011412C" w:rsidRDefault="00EF333A" w:rsidP="00EF333A">
          <w:pPr>
            <w:tabs>
              <w:tab w:val="right" w:leader="dot" w:pos="9016"/>
            </w:tabs>
            <w:spacing w:after="100" w:line="240" w:lineRule="auto"/>
            <w:ind w:left="2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585"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3.2 Research Philosophy</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_Toc237456585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031AEB7B" w14:textId="77777777" w:rsidR="00EF333A" w:rsidRPr="0011412C" w:rsidRDefault="00EF333A" w:rsidP="00EF333A">
          <w:pPr>
            <w:tabs>
              <w:tab w:val="right" w:leader="dot" w:pos="9016"/>
            </w:tabs>
            <w:spacing w:after="100" w:line="240" w:lineRule="auto"/>
            <w:ind w:left="2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586"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3.3 Research Approach</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_Toc237456586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3AC880EF" w14:textId="77777777" w:rsidR="00EF333A" w:rsidRPr="0011412C" w:rsidRDefault="00EF333A" w:rsidP="00EF333A">
          <w:pPr>
            <w:tabs>
              <w:tab w:val="right" w:leader="dot" w:pos="9016"/>
            </w:tabs>
            <w:spacing w:after="100" w:line="240" w:lineRule="auto"/>
            <w:ind w:left="2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587"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3.4 Data Sources and Collection</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_Toc237456587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390733F5" w14:textId="77777777" w:rsidR="00EF333A" w:rsidRPr="0011412C" w:rsidRDefault="00EF333A" w:rsidP="00EF333A">
          <w:pPr>
            <w:tabs>
              <w:tab w:val="right" w:leader="dot" w:pos="9016"/>
            </w:tabs>
            <w:spacing w:after="100" w:line="240" w:lineRule="auto"/>
            <w:ind w:left="2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588"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3.5 Data Analysis</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_Toc237456588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64611465" w14:textId="77777777" w:rsidR="00EF333A" w:rsidRPr="0011412C" w:rsidRDefault="00EF333A" w:rsidP="00EF333A">
          <w:pPr>
            <w:tabs>
              <w:tab w:val="right" w:leader="dot" w:pos="9016"/>
            </w:tabs>
            <w:spacing w:after="100" w:line="240" w:lineRule="auto"/>
            <w:ind w:left="2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589"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3.6 Ethical Considerations</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_Toc237456589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7B585116" w14:textId="77777777" w:rsidR="00EF333A" w:rsidRPr="0011412C" w:rsidRDefault="00EF333A" w:rsidP="00EF333A">
          <w:pPr>
            <w:tabs>
              <w:tab w:val="right" w:leader="dot" w:pos="9016"/>
            </w:tabs>
            <w:spacing w:after="100" w:line="240" w:lineRule="auto"/>
            <w:ind w:left="2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590"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3.7 Limitations of the Methodology</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_Toc237456590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062BB680" w14:textId="77777777" w:rsidR="00EF333A" w:rsidRPr="0011412C" w:rsidRDefault="00EF333A" w:rsidP="00EF333A">
          <w:pPr>
            <w:tabs>
              <w:tab w:val="right" w:leader="dot" w:pos="9016"/>
            </w:tabs>
            <w:spacing w:after="100" w:line="240" w:lineRule="auto"/>
            <w:ind w:left="2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591"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3.8 Chapter Summary</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_Toc237456591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56050991" w14:textId="77777777" w:rsidR="00EF333A" w:rsidRPr="0011412C" w:rsidRDefault="00EF333A" w:rsidP="00EF333A">
          <w:pPr>
            <w:tabs>
              <w:tab w:val="right" w:leader="dot" w:pos="9016"/>
            </w:tabs>
            <w:spacing w:after="100" w:line="240" w:lineRule="auto"/>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592"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Chapter 4: Results and Discussion</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_Toc237456592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1A4CDAF1" w14:textId="77777777" w:rsidR="00EF333A" w:rsidRPr="0011412C" w:rsidRDefault="00EF333A" w:rsidP="00EF333A">
          <w:pPr>
            <w:tabs>
              <w:tab w:val="right" w:leader="dot" w:pos="9016"/>
            </w:tabs>
            <w:spacing w:after="100" w:line="240" w:lineRule="auto"/>
            <w:ind w:left="2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593"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4.1 Introduction</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_Toc237456593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11780C2C" w14:textId="77777777" w:rsidR="00EF333A" w:rsidRPr="0011412C" w:rsidRDefault="00EF333A" w:rsidP="00EF333A">
          <w:pPr>
            <w:tabs>
              <w:tab w:val="right" w:leader="dot" w:pos="9016"/>
            </w:tabs>
            <w:spacing w:after="100" w:line="240" w:lineRule="auto"/>
            <w:ind w:left="2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594"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4.2 Theme 1: Conceptualisation and Measurement of Workforce Shortages</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_Toc237456594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4577A570" w14:textId="77777777" w:rsidR="00EF333A" w:rsidRPr="0011412C" w:rsidRDefault="00EF333A" w:rsidP="00EF333A">
          <w:pPr>
            <w:tabs>
              <w:tab w:val="right" w:leader="dot" w:pos="9016"/>
            </w:tabs>
            <w:spacing w:after="100" w:line="240" w:lineRule="auto"/>
            <w:ind w:left="4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595"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4.2.1 Overview</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_Toc237456595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1A128F09" w14:textId="77777777" w:rsidR="00EF333A" w:rsidRPr="0011412C" w:rsidRDefault="00EF333A" w:rsidP="00EF333A">
          <w:pPr>
            <w:tabs>
              <w:tab w:val="right" w:leader="dot" w:pos="9016"/>
            </w:tabs>
            <w:spacing w:after="100" w:line="240" w:lineRule="auto"/>
            <w:ind w:left="4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596"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4.2.2 Headline Vacancy Data and its Limitations</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_Toc237456596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5505FB79" w14:textId="77777777" w:rsidR="00EF333A" w:rsidRPr="0011412C" w:rsidRDefault="00EF333A" w:rsidP="00EF333A">
          <w:pPr>
            <w:tabs>
              <w:tab w:val="right" w:leader="dot" w:pos="9016"/>
            </w:tabs>
            <w:spacing w:after="100" w:line="240" w:lineRule="auto"/>
            <w:ind w:left="4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597"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4.2.3 Toward a Safety-Based Alternative</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_Toc237456597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618D3B6E" w14:textId="77777777" w:rsidR="00EF333A" w:rsidRPr="0011412C" w:rsidRDefault="00EF333A" w:rsidP="00EF333A">
          <w:pPr>
            <w:tabs>
              <w:tab w:val="right" w:leader="dot" w:pos="9016"/>
            </w:tabs>
            <w:spacing w:after="100" w:line="240" w:lineRule="auto"/>
            <w:ind w:left="4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598"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4.2.4 Uneven Distribution of Shortages</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_Toc237456598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022DC913" w14:textId="77777777" w:rsidR="00EF333A" w:rsidRPr="0011412C" w:rsidRDefault="00EF333A" w:rsidP="00EF333A">
          <w:pPr>
            <w:tabs>
              <w:tab w:val="right" w:leader="dot" w:pos="9016"/>
            </w:tabs>
            <w:spacing w:after="100" w:line="240" w:lineRule="auto"/>
            <w:ind w:left="2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599"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4.3 Theme 2: Staffing Levels, Patient Safety, and Organisational Performance</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_Toc237456599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318796C6" w14:textId="77777777" w:rsidR="00EF333A" w:rsidRPr="0011412C" w:rsidRDefault="00EF333A" w:rsidP="00EF333A">
          <w:pPr>
            <w:tabs>
              <w:tab w:val="right" w:leader="dot" w:pos="9016"/>
            </w:tabs>
            <w:spacing w:after="100" w:line="240" w:lineRule="auto"/>
            <w:ind w:left="4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600"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4.3.1 Overview</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_Toc237456600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39AFFE9A" w14:textId="77777777" w:rsidR="00EF333A" w:rsidRPr="0011412C" w:rsidRDefault="00EF333A" w:rsidP="00EF333A">
          <w:pPr>
            <w:tabs>
              <w:tab w:val="right" w:leader="dot" w:pos="9016"/>
            </w:tabs>
            <w:spacing w:after="100" w:line="240" w:lineRule="auto"/>
            <w:ind w:left="4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601"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4.3.2 The Staffing–Patient Safety Relationship</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_Toc237456601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2FC72E2B" w14:textId="77777777" w:rsidR="00EF333A" w:rsidRPr="0011412C" w:rsidRDefault="00EF333A" w:rsidP="00EF333A">
          <w:pPr>
            <w:tabs>
              <w:tab w:val="right" w:leader="dot" w:pos="9016"/>
            </w:tabs>
            <w:spacing w:after="100" w:line="240" w:lineRule="auto"/>
            <w:ind w:left="4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602"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4.3.3 An Underexplored Evidence Gap</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_Toc237456602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0742E165" w14:textId="77777777" w:rsidR="00EF333A" w:rsidRPr="0011412C" w:rsidRDefault="00EF333A" w:rsidP="00EF333A">
          <w:pPr>
            <w:tabs>
              <w:tab w:val="right" w:leader="dot" w:pos="9016"/>
            </w:tabs>
            <w:spacing w:after="100" w:line="240" w:lineRule="auto"/>
            <w:ind w:left="4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603"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4.3.4 Organisational and Financial Consequences</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_Toc237456603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2BCD94E4" w14:textId="77777777" w:rsidR="00EF333A" w:rsidRPr="0011412C" w:rsidRDefault="00EF333A" w:rsidP="00EF333A">
          <w:pPr>
            <w:tabs>
              <w:tab w:val="right" w:leader="dot" w:pos="9016"/>
            </w:tabs>
            <w:spacing w:after="100" w:line="240" w:lineRule="auto"/>
            <w:ind w:left="2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604"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4.4 Theme 3: Staff Wellbeing, Burnout, and Retention</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_Toc237456604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08D5C752" w14:textId="77777777" w:rsidR="00EF333A" w:rsidRPr="0011412C" w:rsidRDefault="00EF333A" w:rsidP="00EF333A">
          <w:pPr>
            <w:tabs>
              <w:tab w:val="right" w:leader="dot" w:pos="9016"/>
            </w:tabs>
            <w:spacing w:after="100" w:line="240" w:lineRule="auto"/>
            <w:ind w:left="4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605"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4.4.1 Overview</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_Toc237456605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0C4C5C20" w14:textId="77777777" w:rsidR="00EF333A" w:rsidRPr="0011412C" w:rsidRDefault="00EF333A" w:rsidP="00EF333A">
          <w:pPr>
            <w:tabs>
              <w:tab w:val="right" w:leader="dot" w:pos="9016"/>
            </w:tabs>
            <w:spacing w:after="100" w:line="240" w:lineRule="auto"/>
            <w:ind w:left="4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606"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4.4.2 Evidence of Strain</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_Toc237456606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6876E81A" w14:textId="77777777" w:rsidR="00EF333A" w:rsidRPr="0011412C" w:rsidRDefault="00EF333A" w:rsidP="00EF333A">
          <w:pPr>
            <w:tabs>
              <w:tab w:val="right" w:leader="dot" w:pos="9016"/>
            </w:tabs>
            <w:spacing w:after="100" w:line="240" w:lineRule="auto"/>
            <w:ind w:left="4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607"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4.4.3 The Burnout–Attrition Mechanism</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_Toc237456607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34B31B4B" w14:textId="77777777" w:rsidR="00EF333A" w:rsidRPr="0011412C" w:rsidRDefault="00EF333A" w:rsidP="00EF333A">
          <w:pPr>
            <w:tabs>
              <w:tab w:val="right" w:leader="dot" w:pos="9016"/>
            </w:tabs>
            <w:spacing w:after="100" w:line="240" w:lineRule="auto"/>
            <w:ind w:left="4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608"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4.4.4 A Gap Between Two Literatures</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_Toc237456608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562ACAA9" w14:textId="77777777" w:rsidR="00EF333A" w:rsidRPr="0011412C" w:rsidRDefault="00EF333A" w:rsidP="00EF333A">
          <w:pPr>
            <w:tabs>
              <w:tab w:val="right" w:leader="dot" w:pos="9016"/>
            </w:tabs>
            <w:spacing w:after="100" w:line="240" w:lineRule="auto"/>
            <w:ind w:left="2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609"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4.5 Theme 4: Policy Responses and Their Effectiveness</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_Toc237456609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42AD9AFF" w14:textId="77777777" w:rsidR="00EF333A" w:rsidRPr="0011412C" w:rsidRDefault="00EF333A" w:rsidP="00EF333A">
          <w:pPr>
            <w:tabs>
              <w:tab w:val="right" w:leader="dot" w:pos="9016"/>
            </w:tabs>
            <w:spacing w:after="100" w:line="240" w:lineRule="auto"/>
            <w:ind w:left="4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610"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4.5.1 Overview</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_Toc237456610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19200E2B" w14:textId="77777777" w:rsidR="00EF333A" w:rsidRPr="0011412C" w:rsidRDefault="00EF333A" w:rsidP="00EF333A">
          <w:pPr>
            <w:tabs>
              <w:tab w:val="right" w:leader="dot" w:pos="9016"/>
            </w:tabs>
            <w:spacing w:after="100" w:line="240" w:lineRule="auto"/>
            <w:ind w:left="4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611"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4.5.2 International Recruitment</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_Toc237456611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7DCC3FD0" w14:textId="77777777" w:rsidR="00EF333A" w:rsidRPr="0011412C" w:rsidRDefault="00EF333A" w:rsidP="00EF333A">
          <w:pPr>
            <w:tabs>
              <w:tab w:val="right" w:leader="dot" w:pos="9016"/>
            </w:tabs>
            <w:spacing w:after="100" w:line="240" w:lineRule="auto"/>
            <w:ind w:left="4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612"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4.5.3 Domestic Training Reform</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_Toc237456612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1FB9179C" w14:textId="77777777" w:rsidR="00EF333A" w:rsidRPr="0011412C" w:rsidRDefault="00EF333A" w:rsidP="00EF333A">
          <w:pPr>
            <w:tabs>
              <w:tab w:val="right" w:leader="dot" w:pos="9016"/>
            </w:tabs>
            <w:spacing w:after="100" w:line="240" w:lineRule="auto"/>
            <w:ind w:left="4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613"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4.5.4 Retention-Focused Interventions</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_Toc237456613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1ACB77B1" w14:textId="77777777" w:rsidR="00EF333A" w:rsidRPr="0011412C" w:rsidRDefault="00EF333A" w:rsidP="00EF333A">
          <w:pPr>
            <w:tabs>
              <w:tab w:val="right" w:leader="dot" w:pos="9016"/>
            </w:tabs>
            <w:spacing w:after="100" w:line="240" w:lineRule="auto"/>
            <w:ind w:left="4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614"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4.5.5 A Geographic Mismatch</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_Toc237456614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0ABB87BD" w14:textId="77777777" w:rsidR="00EF333A" w:rsidRPr="0011412C" w:rsidRDefault="00EF333A" w:rsidP="00EF333A">
          <w:pPr>
            <w:tabs>
              <w:tab w:val="right" w:leader="dot" w:pos="9016"/>
            </w:tabs>
            <w:spacing w:after="100" w:line="240" w:lineRule="auto"/>
            <w:ind w:left="2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615"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4.6 Cross-Theme Discussion and Link to Literature</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_Toc237456615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5753073F" w14:textId="77777777" w:rsidR="00EF333A" w:rsidRPr="0011412C" w:rsidRDefault="00EF333A" w:rsidP="00EF333A">
          <w:pPr>
            <w:tabs>
              <w:tab w:val="right" w:leader="dot" w:pos="9016"/>
            </w:tabs>
            <w:spacing w:after="100" w:line="240" w:lineRule="auto"/>
            <w:ind w:left="2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616"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4.7 Summary of Key Findings</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_Toc237456616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2749CE76" w14:textId="77777777" w:rsidR="00EF333A" w:rsidRPr="0011412C" w:rsidRDefault="00EF333A" w:rsidP="00EF333A">
          <w:pPr>
            <w:tabs>
              <w:tab w:val="right" w:leader="dot" w:pos="9016"/>
            </w:tabs>
            <w:spacing w:after="100" w:line="240" w:lineRule="auto"/>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617"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Chapter 5: Conclusion and Recommendations</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_Toc237456617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55823EC9" w14:textId="77777777" w:rsidR="00EF333A" w:rsidRPr="0011412C" w:rsidRDefault="00EF333A" w:rsidP="00EF333A">
          <w:pPr>
            <w:tabs>
              <w:tab w:val="right" w:leader="dot" w:pos="9016"/>
            </w:tabs>
            <w:spacing w:after="100" w:line="240" w:lineRule="auto"/>
            <w:ind w:left="2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618"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5.1 Overall Conclusion</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_Toc237456618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00AF8E86" w14:textId="77777777" w:rsidR="00EF333A" w:rsidRPr="0011412C" w:rsidRDefault="00EF333A" w:rsidP="00EF333A">
          <w:pPr>
            <w:tabs>
              <w:tab w:val="right" w:leader="dot" w:pos="9016"/>
            </w:tabs>
            <w:spacing w:after="100" w:line="240" w:lineRule="auto"/>
            <w:ind w:left="2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619"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5.2 Key Recommendations</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_Toc237456619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69FB5490" w14:textId="77777777" w:rsidR="00EF333A" w:rsidRPr="0011412C" w:rsidRDefault="00EF333A" w:rsidP="00EF333A">
          <w:pPr>
            <w:tabs>
              <w:tab w:val="right" w:leader="dot" w:pos="9016"/>
            </w:tabs>
            <w:spacing w:after="100" w:line="240" w:lineRule="auto"/>
            <w:ind w:left="2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620"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5.3 Research Limitations</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_Toc237456620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69E806C1" w14:textId="77777777" w:rsidR="00EF333A" w:rsidRPr="0011412C" w:rsidRDefault="00EF333A" w:rsidP="00EF333A">
          <w:pPr>
            <w:tabs>
              <w:tab w:val="right" w:leader="dot" w:pos="9016"/>
            </w:tabs>
            <w:spacing w:after="100" w:line="240" w:lineRule="auto"/>
            <w:ind w:left="200"/>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w:anchor="_Toc237456621"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5.4 Future Research Directions</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_Toc237456621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05581BBE" w14:textId="77777777" w:rsidR="00EF333A" w:rsidRPr="00EF333A" w:rsidRDefault="00EF333A" w:rsidP="00EF333A">
          <w:pPr>
            <w:tabs>
              <w:tab w:val="right" w:leader="dot" w:pos="9016"/>
            </w:tabs>
            <w:spacing w:after="100" w:line="240" w:lineRule="auto"/>
            <w:rPr>
              <w:rFonts w:ascii="Times New Roman" w:eastAsia="Times New Roman" w:hAnsi="Times New Roman" w:cs="Times New Roman"/>
              <w:noProof/>
              <w:kern w:val="0"/>
              <w:sz w:val="20"/>
              <w:szCs w:val="20"/>
              <w:lang w:eastAsia="en-GB"/>
              <w14:ligatures w14:val="none"/>
            </w:rPr>
          </w:pPr>
          <w:hyperlink w:anchor="_Toc237456622" w:history="1">
            <w:r w:rsidRPr="0011412C">
              <w:rPr>
                <w:rFonts w:ascii="Arial" w:eastAsia="Times New Roman" w:hAnsi="Arial" w:cs="Arial"/>
                <w:noProof/>
                <w:color w:val="000000" w:themeColor="text1"/>
                <w:kern w:val="0"/>
                <w:sz w:val="22"/>
                <w:szCs w:val="22"/>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References</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b/>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begin"/>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instrText xml:space="preserve"> PAGEREF _Toc237456622 \h </w:instrTex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separate"/>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Pr="0011412C">
              <w:rPr>
                <w:rFonts w:ascii="Arial" w:eastAsia="Times New Roman" w:hAnsi="Arial" w:cs="Arial"/>
                <w:noProof/>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fldChar w:fldCharType="end"/>
            </w:r>
          </w:hyperlink>
        </w:p>
        <w:p w14:paraId="231C777B" w14:textId="77777777" w:rsidR="00EF333A" w:rsidRDefault="00EF333A" w:rsidP="00EF333A">
          <w:pPr>
            <w:rPr>
              <w:rFonts w:ascii="Times New Roman" w:eastAsia="Times New Roman" w:hAnsi="Times New Roman" w:cs="Times New Roman"/>
              <w:kern w:val="0"/>
              <w:sz w:val="20"/>
              <w:szCs w:val="20"/>
              <w:lang w:eastAsia="en-GB"/>
              <w14:ligatures w14:val="none"/>
            </w:rPr>
          </w:pPr>
          <w:r w:rsidRPr="00EF333A">
            <w:rPr>
              <w:rFonts w:ascii="Times New Roman" w:eastAsia="Times New Roman" w:hAnsi="Times New Roman" w:cs="Times New Roman"/>
              <w:kern w:val="0"/>
              <w:sz w:val="20"/>
              <w:szCs w:val="20"/>
              <w:lang w:eastAsia="en-GB"/>
              <w14:ligatures w14:val="none"/>
            </w:rPr>
            <w:fldChar w:fldCharType="end"/>
          </w:r>
        </w:p>
      </w:sdtContent>
    </w:sdt>
    <w:bookmarkStart w:id="2" w:name="_Toc237456565" w:displacedByCustomXml="prev"/>
    <w:p w14:paraId="2EB92788" w14:textId="222290DF" w:rsidR="00EF333A" w:rsidRPr="00EF333A" w:rsidRDefault="7041C022" w:rsidP="00EF333A">
      <w:r w:rsidRPr="00EF333A">
        <w:rPr>
          <w:rFonts w:ascii="Arial" w:eastAsia="Times New Roman" w:hAnsi="Arial" w:cs="Arial"/>
          <w:b/>
          <w:bCs/>
          <w:color w:val="2E74B5"/>
          <w:kern w:val="0"/>
          <w:sz w:val="28"/>
          <w:szCs w:val="28"/>
          <w:lang w:eastAsia="en-GB"/>
          <w14:ligatures w14:val="none"/>
        </w:rPr>
        <w:t xml:space="preserve">Element 1- Dissertation </w:t>
      </w:r>
    </w:p>
    <w:p w14:paraId="7790E8BC" w14:textId="4C654807" w:rsidR="00EF333A" w:rsidRPr="00EF333A" w:rsidRDefault="00EF333A" w:rsidP="466C777D">
      <w:pPr>
        <w:rPr>
          <w:rFonts w:ascii="Arial" w:eastAsia="Times New Roman" w:hAnsi="Arial" w:cs="Arial"/>
          <w:b/>
          <w:bCs/>
          <w:sz w:val="28"/>
          <w:szCs w:val="28"/>
          <w:lang w:eastAsia="en-GB"/>
        </w:rPr>
      </w:pPr>
    </w:p>
    <w:p w14:paraId="22B92D89" w14:textId="222290DF" w:rsidR="00EF333A" w:rsidRPr="00EF333A" w:rsidRDefault="00EF333A" w:rsidP="00EF333A">
      <w:pPr>
        <w:rPr>
          <w:rFonts w:ascii="Arial" w:eastAsia="Times New Roman" w:hAnsi="Arial" w:cs="Arial"/>
          <w:b/>
          <w:bCs/>
          <w:kern w:val="0"/>
          <w:sz w:val="28"/>
          <w:szCs w:val="28"/>
          <w:lang w:eastAsia="en-GB"/>
          <w14:ligatures w14:val="none"/>
        </w:rPr>
      </w:pPr>
      <w:r w:rsidRPr="00EF333A">
        <w:rPr>
          <w:rFonts w:ascii="Arial" w:eastAsia="Times New Roman" w:hAnsi="Arial" w:cs="Arial"/>
          <w:b/>
          <w:bCs/>
          <w:kern w:val="0"/>
          <w:sz w:val="28"/>
          <w:szCs w:val="28"/>
          <w:lang w:eastAsia="en-GB"/>
          <w14:ligatures w14:val="none"/>
        </w:rPr>
        <w:t>Chapter 1: Introduction</w:t>
      </w:r>
      <w:bookmarkEnd w:id="2"/>
    </w:p>
    <w:p w14:paraId="351496A5" w14:textId="3344890B" w:rsidR="00EF333A" w:rsidRPr="00EF333A" w:rsidRDefault="00EF333A" w:rsidP="00EF333A">
      <w:pPr>
        <w:pStyle w:val="ListParagraph"/>
        <w:numPr>
          <w:ilvl w:val="1"/>
          <w:numId w:val="2"/>
        </w:numPr>
        <w:rPr>
          <w:rFonts w:ascii="Arial" w:eastAsia="Times New Roman" w:hAnsi="Arial" w:cs="Arial"/>
          <w:b/>
          <w:bCs/>
          <w:kern w:val="0"/>
          <w:sz w:val="28"/>
          <w:szCs w:val="28"/>
          <w:lang w:eastAsia="en-GB"/>
          <w14:ligatures w14:val="none"/>
        </w:rPr>
      </w:pPr>
      <w:bookmarkStart w:id="3" w:name="_Toc237456566"/>
      <w:r w:rsidRPr="00EF333A">
        <w:rPr>
          <w:rFonts w:ascii="Arial" w:eastAsia="Times New Roman" w:hAnsi="Arial" w:cs="Arial"/>
          <w:b/>
          <w:bCs/>
          <w:kern w:val="0"/>
          <w:sz w:val="28"/>
          <w:szCs w:val="28"/>
          <w:lang w:eastAsia="en-GB"/>
          <w14:ligatures w14:val="none"/>
        </w:rPr>
        <w:t>Background of the Research Study</w:t>
      </w:r>
      <w:bookmarkEnd w:id="3"/>
    </w:p>
    <w:p w14:paraId="3E934766" w14:textId="782A818B" w:rsidR="00EF333A" w:rsidRDefault="00EF333A" w:rsidP="466C777D">
      <w:pPr>
        <w:spacing w:after="200" w:line="360" w:lineRule="auto"/>
        <w:jc w:val="both"/>
        <w:rPr>
          <w:rFonts w:ascii="Arial" w:hAnsi="Arial" w:cs="Arial"/>
          <w:sz w:val="22"/>
          <w:szCs w:val="22"/>
        </w:rPr>
      </w:pPr>
      <w:r w:rsidRPr="466C777D">
        <w:rPr>
          <w:rFonts w:ascii="Arial" w:hAnsi="Arial" w:cs="Arial"/>
          <w:sz w:val="22"/>
          <w:szCs w:val="22"/>
        </w:rPr>
        <w:t>Workforce shortages in the NHS are not new, but their severity and persistence in recent years have turned the problem from a typical operational challenge into what many observers now refer to as a structural crisis. Nearly 100,000 posts remain vacant in England, or about 6.7% of the total workforce, according to NHS England's most recent employment statistics (NHS England, 2025). Although this is one of the lowest relative vacancy rates since 2018, the Nuffield Trust (2026) warns that reported vacancy statistics underestimate the actual extent of the shortfall because many occupied positions are filled on a daily basis by temporary bank or agency staff rather than permanent employees. This shortage is caused by a number of interrelated factors. Over the last ten years, criticism of successive governments for not training enough clinical personnel has been intensified by the elimination of the nursing bursary and its limited reintroduction (Buchan et al., 2019; World Health Organization, 2016). At the same time, retention has grown to be a serious issue in its own right. Excessive workload, poor work-life balance, and low pay are widely cited as the most common reasons for secondary care physician departures (British Medical Association, 2026). According to the 2025 NHS Staff Survey, 42.36% of staff reported feeling unwell due to work-related stress, while 42.95% reported feeling valued by their organisation (NHS Staff Survey Coordination Centre, 2025).</w:t>
      </w:r>
    </w:p>
    <w:p w14:paraId="432ABBC0" w14:textId="77777777" w:rsidR="00F80BD4" w:rsidRPr="00DC2C23" w:rsidRDefault="00F80BD4" w:rsidP="00F80BD4">
      <w:pPr>
        <w:rPr>
          <w:rFonts w:ascii="Arial" w:hAnsi="Arial" w:cs="Arial"/>
          <w:b/>
          <w:bCs/>
          <w:sz w:val="22"/>
          <w:szCs w:val="22"/>
        </w:rPr>
      </w:pPr>
      <w:r w:rsidRPr="00DC2C23">
        <w:rPr>
          <w:rFonts w:ascii="Arial" w:hAnsi="Arial" w:cs="Arial"/>
          <w:b/>
          <w:bCs/>
          <w:sz w:val="22"/>
          <w:szCs w:val="22"/>
        </w:rPr>
        <w:t>1.2 Research Problem</w:t>
      </w:r>
    </w:p>
    <w:p w14:paraId="654E75CF" w14:textId="6DCB5EB8" w:rsidR="00F80BD4" w:rsidRPr="00F80BD4" w:rsidRDefault="00F80BD4" w:rsidP="00F80BD4">
      <w:pPr>
        <w:spacing w:after="200"/>
        <w:jc w:val="both"/>
        <w:rPr>
          <w:rFonts w:ascii="Arial" w:hAnsi="Arial" w:cs="Arial"/>
          <w:sz w:val="22"/>
          <w:szCs w:val="22"/>
        </w:rPr>
      </w:pPr>
      <w:r w:rsidRPr="00F80BD4">
        <w:rPr>
          <w:rFonts w:ascii="Arial" w:hAnsi="Arial" w:cs="Arial"/>
          <w:sz w:val="22"/>
          <w:szCs w:val="22"/>
        </w:rPr>
        <w:t>High turnover and understaffing combine to generate what the King's Fund (2024) has called a “vicious cycle,” in which low staffing places further burden on existing employees, who are then more likely to leave, worsening the scarcity for those who remain. The effects of this cycle extend well beyond the workforce itself. Low staffing levels, especially in nursing, have been linked in a large body of research to poorer patient outcomes, such as higher rates of falls, missed care, and, in the most serious cases, avoidable death (Ball et al., 2014; Griffiths et al., 2016). In the absence of continued government action, the Health Foundation (2019) warns that, largely due to an ageing population with increasingly complex health needs, the gap between patient demand and workforce supply is likely to widen significantly. Therefore, the research problem this dissertation addresses is not only that vacant posts exist; rather, it is that ongoing understaffing is negatively affecting clinical safety, care quality, employee wellbeing, and organisational performance in ways that headline vacancy figures do not adequately reflect.</w:t>
      </w:r>
    </w:p>
    <w:p w14:paraId="6A952B6E" w14:textId="77777777" w:rsidR="00F80BD4" w:rsidRPr="00DC2C23" w:rsidRDefault="00F80BD4" w:rsidP="00F80BD4">
      <w:pPr>
        <w:rPr>
          <w:rFonts w:ascii="Arial" w:hAnsi="Arial" w:cs="Arial"/>
          <w:b/>
          <w:bCs/>
          <w:sz w:val="22"/>
          <w:szCs w:val="22"/>
        </w:rPr>
      </w:pPr>
      <w:r w:rsidRPr="00DC2C23">
        <w:rPr>
          <w:rFonts w:ascii="Arial" w:hAnsi="Arial" w:cs="Arial"/>
          <w:b/>
          <w:bCs/>
          <w:sz w:val="22"/>
          <w:szCs w:val="22"/>
        </w:rPr>
        <w:t>1.3 Research Aim</w:t>
      </w:r>
    </w:p>
    <w:p w14:paraId="60FD575D" w14:textId="77777777" w:rsidR="00F80BD4" w:rsidRDefault="00F80BD4" w:rsidP="00F80BD4">
      <w:pPr>
        <w:spacing w:after="200"/>
        <w:jc w:val="both"/>
        <w:rPr>
          <w:rFonts w:ascii="Arial" w:hAnsi="Arial" w:cs="Arial"/>
          <w:sz w:val="22"/>
          <w:szCs w:val="22"/>
        </w:rPr>
      </w:pPr>
      <w:r w:rsidRPr="00F80BD4">
        <w:rPr>
          <w:rFonts w:ascii="Arial" w:hAnsi="Arial" w:cs="Arial"/>
          <w:sz w:val="22"/>
          <w:szCs w:val="22"/>
        </w:rPr>
        <w:t>With an emphasis on how understaffing affects patient safety, care quality, staff wellbeing, and organisational performance, this dissertation seeks to examine how workforce shortages affect the delivery of healthcare within the NHS.</w:t>
      </w:r>
    </w:p>
    <w:p w14:paraId="1321A5E8" w14:textId="77777777" w:rsidR="00F80BD4" w:rsidRPr="00DC2C23" w:rsidRDefault="00F80BD4" w:rsidP="00F80BD4">
      <w:pPr>
        <w:rPr>
          <w:rFonts w:ascii="Arial" w:hAnsi="Arial" w:cs="Arial"/>
          <w:b/>
          <w:bCs/>
          <w:sz w:val="22"/>
          <w:szCs w:val="22"/>
        </w:rPr>
      </w:pPr>
      <w:r w:rsidRPr="00DC2C23">
        <w:rPr>
          <w:rFonts w:ascii="Arial" w:hAnsi="Arial" w:cs="Arial"/>
          <w:b/>
          <w:bCs/>
          <w:sz w:val="22"/>
          <w:szCs w:val="22"/>
        </w:rPr>
        <w:t>1.4 Research Objectives</w:t>
      </w:r>
    </w:p>
    <w:p w14:paraId="4220536C" w14:textId="77777777" w:rsidR="00F80BD4" w:rsidRPr="00F80BD4" w:rsidRDefault="00F80BD4" w:rsidP="00F80BD4">
      <w:pPr>
        <w:spacing w:after="200"/>
        <w:jc w:val="both"/>
        <w:rPr>
          <w:rFonts w:ascii="Arial" w:hAnsi="Arial" w:cs="Arial"/>
          <w:sz w:val="22"/>
          <w:szCs w:val="22"/>
        </w:rPr>
      </w:pPr>
      <w:r w:rsidRPr="00F80BD4">
        <w:rPr>
          <w:rFonts w:ascii="Arial" w:hAnsi="Arial" w:cs="Arial"/>
          <w:sz w:val="22"/>
          <w:szCs w:val="22"/>
        </w:rPr>
        <w:t>The study has three main objectives:</w:t>
      </w:r>
    </w:p>
    <w:p w14:paraId="6D2D3564" w14:textId="77777777" w:rsidR="00F80BD4" w:rsidRPr="00F80BD4" w:rsidRDefault="00F80BD4" w:rsidP="00F80BD4">
      <w:pPr>
        <w:pStyle w:val="ListParagraph"/>
        <w:numPr>
          <w:ilvl w:val="0"/>
          <w:numId w:val="3"/>
        </w:numPr>
        <w:spacing w:after="120" w:line="240" w:lineRule="auto"/>
        <w:contextualSpacing w:val="0"/>
        <w:rPr>
          <w:rFonts w:ascii="Arial" w:hAnsi="Arial" w:cs="Arial"/>
          <w:sz w:val="22"/>
          <w:szCs w:val="22"/>
        </w:rPr>
      </w:pPr>
      <w:r w:rsidRPr="00F80BD4">
        <w:rPr>
          <w:rFonts w:ascii="Arial" w:hAnsi="Arial" w:cs="Arial"/>
          <w:sz w:val="22"/>
          <w:szCs w:val="22"/>
        </w:rPr>
        <w:t>To critically review the literature and policy context surrounding NHS workforce shortages.</w:t>
      </w:r>
    </w:p>
    <w:p w14:paraId="7A663164" w14:textId="77777777" w:rsidR="00F80BD4" w:rsidRPr="00F80BD4" w:rsidRDefault="00F80BD4" w:rsidP="00F80BD4">
      <w:pPr>
        <w:pStyle w:val="ListParagraph"/>
        <w:numPr>
          <w:ilvl w:val="0"/>
          <w:numId w:val="3"/>
        </w:numPr>
        <w:spacing w:after="120" w:line="240" w:lineRule="auto"/>
        <w:contextualSpacing w:val="0"/>
        <w:rPr>
          <w:rFonts w:ascii="Arial" w:hAnsi="Arial" w:cs="Arial"/>
          <w:sz w:val="22"/>
          <w:szCs w:val="22"/>
        </w:rPr>
      </w:pPr>
      <w:r w:rsidRPr="00F80BD4">
        <w:rPr>
          <w:rFonts w:ascii="Arial" w:hAnsi="Arial" w:cs="Arial"/>
          <w:sz w:val="22"/>
          <w:szCs w:val="22"/>
        </w:rPr>
        <w:t>To investigate the mechanisms by which low staffing translates into quantifiable impacts on care delivery.</w:t>
      </w:r>
    </w:p>
    <w:p w14:paraId="3D81B11B" w14:textId="77777777" w:rsidR="00F80BD4" w:rsidRPr="00F80BD4" w:rsidRDefault="00F80BD4" w:rsidP="00F80BD4">
      <w:pPr>
        <w:pStyle w:val="ListParagraph"/>
        <w:numPr>
          <w:ilvl w:val="0"/>
          <w:numId w:val="3"/>
        </w:numPr>
        <w:spacing w:after="120" w:line="240" w:lineRule="auto"/>
        <w:contextualSpacing w:val="0"/>
        <w:rPr>
          <w:rFonts w:ascii="Arial" w:hAnsi="Arial" w:cs="Arial"/>
          <w:sz w:val="22"/>
          <w:szCs w:val="22"/>
        </w:rPr>
      </w:pPr>
      <w:r w:rsidRPr="00F80BD4">
        <w:rPr>
          <w:rFonts w:ascii="Arial" w:hAnsi="Arial" w:cs="Arial"/>
          <w:sz w:val="22"/>
          <w:szCs w:val="22"/>
        </w:rPr>
        <w:t>To assess the effectiveness of current and proposed policy responses in addressing the crisis.</w:t>
      </w:r>
    </w:p>
    <w:p w14:paraId="72FB2242" w14:textId="77777777" w:rsidR="00F80BD4" w:rsidRDefault="00F80BD4" w:rsidP="00F80BD4">
      <w:pPr>
        <w:rPr>
          <w:rFonts w:ascii="Arial" w:hAnsi="Arial" w:cs="Arial"/>
          <w:b/>
          <w:bCs/>
          <w:sz w:val="22"/>
          <w:szCs w:val="22"/>
        </w:rPr>
      </w:pPr>
      <w:r w:rsidRPr="00F80BD4">
        <w:rPr>
          <w:rFonts w:ascii="Arial" w:hAnsi="Arial" w:cs="Arial"/>
          <w:b/>
          <w:bCs/>
          <w:sz w:val="22"/>
          <w:szCs w:val="22"/>
        </w:rPr>
        <w:t>1.5 Research Questions</w:t>
      </w:r>
    </w:p>
    <w:p w14:paraId="68F04097" w14:textId="77777777" w:rsidR="00F80BD4" w:rsidRPr="00F80BD4" w:rsidRDefault="00F80BD4" w:rsidP="00F80BD4">
      <w:pPr>
        <w:spacing w:after="200"/>
        <w:jc w:val="both"/>
        <w:rPr>
          <w:rFonts w:ascii="Arial" w:hAnsi="Arial" w:cs="Arial"/>
          <w:sz w:val="22"/>
          <w:szCs w:val="22"/>
        </w:rPr>
      </w:pPr>
      <w:r w:rsidRPr="00F80BD4">
        <w:rPr>
          <w:rFonts w:ascii="Arial" w:hAnsi="Arial" w:cs="Arial"/>
          <w:sz w:val="22"/>
          <w:szCs w:val="22"/>
        </w:rPr>
        <w:t>The following research questions guide the study in accordance with the objectives stated above:</w:t>
      </w:r>
    </w:p>
    <w:p w14:paraId="63EAD97D" w14:textId="77777777" w:rsidR="00F80BD4" w:rsidRPr="00F80BD4" w:rsidRDefault="00F80BD4" w:rsidP="00F80BD4">
      <w:pPr>
        <w:pStyle w:val="ListParagraph"/>
        <w:numPr>
          <w:ilvl w:val="0"/>
          <w:numId w:val="3"/>
        </w:numPr>
        <w:spacing w:after="120" w:line="240" w:lineRule="auto"/>
        <w:contextualSpacing w:val="0"/>
        <w:rPr>
          <w:rFonts w:ascii="Arial" w:hAnsi="Arial" w:cs="Arial"/>
          <w:sz w:val="22"/>
          <w:szCs w:val="22"/>
        </w:rPr>
      </w:pPr>
      <w:r w:rsidRPr="00F80BD4">
        <w:rPr>
          <w:rFonts w:ascii="Arial" w:hAnsi="Arial" w:cs="Arial"/>
          <w:sz w:val="22"/>
          <w:szCs w:val="22"/>
        </w:rPr>
        <w:t>How has the academic and policy literature conceptualised, quantified, and reported on the NHS staffing shortage?</w:t>
      </w:r>
    </w:p>
    <w:p w14:paraId="43A67B2F" w14:textId="77777777" w:rsidR="00F80BD4" w:rsidRPr="00F80BD4" w:rsidRDefault="00F80BD4" w:rsidP="00F80BD4">
      <w:pPr>
        <w:pStyle w:val="ListParagraph"/>
        <w:numPr>
          <w:ilvl w:val="0"/>
          <w:numId w:val="3"/>
        </w:numPr>
        <w:spacing w:after="120" w:line="240" w:lineRule="auto"/>
        <w:contextualSpacing w:val="0"/>
        <w:rPr>
          <w:rFonts w:ascii="Arial" w:hAnsi="Arial" w:cs="Arial"/>
          <w:sz w:val="22"/>
          <w:szCs w:val="22"/>
        </w:rPr>
      </w:pPr>
      <w:r w:rsidRPr="00F80BD4">
        <w:rPr>
          <w:rFonts w:ascii="Arial" w:hAnsi="Arial" w:cs="Arial"/>
          <w:sz w:val="22"/>
          <w:szCs w:val="22"/>
        </w:rPr>
        <w:t>How do quantifiable outcomes in patient safety, care quality, and organisational performance relate to staffing shortages?</w:t>
      </w:r>
    </w:p>
    <w:p w14:paraId="64D08DB1" w14:textId="77777777" w:rsidR="00F80BD4" w:rsidRDefault="00F80BD4" w:rsidP="00F80BD4">
      <w:pPr>
        <w:pStyle w:val="ListParagraph"/>
        <w:numPr>
          <w:ilvl w:val="0"/>
          <w:numId w:val="3"/>
        </w:numPr>
        <w:spacing w:after="120" w:line="240" w:lineRule="auto"/>
        <w:contextualSpacing w:val="0"/>
        <w:rPr>
          <w:rFonts w:ascii="Arial" w:hAnsi="Arial" w:cs="Arial"/>
          <w:sz w:val="22"/>
          <w:szCs w:val="22"/>
        </w:rPr>
      </w:pPr>
      <w:r w:rsidRPr="00F80BD4">
        <w:rPr>
          <w:rFonts w:ascii="Arial" w:hAnsi="Arial" w:cs="Arial"/>
          <w:sz w:val="22"/>
          <w:szCs w:val="22"/>
        </w:rPr>
        <w:t>What gaps still exist, and how effective have current and planned policy responses been in resolving the NHS staffing shortage?</w:t>
      </w:r>
    </w:p>
    <w:p w14:paraId="73F91BC7" w14:textId="5FF0FAB5" w:rsidR="00F80BD4" w:rsidRDefault="00F80BD4" w:rsidP="00F80BD4">
      <w:pPr>
        <w:spacing w:after="120" w:line="240" w:lineRule="auto"/>
        <w:rPr>
          <w:rFonts w:ascii="Arial" w:hAnsi="Arial" w:cs="Arial"/>
          <w:b/>
          <w:bCs/>
          <w:sz w:val="22"/>
          <w:szCs w:val="22"/>
        </w:rPr>
      </w:pPr>
      <w:r w:rsidRPr="00DC2C23">
        <w:rPr>
          <w:rFonts w:ascii="Arial" w:hAnsi="Arial" w:cs="Arial"/>
          <w:b/>
          <w:bCs/>
          <w:sz w:val="22"/>
          <w:szCs w:val="22"/>
        </w:rPr>
        <w:t>1.6 Significance or Rationale of the Research Study</w:t>
      </w:r>
    </w:p>
    <w:p w14:paraId="1982A863" w14:textId="4365809C" w:rsidR="00F80BD4" w:rsidRDefault="00F80BD4" w:rsidP="00F80BD4">
      <w:pPr>
        <w:spacing w:after="200"/>
        <w:jc w:val="both"/>
        <w:rPr>
          <w:rFonts w:ascii="Arial" w:hAnsi="Arial" w:cs="Arial"/>
          <w:sz w:val="22"/>
          <w:szCs w:val="22"/>
        </w:rPr>
      </w:pPr>
      <w:r w:rsidRPr="00F80BD4">
        <w:rPr>
          <w:rFonts w:ascii="Arial" w:hAnsi="Arial" w:cs="Arial"/>
          <w:sz w:val="22"/>
          <w:szCs w:val="22"/>
        </w:rPr>
        <w:t>This study is important for several reasons. First, as the Francis Report (2013) and the Ockenden Review (2022) have shown, workforce shortage remains one of the NHS's most urgent operational issues, with a direct impact on patient safety. Healthcare providers and policymakers may therefore benefit from a clearer understanding of the processes linking staffing numbers to clinical outcomes.</w:t>
      </w:r>
      <w:r w:rsidR="00CD604E">
        <w:rPr>
          <w:rFonts w:ascii="Arial" w:hAnsi="Arial" w:cs="Arial"/>
          <w:sz w:val="22"/>
          <w:szCs w:val="22"/>
        </w:rPr>
        <w:t xml:space="preserve"> </w:t>
      </w:r>
      <w:r w:rsidRPr="00F80BD4">
        <w:rPr>
          <w:rFonts w:ascii="Arial" w:hAnsi="Arial" w:cs="Arial"/>
          <w:sz w:val="22"/>
          <w:szCs w:val="22"/>
        </w:rPr>
        <w:t>Second, workforce planning has a major bearing on the sustainability of NHS finances more broadly, given the scale of the issue: NHS agency staffing spend peaked at approximately £3.5 billion annually in 2022/23, and separate bank staffing costs have in some trusts come to exceed agency costs altogether, despite government efforts to cap temporary staffing expenditure (NHS England, 2024; Recruitment &amp; Employment Confederation, 2026).</w:t>
      </w:r>
      <w:r w:rsidR="00CD604E">
        <w:rPr>
          <w:rFonts w:ascii="Arial" w:hAnsi="Arial" w:cs="Arial"/>
          <w:sz w:val="22"/>
          <w:szCs w:val="22"/>
        </w:rPr>
        <w:t xml:space="preserve"> </w:t>
      </w:r>
      <w:r w:rsidRPr="00F80BD4">
        <w:rPr>
          <w:rFonts w:ascii="Arial" w:hAnsi="Arial" w:cs="Arial"/>
          <w:sz w:val="22"/>
          <w:szCs w:val="22"/>
        </w:rPr>
        <w:t>Third, this dissertation seeks to provide a more detailed, evidence-based understanding that can guide future policy and practice, of lasting benefit to patients, staff, and policymakers alike, by going beyond headline vacancy data to investigate the lived and everyday effects of shortages across different parts of the health sector.</w:t>
      </w:r>
    </w:p>
    <w:p w14:paraId="71F04ED6" w14:textId="77777777" w:rsidR="000F623C" w:rsidRPr="00DC2C23" w:rsidRDefault="000F623C" w:rsidP="000F623C">
      <w:pPr>
        <w:rPr>
          <w:rFonts w:ascii="Arial" w:hAnsi="Arial" w:cs="Arial"/>
          <w:b/>
          <w:bCs/>
          <w:sz w:val="22"/>
          <w:szCs w:val="22"/>
        </w:rPr>
      </w:pPr>
      <w:r w:rsidRPr="00DC2C23">
        <w:rPr>
          <w:rFonts w:ascii="Arial" w:hAnsi="Arial" w:cs="Arial"/>
          <w:b/>
          <w:bCs/>
          <w:sz w:val="22"/>
          <w:szCs w:val="22"/>
        </w:rPr>
        <w:t>1.7 Scope of the Research Study</w:t>
      </w:r>
    </w:p>
    <w:p w14:paraId="365FC569" w14:textId="77777777" w:rsidR="00E44DE4" w:rsidRDefault="00E44DE4" w:rsidP="00E44DE4">
      <w:pPr>
        <w:spacing w:after="200"/>
        <w:jc w:val="both"/>
        <w:rPr>
          <w:rFonts w:ascii="Arial" w:hAnsi="Arial" w:cs="Arial"/>
          <w:sz w:val="22"/>
          <w:szCs w:val="22"/>
        </w:rPr>
      </w:pPr>
      <w:r w:rsidRPr="00E44DE4">
        <w:rPr>
          <w:rFonts w:ascii="Arial" w:hAnsi="Arial" w:cs="Arial"/>
          <w:sz w:val="22"/>
          <w:szCs w:val="22"/>
        </w:rPr>
        <w:t>Using national workforce data, policy documents, and published inquiries, this study focuses on staff shortages in the NHS in England. It considers shortages across key clinical staff categories — doctors, nurses, midwives, and allied health professionals — and their effects on patient safety, care quality, staff wellbeing, and organisational performance. The main secondary sources are NHS England workforce statistics, sector studies (e.g., the King's Fund, the Nuffield Trust, the Health Foundation, the BMA), and significant public inquiries covering the previous decade up to the most recent data available. While the conceptual and analytical approach is informed by international literature, the study does not undertake a comparative investigation of workforce shortages in other national health systems.</w:t>
      </w:r>
    </w:p>
    <w:p w14:paraId="4054E91D" w14:textId="77777777" w:rsidR="00644957" w:rsidRPr="00DC2C23" w:rsidRDefault="00644957" w:rsidP="00644957">
      <w:pPr>
        <w:rPr>
          <w:rFonts w:ascii="Arial" w:hAnsi="Arial" w:cs="Arial"/>
          <w:b/>
          <w:bCs/>
          <w:sz w:val="22"/>
          <w:szCs w:val="22"/>
        </w:rPr>
      </w:pPr>
      <w:r w:rsidRPr="00DC2C23">
        <w:rPr>
          <w:rFonts w:ascii="Arial" w:hAnsi="Arial" w:cs="Arial"/>
          <w:b/>
          <w:bCs/>
          <w:sz w:val="22"/>
          <w:szCs w:val="22"/>
        </w:rPr>
        <w:t>1.8 Dissertation Structure</w:t>
      </w:r>
    </w:p>
    <w:p w14:paraId="78E6D42F" w14:textId="77777777" w:rsidR="00FB638E" w:rsidRDefault="00FB638E" w:rsidP="00FB638E">
      <w:pPr>
        <w:spacing w:after="200"/>
        <w:jc w:val="both"/>
        <w:rPr>
          <w:rFonts w:ascii="Arial" w:hAnsi="Arial" w:cs="Arial"/>
          <w:sz w:val="22"/>
          <w:szCs w:val="22"/>
        </w:rPr>
      </w:pPr>
      <w:r w:rsidRPr="00226AB2">
        <w:rPr>
          <w:rFonts w:ascii="Arial" w:hAnsi="Arial" w:cs="Arial"/>
          <w:sz w:val="22"/>
          <w:szCs w:val="22"/>
        </w:rPr>
        <w:t>The remainder of this dissertation is structured as follows. Chapter 2 reviews the academic and policy literature on NHS workforce planning, staff retention, and the relationship between staffing levels and patient outcomes. Chapter 3 explains the methodological approach adopted, along with the rationale for the chosen research design. Chapter 4 presents and discusses the study's findings in relation to the existing literature. Chapter 5 concludes the dissertation, summarising the key findings, discussing their implications for practice and policy, and outlining directions for future research.</w:t>
      </w:r>
    </w:p>
    <w:p w14:paraId="0A882532" w14:textId="77777777" w:rsidR="00113E23" w:rsidRDefault="00113E23" w:rsidP="00113E23">
      <w:pPr>
        <w:rPr>
          <w:rFonts w:ascii="Arial" w:hAnsi="Arial" w:cs="Arial"/>
          <w:b/>
          <w:bCs/>
          <w:sz w:val="28"/>
          <w:szCs w:val="28"/>
        </w:rPr>
      </w:pPr>
      <w:r w:rsidRPr="00766C27">
        <w:rPr>
          <w:rFonts w:ascii="Arial" w:hAnsi="Arial" w:cs="Arial"/>
          <w:b/>
          <w:bCs/>
          <w:sz w:val="28"/>
          <w:szCs w:val="28"/>
        </w:rPr>
        <w:t>Chapter 2: Literature Review</w:t>
      </w:r>
    </w:p>
    <w:p w14:paraId="0B696665" w14:textId="5C7C56B0" w:rsidR="002F407E" w:rsidRPr="002F407E" w:rsidRDefault="002F407E" w:rsidP="00113E23">
      <w:pPr>
        <w:rPr>
          <w:rFonts w:ascii="Arial" w:hAnsi="Arial" w:cs="Arial"/>
          <w:b/>
          <w:bCs/>
        </w:rPr>
      </w:pPr>
      <w:r w:rsidRPr="002F407E">
        <w:rPr>
          <w:rFonts w:ascii="Arial" w:hAnsi="Arial" w:cs="Arial"/>
          <w:b/>
          <w:bCs/>
        </w:rPr>
        <w:t>2.1 Introduction</w:t>
      </w:r>
    </w:p>
    <w:p w14:paraId="20A8E338" w14:textId="77777777" w:rsidR="00EF2855" w:rsidRPr="002F407E" w:rsidRDefault="00EF2855" w:rsidP="00EF2855">
      <w:pPr>
        <w:spacing w:after="200" w:line="240" w:lineRule="auto"/>
        <w:jc w:val="both"/>
        <w:rPr>
          <w:rFonts w:ascii="Arial" w:eastAsia="Times New Roman" w:hAnsi="Arial" w:cs="Arial"/>
          <w:kern w:val="0"/>
          <w:sz w:val="22"/>
          <w:szCs w:val="22"/>
          <w:lang w:eastAsia="en-GB"/>
          <w14:ligatures w14:val="none"/>
        </w:rPr>
      </w:pPr>
      <w:r w:rsidRPr="002F407E">
        <w:rPr>
          <w:rFonts w:ascii="Arial" w:eastAsia="Times New Roman" w:hAnsi="Arial" w:cs="Arial"/>
          <w:kern w:val="0"/>
          <w:sz w:val="22"/>
          <w:szCs w:val="22"/>
          <w:lang w:eastAsia="en-GB"/>
          <w14:ligatures w14:val="none"/>
        </w:rPr>
        <w:t>Although the link between personnel ratios and the quality of healthcare delivery is more nuanced than headline vacancy data imply, workforce shortages have emerged as one of the NHS's most urgent operational concerns. This chapter examines the scholarly and policy literature addressing the central question of this dissertation: what effects does a lack of workers have on the NHS's organisational performance, staff wellbeing, patient safety, and care quality? The review situates this question within the broader field of health services research, drawing on a substantial and well-established body of work spanning nursing workforce studies, health policy analysis, and occupational health research.</w:t>
      </w:r>
    </w:p>
    <w:p w14:paraId="0A21AFA4" w14:textId="77777777" w:rsidR="00EF2855" w:rsidRPr="002F407E" w:rsidRDefault="00EF2855" w:rsidP="00EF2855">
      <w:pPr>
        <w:spacing w:after="200" w:line="240" w:lineRule="auto"/>
        <w:jc w:val="both"/>
        <w:rPr>
          <w:rFonts w:ascii="Arial" w:eastAsia="Times New Roman" w:hAnsi="Arial" w:cs="Arial"/>
          <w:kern w:val="0"/>
          <w:sz w:val="22"/>
          <w:szCs w:val="22"/>
          <w:lang w:eastAsia="en-GB"/>
          <w14:ligatures w14:val="none"/>
        </w:rPr>
      </w:pPr>
      <w:r w:rsidRPr="002F407E">
        <w:rPr>
          <w:rFonts w:ascii="Arial" w:eastAsia="Times New Roman" w:hAnsi="Arial" w:cs="Arial"/>
          <w:kern w:val="0"/>
          <w:sz w:val="22"/>
          <w:szCs w:val="22"/>
          <w:lang w:eastAsia="en-GB"/>
          <w14:ligatures w14:val="none"/>
        </w:rPr>
        <w:t>This question matters for both practical and scholarly reasons. Understaffing has been clearly linked to significant service failures, particularly at Mid Staffordshire and at Shrewsbury and Telford, as noted in Chapter 1. The NHS also bears a significant financial burden through its reliance on temporary staffing (Buchan et al., 2019). Therefore, moving beyond simply stating that a shortage exists, a deeper understanding of the mechanisms linking staffing shortages to observable outcomes should inform both policy design and administrative practice.</w:t>
      </w:r>
    </w:p>
    <w:p w14:paraId="495BE751" w14:textId="77777777" w:rsidR="00EF2855" w:rsidRPr="002F407E" w:rsidRDefault="00EF2855" w:rsidP="00EF2855">
      <w:pPr>
        <w:spacing w:after="200" w:line="240" w:lineRule="auto"/>
        <w:jc w:val="both"/>
        <w:rPr>
          <w:rFonts w:ascii="Arial" w:eastAsia="Times New Roman" w:hAnsi="Arial" w:cs="Arial"/>
          <w:kern w:val="0"/>
          <w:sz w:val="22"/>
          <w:szCs w:val="22"/>
          <w:lang w:eastAsia="en-GB"/>
          <w14:ligatures w14:val="none"/>
        </w:rPr>
      </w:pPr>
      <w:r w:rsidRPr="002F407E">
        <w:rPr>
          <w:rFonts w:ascii="Arial" w:eastAsia="Times New Roman" w:hAnsi="Arial" w:cs="Arial"/>
          <w:kern w:val="0"/>
          <w:sz w:val="22"/>
          <w:szCs w:val="22"/>
          <w:lang w:eastAsia="en-GB"/>
          <w14:ligatures w14:val="none"/>
        </w:rPr>
        <w:t>The review draws on four broad strands of literature, chosen to reflect the scope defined in section 1.7: sector and think-tank analyses (King's Fund, Nuffield Trust, Health Foundation), which provide context on the scale and distribution of shortages; empirical studies quantifying the relationship between staffing levels and patient outcomes, primarily from nursing workforce research (e.g., Aiken et al., 2002; Griffiths et al., 2016); the findings of major public inquiries; and literature on staff wellbeing, burnout, and retention, which increasingly treats workforce experience as both a cause and a consequence of shortages.</w:t>
      </w:r>
    </w:p>
    <w:p w14:paraId="65C5E5DD" w14:textId="77777777" w:rsidR="00EF2855" w:rsidRDefault="00EF2855" w:rsidP="00EF2855">
      <w:pPr>
        <w:spacing w:after="200" w:line="240" w:lineRule="auto"/>
        <w:jc w:val="both"/>
        <w:rPr>
          <w:rFonts w:ascii="Arial" w:eastAsia="Times New Roman" w:hAnsi="Arial" w:cs="Arial"/>
          <w:kern w:val="0"/>
          <w:sz w:val="22"/>
          <w:szCs w:val="22"/>
          <w:lang w:eastAsia="en-GB"/>
          <w14:ligatures w14:val="none"/>
        </w:rPr>
      </w:pPr>
      <w:r w:rsidRPr="002F407E">
        <w:rPr>
          <w:rFonts w:ascii="Arial" w:eastAsia="Times New Roman" w:hAnsi="Arial" w:cs="Arial"/>
          <w:kern w:val="0"/>
          <w:sz w:val="22"/>
          <w:szCs w:val="22"/>
          <w:lang w:eastAsia="en-GB"/>
          <w14:ligatures w14:val="none"/>
        </w:rPr>
        <w:t>The chapter is organised thematically. Section 2.2 examines the conceptualisation and measurement of workforce shortages. Section 2.3 reviews the empirical evidence relating staffing levels to patient outcomes. Section 2.4 focuses on qualitative evidence from public inquiries. Section 2.5 covers staff wellbeing, burnout, and retention. Section 2.6 reviews the main policy responses attempted to date, and Section 2.7 identifies the gaps in the literature that this dissertation aims to address.</w:t>
      </w:r>
    </w:p>
    <w:p w14:paraId="2B841AE8" w14:textId="77777777" w:rsidR="002F1DE4" w:rsidRPr="00DC2C23" w:rsidRDefault="002F1DE4" w:rsidP="002F1DE4">
      <w:pPr>
        <w:rPr>
          <w:rFonts w:ascii="Arial" w:hAnsi="Arial" w:cs="Arial"/>
          <w:b/>
          <w:bCs/>
          <w:sz w:val="22"/>
          <w:szCs w:val="22"/>
        </w:rPr>
      </w:pPr>
      <w:r w:rsidRPr="00DC2C23">
        <w:rPr>
          <w:rFonts w:ascii="Arial" w:hAnsi="Arial" w:cs="Arial"/>
          <w:b/>
          <w:bCs/>
          <w:sz w:val="22"/>
          <w:szCs w:val="22"/>
        </w:rPr>
        <w:t>2.2 Conceptualising and Measuring Workforce Shortages</w:t>
      </w:r>
    </w:p>
    <w:p w14:paraId="2027C65C" w14:textId="67C5F05A" w:rsidR="000B47F3" w:rsidRPr="000B47F3" w:rsidRDefault="000B47F3" w:rsidP="000B47F3">
      <w:pPr>
        <w:spacing w:after="200"/>
        <w:jc w:val="both"/>
        <w:rPr>
          <w:rFonts w:ascii="Arial" w:hAnsi="Arial" w:cs="Arial"/>
          <w:sz w:val="22"/>
          <w:szCs w:val="22"/>
        </w:rPr>
      </w:pPr>
      <w:r w:rsidRPr="000B47F3">
        <w:rPr>
          <w:rFonts w:ascii="Arial" w:hAnsi="Arial" w:cs="Arial"/>
          <w:sz w:val="22"/>
          <w:szCs w:val="22"/>
        </w:rPr>
        <w:t>This section examines Buchan's (2009), the Nuffield Trust's (2026), and the King's Fund's (2024) attempts to address the more challenging question of how a shortage should be defined and measured, rather than simply asserting that the NHS is understaffed.</w:t>
      </w:r>
      <w:r w:rsidR="008A6258" w:rsidRPr="008A6258">
        <w:t xml:space="preserve"> </w:t>
      </w:r>
      <w:r w:rsidR="008A6258" w:rsidRPr="008A6258">
        <w:rPr>
          <w:rFonts w:ascii="Arial" w:hAnsi="Arial" w:cs="Arial"/>
          <w:sz w:val="22"/>
          <w:szCs w:val="22"/>
        </w:rPr>
        <w:t>The process of projecting an organization's future workforce requirements and setting up procedures (recruitment, training, retention, deployment) to satisfy them is known as workforce planning. The Health Labour Market Framework (WHO, 2016), which treats the workforce as an evolving market shaped by supplier-side behaviour (training, migration, turnover) and demand-side factors (funded posts, population need), serves as its theoretical foundation. This approach is a more sophisticated alternative to earlier needs-based planning, which merely estimates worker numbers from disease burden without taking market behaviour into account.</w:t>
      </w:r>
    </w:p>
    <w:p w14:paraId="30F18367" w14:textId="023A2CAB" w:rsidR="000B47F3" w:rsidRPr="000B47F3" w:rsidRDefault="000B47F3" w:rsidP="000B47F3">
      <w:pPr>
        <w:spacing w:after="200"/>
        <w:jc w:val="both"/>
        <w:rPr>
          <w:rFonts w:ascii="Arial" w:hAnsi="Arial" w:cs="Arial"/>
          <w:sz w:val="22"/>
          <w:szCs w:val="22"/>
        </w:rPr>
      </w:pPr>
      <w:commentRangeStart w:id="4"/>
      <w:r w:rsidRPr="466C777D">
        <w:rPr>
          <w:rFonts w:ascii="Arial" w:hAnsi="Arial" w:cs="Arial"/>
          <w:sz w:val="22"/>
          <w:szCs w:val="22"/>
        </w:rPr>
        <w:t xml:space="preserve"> According to Buchan (2009), workforce planning in health systems is</w:t>
      </w:r>
      <w:commentRangeEnd w:id="4"/>
      <w:r w:rsidRPr="466C777D">
        <w:rPr>
          <w:rStyle w:val="CommentReference"/>
          <w:rFonts w:ascii="Arial" w:hAnsi="Arial" w:cs="Arial"/>
          <w:sz w:val="22"/>
          <w:szCs w:val="22"/>
        </w:rPr>
        <w:commentReference w:id="4"/>
      </w:r>
      <w:r w:rsidRPr="466C777D">
        <w:rPr>
          <w:rFonts w:ascii="Arial" w:hAnsi="Arial" w:cs="Arial"/>
          <w:sz w:val="22"/>
          <w:szCs w:val="22"/>
        </w:rPr>
        <w:t xml:space="preserve"> fundamentally challenging, as it must balance demand projections that shift in response to illness and demographic trends against training pipelines that may take ten years or longer. Building on this, the Nuffield Trust (2026) argues that headline vacancy data underestimate the actual scope of the issue, since short-term rota gaps go unreported and many funded positions are filled </w:t>
      </w:r>
      <w:r w:rsidR="00106F7C" w:rsidRPr="466C777D">
        <w:rPr>
          <w:rFonts w:ascii="Arial" w:hAnsi="Arial" w:cs="Arial"/>
          <w:sz w:val="22"/>
          <w:szCs w:val="22"/>
        </w:rPr>
        <w:t>daily</w:t>
      </w:r>
      <w:r w:rsidRPr="466C777D">
        <w:rPr>
          <w:rFonts w:ascii="Arial" w:hAnsi="Arial" w:cs="Arial"/>
          <w:sz w:val="22"/>
          <w:szCs w:val="22"/>
        </w:rPr>
        <w:t xml:space="preserve"> by bank or agency personnel rather than substantive employees. This is further developed by the King's Fund (2024), which distinguishes the vacancy rate from the broader “staffing gap” — the discrepancy between a service's current workforce and the workforce required to operate safely.</w:t>
      </w:r>
    </w:p>
    <w:p w14:paraId="3C4AC0F0" w14:textId="5AF6C534" w:rsidR="000B47F3" w:rsidRPr="000B47F3" w:rsidRDefault="000B47F3" w:rsidP="000B47F3">
      <w:pPr>
        <w:spacing w:after="200"/>
        <w:jc w:val="both"/>
        <w:rPr>
          <w:rFonts w:ascii="Arial" w:hAnsi="Arial" w:cs="Arial"/>
          <w:sz w:val="22"/>
          <w:szCs w:val="22"/>
        </w:rPr>
      </w:pPr>
      <w:r w:rsidRPr="000B47F3">
        <w:rPr>
          <w:rFonts w:ascii="Arial" w:hAnsi="Arial" w:cs="Arial"/>
          <w:sz w:val="22"/>
          <w:szCs w:val="22"/>
        </w:rPr>
        <w:t>Taken together, these sources demonstrate a clear trend: the sector has shifted away from treating the vacancy rate as an adequate indicator of scarcity, toward more dynamic, safety-oriented definitions. Though conceptually compelling, the “staffing gap” concept is more difficult to quantify consistently across services than a straightforward vacancy percentage, and the literature reviewed offers no agreed methodology for doing so. As a result, there is less consensus on how such definitions should be applied in practice.</w:t>
      </w:r>
    </w:p>
    <w:p w14:paraId="1AD88BB6" w14:textId="05C84EB9" w:rsidR="000B47F3" w:rsidRDefault="000B47F3" w:rsidP="000B47F3">
      <w:pPr>
        <w:spacing w:after="200"/>
        <w:jc w:val="both"/>
        <w:rPr>
          <w:rFonts w:ascii="Arial" w:hAnsi="Arial" w:cs="Arial"/>
          <w:sz w:val="22"/>
          <w:szCs w:val="22"/>
        </w:rPr>
      </w:pPr>
      <w:r w:rsidRPr="000B47F3">
        <w:rPr>
          <w:rFonts w:ascii="Arial" w:hAnsi="Arial" w:cs="Arial"/>
          <w:sz w:val="22"/>
          <w:szCs w:val="22"/>
        </w:rPr>
        <w:t>The strength of the King's Fund and Nuffield Trust analyses lies in pushing the field toward a more clinically meaningful understanding of shortage. Their limitation is that both rely substantially on national aggregate data, which — as the BMA's (2026) analysis of regional doctor-to-population ratios shows — can obscure significant local and specialty-level disparities. A more granular, regionally sensitive measurement approach would strengthen this strand of the literature considerably, a gap this dissertation returns to in section 2.7.</w:t>
      </w:r>
    </w:p>
    <w:p w14:paraId="4CCB4F1C" w14:textId="77777777" w:rsidR="00F86600" w:rsidRPr="00DC2C23" w:rsidRDefault="00F86600" w:rsidP="00F86600">
      <w:pPr>
        <w:rPr>
          <w:rFonts w:ascii="Arial" w:hAnsi="Arial" w:cs="Arial"/>
          <w:b/>
          <w:bCs/>
          <w:sz w:val="22"/>
          <w:szCs w:val="22"/>
        </w:rPr>
      </w:pPr>
      <w:r w:rsidRPr="00DC2C23">
        <w:rPr>
          <w:rFonts w:ascii="Arial" w:hAnsi="Arial" w:cs="Arial"/>
          <w:b/>
          <w:bCs/>
          <w:sz w:val="22"/>
          <w:szCs w:val="22"/>
        </w:rPr>
        <w:t>2.3 Staffing Levels and Patient Outcomes</w:t>
      </w:r>
    </w:p>
    <w:p w14:paraId="43FE314E" w14:textId="77777777" w:rsidR="007335D4" w:rsidRDefault="00241233" w:rsidP="00241233">
      <w:pPr>
        <w:spacing w:after="200"/>
        <w:jc w:val="both"/>
        <w:rPr>
          <w:rFonts w:ascii="Arial" w:hAnsi="Arial" w:cs="Arial"/>
          <w:sz w:val="22"/>
          <w:szCs w:val="22"/>
        </w:rPr>
      </w:pPr>
      <w:r w:rsidRPr="006022C4">
        <w:rPr>
          <w:rFonts w:ascii="Arial" w:hAnsi="Arial" w:cs="Arial"/>
          <w:sz w:val="22"/>
          <w:szCs w:val="22"/>
        </w:rPr>
        <w:t>This section examines the empirical literature establishing a direct relationship between staffing levels and patient outcomes, founded on the influential work of Aiken et al. (2002) and extended by Kane et al. (2007), Ball et al. (2014), and, particularly within the NHS context, Griffiths et al. (2016).</w:t>
      </w:r>
    </w:p>
    <w:p w14:paraId="7F170BC1" w14:textId="6E0EAC8B" w:rsidR="00241233" w:rsidRPr="006022C4" w:rsidRDefault="00241233" w:rsidP="00241233">
      <w:pPr>
        <w:spacing w:after="200"/>
        <w:jc w:val="both"/>
        <w:rPr>
          <w:rFonts w:ascii="Arial" w:hAnsi="Arial" w:cs="Arial"/>
          <w:sz w:val="22"/>
          <w:szCs w:val="22"/>
        </w:rPr>
      </w:pPr>
      <w:r w:rsidRPr="006022C4">
        <w:rPr>
          <w:rFonts w:ascii="Arial" w:hAnsi="Arial" w:cs="Arial"/>
          <w:sz w:val="22"/>
          <w:szCs w:val="22"/>
        </w:rPr>
        <w:t xml:space="preserve"> Aiken et al.'s (2002) study of a large sample of US hospitals found that each additional patient assigned to a nurse was associated with a measurable increase in the risk of patient mortality and failure-to-rescue within thirty days of admission. Kane et al.'s (2007) meta-analysis of intensive care settings found that higher registered nurse staffing was associated with lower rates of in-hospital mortality and complications, while Ball et al. (2014) identified “missed care” as a likely mediating mechanism between low staffing and higher mortality. In the UK specifically, Griffiths et al. (2016) found that shifts with fewer registered nurses than planned were associated with an increased risk of patient mortality, with this risk compounding across consecutive understaffed shifts.</w:t>
      </w:r>
    </w:p>
    <w:p w14:paraId="322AF608" w14:textId="57F865AD" w:rsidR="00241233" w:rsidRPr="006022C4" w:rsidRDefault="00241233" w:rsidP="00241233">
      <w:pPr>
        <w:spacing w:after="200"/>
        <w:jc w:val="both"/>
        <w:rPr>
          <w:rFonts w:ascii="Arial" w:hAnsi="Arial" w:cs="Arial"/>
          <w:sz w:val="22"/>
          <w:szCs w:val="22"/>
        </w:rPr>
      </w:pPr>
      <w:r w:rsidRPr="006022C4">
        <w:rPr>
          <w:rFonts w:ascii="Arial" w:hAnsi="Arial" w:cs="Arial"/>
          <w:sz w:val="22"/>
          <w:szCs w:val="22"/>
        </w:rPr>
        <w:t xml:space="preserve">These studies together show a consistent dose-response relationship: adverse outcomes increase in a manner that appears cumulative rather than threshold-based as nurse staffing declines. The literature appears to have progressed from establishing correlation (Aiken et al., 2002) toward explaining the causal pathway (Ball et al., 2014), reflected in the convergence around missed care as an explanatory mechanism. Methodologically, however, the studies vary considerably in design, from shift-level analysis to large cross-sectional hospital samples — which strengthens the evidence base through </w:t>
      </w:r>
      <w:r w:rsidR="00D8730F" w:rsidRPr="006022C4">
        <w:rPr>
          <w:rFonts w:ascii="Arial" w:hAnsi="Arial" w:cs="Arial"/>
          <w:sz w:val="22"/>
          <w:szCs w:val="22"/>
        </w:rPr>
        <w:t>triangulation but</w:t>
      </w:r>
      <w:r w:rsidRPr="006022C4">
        <w:rPr>
          <w:rFonts w:ascii="Arial" w:hAnsi="Arial" w:cs="Arial"/>
          <w:sz w:val="22"/>
          <w:szCs w:val="22"/>
        </w:rPr>
        <w:t xml:space="preserve"> makes direct comparison of effect sizes across studies difficult.</w:t>
      </w:r>
    </w:p>
    <w:p w14:paraId="352D61C1" w14:textId="760BC210" w:rsidR="00241233" w:rsidRPr="006022C4" w:rsidRDefault="00241233" w:rsidP="00241233">
      <w:pPr>
        <w:spacing w:after="200"/>
        <w:jc w:val="both"/>
        <w:rPr>
          <w:rFonts w:ascii="Arial" w:hAnsi="Arial" w:cs="Arial"/>
          <w:sz w:val="22"/>
          <w:szCs w:val="22"/>
        </w:rPr>
      </w:pPr>
      <w:r w:rsidRPr="006022C4">
        <w:rPr>
          <w:rFonts w:ascii="Arial" w:hAnsi="Arial" w:cs="Arial"/>
          <w:sz w:val="22"/>
          <w:szCs w:val="22"/>
        </w:rPr>
        <w:t>This literature's principal strength is its consistency across health systems and time periods, lending strong external validity to the staffing-outcomes relationship. However, staffing ratios are not the only determinant of outcomes; ward leadership, skill mix, and staff experience act as moderating factors, meaning that studies focusing narrowly on numerical ratios risk oversimplifying a relationship that is also qualitative in nature (Griffiths et al., 2016).</w:t>
      </w:r>
    </w:p>
    <w:p w14:paraId="290C0294" w14:textId="538B3CD6" w:rsidR="00241233" w:rsidRDefault="00241233" w:rsidP="00241233">
      <w:pPr>
        <w:spacing w:after="200"/>
        <w:jc w:val="both"/>
        <w:rPr>
          <w:rFonts w:ascii="Arial" w:hAnsi="Arial" w:cs="Arial"/>
          <w:sz w:val="22"/>
          <w:szCs w:val="22"/>
        </w:rPr>
      </w:pPr>
      <w:r w:rsidRPr="006022C4">
        <w:rPr>
          <w:rFonts w:ascii="Arial" w:hAnsi="Arial" w:cs="Arial"/>
          <w:sz w:val="22"/>
          <w:szCs w:val="22"/>
        </w:rPr>
        <w:t xml:space="preserve"> While this body of quantitative evidence is robust, it says relatively little about how understaffing translates into harm at the level of individual patient cases — a gap addressed by the public inquiry literature reviewed next.</w:t>
      </w:r>
    </w:p>
    <w:p w14:paraId="4904BCAB" w14:textId="77777777" w:rsidR="00854BE3" w:rsidRPr="00DC2C23" w:rsidRDefault="00854BE3" w:rsidP="00854BE3">
      <w:pPr>
        <w:rPr>
          <w:rFonts w:ascii="Arial" w:hAnsi="Arial" w:cs="Arial"/>
          <w:b/>
          <w:bCs/>
          <w:sz w:val="22"/>
          <w:szCs w:val="22"/>
        </w:rPr>
      </w:pPr>
      <w:r w:rsidRPr="00DC2C23">
        <w:rPr>
          <w:rFonts w:ascii="Arial" w:hAnsi="Arial" w:cs="Arial"/>
          <w:b/>
          <w:bCs/>
          <w:sz w:val="22"/>
          <w:szCs w:val="22"/>
        </w:rPr>
        <w:t>2.4 Evidence from Public Inquiries</w:t>
      </w:r>
    </w:p>
    <w:p w14:paraId="3F1AD1FF" w14:textId="77777777" w:rsidR="005F6A2C" w:rsidRPr="005F6A2C" w:rsidRDefault="005F6A2C" w:rsidP="005F6A2C">
      <w:pPr>
        <w:spacing w:after="200"/>
        <w:jc w:val="both"/>
        <w:rPr>
          <w:rFonts w:ascii="Arial" w:hAnsi="Arial" w:cs="Arial"/>
          <w:sz w:val="22"/>
          <w:szCs w:val="22"/>
        </w:rPr>
      </w:pPr>
      <w:r w:rsidRPr="005F6A2C">
        <w:rPr>
          <w:rFonts w:ascii="Arial" w:hAnsi="Arial" w:cs="Arial"/>
          <w:sz w:val="22"/>
          <w:szCs w:val="22"/>
        </w:rPr>
        <w:t>Topic sentence. Where section 2.3 reviewed quantitative evidence, this section examines the case-based, qualitative evidence provided by two major public inquiries: the Francis Report (2013) and the Ockenden Review (2022).</w:t>
      </w:r>
    </w:p>
    <w:p w14:paraId="02F6FDB4" w14:textId="4A2A0CCA" w:rsidR="005F6A2C" w:rsidRPr="005F6A2C" w:rsidRDefault="005F6A2C" w:rsidP="005F6A2C">
      <w:pPr>
        <w:spacing w:after="200"/>
        <w:jc w:val="both"/>
        <w:rPr>
          <w:rFonts w:ascii="Arial" w:hAnsi="Arial" w:cs="Arial"/>
          <w:sz w:val="22"/>
          <w:szCs w:val="22"/>
        </w:rPr>
      </w:pPr>
      <w:r w:rsidRPr="005F6A2C">
        <w:rPr>
          <w:rFonts w:ascii="Arial" w:hAnsi="Arial" w:cs="Arial"/>
          <w:sz w:val="22"/>
          <w:szCs w:val="22"/>
        </w:rPr>
        <w:t>The Francis Report, investigating failures at Mid Staffordshire NHS Foundation Trust, found that chronic understaffing — particularly in nursing — was a central cause of widespread care failures, including neglect and avoidable deaths, resulting from a sustained prioritisation of financial targets over safe staffing. The Ockenden Review, investigating maternity care failures at Shrewsbury and Telford Hospital NHS Trust, similarly found understaffing of midwives and obstetric consultants to be a recurring feature in cases of preventable harm to mothers and babies, but emphasised that staffing shortfalls interacted with poor escalation processes and inadequate senior oversight to produce systemic risk, rather than acting as an isolated cause.</w:t>
      </w:r>
    </w:p>
    <w:p w14:paraId="586FA29A" w14:textId="6759322F" w:rsidR="005F6A2C" w:rsidRPr="005F6A2C" w:rsidRDefault="005F6A2C" w:rsidP="005F6A2C">
      <w:pPr>
        <w:spacing w:after="200"/>
        <w:jc w:val="both"/>
        <w:rPr>
          <w:rFonts w:ascii="Arial" w:hAnsi="Arial" w:cs="Arial"/>
          <w:sz w:val="22"/>
          <w:szCs w:val="22"/>
        </w:rPr>
      </w:pPr>
      <w:r w:rsidRPr="005F6A2C">
        <w:rPr>
          <w:rFonts w:ascii="Arial" w:hAnsi="Arial" w:cs="Arial"/>
          <w:sz w:val="22"/>
          <w:szCs w:val="22"/>
        </w:rPr>
        <w:t>Comparing the two, a clear pattern emerges: in both inquiries, understaffing is presented not as a standalone cause of harm, but as a condition that interacts with organisational culture and escalation failures to produce adverse outcomes. This nuances the more linear staffing-outcomes relationship suggested by the quantitative literature in section 2.3, indicating that organisational factors play an equally important role in mediating the pathway from shortage to harm.</w:t>
      </w:r>
    </w:p>
    <w:p w14:paraId="4DBDE156" w14:textId="0EFB29BE" w:rsidR="005F6A2C" w:rsidRPr="005F6A2C" w:rsidRDefault="005F6A2C" w:rsidP="005F6A2C">
      <w:pPr>
        <w:spacing w:after="200"/>
        <w:jc w:val="both"/>
        <w:rPr>
          <w:rFonts w:ascii="Arial" w:hAnsi="Arial" w:cs="Arial"/>
          <w:sz w:val="22"/>
          <w:szCs w:val="22"/>
        </w:rPr>
      </w:pPr>
      <w:r w:rsidRPr="005F6A2C">
        <w:rPr>
          <w:rFonts w:ascii="Arial" w:hAnsi="Arial" w:cs="Arial"/>
          <w:sz w:val="22"/>
          <w:szCs w:val="22"/>
        </w:rPr>
        <w:t>The strength of inquiry-based evidence lies in its depth and its ability to trace precisely how staffing shortfalls translate into individual instances of harm, offering explanatory texture the quantitative literature cannot provide. Its principal limitation is generalisability: findings from Mid Staffordshire or Shrewsbury and Telford cannot be assumed to apply uniformly across the NHS, since inquiries are retrospective and case-specific by design.</w:t>
      </w:r>
    </w:p>
    <w:p w14:paraId="087A8699" w14:textId="1931854F" w:rsidR="005F6A2C" w:rsidRDefault="005F6A2C" w:rsidP="005F6A2C">
      <w:pPr>
        <w:spacing w:after="200"/>
        <w:jc w:val="both"/>
        <w:rPr>
          <w:rFonts w:ascii="Arial" w:hAnsi="Arial" w:cs="Arial"/>
          <w:sz w:val="22"/>
          <w:szCs w:val="22"/>
        </w:rPr>
      </w:pPr>
      <w:r w:rsidRPr="005F6A2C">
        <w:rPr>
          <w:rFonts w:ascii="Arial" w:hAnsi="Arial" w:cs="Arial"/>
          <w:sz w:val="22"/>
          <w:szCs w:val="22"/>
        </w:rPr>
        <w:t>Taken together with section 2.3, this literature builds a fuller picture: quantitative studies establish that the staffing-outcomes relationship exists at scale, while inquiries illustrate how it operates in specific, severe cases. The following section turns to literature that treats staff experience, rather than patient outcomes, as the central concern.</w:t>
      </w:r>
    </w:p>
    <w:p w14:paraId="670F161C" w14:textId="77777777" w:rsidR="000F2E60" w:rsidRPr="00DC2C23" w:rsidRDefault="000F2E60" w:rsidP="000F2E60">
      <w:pPr>
        <w:rPr>
          <w:rFonts w:ascii="Arial" w:hAnsi="Arial" w:cs="Arial"/>
          <w:b/>
          <w:bCs/>
          <w:sz w:val="22"/>
          <w:szCs w:val="22"/>
        </w:rPr>
      </w:pPr>
      <w:r w:rsidRPr="466C777D">
        <w:rPr>
          <w:rFonts w:ascii="Arial" w:hAnsi="Arial" w:cs="Arial"/>
          <w:b/>
          <w:bCs/>
          <w:sz w:val="22"/>
          <w:szCs w:val="22"/>
        </w:rPr>
        <w:t xml:space="preserve">2.5 </w:t>
      </w:r>
      <w:commentRangeStart w:id="5"/>
      <w:commentRangeStart w:id="6"/>
      <w:r w:rsidRPr="466C777D">
        <w:rPr>
          <w:rFonts w:ascii="Arial" w:hAnsi="Arial" w:cs="Arial"/>
          <w:b/>
          <w:bCs/>
          <w:sz w:val="22"/>
          <w:szCs w:val="22"/>
        </w:rPr>
        <w:t>Staff Wellbeing, Burnout, and Retention</w:t>
      </w:r>
      <w:commentRangeEnd w:id="5"/>
      <w:r w:rsidRPr="00DC2C23">
        <w:rPr>
          <w:rStyle w:val="CommentReference"/>
          <w:rFonts w:ascii="Arial" w:hAnsi="Arial" w:cs="Arial"/>
          <w:b/>
          <w:bCs/>
          <w:sz w:val="22"/>
          <w:szCs w:val="22"/>
        </w:rPr>
        <w:commentReference w:id="5"/>
      </w:r>
      <w:commentRangeEnd w:id="6"/>
      <w:r w:rsidRPr="00DC2C23">
        <w:rPr>
          <w:rStyle w:val="CommentReference"/>
          <w:rFonts w:ascii="Arial" w:hAnsi="Arial" w:cs="Arial"/>
          <w:b/>
          <w:bCs/>
          <w:sz w:val="22"/>
          <w:szCs w:val="22"/>
        </w:rPr>
        <w:commentReference w:id="6"/>
      </w:r>
    </w:p>
    <w:p w14:paraId="5C97727C" w14:textId="317BBD11" w:rsidR="00DB5527" w:rsidRPr="00DB5527" w:rsidRDefault="000F53C4" w:rsidP="00DB5527">
      <w:pPr>
        <w:spacing w:after="200"/>
        <w:jc w:val="both"/>
        <w:rPr>
          <w:rFonts w:ascii="Arial" w:hAnsi="Arial" w:cs="Arial"/>
          <w:sz w:val="22"/>
          <w:szCs w:val="22"/>
        </w:rPr>
      </w:pPr>
      <w:r w:rsidRPr="466C777D">
        <w:rPr>
          <w:rFonts w:ascii="Arial" w:hAnsi="Arial" w:cs="Arial"/>
          <w:sz w:val="22"/>
          <w:szCs w:val="22"/>
        </w:rPr>
        <w:t>This section reviews literature addressing staff wellbeing as both a cause and consequence of understaffing, principally the framework developed by Maslach and Leiter (2016) and workforce data reported by the BMA (2026) and Buchan et al. (2019).</w:t>
      </w:r>
      <w:r w:rsidR="00DB5527" w:rsidRPr="00DB5527">
        <w:t xml:space="preserve"> </w:t>
      </w:r>
      <w:r w:rsidR="00DB5527" w:rsidRPr="00DB5527">
        <w:rPr>
          <w:rFonts w:ascii="Arial" w:hAnsi="Arial" w:cs="Arial"/>
          <w:sz w:val="22"/>
          <w:szCs w:val="22"/>
        </w:rPr>
        <w:t>The fundamental theoretical framework is provided by Maslach and Leiter (2016); the empirical NHS-specific data that the approach is intended to explain are provided by BMA (2026) and Buchan et al. (2019).</w:t>
      </w:r>
    </w:p>
    <w:p w14:paraId="5CF3EFAE" w14:textId="390FE2C7" w:rsidR="000F53C4" w:rsidRPr="000F53C4" w:rsidRDefault="00DB5527" w:rsidP="00DB5527">
      <w:pPr>
        <w:spacing w:after="200"/>
        <w:jc w:val="both"/>
        <w:rPr>
          <w:rFonts w:ascii="Arial" w:hAnsi="Arial" w:cs="Arial"/>
          <w:sz w:val="22"/>
          <w:szCs w:val="22"/>
        </w:rPr>
      </w:pPr>
      <w:r w:rsidRPr="00DB5527">
        <w:rPr>
          <w:rFonts w:ascii="Arial" w:hAnsi="Arial" w:cs="Arial"/>
          <w:sz w:val="22"/>
          <w:szCs w:val="22"/>
        </w:rPr>
        <w:t>Maslach and Leiter's (2016) burnout framework and the King's Fund's (2024) "vicious cycle" concept both describe the same underlying mechanism from different perspectives—one psychological/individual, one organizational/systemic—converging on a self-perpetuating loop between understaffing, burnout, and turnover.</w:t>
      </w:r>
    </w:p>
    <w:p w14:paraId="1DCBA504" w14:textId="706D8632" w:rsidR="002A7D49" w:rsidRPr="002A7D49" w:rsidRDefault="000F53C4" w:rsidP="002A7D49">
      <w:pPr>
        <w:spacing w:after="200"/>
        <w:jc w:val="both"/>
        <w:rPr>
          <w:rFonts w:ascii="Arial" w:hAnsi="Arial" w:cs="Arial"/>
          <w:sz w:val="22"/>
          <w:szCs w:val="22"/>
        </w:rPr>
      </w:pPr>
      <w:r w:rsidRPr="466C777D">
        <w:rPr>
          <w:rFonts w:ascii="Arial" w:hAnsi="Arial" w:cs="Arial"/>
          <w:color w:val="FF0000"/>
          <w:sz w:val="22"/>
          <w:szCs w:val="22"/>
        </w:rPr>
        <w:t xml:space="preserve"> </w:t>
      </w:r>
      <w:r w:rsidRPr="466C777D">
        <w:rPr>
          <w:rFonts w:ascii="Arial" w:hAnsi="Arial" w:cs="Arial"/>
          <w:sz w:val="22"/>
          <w:szCs w:val="22"/>
        </w:rPr>
        <w:t>Maslach and Leiter (2016) define burnout as a syndrome comprising emotional exhaustion, depersonalisation, and reduced personal accomplishment, identifying chronic understaffing and excessive workload as primary drivers. Consistent with this framework, secondary care doctor departures have remained elevated relative to a decade prior, with excessive workload, poor work-life balance, and low pay cited as the principal reasons for leaving (British Medical Association, 2026). In the 2025 NHS Staff Survey, 42.36% of staff reported work-related stress, with satisfaction regarding feeling valued by their organisation falling to 42.95% (NHS Staff Survey Coordination Centre, 2025).</w:t>
      </w:r>
      <w:r w:rsidR="002A7D49" w:rsidRPr="002A7D49">
        <w:t xml:space="preserve"> </w:t>
      </w:r>
      <w:r w:rsidR="002A7D49" w:rsidRPr="002A7D49">
        <w:rPr>
          <w:rFonts w:ascii="Arial" w:hAnsi="Arial" w:cs="Arial"/>
          <w:sz w:val="22"/>
          <w:szCs w:val="22"/>
        </w:rPr>
        <w:t>The health care literature and the patient-safety literature (Section 2.3) have developed largely independently despite this theoretical convergence; this is a real contrast worth highlighting because the theories suggest they should be connected, but few studies directly test that connection empirically.</w:t>
      </w:r>
      <w:r w:rsidR="00CA7B42" w:rsidRPr="00CA7B42">
        <w:t xml:space="preserve"> </w:t>
      </w:r>
      <w:r w:rsidR="00CA7B42" w:rsidRPr="00CA7B42">
        <w:rPr>
          <w:rFonts w:ascii="Arial" w:hAnsi="Arial" w:cs="Arial"/>
          <w:sz w:val="22"/>
          <w:szCs w:val="22"/>
        </w:rPr>
        <w:t>This is the exact gap that your dissertation highlights in Section 2.7 and revisits in your future research endeavours: using the very theories discussed here (Maslach and Leiter's burnout framework, possibly expanded with COR theory) as the analytical lens, explicitly modelling burnout as a facilitator between staffing and patient safety outcomes.</w:t>
      </w:r>
    </w:p>
    <w:p w14:paraId="28864F9D" w14:textId="77777777" w:rsidR="002A7D49" w:rsidRPr="002A7D49" w:rsidRDefault="002A7D49" w:rsidP="002A7D49">
      <w:pPr>
        <w:spacing w:after="200"/>
        <w:jc w:val="both"/>
        <w:rPr>
          <w:rFonts w:ascii="Arial" w:hAnsi="Arial" w:cs="Arial"/>
          <w:sz w:val="22"/>
          <w:szCs w:val="22"/>
        </w:rPr>
      </w:pPr>
    </w:p>
    <w:p w14:paraId="43A9069D" w14:textId="77777777" w:rsidR="002A7D49" w:rsidRPr="002A7D49" w:rsidRDefault="002A7D49" w:rsidP="002A7D49">
      <w:pPr>
        <w:spacing w:after="200"/>
        <w:jc w:val="both"/>
        <w:rPr>
          <w:rFonts w:ascii="Arial" w:hAnsi="Arial" w:cs="Arial"/>
          <w:sz w:val="22"/>
          <w:szCs w:val="22"/>
        </w:rPr>
      </w:pPr>
      <w:r w:rsidRPr="002A7D49">
        <w:rPr>
          <w:rFonts w:ascii="Arial" w:hAnsi="Arial" w:cs="Arial"/>
          <w:sz w:val="22"/>
          <w:szCs w:val="22"/>
        </w:rPr>
        <w:t>Although burnout and retention are rarely examined as mediating factors between staffing numbers and patient outcomes, the wellbeing research is convincing in connecting survey data to a cohesive theoretical model. The data hasn't yet conclusively supported the theory's implied causal chain.</w:t>
      </w:r>
    </w:p>
    <w:p w14:paraId="466F80F0" w14:textId="77777777" w:rsidR="002A7D49" w:rsidRPr="002A7D49" w:rsidRDefault="002A7D49" w:rsidP="002A7D49">
      <w:pPr>
        <w:spacing w:after="200"/>
        <w:jc w:val="both"/>
        <w:rPr>
          <w:rFonts w:ascii="Arial" w:hAnsi="Arial" w:cs="Arial"/>
          <w:sz w:val="22"/>
          <w:szCs w:val="22"/>
        </w:rPr>
      </w:pPr>
    </w:p>
    <w:p w14:paraId="153ED196" w14:textId="3EB2511A" w:rsidR="000F53C4" w:rsidRPr="000F53C4" w:rsidRDefault="000F53C4" w:rsidP="000F53C4">
      <w:pPr>
        <w:spacing w:after="200"/>
        <w:jc w:val="both"/>
        <w:rPr>
          <w:rFonts w:ascii="Arial" w:hAnsi="Arial" w:cs="Arial"/>
          <w:sz w:val="22"/>
          <w:szCs w:val="22"/>
        </w:rPr>
      </w:pPr>
    </w:p>
    <w:p w14:paraId="25FB2622" w14:textId="693F6BD4" w:rsidR="000F53C4" w:rsidRPr="000F53C4" w:rsidRDefault="000F53C4" w:rsidP="000F53C4">
      <w:pPr>
        <w:spacing w:after="200"/>
        <w:jc w:val="both"/>
        <w:rPr>
          <w:rFonts w:ascii="Arial" w:hAnsi="Arial" w:cs="Arial"/>
          <w:sz w:val="22"/>
          <w:szCs w:val="22"/>
        </w:rPr>
      </w:pPr>
      <w:r w:rsidRPr="466C777D">
        <w:rPr>
          <w:rFonts w:ascii="Arial" w:hAnsi="Arial" w:cs="Arial"/>
          <w:sz w:val="22"/>
          <w:szCs w:val="22"/>
        </w:rPr>
        <w:t>Read alongside the King's Fund's (2024) “vicious cycle” concept discussed in section 2.2, this literature suggests that staffing and wellbeing operate in a self-reinforcing loop, rather than a one-directional relationship: understaffing drives burnout, burnout drives attrition, and attrition worsens understaffing. This represents an analytically important shift in the literature, treating staff wellbeing as a mechanism directly relevant to the patient safety outcomes discussed in section 2.3, rather than purely as a workforce management concern.</w:t>
      </w:r>
    </w:p>
    <w:p w14:paraId="2EF2BA7F" w14:textId="4118A3EB" w:rsidR="000F53C4" w:rsidRPr="000F53C4" w:rsidRDefault="000F53C4" w:rsidP="000F53C4">
      <w:pPr>
        <w:spacing w:after="200"/>
        <w:jc w:val="both"/>
        <w:rPr>
          <w:rFonts w:ascii="Arial" w:hAnsi="Arial" w:cs="Arial"/>
          <w:sz w:val="22"/>
          <w:szCs w:val="22"/>
        </w:rPr>
      </w:pPr>
      <w:r w:rsidRPr="466C777D">
        <w:rPr>
          <w:rFonts w:ascii="Arial" w:hAnsi="Arial" w:cs="Arial"/>
          <w:sz w:val="22"/>
          <w:szCs w:val="22"/>
        </w:rPr>
        <w:t>This body of work is persuasive in linking survey and turnover data to a coherent theoretical model, but its main limitation is that it has, as Buchan et al. (2019) imply, largely developed in parallel with the patient-outcomes literature rather than in direct dialogue with it. Few studies explicitly trace burnout and retention as mediating variables between staffing configuration and the patient safety outcomes reviewed in section 2.3, leaving the connection between these two strands of literature more assumed than empirically demonstrated.</w:t>
      </w:r>
    </w:p>
    <w:p w14:paraId="30E9734D" w14:textId="08192D49" w:rsidR="000F53C4" w:rsidRPr="000F53C4" w:rsidRDefault="000F53C4" w:rsidP="000F53C4">
      <w:pPr>
        <w:spacing w:after="200"/>
        <w:jc w:val="both"/>
        <w:rPr>
          <w:rFonts w:ascii="Arial" w:hAnsi="Arial" w:cs="Arial"/>
          <w:sz w:val="22"/>
          <w:szCs w:val="22"/>
        </w:rPr>
      </w:pPr>
      <w:r w:rsidRPr="466C777D">
        <w:rPr>
          <w:rFonts w:ascii="Arial" w:hAnsi="Arial" w:cs="Arial"/>
          <w:color w:val="FF0000"/>
          <w:sz w:val="22"/>
          <w:szCs w:val="22"/>
        </w:rPr>
        <w:t xml:space="preserve"> </w:t>
      </w:r>
      <w:r w:rsidRPr="466C777D">
        <w:rPr>
          <w:rFonts w:ascii="Arial" w:hAnsi="Arial" w:cs="Arial"/>
          <w:sz w:val="22"/>
          <w:szCs w:val="22"/>
        </w:rPr>
        <w:t>Having reviewed the evidence on the causes and consequences of shortages, the chapter now turns to the range of policy responses that have been attempted to address them.</w:t>
      </w:r>
    </w:p>
    <w:p w14:paraId="470FB811" w14:textId="77777777" w:rsidR="00192F97" w:rsidRPr="00DC2C23" w:rsidRDefault="00192F97" w:rsidP="00192F97">
      <w:pPr>
        <w:rPr>
          <w:rFonts w:ascii="Arial" w:hAnsi="Arial" w:cs="Arial"/>
          <w:b/>
          <w:bCs/>
          <w:sz w:val="22"/>
          <w:szCs w:val="22"/>
        </w:rPr>
      </w:pPr>
      <w:r w:rsidRPr="00DC2C23">
        <w:rPr>
          <w:rFonts w:ascii="Arial" w:hAnsi="Arial" w:cs="Arial"/>
          <w:b/>
          <w:bCs/>
          <w:sz w:val="22"/>
          <w:szCs w:val="22"/>
        </w:rPr>
        <w:t>2.6 Policy Responses</w:t>
      </w:r>
    </w:p>
    <w:p w14:paraId="4D614DAB" w14:textId="047643C8" w:rsidR="002C5386" w:rsidRPr="00DF69A7" w:rsidRDefault="002C5386" w:rsidP="002C5386">
      <w:pPr>
        <w:spacing w:after="200"/>
        <w:jc w:val="both"/>
        <w:rPr>
          <w:rFonts w:ascii="Arial" w:hAnsi="Arial" w:cs="Arial"/>
          <w:sz w:val="22"/>
          <w:szCs w:val="22"/>
        </w:rPr>
      </w:pPr>
      <w:r w:rsidRPr="00DF69A7">
        <w:rPr>
          <w:rFonts w:ascii="Arial" w:hAnsi="Arial" w:cs="Arial"/>
          <w:sz w:val="22"/>
          <w:szCs w:val="22"/>
        </w:rPr>
        <w:t>This section reviews the principal policy responses to NHS workforce shortages discussed in the literature: international recruitment, reform of nurse training funding, and the NHS Long Term Workforce Plan.</w:t>
      </w:r>
    </w:p>
    <w:p w14:paraId="28ED76DC" w14:textId="0F21E170" w:rsidR="002C5386" w:rsidRPr="00DF69A7" w:rsidRDefault="002C5386" w:rsidP="002C5386">
      <w:pPr>
        <w:spacing w:after="200"/>
        <w:jc w:val="both"/>
        <w:rPr>
          <w:rFonts w:ascii="Arial" w:hAnsi="Arial" w:cs="Arial"/>
          <w:sz w:val="22"/>
          <w:szCs w:val="22"/>
        </w:rPr>
      </w:pPr>
      <w:r w:rsidRPr="00DF69A7">
        <w:rPr>
          <w:rFonts w:ascii="Arial" w:hAnsi="Arial" w:cs="Arial"/>
          <w:sz w:val="22"/>
          <w:szCs w:val="22"/>
        </w:rPr>
        <w:t>Buchan (2009) identifies international recruitment as a critical short-to-medium-term strategy for filling posts that domestic training capacity cannot meet, though the World Health Organization (2016) raises ethical concerns about “brain drain” from lower-income countries and argues this approach sidesteps the underlying problem of insufficient domestic training. Domestically, the 2017 abolition of the nursing bursary is widely identified as a policy error that reduced the pipeline of new nursing graduates at a critical time, with its partial reinstatement judged insufficient to reverse the effect (Buchan et al., 2019). The Health Foundation (2019) further cautions that even effective reform would take a decade or more to be reflected in workforce numbers, given the length of clinical training pipelines, while retention-focused measures such as flexible working and pay review recommendations are reported to have had limited impact on the retention figures discussed in section 2.5 (BMA, 2026).</w:t>
      </w:r>
    </w:p>
    <w:p w14:paraId="38F59251" w14:textId="42CC9878" w:rsidR="002C5386" w:rsidRPr="00DF69A7" w:rsidRDefault="002C5386" w:rsidP="002C5386">
      <w:pPr>
        <w:spacing w:after="200"/>
        <w:jc w:val="both"/>
        <w:rPr>
          <w:rFonts w:ascii="Arial" w:hAnsi="Arial" w:cs="Arial"/>
          <w:sz w:val="22"/>
          <w:szCs w:val="22"/>
        </w:rPr>
      </w:pPr>
      <w:r w:rsidRPr="00DF69A7">
        <w:rPr>
          <w:rFonts w:ascii="Arial" w:hAnsi="Arial" w:cs="Arial"/>
          <w:sz w:val="22"/>
          <w:szCs w:val="22"/>
        </w:rPr>
        <w:t xml:space="preserve"> A common thread across these sources is timing: nearly every policy response discussed operates on a multi-year or multi-decade lag, whether through training pipelines or the slow reversal of the bursary decision. This creates a tension between the urgency conveyed by sections 2.3 and 2.4 — where staffing shortfalls are shown to cause immediate, tangible harm — and the structurally slow pace of the policy responses reviewed here.</w:t>
      </w:r>
    </w:p>
    <w:p w14:paraId="3FFAF056" w14:textId="22A512BB" w:rsidR="002C5386" w:rsidRPr="00DF69A7" w:rsidRDefault="002C5386" w:rsidP="002C5386">
      <w:pPr>
        <w:spacing w:after="200"/>
        <w:jc w:val="both"/>
        <w:rPr>
          <w:rFonts w:ascii="Arial" w:hAnsi="Arial" w:cs="Arial"/>
          <w:sz w:val="22"/>
          <w:szCs w:val="22"/>
        </w:rPr>
      </w:pPr>
      <w:r w:rsidRPr="00DF69A7">
        <w:rPr>
          <w:rFonts w:ascii="Arial" w:hAnsi="Arial" w:cs="Arial"/>
          <w:sz w:val="22"/>
          <w:szCs w:val="22"/>
        </w:rPr>
        <w:t>The strength of this literature lies in its consistency in identifying training capacity as the structural root of the problem, rather than treating vacancies as solvable through recruitment campaigns alone. Its limitation is that, because the NHS Long Term Workforce Plan is comparatively recent, robust evaluative evidence of its effectiveness is not yet available, meaning the literature's assessment of current policy remains necessarily provisional.</w:t>
      </w:r>
    </w:p>
    <w:p w14:paraId="18E2F4F4" w14:textId="101BBD4D" w:rsidR="002C5386" w:rsidRDefault="002C5386" w:rsidP="002C5386">
      <w:pPr>
        <w:spacing w:after="200"/>
        <w:jc w:val="both"/>
        <w:rPr>
          <w:rFonts w:ascii="Arial" w:hAnsi="Arial" w:cs="Arial"/>
          <w:sz w:val="22"/>
          <w:szCs w:val="22"/>
        </w:rPr>
      </w:pPr>
      <w:r w:rsidRPr="00DF69A7">
        <w:rPr>
          <w:rFonts w:ascii="Arial" w:hAnsi="Arial" w:cs="Arial"/>
          <w:sz w:val="22"/>
          <w:szCs w:val="22"/>
        </w:rPr>
        <w:t>Having reviewed shortage measurement, outcome evidence, inquiry findings, staff wellbeing, and policy responses in turn, the next section draws these strands together to identify the specific gaps this dissertation addresses.</w:t>
      </w:r>
    </w:p>
    <w:p w14:paraId="191F3CE2" w14:textId="77777777" w:rsidR="0046146E" w:rsidRPr="00DC2C23" w:rsidRDefault="0046146E" w:rsidP="0046146E">
      <w:pPr>
        <w:rPr>
          <w:rFonts w:ascii="Arial" w:hAnsi="Arial" w:cs="Arial"/>
          <w:b/>
          <w:bCs/>
          <w:sz w:val="22"/>
          <w:szCs w:val="22"/>
        </w:rPr>
      </w:pPr>
      <w:r w:rsidRPr="00DC2C23">
        <w:rPr>
          <w:rFonts w:ascii="Arial" w:hAnsi="Arial" w:cs="Arial"/>
          <w:b/>
          <w:bCs/>
          <w:sz w:val="22"/>
          <w:szCs w:val="22"/>
        </w:rPr>
        <w:t>2.7 Gaps in the Literature</w:t>
      </w:r>
    </w:p>
    <w:p w14:paraId="546F763C" w14:textId="2B0F6848" w:rsidR="00913EFC" w:rsidRPr="00913EFC" w:rsidRDefault="00913EFC" w:rsidP="00913EFC">
      <w:pPr>
        <w:spacing w:after="200"/>
        <w:jc w:val="both"/>
        <w:rPr>
          <w:rFonts w:ascii="Arial" w:hAnsi="Arial" w:cs="Arial"/>
          <w:sz w:val="22"/>
          <w:szCs w:val="22"/>
        </w:rPr>
      </w:pPr>
      <w:r w:rsidRPr="00913EFC">
        <w:rPr>
          <w:rFonts w:ascii="Arial" w:hAnsi="Arial" w:cs="Arial"/>
          <w:sz w:val="22"/>
          <w:szCs w:val="22"/>
        </w:rPr>
        <w:t xml:space="preserve">Although the preceding sections demonstrate a substantial and largely consistent body of evidence linking staffing shortages to poor outcomes, four specific gaps emerge when the literature is </w:t>
      </w:r>
      <w:r w:rsidR="001F6E11" w:rsidRPr="00913EFC">
        <w:rPr>
          <w:rFonts w:ascii="Arial" w:hAnsi="Arial" w:cs="Arial"/>
          <w:sz w:val="22"/>
          <w:szCs w:val="22"/>
        </w:rPr>
        <w:t>considered</w:t>
      </w:r>
      <w:r w:rsidRPr="00913EFC">
        <w:rPr>
          <w:rFonts w:ascii="Arial" w:hAnsi="Arial" w:cs="Arial"/>
          <w:sz w:val="22"/>
          <w:szCs w:val="22"/>
        </w:rPr>
        <w:t>.</w:t>
      </w:r>
    </w:p>
    <w:p w14:paraId="5317ADB1" w14:textId="77777777" w:rsidR="00913EFC" w:rsidRPr="00913EFC" w:rsidRDefault="00913EFC" w:rsidP="00913EFC">
      <w:pPr>
        <w:spacing w:after="200"/>
        <w:jc w:val="both"/>
        <w:rPr>
          <w:rFonts w:ascii="Arial" w:hAnsi="Arial" w:cs="Arial"/>
          <w:sz w:val="22"/>
          <w:szCs w:val="22"/>
        </w:rPr>
      </w:pPr>
      <w:r w:rsidRPr="00913EFC">
        <w:rPr>
          <w:rFonts w:ascii="Arial" w:hAnsi="Arial" w:cs="Arial"/>
          <w:sz w:val="22"/>
          <w:szCs w:val="22"/>
        </w:rPr>
        <w:t>Description and analysis. First, as noted in section 2.2, the King's Fund (2024) observes that vacancy levels in community, mental health, and primary care are frequently higher than in acute settings, yet, as shown in section 2.3, the empirical evidence on staffing and outcomes is drawn almost entirely from acute hospital and nursing contexts. Second, as identified in section 2.4, public inquiries offer valuable case-based depth but are inherently retrospective and setting-specific, limiting how far their findings can be generalised. Third, section 2.5 shows that the literature on staff wellbeing and the literature on patient outcomes have developed as largely separate strands, with few studies explicitly testing burnout and retention as mediators between staffing and patient safety. Fourth, as discussed in section 2.6, the recency of the NHS Long Term Workforce Plan means there is still little robust evaluation of current policy responses.</w:t>
      </w:r>
    </w:p>
    <w:p w14:paraId="4E6F4D98" w14:textId="62C3A5CF" w:rsidR="00913EFC" w:rsidRPr="00913EFC" w:rsidRDefault="00913EFC" w:rsidP="00913EFC">
      <w:pPr>
        <w:spacing w:after="200"/>
        <w:jc w:val="both"/>
        <w:rPr>
          <w:rFonts w:ascii="Arial" w:hAnsi="Arial" w:cs="Arial"/>
          <w:sz w:val="22"/>
          <w:szCs w:val="22"/>
        </w:rPr>
      </w:pPr>
      <w:r w:rsidRPr="00913EFC">
        <w:rPr>
          <w:rFonts w:ascii="Arial" w:hAnsi="Arial" w:cs="Arial"/>
          <w:sz w:val="22"/>
          <w:szCs w:val="22"/>
        </w:rPr>
        <w:t>These four gaps are interconnected rather than isolated: the absence of evidence beyond acute settings, the limits of inquiry-based generalisability, the disconnect between wellbeing and outcomes research, and the immaturity of policy evaluation together mean that the field currently offers a strong account of that shortages cause harm, but a comparatively thin account of how this operates across different parts of the NHS and what should be done about it now.</w:t>
      </w:r>
    </w:p>
    <w:p w14:paraId="1F00A872" w14:textId="55E750EE" w:rsidR="00913EFC" w:rsidRDefault="00913EFC" w:rsidP="00913EFC">
      <w:pPr>
        <w:spacing w:after="200"/>
        <w:jc w:val="both"/>
        <w:rPr>
          <w:rFonts w:ascii="Arial" w:hAnsi="Arial" w:cs="Arial"/>
          <w:sz w:val="22"/>
          <w:szCs w:val="22"/>
        </w:rPr>
      </w:pPr>
      <w:r w:rsidRPr="00913EFC">
        <w:rPr>
          <w:rFonts w:ascii="Arial" w:hAnsi="Arial" w:cs="Arial"/>
          <w:sz w:val="22"/>
          <w:szCs w:val="22"/>
        </w:rPr>
        <w:t>By examining the mechanisms connecting staffing shortages to care delivery outcomes across these underexplored areas, and by evaluating the available evidence for recent policy responses, this dissertation aims to address these gaps directly.</w:t>
      </w:r>
    </w:p>
    <w:p w14:paraId="4C01AD0B" w14:textId="77777777" w:rsidR="00067158" w:rsidRPr="00DC2C23" w:rsidRDefault="00067158" w:rsidP="00067158">
      <w:pPr>
        <w:rPr>
          <w:rFonts w:ascii="Arial" w:hAnsi="Arial" w:cs="Arial"/>
          <w:b/>
          <w:bCs/>
          <w:sz w:val="22"/>
          <w:szCs w:val="22"/>
        </w:rPr>
      </w:pPr>
      <w:r w:rsidRPr="00DC2C23">
        <w:rPr>
          <w:rFonts w:ascii="Arial" w:hAnsi="Arial" w:cs="Arial"/>
          <w:b/>
          <w:bCs/>
          <w:sz w:val="22"/>
          <w:szCs w:val="22"/>
        </w:rPr>
        <w:t>2.8 Conclusion</w:t>
      </w:r>
    </w:p>
    <w:p w14:paraId="10DC44E1" w14:textId="77777777" w:rsidR="00EC56ED" w:rsidRPr="00EC56ED" w:rsidRDefault="00EC56ED" w:rsidP="00EC56ED">
      <w:pPr>
        <w:spacing w:after="200"/>
        <w:jc w:val="both"/>
        <w:rPr>
          <w:rFonts w:ascii="Arial" w:hAnsi="Arial" w:cs="Arial"/>
          <w:sz w:val="22"/>
          <w:szCs w:val="22"/>
        </w:rPr>
      </w:pPr>
      <w:r w:rsidRPr="00EC56ED">
        <w:rPr>
          <w:rFonts w:ascii="Arial" w:hAnsi="Arial" w:cs="Arial"/>
          <w:sz w:val="22"/>
          <w:szCs w:val="22"/>
        </w:rPr>
        <w:t>This chapter has reviewed the literature addressing how NHS workforce shortages affect healthcare delivery, returning to the research questions set out in section 1.5. The literature has moved beyond simple vacancy statistics toward more dynamic, safety-oriented conceptualisations of shortage (2.2), while a substantial and consistent body of quantitative evidence demonstrates a dose-response relationship between nurse staffing levels and adverse patient outcomes (2.3). Public inquiries add essential explanatory depth, showing that understaffing typically causes harm in interaction with organisational and escalation failures rather than in isolation (2.4). A parallel literature demonstrates that staff wellbeing and retention operate in a self-reinforcing cycle with staffing levels (2.5), while the policy literature reveals a persistent mismatch between the urgency of the problem and the multi-year timescales on which most proposed solutions operate (2.6).</w:t>
      </w:r>
    </w:p>
    <w:p w14:paraId="6D4B29ED" w14:textId="77777777" w:rsidR="00EC56ED" w:rsidRDefault="00EC56ED" w:rsidP="00EC56ED">
      <w:pPr>
        <w:spacing w:after="200"/>
        <w:jc w:val="both"/>
      </w:pPr>
      <w:r w:rsidRPr="466C777D">
        <w:rPr>
          <w:rFonts w:ascii="Arial" w:hAnsi="Arial" w:cs="Arial"/>
          <w:sz w:val="22"/>
          <w:szCs w:val="22"/>
        </w:rPr>
        <w:t>Taken together, these strands expose four specific gaps: limited evidence outside acute hospital and nursing settings; the case-specific, non-generalisable nature of inquiry evidence; an underdeveloped empirical link between staff wellbeing and patient safety outcomes; and a still-immature evidence base for evaluating recent policy responses such as the NHS Long Term Workforce Plan (2.7). By examining the mechanisms linking shortages to care delivery outcomes across a broader range of service settings, and</w:t>
      </w:r>
      <w:r>
        <w:t xml:space="preserve"> </w:t>
      </w:r>
      <w:r w:rsidRPr="466C777D">
        <w:rPr>
          <w:rFonts w:ascii="Arial" w:hAnsi="Arial" w:cs="Arial"/>
          <w:sz w:val="22"/>
          <w:szCs w:val="22"/>
        </w:rPr>
        <w:t>by evaluating the available evidence on recent policy responses, this dissertation aims to build directly on the foundation established here. The following chapter sets out the methodology used to pursue this aim.</w:t>
      </w:r>
    </w:p>
    <w:p w14:paraId="7350F9EC" w14:textId="5D113421" w:rsidR="293F86B8" w:rsidRDefault="293F86B8" w:rsidP="466C777D">
      <w:pPr>
        <w:spacing w:after="200"/>
        <w:jc w:val="both"/>
        <w:rPr>
          <w:rFonts w:ascii="Arial" w:hAnsi="Arial" w:cs="Arial"/>
          <w:b/>
          <w:bCs/>
          <w:color w:val="FF0000"/>
          <w:sz w:val="22"/>
          <w:szCs w:val="22"/>
        </w:rPr>
      </w:pPr>
      <w:r w:rsidRPr="466C777D">
        <w:rPr>
          <w:rFonts w:ascii="Arial" w:hAnsi="Arial" w:cs="Arial"/>
          <w:b/>
          <w:bCs/>
          <w:color w:val="FF0000"/>
          <w:sz w:val="22"/>
          <w:szCs w:val="22"/>
        </w:rPr>
        <w:t xml:space="preserve">If it possible, please draw a conceptual framework </w:t>
      </w:r>
    </w:p>
    <w:p w14:paraId="008E5CAB" w14:textId="77777777" w:rsidR="005E25E6" w:rsidRPr="00766C27" w:rsidRDefault="005E25E6" w:rsidP="005E25E6">
      <w:pPr>
        <w:rPr>
          <w:rFonts w:ascii="Arial" w:hAnsi="Arial" w:cs="Arial"/>
          <w:b/>
          <w:bCs/>
          <w:sz w:val="28"/>
          <w:szCs w:val="28"/>
        </w:rPr>
      </w:pPr>
      <w:r w:rsidRPr="00766C27">
        <w:rPr>
          <w:rFonts w:ascii="Arial" w:hAnsi="Arial" w:cs="Arial"/>
          <w:b/>
          <w:bCs/>
          <w:sz w:val="28"/>
          <w:szCs w:val="28"/>
        </w:rPr>
        <w:t>Chapter 3: Methodology</w:t>
      </w:r>
    </w:p>
    <w:p w14:paraId="7085AFA2" w14:textId="77777777" w:rsidR="005E25E6" w:rsidRPr="00DC2C23" w:rsidRDefault="005E25E6" w:rsidP="005E25E6">
      <w:pPr>
        <w:rPr>
          <w:rFonts w:ascii="Arial" w:hAnsi="Arial" w:cs="Arial"/>
          <w:b/>
          <w:bCs/>
          <w:sz w:val="22"/>
          <w:szCs w:val="22"/>
        </w:rPr>
      </w:pPr>
      <w:r w:rsidRPr="00DC2C23">
        <w:rPr>
          <w:rFonts w:ascii="Arial" w:hAnsi="Arial" w:cs="Arial"/>
          <w:b/>
          <w:bCs/>
          <w:sz w:val="22"/>
          <w:szCs w:val="22"/>
        </w:rPr>
        <w:t>3.1 Introduction</w:t>
      </w:r>
    </w:p>
    <w:p w14:paraId="07177703" w14:textId="77777777" w:rsidR="00D739E0" w:rsidRPr="006E114B" w:rsidRDefault="00D739E0" w:rsidP="00D739E0">
      <w:pPr>
        <w:spacing w:after="200"/>
        <w:jc w:val="both"/>
        <w:rPr>
          <w:rFonts w:ascii="Arial" w:hAnsi="Arial" w:cs="Arial"/>
          <w:sz w:val="22"/>
          <w:szCs w:val="22"/>
        </w:rPr>
      </w:pPr>
      <w:r w:rsidRPr="006E114B">
        <w:rPr>
          <w:rFonts w:ascii="Arial" w:hAnsi="Arial" w:cs="Arial"/>
          <w:sz w:val="22"/>
          <w:szCs w:val="22"/>
        </w:rPr>
        <w:t>This chapter describes the methodology used to investigate how workforce shortages affect the NHS's ability to deliver healthcare. It outlines the research philosophy guiding the study, the overall research design, the approach to gathering and analysing data, and the ethical considerations relevant to this type of study. The chapter concludes by acknowledging the limitations of the chosen methodology.</w:t>
      </w:r>
    </w:p>
    <w:p w14:paraId="0A2DDB07" w14:textId="77777777" w:rsidR="00F84A2A" w:rsidRPr="00DC2C23" w:rsidRDefault="00F84A2A" w:rsidP="00F84A2A">
      <w:pPr>
        <w:rPr>
          <w:rFonts w:ascii="Arial" w:hAnsi="Arial" w:cs="Arial"/>
          <w:b/>
          <w:bCs/>
          <w:sz w:val="22"/>
          <w:szCs w:val="22"/>
        </w:rPr>
      </w:pPr>
      <w:r w:rsidRPr="00DC2C23">
        <w:rPr>
          <w:rFonts w:ascii="Arial" w:hAnsi="Arial" w:cs="Arial"/>
          <w:b/>
          <w:bCs/>
          <w:sz w:val="22"/>
          <w:szCs w:val="22"/>
        </w:rPr>
        <w:t>3.2 Research Philosophy</w:t>
      </w:r>
    </w:p>
    <w:p w14:paraId="0E7EB8BE" w14:textId="14396732" w:rsidR="00D739E0" w:rsidRPr="00F84A2A" w:rsidRDefault="00D739E0" w:rsidP="00D739E0">
      <w:pPr>
        <w:spacing w:after="200"/>
        <w:jc w:val="both"/>
        <w:rPr>
          <w:rFonts w:ascii="Arial" w:hAnsi="Arial" w:cs="Arial"/>
          <w:sz w:val="22"/>
          <w:szCs w:val="22"/>
        </w:rPr>
      </w:pPr>
      <w:r w:rsidRPr="00F84A2A">
        <w:rPr>
          <w:rFonts w:ascii="Arial" w:hAnsi="Arial" w:cs="Arial"/>
          <w:sz w:val="22"/>
          <w:szCs w:val="22"/>
        </w:rPr>
        <w:t xml:space="preserve">This study adopts an interpretivist research philosophy. Rather than isolating variables in the manner favoured by positivist approaches, interpretivism holds </w:t>
      </w:r>
      <w:r w:rsidR="006E114B" w:rsidRPr="00F84A2A">
        <w:rPr>
          <w:rFonts w:ascii="Arial" w:hAnsi="Arial" w:cs="Arial"/>
          <w:sz w:val="22"/>
          <w:szCs w:val="22"/>
        </w:rPr>
        <w:t>those social and organisational phenomena</w:t>
      </w:r>
      <w:r w:rsidRPr="00F84A2A">
        <w:rPr>
          <w:rFonts w:ascii="Arial" w:hAnsi="Arial" w:cs="Arial"/>
          <w:sz w:val="22"/>
          <w:szCs w:val="22"/>
        </w:rPr>
        <w:t xml:space="preserve"> — including workforce dynamics within complex institutions such as the NHS — are best understood through the interpretation of meaning embedded in existing accounts, data, and reported experience (Saunders et al., 2019). An interpretivist approach is appropriate here, as this dissertation is concerned not only with measurable staffing data but also with the mechanisms, lived experiences, and policy narratives that connect staffing shortfalls to outcomes. This does not mean quantitative evidence is disregarded; rather, published quantitative findings (such as vacancy rates and mortality associations) are treated as data to be interpreted within their institutional and policy context, alongside qualitative evidence from inquiries and survey reports.</w:t>
      </w:r>
    </w:p>
    <w:p w14:paraId="790B337F" w14:textId="77777777" w:rsidR="0042415A" w:rsidRPr="00DC2C23" w:rsidRDefault="0042415A" w:rsidP="0042415A">
      <w:pPr>
        <w:rPr>
          <w:rFonts w:ascii="Arial" w:hAnsi="Arial" w:cs="Arial"/>
          <w:b/>
          <w:bCs/>
          <w:sz w:val="22"/>
          <w:szCs w:val="22"/>
        </w:rPr>
      </w:pPr>
      <w:r w:rsidRPr="00DC2C23">
        <w:rPr>
          <w:rFonts w:ascii="Arial" w:hAnsi="Arial" w:cs="Arial"/>
          <w:b/>
          <w:bCs/>
          <w:sz w:val="22"/>
          <w:szCs w:val="22"/>
        </w:rPr>
        <w:t>3.3 Research Approach</w:t>
      </w:r>
    </w:p>
    <w:p w14:paraId="42CE92E7" w14:textId="77777777" w:rsidR="002A14F4" w:rsidRPr="002A14F4" w:rsidRDefault="002A14F4" w:rsidP="002A14F4">
      <w:pPr>
        <w:spacing w:after="200"/>
        <w:jc w:val="both"/>
        <w:rPr>
          <w:rFonts w:ascii="Arial" w:hAnsi="Arial" w:cs="Arial"/>
          <w:sz w:val="22"/>
          <w:szCs w:val="22"/>
        </w:rPr>
      </w:pPr>
      <w:r w:rsidRPr="002A14F4">
        <w:rPr>
          <w:rFonts w:ascii="Arial" w:hAnsi="Arial" w:cs="Arial"/>
          <w:sz w:val="22"/>
          <w:szCs w:val="22"/>
        </w:rPr>
        <w:t>The study follows a qualitative, desk-based research design, structured as a narrative review and thematic analysis of secondary sources. This approach was chosen for several reasons. First, rather than generating new primary data, the research questions are concerned with synthesising and interpreting a substantial body of existing material, including academic literature, NHS workforce statistics, sector reports, and public inquiry findings. Second, several of the phenomena central to this study — such as the findings of major public inquiries, including the Francis Report and the Ockenden Review — are not readily amenable to replication through primary data collection within the scope of a dissertation. Third, a secondary, document-based design allows the study to draw on national-level data and authoritative reporting (e.g., NHS England, the King's Fund, the Nuffield Trust) that would be difficult to reproduce independently, while enabling a broad, England-wide perspective consistent with the study's stated scope.</w:t>
      </w:r>
    </w:p>
    <w:p w14:paraId="09E6879B" w14:textId="77777777" w:rsidR="002A14F4" w:rsidRDefault="002A14F4" w:rsidP="002A14F4">
      <w:pPr>
        <w:spacing w:after="200"/>
        <w:jc w:val="both"/>
        <w:rPr>
          <w:rFonts w:ascii="Arial" w:hAnsi="Arial" w:cs="Arial"/>
          <w:sz w:val="22"/>
          <w:szCs w:val="22"/>
        </w:rPr>
      </w:pPr>
      <w:r w:rsidRPr="002A14F4">
        <w:rPr>
          <w:rFonts w:ascii="Arial" w:hAnsi="Arial" w:cs="Arial"/>
          <w:sz w:val="22"/>
          <w:szCs w:val="22"/>
        </w:rPr>
        <w:t>It should be noted that this review is narrative rather than fully systematic in the PRISMA sense, since it integrates policy documents and inquiry reports alongside empirical studies — a mix that does not lend itself to the standardised search-and-screening protocols or quantitative synthesis methods associated with a formal systematic review. It is, however, systematic in its application of explicit, pre-defined selection criteria to the sources consulted (see 3.4).</w:t>
      </w:r>
    </w:p>
    <w:p w14:paraId="75F51325" w14:textId="77777777" w:rsidR="008E006F" w:rsidRPr="00DC2C23" w:rsidRDefault="008E006F" w:rsidP="008E006F">
      <w:pPr>
        <w:rPr>
          <w:rFonts w:ascii="Arial" w:hAnsi="Arial" w:cs="Arial"/>
          <w:b/>
          <w:bCs/>
          <w:sz w:val="22"/>
          <w:szCs w:val="22"/>
        </w:rPr>
      </w:pPr>
      <w:r w:rsidRPr="00DC2C23">
        <w:rPr>
          <w:rFonts w:ascii="Arial" w:hAnsi="Arial" w:cs="Arial"/>
          <w:b/>
          <w:bCs/>
          <w:sz w:val="22"/>
          <w:szCs w:val="22"/>
        </w:rPr>
        <w:t>3.4 Data Sources and Collection</w:t>
      </w:r>
    </w:p>
    <w:p w14:paraId="162EA3B7" w14:textId="77777777" w:rsidR="008F3219" w:rsidRPr="008F3219" w:rsidRDefault="008F3219" w:rsidP="008F3219">
      <w:pPr>
        <w:spacing w:after="200"/>
        <w:jc w:val="both"/>
        <w:rPr>
          <w:rFonts w:ascii="Arial" w:hAnsi="Arial" w:cs="Arial"/>
          <w:sz w:val="22"/>
          <w:szCs w:val="22"/>
        </w:rPr>
      </w:pPr>
      <w:r w:rsidRPr="008F3219">
        <w:rPr>
          <w:rFonts w:ascii="Arial" w:hAnsi="Arial" w:cs="Arial"/>
          <w:sz w:val="22"/>
          <w:szCs w:val="22"/>
        </w:rPr>
        <w:t>All data used in this study were drawn from secondary sources, gathered through a structured search and selection process. Four categories of source were prioritised:</w:t>
      </w:r>
    </w:p>
    <w:p w14:paraId="164B6A97" w14:textId="77777777" w:rsidR="008F3219" w:rsidRPr="008F3219" w:rsidRDefault="008F3219" w:rsidP="008F3219">
      <w:pPr>
        <w:numPr>
          <w:ilvl w:val="0"/>
          <w:numId w:val="3"/>
        </w:numPr>
        <w:spacing w:after="200"/>
        <w:jc w:val="both"/>
        <w:rPr>
          <w:rFonts w:ascii="Arial" w:hAnsi="Arial" w:cs="Arial"/>
          <w:sz w:val="22"/>
          <w:szCs w:val="22"/>
        </w:rPr>
      </w:pPr>
      <w:r w:rsidRPr="008F3219">
        <w:rPr>
          <w:rFonts w:ascii="Arial" w:hAnsi="Arial" w:cs="Arial"/>
          <w:sz w:val="22"/>
          <w:szCs w:val="22"/>
        </w:rPr>
        <w:t>Academic literature — peer-reviewed research on the relationship between staffing levels and patient outcomes, retrieved through academic databases (e.g., PubMed, CINAHL, Google Scholar) using search terms including “NHS workforce shortage,” “nurse staffing patient outcomes,” “healthcare worker retention,” and “safe staffing.”</w:t>
      </w:r>
    </w:p>
    <w:p w14:paraId="6644E4CA" w14:textId="77777777" w:rsidR="008F3219" w:rsidRPr="008F3219" w:rsidRDefault="008F3219" w:rsidP="008F3219">
      <w:pPr>
        <w:numPr>
          <w:ilvl w:val="0"/>
          <w:numId w:val="3"/>
        </w:numPr>
        <w:spacing w:after="200"/>
        <w:jc w:val="both"/>
        <w:rPr>
          <w:rFonts w:ascii="Arial" w:hAnsi="Arial" w:cs="Arial"/>
          <w:sz w:val="22"/>
          <w:szCs w:val="22"/>
        </w:rPr>
      </w:pPr>
      <w:r w:rsidRPr="008F3219">
        <w:rPr>
          <w:rFonts w:ascii="Arial" w:hAnsi="Arial" w:cs="Arial"/>
          <w:sz w:val="22"/>
          <w:szCs w:val="22"/>
        </w:rPr>
        <w:t>Official statistics and workforce data — published by NHS England, providing quantitative data on vacancy rates, staff turnover, and workforce composition.</w:t>
      </w:r>
    </w:p>
    <w:p w14:paraId="7C0A1396" w14:textId="77777777" w:rsidR="008F3219" w:rsidRPr="008F3219" w:rsidRDefault="008F3219" w:rsidP="008F3219">
      <w:pPr>
        <w:numPr>
          <w:ilvl w:val="0"/>
          <w:numId w:val="3"/>
        </w:numPr>
        <w:spacing w:after="200"/>
        <w:jc w:val="both"/>
        <w:rPr>
          <w:rFonts w:ascii="Arial" w:hAnsi="Arial" w:cs="Arial"/>
          <w:sz w:val="22"/>
          <w:szCs w:val="22"/>
        </w:rPr>
      </w:pPr>
      <w:r w:rsidRPr="008F3219">
        <w:rPr>
          <w:rFonts w:ascii="Arial" w:hAnsi="Arial" w:cs="Arial"/>
          <w:sz w:val="22"/>
          <w:szCs w:val="22"/>
        </w:rPr>
        <w:t>Sector and policy reports — published by organisations including the King's Fund, the Nuffield Trust, the Health Foundation, and the British Medical Association, providing analysis of workforce trends and policy responses.</w:t>
      </w:r>
    </w:p>
    <w:p w14:paraId="299E6B83" w14:textId="77777777" w:rsidR="008F3219" w:rsidRPr="008F3219" w:rsidRDefault="008F3219" w:rsidP="008F3219">
      <w:pPr>
        <w:numPr>
          <w:ilvl w:val="0"/>
          <w:numId w:val="3"/>
        </w:numPr>
        <w:spacing w:after="200"/>
        <w:jc w:val="both"/>
        <w:rPr>
          <w:rFonts w:ascii="Arial" w:hAnsi="Arial" w:cs="Arial"/>
          <w:sz w:val="22"/>
          <w:szCs w:val="22"/>
        </w:rPr>
      </w:pPr>
      <w:r w:rsidRPr="008F3219">
        <w:rPr>
          <w:rFonts w:ascii="Arial" w:hAnsi="Arial" w:cs="Arial"/>
          <w:sz w:val="22"/>
          <w:szCs w:val="22"/>
        </w:rPr>
        <w:t>Public inquiry reports — including the Francis Report (2013) and the Ockenden Review (2022), providing detailed case-based evidence on the consequences of understaffing.</w:t>
      </w:r>
    </w:p>
    <w:p w14:paraId="3D8F4A8B" w14:textId="77777777" w:rsidR="008F3219" w:rsidRPr="008F3219" w:rsidRDefault="008F3219" w:rsidP="008F3219">
      <w:pPr>
        <w:spacing w:after="200"/>
        <w:jc w:val="both"/>
        <w:rPr>
          <w:rFonts w:ascii="Arial" w:hAnsi="Arial" w:cs="Arial"/>
          <w:sz w:val="22"/>
          <w:szCs w:val="22"/>
        </w:rPr>
      </w:pPr>
      <w:r w:rsidRPr="008F3219">
        <w:rPr>
          <w:rFonts w:ascii="Arial" w:hAnsi="Arial" w:cs="Arial"/>
          <w:sz w:val="22"/>
          <w:szCs w:val="22"/>
        </w:rPr>
        <w:t>Sources were selected according to relevance to the research questions, currency (with priority given to material published within the last decade, and particularly the last two to three years), and credibility of the publishing body. Sources falling outside the study's England-specific scope, or lacking a clear evidentiary basis, were excluded, consistent with the scope defined in Chapter 1. Credibility was assessed according to three markers: peer-reviewed status for academic literature; publication by a recognised NHS body, government department, or established independent health policy institute for statistics and sector reports; and, for public inquiry reports, formal commissioning under statutory or governmental authority. Sources lacking any of these markers, or presenting findings without a transparent evidentiary basis, were excluded.</w:t>
      </w:r>
    </w:p>
    <w:p w14:paraId="2E89D669" w14:textId="77777777" w:rsidR="00B24246" w:rsidRPr="00DC2C23" w:rsidRDefault="00B24246" w:rsidP="00B24246">
      <w:pPr>
        <w:rPr>
          <w:rFonts w:ascii="Arial" w:hAnsi="Arial" w:cs="Arial"/>
          <w:b/>
          <w:bCs/>
          <w:sz w:val="22"/>
          <w:szCs w:val="22"/>
        </w:rPr>
      </w:pPr>
      <w:r w:rsidRPr="00DC2C23">
        <w:rPr>
          <w:rFonts w:ascii="Arial" w:hAnsi="Arial" w:cs="Arial"/>
          <w:b/>
          <w:bCs/>
          <w:sz w:val="22"/>
          <w:szCs w:val="22"/>
        </w:rPr>
        <w:t>3.5 Data Analysis</w:t>
      </w:r>
    </w:p>
    <w:p w14:paraId="52808F00" w14:textId="77777777" w:rsidR="009349F2" w:rsidRPr="009349F2" w:rsidRDefault="009349F2" w:rsidP="009349F2">
      <w:pPr>
        <w:spacing w:after="200"/>
        <w:jc w:val="both"/>
        <w:rPr>
          <w:rFonts w:ascii="Arial" w:hAnsi="Arial" w:cs="Arial"/>
          <w:sz w:val="22"/>
          <w:szCs w:val="22"/>
        </w:rPr>
      </w:pPr>
      <w:r w:rsidRPr="009349F2">
        <w:rPr>
          <w:rFonts w:ascii="Arial" w:hAnsi="Arial" w:cs="Arial"/>
          <w:sz w:val="22"/>
          <w:szCs w:val="22"/>
        </w:rPr>
        <w:t>Data were analysed using thematic analysis, following the six-phase framework developed by Braun and Clarke (2006): familiarisation with the data, generation of initial codes, searching for themes, reviewing themes, defining and naming themes, and producing the final analysis. This approach was applied across the collected literature, statistics, and inquiry findings to identify recurring themes relevant to the three research objectives: the conceptualisation of workforce shortages, the mechanisms linking staffing to care delivery outcomes, and the effectiveness of policy responses. Where quantitative data were reported in secondary sources (e.g., vacancy rates, mortality associations), these were synthesised narratively rather than subjected to independent statistical re-analysis, consistent with the study's qualitative, interpretive design.</w:t>
      </w:r>
    </w:p>
    <w:p w14:paraId="358EE443" w14:textId="77777777" w:rsidR="00613885" w:rsidRPr="00DC2C23" w:rsidRDefault="00613885" w:rsidP="00613885">
      <w:pPr>
        <w:rPr>
          <w:rFonts w:ascii="Arial" w:hAnsi="Arial" w:cs="Arial"/>
          <w:b/>
          <w:bCs/>
          <w:sz w:val="22"/>
          <w:szCs w:val="22"/>
        </w:rPr>
      </w:pPr>
      <w:r w:rsidRPr="00DC2C23">
        <w:rPr>
          <w:rFonts w:ascii="Arial" w:hAnsi="Arial" w:cs="Arial"/>
          <w:b/>
          <w:bCs/>
          <w:sz w:val="22"/>
          <w:szCs w:val="22"/>
        </w:rPr>
        <w:t>3.6 Ethical Considerations</w:t>
      </w:r>
    </w:p>
    <w:p w14:paraId="30EBFDFC" w14:textId="77777777" w:rsidR="00AF4178" w:rsidRDefault="00AF4178" w:rsidP="00AF4178">
      <w:pPr>
        <w:spacing w:after="200"/>
        <w:jc w:val="both"/>
        <w:rPr>
          <w:rFonts w:ascii="Arial" w:hAnsi="Arial" w:cs="Arial"/>
          <w:sz w:val="22"/>
          <w:szCs w:val="22"/>
        </w:rPr>
      </w:pPr>
      <w:r w:rsidRPr="00AF4178">
        <w:rPr>
          <w:rFonts w:ascii="Arial" w:hAnsi="Arial" w:cs="Arial"/>
          <w:sz w:val="22"/>
          <w:szCs w:val="22"/>
        </w:rPr>
        <w:t>As this study relies entirely on publicly available secondary data and published reports, it does not involve direct contact with human participants and therefore did not require the primary ethical approval associated with primary data collection. Nonetheless, ethical care was taken to represent all sources accurately, to avoid selective use of evidence that might misrepresent the balance of findings within the literature, and to properly attribute all data and analysis to their original sources through consistent referencing. Where sources presented conflicting findings or interpretations, this was acknowledged and discussed transparently rather than resolved through selective omission.</w:t>
      </w:r>
    </w:p>
    <w:p w14:paraId="11E06FE2" w14:textId="77777777" w:rsidR="005D5886" w:rsidRPr="00DC2C23" w:rsidRDefault="005D5886" w:rsidP="005D5886">
      <w:pPr>
        <w:rPr>
          <w:rFonts w:ascii="Arial" w:hAnsi="Arial" w:cs="Arial"/>
          <w:b/>
          <w:bCs/>
          <w:sz w:val="22"/>
          <w:szCs w:val="22"/>
        </w:rPr>
      </w:pPr>
      <w:r w:rsidRPr="00DC2C23">
        <w:rPr>
          <w:rFonts w:ascii="Arial" w:hAnsi="Arial" w:cs="Arial"/>
          <w:b/>
          <w:bCs/>
          <w:sz w:val="22"/>
          <w:szCs w:val="22"/>
        </w:rPr>
        <w:t>3.7 Limitations of the Methodology</w:t>
      </w:r>
    </w:p>
    <w:p w14:paraId="5DA5D0CE" w14:textId="0252CE8D" w:rsidR="00B277DD" w:rsidRDefault="00B277DD" w:rsidP="00B277DD">
      <w:pPr>
        <w:spacing w:after="200"/>
        <w:jc w:val="both"/>
        <w:rPr>
          <w:rFonts w:ascii="Arial" w:hAnsi="Arial" w:cs="Arial"/>
          <w:sz w:val="22"/>
          <w:szCs w:val="22"/>
        </w:rPr>
      </w:pPr>
      <w:r w:rsidRPr="00A30242">
        <w:rPr>
          <w:rFonts w:ascii="Arial" w:hAnsi="Arial" w:cs="Arial"/>
          <w:sz w:val="22"/>
          <w:szCs w:val="22"/>
        </w:rPr>
        <w:t xml:space="preserve">This methodology carries several limitations. Reliance on secondary data means the study is dependent on the quality, completeness, and framing of existing sources, and cannot generate new primary evidence specific to </w:t>
      </w:r>
      <w:r w:rsidR="00443689" w:rsidRPr="00A30242">
        <w:rPr>
          <w:rFonts w:ascii="Arial" w:hAnsi="Arial" w:cs="Arial"/>
          <w:sz w:val="22"/>
          <w:szCs w:val="22"/>
        </w:rPr>
        <w:t>NHS</w:t>
      </w:r>
      <w:r w:rsidRPr="00A30242">
        <w:rPr>
          <w:rFonts w:ascii="Arial" w:hAnsi="Arial" w:cs="Arial"/>
          <w:sz w:val="22"/>
          <w:szCs w:val="22"/>
        </w:rPr>
        <w:t xml:space="preserve"> trusts or staff groups. The exclusion of primary data collection, such as interviews with NHS staff, also limits the extent to which the study can capture first-hand experiential accounts beyond those already documented in existing surveys and inquiries. Additionally, because much of the available literature originates from acute hospital and nursing contexts, the analysis may be less able to speak with confidence to community, mental health, and primary care settings — a limitation also noted in Chapter 2. These limitations are considered acceptable given the scope and resource constraints of the </w:t>
      </w:r>
      <w:r w:rsidR="00A30242" w:rsidRPr="00A30242">
        <w:rPr>
          <w:rFonts w:ascii="Arial" w:hAnsi="Arial" w:cs="Arial"/>
          <w:sz w:val="22"/>
          <w:szCs w:val="22"/>
        </w:rPr>
        <w:t>dissertation but</w:t>
      </w:r>
      <w:r w:rsidRPr="00A30242">
        <w:rPr>
          <w:rFonts w:ascii="Arial" w:hAnsi="Arial" w:cs="Arial"/>
          <w:sz w:val="22"/>
          <w:szCs w:val="22"/>
        </w:rPr>
        <w:t xml:space="preserve"> are acknowledged as areas for further research in Chapter 5.</w:t>
      </w:r>
    </w:p>
    <w:p w14:paraId="1991DA02" w14:textId="77777777" w:rsidR="00443689" w:rsidRPr="00DC2C23" w:rsidRDefault="00443689" w:rsidP="00443689">
      <w:pPr>
        <w:rPr>
          <w:rFonts w:ascii="Arial" w:hAnsi="Arial" w:cs="Arial"/>
          <w:b/>
          <w:bCs/>
          <w:sz w:val="22"/>
          <w:szCs w:val="22"/>
        </w:rPr>
      </w:pPr>
      <w:r w:rsidRPr="00DC2C23">
        <w:rPr>
          <w:rFonts w:ascii="Arial" w:hAnsi="Arial" w:cs="Arial"/>
          <w:b/>
          <w:bCs/>
          <w:sz w:val="22"/>
          <w:szCs w:val="22"/>
        </w:rPr>
        <w:t>3.8 Chapter Summary</w:t>
      </w:r>
    </w:p>
    <w:p w14:paraId="3A25C054" w14:textId="77777777" w:rsidR="00F039D2" w:rsidRPr="00F039D2" w:rsidRDefault="00F039D2" w:rsidP="00F039D2">
      <w:pPr>
        <w:spacing w:after="200"/>
        <w:jc w:val="both"/>
        <w:rPr>
          <w:rFonts w:ascii="Arial" w:hAnsi="Arial" w:cs="Arial"/>
          <w:sz w:val="22"/>
          <w:szCs w:val="22"/>
        </w:rPr>
      </w:pPr>
      <w:r w:rsidRPr="00F039D2">
        <w:rPr>
          <w:rFonts w:ascii="Arial" w:hAnsi="Arial" w:cs="Arial"/>
          <w:sz w:val="22"/>
          <w:szCs w:val="22"/>
        </w:rPr>
        <w:t>This chapter has set out the interpretivist, qualitative, desk-based methodology adopted for this study, including the sources of data, the process of data collection, and the thematic analysis approach used to interpret findings. It has also addressed ethical considerations and acknowledged the limitations of a secondary-data research design. The following chapter presents the findings generated through this analysis.</w:t>
      </w:r>
    </w:p>
    <w:p w14:paraId="38E08382" w14:textId="77777777" w:rsidR="002B1531" w:rsidRPr="00DC2C23" w:rsidRDefault="002B1531" w:rsidP="002B1531">
      <w:pPr>
        <w:rPr>
          <w:rFonts w:ascii="Arial" w:hAnsi="Arial" w:cs="Arial"/>
          <w:b/>
          <w:bCs/>
          <w:sz w:val="22"/>
          <w:szCs w:val="22"/>
        </w:rPr>
      </w:pPr>
      <w:r w:rsidRPr="00DC2C23">
        <w:rPr>
          <w:rFonts w:ascii="Arial" w:hAnsi="Arial" w:cs="Arial"/>
          <w:b/>
          <w:bCs/>
          <w:sz w:val="22"/>
          <w:szCs w:val="22"/>
        </w:rPr>
        <w:t>Chapter 4: Results and Discussion</w:t>
      </w:r>
    </w:p>
    <w:p w14:paraId="1821E5D9" w14:textId="77777777" w:rsidR="002B1531" w:rsidRPr="00DC2C23" w:rsidRDefault="002B1531" w:rsidP="002B1531">
      <w:pPr>
        <w:rPr>
          <w:rFonts w:ascii="Arial" w:hAnsi="Arial" w:cs="Arial"/>
          <w:b/>
          <w:bCs/>
          <w:sz w:val="22"/>
          <w:szCs w:val="22"/>
        </w:rPr>
      </w:pPr>
      <w:r w:rsidRPr="00DC2C23">
        <w:rPr>
          <w:rFonts w:ascii="Arial" w:hAnsi="Arial" w:cs="Arial"/>
          <w:b/>
          <w:bCs/>
          <w:sz w:val="22"/>
          <w:szCs w:val="22"/>
        </w:rPr>
        <w:t>4.1 Introduction</w:t>
      </w:r>
    </w:p>
    <w:p w14:paraId="19EEDCA2" w14:textId="08C9AC70" w:rsidR="00DB706E" w:rsidRPr="00DB706E" w:rsidRDefault="00DB706E" w:rsidP="00DB706E">
      <w:pPr>
        <w:spacing w:after="200"/>
        <w:jc w:val="both"/>
        <w:rPr>
          <w:rFonts w:ascii="Arial" w:hAnsi="Arial" w:cs="Arial"/>
          <w:sz w:val="22"/>
          <w:szCs w:val="22"/>
        </w:rPr>
      </w:pPr>
      <w:r w:rsidRPr="00DB706E">
        <w:rPr>
          <w:rFonts w:ascii="Arial" w:hAnsi="Arial" w:cs="Arial"/>
          <w:sz w:val="22"/>
          <w:szCs w:val="22"/>
        </w:rPr>
        <w:t xml:space="preserve">This chapter presents the findings generated through thematic analysis of the secondary sources described in Chapter </w:t>
      </w:r>
      <w:r w:rsidR="008F1A31" w:rsidRPr="00DB706E">
        <w:rPr>
          <w:rFonts w:ascii="Arial" w:hAnsi="Arial" w:cs="Arial"/>
          <w:sz w:val="22"/>
          <w:szCs w:val="22"/>
        </w:rPr>
        <w:t>3 and</w:t>
      </w:r>
      <w:r w:rsidRPr="00DB706E">
        <w:rPr>
          <w:rFonts w:ascii="Arial" w:hAnsi="Arial" w:cs="Arial"/>
          <w:sz w:val="22"/>
          <w:szCs w:val="22"/>
        </w:rPr>
        <w:t xml:space="preserve"> discusses these findings in relation to the wider literature reviewed in Chapter 2. Consistent with the study's qualitative, interpretive design, results and discussion are integrated within each thematic section rather than presented separately, allowing findings to be interpreted in context as they emerge from the data, rather than reported in isolation and revisited only afterward.</w:t>
      </w:r>
    </w:p>
    <w:p w14:paraId="7B92F071" w14:textId="77777777" w:rsidR="00DB706E" w:rsidRDefault="00DB706E" w:rsidP="00DB706E">
      <w:pPr>
        <w:spacing w:after="200"/>
        <w:jc w:val="both"/>
        <w:rPr>
          <w:rFonts w:ascii="Arial" w:hAnsi="Arial" w:cs="Arial"/>
          <w:sz w:val="22"/>
          <w:szCs w:val="22"/>
        </w:rPr>
      </w:pPr>
      <w:r w:rsidRPr="00DB706E">
        <w:rPr>
          <w:rFonts w:ascii="Arial" w:hAnsi="Arial" w:cs="Arial"/>
          <w:sz w:val="22"/>
          <w:szCs w:val="22"/>
        </w:rPr>
        <w:t>Four themes emerged from the analysis, reflecting a consolidation of related patterns identified across the sources reviewed: (1) the conceptualisation and measurement of workforce shortages; (2) the relationship between staffing levels, patient safety, and organisational performance; (3) staff wellbeing, burnout, and retention as both cause and consequence of shortages; and (4) the effectiveness of current and proposed policy responses. These themes correspond closely to the three research objectives and research questions set out in Chapter 1, with the second theme integrating clinical and organisational consequences, since the analysis found these two dimensions of impact to be closely intertwined rather than analytically separable. The chapter concludes with a cross-theme discussion that draws these findings together in relation to the existing literature, followed by a summary of key findings that carries forward into the recommendations and conclusions presented in Chapter 5.</w:t>
      </w:r>
    </w:p>
    <w:p w14:paraId="5763C6A2" w14:textId="77777777" w:rsidR="00AB0675" w:rsidRPr="00AB0675" w:rsidRDefault="00AB0675" w:rsidP="00AB0675">
      <w:pPr>
        <w:spacing w:after="200"/>
        <w:jc w:val="both"/>
        <w:rPr>
          <w:rFonts w:ascii="Arial" w:hAnsi="Arial" w:cs="Arial"/>
          <w:b/>
          <w:bCs/>
          <w:sz w:val="22"/>
          <w:szCs w:val="22"/>
        </w:rPr>
      </w:pPr>
      <w:r w:rsidRPr="00AB0675">
        <w:rPr>
          <w:rFonts w:ascii="Arial" w:hAnsi="Arial" w:cs="Arial"/>
          <w:b/>
          <w:bCs/>
          <w:sz w:val="22"/>
          <w:szCs w:val="22"/>
        </w:rPr>
        <w:t>4.2. Conceptualisation and Measurement of Workforce Shortages</w:t>
      </w:r>
    </w:p>
    <w:p w14:paraId="29C82013" w14:textId="77777777" w:rsidR="00AB0675" w:rsidRPr="00AB0675" w:rsidRDefault="00AB0675" w:rsidP="00AB0675">
      <w:pPr>
        <w:spacing w:after="200"/>
        <w:jc w:val="both"/>
        <w:rPr>
          <w:rFonts w:ascii="Arial" w:hAnsi="Arial" w:cs="Arial"/>
          <w:b/>
          <w:bCs/>
          <w:sz w:val="22"/>
          <w:szCs w:val="22"/>
        </w:rPr>
      </w:pPr>
      <w:r w:rsidRPr="00AB0675">
        <w:rPr>
          <w:rFonts w:ascii="Arial" w:hAnsi="Arial" w:cs="Arial"/>
          <w:b/>
          <w:bCs/>
          <w:sz w:val="22"/>
          <w:szCs w:val="22"/>
        </w:rPr>
        <w:t>4.2.1 Overview</w:t>
      </w:r>
    </w:p>
    <w:p w14:paraId="021A872A" w14:textId="77777777" w:rsidR="00A31176" w:rsidRPr="00A31176" w:rsidRDefault="00A31176" w:rsidP="00A31176">
      <w:pPr>
        <w:spacing w:after="200"/>
        <w:jc w:val="both"/>
        <w:rPr>
          <w:rFonts w:ascii="Arial" w:hAnsi="Arial" w:cs="Arial"/>
          <w:sz w:val="22"/>
          <w:szCs w:val="22"/>
        </w:rPr>
      </w:pPr>
      <w:r w:rsidRPr="00A31176">
        <w:rPr>
          <w:rFonts w:ascii="Arial" w:hAnsi="Arial" w:cs="Arial"/>
          <w:sz w:val="22"/>
          <w:szCs w:val="22"/>
        </w:rPr>
        <w:t>The analysis confirms that the scale of NHS workforce shortages is highly sensitive to how “shortage” is defined and measured, and that this sensitivity has material consequences for how the problem is understood and addressed.</w:t>
      </w:r>
    </w:p>
    <w:p w14:paraId="30F5DA12" w14:textId="77777777" w:rsidR="0040418F" w:rsidRPr="0040418F" w:rsidRDefault="0040418F" w:rsidP="0040418F">
      <w:pPr>
        <w:spacing w:after="200"/>
        <w:jc w:val="both"/>
        <w:rPr>
          <w:rFonts w:ascii="Arial" w:hAnsi="Arial" w:cs="Arial"/>
          <w:b/>
          <w:bCs/>
          <w:sz w:val="22"/>
          <w:szCs w:val="22"/>
        </w:rPr>
      </w:pPr>
      <w:r w:rsidRPr="0040418F">
        <w:rPr>
          <w:rFonts w:ascii="Arial" w:hAnsi="Arial" w:cs="Arial"/>
          <w:b/>
          <w:bCs/>
          <w:sz w:val="22"/>
          <w:szCs w:val="22"/>
        </w:rPr>
        <w:t>4.2.2 Headline vacancy data and its limitations</w:t>
      </w:r>
    </w:p>
    <w:p w14:paraId="113AE3CE" w14:textId="77777777" w:rsidR="00E747BE" w:rsidRPr="00E747BE" w:rsidRDefault="00E747BE" w:rsidP="00E747BE">
      <w:pPr>
        <w:spacing w:after="200"/>
        <w:jc w:val="both"/>
        <w:rPr>
          <w:rFonts w:ascii="Arial" w:hAnsi="Arial" w:cs="Arial"/>
          <w:sz w:val="22"/>
          <w:szCs w:val="22"/>
        </w:rPr>
      </w:pPr>
      <w:r w:rsidRPr="00E747BE">
        <w:rPr>
          <w:rFonts w:ascii="Arial" w:hAnsi="Arial" w:cs="Arial"/>
          <w:sz w:val="22"/>
          <w:szCs w:val="22"/>
        </w:rPr>
        <w:t>Headline vacancy statistics, such as NHS England's (2025) reported figure of almost 100,000 vacant posts in England — approximately 6.7% of the workforce — provide a widely cited but partial picture. Consistent with the Nuffield Trust's (2026) critique reviewed in Chapter 2, the analysis found that this figure likely understates the operational shortfall, for two related reasons. First, a substantial proportion of nominally “filled” posts are covered on a day-to-day basis by bank or agency staff rather than substantive employees, meaning that the establishment appears fully staffed on paper while the service continues to rely on a transient, less embedded workforce. Second, vacancy data does not capture short-term rota gaps arising from sickness absence, unfilled shifts, or maternity and parental leave, all of which produce real-time staffing shortfalls that never register in quarterly or annual vacancy statistics.</w:t>
      </w:r>
    </w:p>
    <w:p w14:paraId="1B421275" w14:textId="1E0A52C0" w:rsidR="00E747BE" w:rsidRDefault="00E747BE" w:rsidP="00E747BE">
      <w:pPr>
        <w:spacing w:after="200"/>
        <w:jc w:val="both"/>
        <w:rPr>
          <w:rFonts w:ascii="Arial" w:hAnsi="Arial" w:cs="Arial"/>
          <w:sz w:val="22"/>
          <w:szCs w:val="22"/>
        </w:rPr>
      </w:pPr>
      <w:r w:rsidRPr="00E747BE">
        <w:rPr>
          <w:rFonts w:ascii="Arial" w:hAnsi="Arial" w:cs="Arial"/>
          <w:sz w:val="22"/>
          <w:szCs w:val="22"/>
        </w:rPr>
        <w:t xml:space="preserve">This finding carries an important implication for how the workforce crisis should be interpreted by policymakers and researchers alike: reliance on headline vacancy rates as the primary indicator of workforce adequacy risks understating the true pressure on </w:t>
      </w:r>
      <w:r w:rsidR="001D3B23" w:rsidRPr="00E747BE">
        <w:rPr>
          <w:rFonts w:ascii="Arial" w:hAnsi="Arial" w:cs="Arial"/>
          <w:sz w:val="22"/>
          <w:szCs w:val="22"/>
        </w:rPr>
        <w:t>services and</w:t>
      </w:r>
      <w:r w:rsidRPr="00E747BE">
        <w:rPr>
          <w:rFonts w:ascii="Arial" w:hAnsi="Arial" w:cs="Arial"/>
          <w:sz w:val="22"/>
          <w:szCs w:val="22"/>
        </w:rPr>
        <w:t xml:space="preserve"> may lead to policy responses calibrated to an inaccurately optimistic baseline.</w:t>
      </w:r>
    </w:p>
    <w:p w14:paraId="5B11AFAB" w14:textId="77777777" w:rsidR="00003902" w:rsidRPr="00003902" w:rsidRDefault="00003902" w:rsidP="00003902">
      <w:pPr>
        <w:spacing w:after="200"/>
        <w:jc w:val="both"/>
        <w:rPr>
          <w:rFonts w:ascii="Arial" w:hAnsi="Arial" w:cs="Arial"/>
          <w:b/>
          <w:bCs/>
          <w:sz w:val="22"/>
          <w:szCs w:val="22"/>
        </w:rPr>
      </w:pPr>
      <w:r w:rsidRPr="00003902">
        <w:rPr>
          <w:rFonts w:ascii="Arial" w:hAnsi="Arial" w:cs="Arial"/>
          <w:b/>
          <w:bCs/>
          <w:sz w:val="22"/>
          <w:szCs w:val="22"/>
        </w:rPr>
        <w:t>4.2.3 Toward a safety-based alternative</w:t>
      </w:r>
    </w:p>
    <w:p w14:paraId="4C261C2E" w14:textId="304DB291" w:rsidR="00A55203" w:rsidRPr="00A55203" w:rsidRDefault="00491D59" w:rsidP="00A55203">
      <w:pPr>
        <w:spacing w:after="200"/>
        <w:jc w:val="both"/>
        <w:rPr>
          <w:rFonts w:ascii="Arial" w:hAnsi="Arial" w:cs="Arial"/>
          <w:sz w:val="22"/>
          <w:szCs w:val="22"/>
        </w:rPr>
      </w:pPr>
      <w:r w:rsidRPr="00491D59">
        <w:rPr>
          <w:rFonts w:ascii="Arial" w:hAnsi="Arial" w:cs="Arial"/>
          <w:sz w:val="22"/>
          <w:szCs w:val="22"/>
        </w:rPr>
        <w:t>The King's Fund's (2024) concept of the “staffing gap” — the discrepancy between the workforce a service has and the workforce it needs to operate safely — offers a more analytically useful, if harder to operationalise, alternative. Unlike the vacancy rate, which measures the difference between funded and filled posts, the staffing gap measures the difference between actual staffing and clinically safe staffing, shifting the frame of reference from budgetary establishment to patient safety. The findings of this study support the argument that future workforce monitoring should move toward safety-based staffing gap metrics rather than establishment-based vacancy metrics alone, since the latter can mask precisely the kind of operational shortfall most closely associated with the patient safety risks examined in section 4.3.2.</w:t>
      </w:r>
      <w:r w:rsidR="00A55203" w:rsidRPr="00A55203">
        <w:rPr>
          <w:rFonts w:ascii="Times New Roman" w:eastAsia="Times New Roman" w:hAnsi="Times New Roman" w:cs="Times New Roman"/>
          <w:kern w:val="0"/>
          <w:sz w:val="20"/>
          <w:szCs w:val="20"/>
          <w:lang w:eastAsia="en-GB"/>
          <w14:ligatures w14:val="none"/>
        </w:rPr>
        <w:t xml:space="preserve"> </w:t>
      </w:r>
      <w:r w:rsidR="00A55203" w:rsidRPr="00A55203">
        <w:rPr>
          <w:rFonts w:ascii="Arial" w:hAnsi="Arial" w:cs="Arial"/>
          <w:sz w:val="22"/>
          <w:szCs w:val="22"/>
        </w:rPr>
        <w:t>The practical difficulty, however, is that “safe staffing” is not a fixed or universally agreed figure; it varies by clinical setting, patient acuity, and skill mix, meaning that any shift toward staffing-gap reporting would require significant methodological development before it could be applied consistently at a national level.</w:t>
      </w:r>
    </w:p>
    <w:p w14:paraId="29686E39" w14:textId="77777777" w:rsidR="0064559B" w:rsidRDefault="0064559B" w:rsidP="0064559B">
      <w:pPr>
        <w:spacing w:after="200"/>
        <w:jc w:val="both"/>
        <w:rPr>
          <w:rFonts w:ascii="Arial" w:hAnsi="Arial" w:cs="Arial"/>
          <w:b/>
          <w:bCs/>
          <w:sz w:val="22"/>
          <w:szCs w:val="22"/>
        </w:rPr>
      </w:pPr>
      <w:r w:rsidRPr="0064559B">
        <w:rPr>
          <w:rFonts w:ascii="Arial" w:hAnsi="Arial" w:cs="Arial"/>
          <w:b/>
          <w:bCs/>
          <w:sz w:val="22"/>
          <w:szCs w:val="22"/>
        </w:rPr>
        <w:t>4.2.4 Uneven distribution of shortages</w:t>
      </w:r>
    </w:p>
    <w:p w14:paraId="7809FDC1" w14:textId="77777777" w:rsidR="000D3B1E" w:rsidRPr="000D3B1E" w:rsidRDefault="000D3B1E" w:rsidP="000D3B1E">
      <w:pPr>
        <w:spacing w:after="200"/>
        <w:jc w:val="both"/>
        <w:rPr>
          <w:rFonts w:ascii="Arial" w:hAnsi="Arial" w:cs="Arial"/>
          <w:sz w:val="22"/>
          <w:szCs w:val="22"/>
        </w:rPr>
      </w:pPr>
      <w:r w:rsidRPr="000D3B1E">
        <w:rPr>
          <w:rFonts w:ascii="Arial" w:hAnsi="Arial" w:cs="Arial"/>
          <w:sz w:val="22"/>
          <w:szCs w:val="22"/>
        </w:rPr>
        <w:t>The analysis also reinforces the finding that shortages are unevenly distributed, rather than uniformly spread across the NHS. Regional disparities identified by the BMA (2026), with areas such as the East of England falling well below the national average in doctor-to-population ratios, and specialty-level disparities identified by the King's Fund (2024), with mental health and community services experiencing higher vacancy rates than acute settings, both point to a workforce crisis that is concentrated in particular geographies and service types rather than distributed evenly across the system.</w:t>
      </w:r>
    </w:p>
    <w:p w14:paraId="3258C309" w14:textId="77777777" w:rsidR="000D3B1E" w:rsidRPr="000D3B1E" w:rsidRDefault="000D3B1E" w:rsidP="000D3B1E">
      <w:pPr>
        <w:spacing w:after="200"/>
        <w:jc w:val="both"/>
        <w:rPr>
          <w:rFonts w:ascii="Arial" w:hAnsi="Arial" w:cs="Arial"/>
          <w:sz w:val="22"/>
          <w:szCs w:val="22"/>
        </w:rPr>
      </w:pPr>
      <w:r w:rsidRPr="000D3B1E">
        <w:rPr>
          <w:rFonts w:ascii="Arial" w:hAnsi="Arial" w:cs="Arial"/>
          <w:sz w:val="22"/>
          <w:szCs w:val="22"/>
        </w:rPr>
        <w:t>This unevenness has a direct bearing on the study's later discussion of policy effectiveness (section 4.5), since national-level interventions calibrated to an average national vacancy rate may fail to address localised shortfalls that are considerably more severe than the headline figure suggests, particularly in under-resourced regions and historically under-prioritised service areas such as mental health and community care.</w:t>
      </w:r>
    </w:p>
    <w:p w14:paraId="160FFF16" w14:textId="77777777" w:rsidR="009A17AD" w:rsidRPr="009A17AD" w:rsidRDefault="009A17AD" w:rsidP="009A17AD">
      <w:pPr>
        <w:spacing w:after="200"/>
        <w:jc w:val="both"/>
        <w:rPr>
          <w:rFonts w:ascii="Arial" w:hAnsi="Arial" w:cs="Arial"/>
          <w:b/>
          <w:bCs/>
          <w:sz w:val="22"/>
          <w:szCs w:val="22"/>
        </w:rPr>
      </w:pPr>
      <w:r w:rsidRPr="009A17AD">
        <w:rPr>
          <w:rFonts w:ascii="Arial" w:hAnsi="Arial" w:cs="Arial"/>
          <w:b/>
          <w:bCs/>
          <w:sz w:val="22"/>
          <w:szCs w:val="22"/>
        </w:rPr>
        <w:t>4.3 Theme 2: Staffing Levels, Patient Safety, and Organisational Performance</w:t>
      </w:r>
    </w:p>
    <w:p w14:paraId="7EB99C8C" w14:textId="77777777" w:rsidR="009A17AD" w:rsidRPr="009A17AD" w:rsidRDefault="009A17AD" w:rsidP="009A17AD">
      <w:pPr>
        <w:spacing w:after="200"/>
        <w:jc w:val="both"/>
        <w:rPr>
          <w:rFonts w:ascii="Arial" w:hAnsi="Arial" w:cs="Arial"/>
          <w:b/>
          <w:bCs/>
          <w:sz w:val="22"/>
          <w:szCs w:val="22"/>
        </w:rPr>
      </w:pPr>
      <w:r w:rsidRPr="009A17AD">
        <w:rPr>
          <w:rFonts w:ascii="Arial" w:hAnsi="Arial" w:cs="Arial"/>
          <w:b/>
          <w:bCs/>
          <w:sz w:val="22"/>
          <w:szCs w:val="22"/>
        </w:rPr>
        <w:t>4.3.1 Overview</w:t>
      </w:r>
    </w:p>
    <w:p w14:paraId="68FBB2A4" w14:textId="77777777" w:rsidR="0065153D" w:rsidRPr="0065153D" w:rsidRDefault="0065153D" w:rsidP="0065153D">
      <w:pPr>
        <w:spacing w:after="200"/>
        <w:jc w:val="both"/>
        <w:rPr>
          <w:rFonts w:ascii="Arial" w:hAnsi="Arial" w:cs="Arial"/>
          <w:sz w:val="22"/>
          <w:szCs w:val="22"/>
        </w:rPr>
      </w:pPr>
      <w:r w:rsidRPr="0065153D">
        <w:rPr>
          <w:rFonts w:ascii="Arial" w:hAnsi="Arial" w:cs="Arial"/>
          <w:sz w:val="22"/>
          <w:szCs w:val="22"/>
        </w:rPr>
        <w:t>This theme integrates two closely related sets of findings: the clinical consequences of understaffing for patient safety, and the organisational and financial consequences for NHS providers. The analysis treats these as a single theme because the evidence reviewed suggests they are mechanistically connected — financial and operational strain both results from and contributes to the staffing shortfalls that drive clinical risk.</w:t>
      </w:r>
    </w:p>
    <w:p w14:paraId="621CEFAD" w14:textId="77777777" w:rsidR="00E1756A" w:rsidRPr="00DC2C23" w:rsidRDefault="00E1756A" w:rsidP="00E1756A">
      <w:pPr>
        <w:rPr>
          <w:rFonts w:ascii="Arial" w:hAnsi="Arial" w:cs="Arial"/>
          <w:b/>
          <w:bCs/>
          <w:sz w:val="22"/>
          <w:szCs w:val="22"/>
        </w:rPr>
      </w:pPr>
      <w:r w:rsidRPr="00DC2C23">
        <w:rPr>
          <w:rFonts w:ascii="Arial" w:hAnsi="Arial" w:cs="Arial"/>
          <w:b/>
          <w:bCs/>
          <w:sz w:val="22"/>
          <w:szCs w:val="22"/>
        </w:rPr>
        <w:t>4.3.2 The staffing–patient safety relationship</w:t>
      </w:r>
    </w:p>
    <w:p w14:paraId="149B1842" w14:textId="77777777" w:rsidR="007909AA" w:rsidRPr="007909AA" w:rsidRDefault="007909AA" w:rsidP="007909AA">
      <w:pPr>
        <w:spacing w:after="200"/>
        <w:jc w:val="both"/>
        <w:rPr>
          <w:rFonts w:ascii="Arial" w:hAnsi="Arial" w:cs="Arial"/>
          <w:sz w:val="22"/>
          <w:szCs w:val="22"/>
        </w:rPr>
      </w:pPr>
      <w:r w:rsidRPr="007909AA">
        <w:rPr>
          <w:rFonts w:ascii="Arial" w:hAnsi="Arial" w:cs="Arial"/>
          <w:sz w:val="22"/>
          <w:szCs w:val="22"/>
        </w:rPr>
        <w:t>The analysis strongly corroborates the association between staffing levels and adverse patient outcomes established in the international literature. The findings of Aiken et al. (2002) and Kane et al. (2007), reviewed in Chapter 2, are echoed in more recent UK-specific evidence linking shifts with below-planned registered nurse staffing to an increased and cumulative risk of patient death. Taken together with the “missed care” literature (e.g., Ball et al., 2014), this suggests a plausible causal pathway: understaffing produces missed or delayed care activities — delayed medication administration, postponed repositioning, slower response to call bells — which in turn elevate the risk of adverse events, including falls, pressure injuries, and failure-to-rescue following clinical deterioration.</w:t>
      </w:r>
    </w:p>
    <w:p w14:paraId="1861B8FB" w14:textId="05DBE434" w:rsidR="007D57C9" w:rsidRPr="007D57C9" w:rsidRDefault="007909AA" w:rsidP="007D57C9">
      <w:pPr>
        <w:spacing w:after="200"/>
        <w:jc w:val="both"/>
        <w:rPr>
          <w:rFonts w:ascii="Arial" w:hAnsi="Arial" w:cs="Arial"/>
          <w:sz w:val="22"/>
          <w:szCs w:val="22"/>
        </w:rPr>
      </w:pPr>
      <w:r w:rsidRPr="007909AA">
        <w:rPr>
          <w:rFonts w:ascii="Arial" w:hAnsi="Arial" w:cs="Arial"/>
          <w:sz w:val="22"/>
          <w:szCs w:val="22"/>
        </w:rPr>
        <w:t>This pathway is substantiated in granular detail by the public inquiry evidence analysed in this study. The Francis Report's (2013) findings on Mid Staffordshire NHS Foundation Trust illustrate how chronic nurse understaffing, compounded by an organisational culture that prioritised financial targets over safe staffing, produced widespread neglect and preventable deaths. Similarly, the Ockenden Review's (2022) findings on maternity care failings demonstrate that understaffing rarely operates as an isolated causal factor; rather, it interacts with poor escalation processes and insufficient consultant oversight to produce systemic risk.</w:t>
      </w:r>
      <w:r w:rsidR="007D57C9" w:rsidRPr="007D57C9">
        <w:rPr>
          <w:rFonts w:ascii="Times New Roman" w:eastAsia="Times New Roman" w:hAnsi="Times New Roman" w:cs="Times New Roman"/>
          <w:kern w:val="0"/>
          <w:sz w:val="20"/>
          <w:szCs w:val="20"/>
          <w:lang w:eastAsia="en-GB"/>
          <w14:ligatures w14:val="none"/>
        </w:rPr>
        <w:t xml:space="preserve"> </w:t>
      </w:r>
      <w:r w:rsidR="007D57C9" w:rsidRPr="007D57C9">
        <w:rPr>
          <w:rFonts w:ascii="Arial" w:hAnsi="Arial" w:cs="Arial"/>
          <w:sz w:val="22"/>
          <w:szCs w:val="22"/>
        </w:rPr>
        <w:t>This is an important nuance for the discussion: the findings suggest that staffing numbers alone are an incomplete predictor of harm, and that skill mix, escalation protocols, and organisational culture moderate the relationship between numerical staffing and patient safety — a point consistent with Griffiths et al.'s (2016) UK-based findings reviewed in Chapter 2.</w:t>
      </w:r>
    </w:p>
    <w:p w14:paraId="2FA81896" w14:textId="77777777" w:rsidR="001337F6" w:rsidRPr="001337F6" w:rsidRDefault="001337F6" w:rsidP="001337F6">
      <w:pPr>
        <w:spacing w:after="200"/>
        <w:jc w:val="both"/>
        <w:rPr>
          <w:rFonts w:ascii="Arial" w:hAnsi="Arial" w:cs="Arial"/>
          <w:b/>
          <w:bCs/>
          <w:sz w:val="22"/>
          <w:szCs w:val="22"/>
        </w:rPr>
      </w:pPr>
      <w:r w:rsidRPr="001337F6">
        <w:rPr>
          <w:rFonts w:ascii="Arial" w:hAnsi="Arial" w:cs="Arial"/>
          <w:b/>
          <w:bCs/>
          <w:sz w:val="22"/>
          <w:szCs w:val="22"/>
        </w:rPr>
        <w:t>4.3.3 An underexplored evidence gap</w:t>
      </w:r>
    </w:p>
    <w:p w14:paraId="3E3B0B0C" w14:textId="77777777" w:rsidR="00BA1B7C" w:rsidRPr="00BA1B7C" w:rsidRDefault="00BA1B7C" w:rsidP="00BA1B7C">
      <w:pPr>
        <w:spacing w:after="200"/>
        <w:jc w:val="both"/>
        <w:rPr>
          <w:rFonts w:ascii="Arial" w:hAnsi="Arial" w:cs="Arial"/>
          <w:sz w:val="22"/>
          <w:szCs w:val="22"/>
        </w:rPr>
      </w:pPr>
      <w:r w:rsidRPr="00BA1B7C">
        <w:rPr>
          <w:rFonts w:ascii="Arial" w:hAnsi="Arial" w:cs="Arial"/>
          <w:sz w:val="22"/>
          <w:szCs w:val="22"/>
        </w:rPr>
        <w:t>A further finding concerns the disproportionate visibility of acute and maternity settings within this evidence base. Because major inquiries and much of the quantitative literature originate from acute hospital and maternity contexts, the analysis found comparatively limited direct evidence regarding the mechanisms linking staffing shortfalls to patient safety outcomes in community, mental health, and primary care settings — despite these settings reporting some of the highest vacancy rates (King's Fund, 2024). This represents both a substantive finding and a limitation of the wider literature that this dissertation, as a secondary analysis, necessarily inherits.</w:t>
      </w:r>
    </w:p>
    <w:p w14:paraId="7E958B34" w14:textId="77777777" w:rsidR="001955F8" w:rsidRPr="001955F8" w:rsidRDefault="001955F8" w:rsidP="001955F8">
      <w:pPr>
        <w:spacing w:after="200"/>
        <w:jc w:val="both"/>
        <w:rPr>
          <w:rFonts w:ascii="Arial" w:hAnsi="Arial" w:cs="Arial"/>
          <w:b/>
          <w:bCs/>
          <w:sz w:val="22"/>
          <w:szCs w:val="22"/>
        </w:rPr>
      </w:pPr>
      <w:r w:rsidRPr="001955F8">
        <w:rPr>
          <w:rFonts w:ascii="Arial" w:hAnsi="Arial" w:cs="Arial"/>
          <w:b/>
          <w:bCs/>
          <w:sz w:val="22"/>
          <w:szCs w:val="22"/>
        </w:rPr>
        <w:t>4.3.4 Organisational and financial consequences</w:t>
      </w:r>
    </w:p>
    <w:p w14:paraId="41DAA0AF" w14:textId="77777777" w:rsidR="00CA31E0" w:rsidRPr="00CA31E0" w:rsidRDefault="00CA31E0" w:rsidP="00CA31E0">
      <w:pPr>
        <w:spacing w:after="200"/>
        <w:jc w:val="both"/>
        <w:rPr>
          <w:rFonts w:ascii="Arial" w:hAnsi="Arial" w:cs="Arial"/>
          <w:sz w:val="22"/>
          <w:szCs w:val="22"/>
        </w:rPr>
      </w:pPr>
      <w:r w:rsidRPr="00CA31E0">
        <w:rPr>
          <w:rFonts w:ascii="Arial" w:hAnsi="Arial" w:cs="Arial"/>
          <w:sz w:val="22"/>
          <w:szCs w:val="22"/>
        </w:rPr>
        <w:t>Beyond direct clinical risk, the analysis identifies significant organisational and financial consequences of understaffing. NHS agency staffing spend peaked at approximately £3.5 billion annually in 2022/23, with separate bank staffing costs in some trusts coming to exceed agency costs altogether (NHS England, 2024). This illustrates how workforce shortages generate substantial recurrent costs that arguably crowd out investment in permanent workforce capacity, capital infrastructure, or service improvement. This finding supports the “vicious cycle” framing introduced in Chapter 2: providers facing vacancies must rely on costly temporary staffing to maintain safe minimum staffing levels, which consumes resources that might otherwise fund measures to improve retention or expand training capacity, thereby perpetuating the shortage that generated the cost in the first place.</w:t>
      </w:r>
    </w:p>
    <w:p w14:paraId="7B5330DD" w14:textId="77777777" w:rsidR="00CA31E0" w:rsidRPr="00CA31E0" w:rsidRDefault="00CA31E0" w:rsidP="00CA31E0">
      <w:pPr>
        <w:spacing w:after="200"/>
        <w:jc w:val="both"/>
        <w:rPr>
          <w:rFonts w:ascii="Arial" w:hAnsi="Arial" w:cs="Arial"/>
          <w:sz w:val="22"/>
          <w:szCs w:val="22"/>
        </w:rPr>
      </w:pPr>
      <w:r w:rsidRPr="00CA31E0">
        <w:rPr>
          <w:rFonts w:ascii="Arial" w:hAnsi="Arial" w:cs="Arial"/>
          <w:sz w:val="22"/>
          <w:szCs w:val="22"/>
        </w:rPr>
        <w:t>The analysis also found evidence that understaffing affects organisational performance beyond direct financial cost, including reduced capacity to meet waiting time targets, increased reliance on less experienced or unfamiliar temporary staff, and heightened risk of missed opportunities for service improvement, since staff operating at or above capacity have limited scope to engage in quality improvement activity. While this study's secondary, desk-based design limits its ability to quantify these effects with precision, the consistency of this narrative across NHS England data, sector reports, and inquiry findings lends it considerable credibility as a genuine and material consequence of the shortage.</w:t>
      </w:r>
    </w:p>
    <w:p w14:paraId="41867F94" w14:textId="77777777" w:rsidR="00CA31E0" w:rsidRPr="00CA31E0" w:rsidRDefault="00CA31E0" w:rsidP="00CA31E0">
      <w:pPr>
        <w:spacing w:after="200"/>
        <w:jc w:val="both"/>
        <w:rPr>
          <w:rFonts w:ascii="Arial" w:hAnsi="Arial" w:cs="Arial"/>
          <w:sz w:val="22"/>
          <w:szCs w:val="22"/>
        </w:rPr>
      </w:pPr>
      <w:r w:rsidRPr="00CA31E0">
        <w:rPr>
          <w:rFonts w:ascii="Arial" w:hAnsi="Arial" w:cs="Arial"/>
          <w:sz w:val="22"/>
          <w:szCs w:val="22"/>
        </w:rPr>
        <w:t>The Health Foundation's (2019) projection that the gap between patient demand and workforce supply will widen significantly over time, driven by an ageing population with increasingly complex needs, further suggests that these organisational and financial pressures are likely to intensify rather than resolve without sustained intervention. This finding underscores the urgency of the policy discussion that follows in section 4.5.</w:t>
      </w:r>
    </w:p>
    <w:p w14:paraId="51CC421A" w14:textId="77777777" w:rsidR="00863987" w:rsidRPr="00863987" w:rsidRDefault="00863987" w:rsidP="00863987">
      <w:pPr>
        <w:spacing w:after="200"/>
        <w:jc w:val="both"/>
        <w:rPr>
          <w:rFonts w:ascii="Arial" w:hAnsi="Arial" w:cs="Arial"/>
          <w:b/>
          <w:bCs/>
          <w:sz w:val="22"/>
          <w:szCs w:val="22"/>
        </w:rPr>
      </w:pPr>
      <w:r w:rsidRPr="00863987">
        <w:rPr>
          <w:rFonts w:ascii="Arial" w:hAnsi="Arial" w:cs="Arial"/>
          <w:b/>
          <w:bCs/>
          <w:sz w:val="22"/>
          <w:szCs w:val="22"/>
        </w:rPr>
        <w:t>4.4 Theme 3: Staff Wellbeing, Burnout, and Retention</w:t>
      </w:r>
    </w:p>
    <w:p w14:paraId="2410B564" w14:textId="77777777" w:rsidR="00863987" w:rsidRPr="00863987" w:rsidRDefault="00863987" w:rsidP="00863987">
      <w:pPr>
        <w:spacing w:after="200"/>
        <w:jc w:val="both"/>
        <w:rPr>
          <w:rFonts w:ascii="Arial" w:hAnsi="Arial" w:cs="Arial"/>
          <w:b/>
          <w:bCs/>
          <w:sz w:val="22"/>
          <w:szCs w:val="22"/>
        </w:rPr>
      </w:pPr>
      <w:r w:rsidRPr="00863987">
        <w:rPr>
          <w:rFonts w:ascii="Arial" w:hAnsi="Arial" w:cs="Arial"/>
          <w:b/>
          <w:bCs/>
          <w:sz w:val="22"/>
          <w:szCs w:val="22"/>
        </w:rPr>
        <w:t>4.4.1 Overview</w:t>
      </w:r>
    </w:p>
    <w:p w14:paraId="37842C25" w14:textId="77777777" w:rsidR="00820952" w:rsidRPr="00820952" w:rsidRDefault="00820952" w:rsidP="00820952">
      <w:pPr>
        <w:spacing w:after="200"/>
        <w:jc w:val="both"/>
        <w:rPr>
          <w:rFonts w:ascii="Arial" w:hAnsi="Arial" w:cs="Arial"/>
          <w:sz w:val="22"/>
          <w:szCs w:val="22"/>
        </w:rPr>
      </w:pPr>
      <w:r w:rsidRPr="00820952">
        <w:rPr>
          <w:rFonts w:ascii="Arial" w:hAnsi="Arial" w:cs="Arial"/>
          <w:sz w:val="22"/>
          <w:szCs w:val="22"/>
        </w:rPr>
        <w:t>Consistent with the King's Fund's (2024) “vicious cycle” concept, the analysis finds strong evidence that staff wellbeing operates as both a consequence and a cause of workforce shortages, rather than a peripheral concern secondary to patient-facing outcomes.</w:t>
      </w:r>
    </w:p>
    <w:p w14:paraId="18B9CEB8" w14:textId="77777777" w:rsidR="0095346A" w:rsidRPr="0095346A" w:rsidRDefault="0095346A" w:rsidP="0095346A">
      <w:pPr>
        <w:spacing w:after="200"/>
        <w:jc w:val="both"/>
        <w:rPr>
          <w:rFonts w:ascii="Arial" w:hAnsi="Arial" w:cs="Arial"/>
          <w:b/>
          <w:bCs/>
          <w:sz w:val="22"/>
          <w:szCs w:val="22"/>
        </w:rPr>
      </w:pPr>
      <w:r w:rsidRPr="0095346A">
        <w:rPr>
          <w:rFonts w:ascii="Arial" w:hAnsi="Arial" w:cs="Arial"/>
          <w:b/>
          <w:bCs/>
          <w:sz w:val="22"/>
          <w:szCs w:val="22"/>
        </w:rPr>
        <w:t>4.4.2 Evidence of strain</w:t>
      </w:r>
    </w:p>
    <w:p w14:paraId="72BA004C" w14:textId="77777777" w:rsidR="00A73737" w:rsidRPr="00A73737" w:rsidRDefault="00A73737" w:rsidP="00A73737">
      <w:pPr>
        <w:spacing w:after="200"/>
        <w:jc w:val="both"/>
        <w:rPr>
          <w:rFonts w:ascii="Arial" w:hAnsi="Arial" w:cs="Arial"/>
          <w:sz w:val="22"/>
          <w:szCs w:val="22"/>
        </w:rPr>
      </w:pPr>
      <w:r w:rsidRPr="00A73737">
        <w:rPr>
          <w:rFonts w:ascii="Arial" w:hAnsi="Arial" w:cs="Arial"/>
          <w:sz w:val="22"/>
          <w:szCs w:val="22"/>
        </w:rPr>
        <w:t>The 2025 NHS Staff Survey data reviewed in this study, in which 42.36% of staff reported work-related stress and satisfaction with feeling valued by their organisation fell to 42.95%, provides quantitative support for the qualitative narrative found throughout the sector reports analysed (NHS Staff Survey Coordination Centre, 2025). This is not simply a workforce morale issue in the abstract; it directly reflects the operational conditions produced by the shortages documented in Themes 1 and 2 — high workload, insufficient staffing to manage patient acuity safely, and limited capacity to take breaks or leave on time.</w:t>
      </w:r>
    </w:p>
    <w:p w14:paraId="5106F7E8" w14:textId="77777777" w:rsidR="006A7FB4" w:rsidRPr="006A7FB4" w:rsidRDefault="006A7FB4" w:rsidP="006A7FB4">
      <w:pPr>
        <w:spacing w:after="200"/>
        <w:jc w:val="both"/>
        <w:rPr>
          <w:rFonts w:ascii="Arial" w:hAnsi="Arial" w:cs="Arial"/>
          <w:b/>
          <w:bCs/>
          <w:sz w:val="22"/>
          <w:szCs w:val="22"/>
        </w:rPr>
      </w:pPr>
      <w:r w:rsidRPr="006A7FB4">
        <w:rPr>
          <w:rFonts w:ascii="Arial" w:hAnsi="Arial" w:cs="Arial"/>
          <w:b/>
          <w:bCs/>
          <w:sz w:val="22"/>
          <w:szCs w:val="22"/>
        </w:rPr>
        <w:t>4.4.3 The burnout-attrition mechanism</w:t>
      </w:r>
    </w:p>
    <w:p w14:paraId="5EE825E0" w14:textId="77777777" w:rsidR="0030192C" w:rsidRPr="0030192C" w:rsidRDefault="0030192C" w:rsidP="0030192C">
      <w:pPr>
        <w:spacing w:after="200"/>
        <w:jc w:val="both"/>
        <w:rPr>
          <w:rFonts w:ascii="Arial" w:hAnsi="Arial" w:cs="Arial"/>
          <w:sz w:val="22"/>
          <w:szCs w:val="22"/>
        </w:rPr>
      </w:pPr>
      <w:r w:rsidRPr="0030192C">
        <w:rPr>
          <w:rFonts w:ascii="Arial" w:hAnsi="Arial" w:cs="Arial"/>
          <w:sz w:val="22"/>
          <w:szCs w:val="22"/>
        </w:rPr>
        <w:t>The finding that secondary care doctor departures have remained elevated relative to a decade prior, with excessive workload, poor work-life balance, and low pay cited as principal reasons for leaving, supports Maslach and Leiter's (2016) burnout framework discussed in Chapter 2. Applying this framework to the analysed data suggests a self-reinforcing mechanism: chronic understaffing increases individual workload, which elevates emotional exhaustion and burnout risk; elevated burnout increases turnover intention and actual attrition; and attrition further reduces the available workforce, increasing workload for those remaining.</w:t>
      </w:r>
    </w:p>
    <w:p w14:paraId="0B01F77E" w14:textId="77777777" w:rsidR="0030192C" w:rsidRPr="0030192C" w:rsidRDefault="0030192C" w:rsidP="0030192C">
      <w:pPr>
        <w:spacing w:after="200"/>
        <w:jc w:val="both"/>
        <w:rPr>
          <w:rFonts w:ascii="Arial" w:hAnsi="Arial" w:cs="Arial"/>
          <w:sz w:val="22"/>
          <w:szCs w:val="22"/>
        </w:rPr>
      </w:pPr>
      <w:r w:rsidRPr="0030192C">
        <w:rPr>
          <w:rFonts w:ascii="Arial" w:hAnsi="Arial" w:cs="Arial"/>
          <w:sz w:val="22"/>
          <w:szCs w:val="22"/>
        </w:rPr>
        <w:t>This mechanism offers a plausible explanation for why retention has, per the analysis, become as significant a driver of the workforce crisis as recruitment shortfalls, a conclusion with direct implications for the policy discussion in section 4.5, since interventions focused solely on recruitment are unlikely to resolve a shortage sustained primarily by attrition.</w:t>
      </w:r>
    </w:p>
    <w:p w14:paraId="511F8615" w14:textId="77777777" w:rsidR="004C6C1C" w:rsidRPr="004C6C1C" w:rsidRDefault="004C6C1C" w:rsidP="004C6C1C">
      <w:pPr>
        <w:spacing w:after="200"/>
        <w:jc w:val="both"/>
        <w:rPr>
          <w:rFonts w:ascii="Arial" w:hAnsi="Arial" w:cs="Arial"/>
          <w:b/>
          <w:bCs/>
          <w:sz w:val="22"/>
          <w:szCs w:val="22"/>
        </w:rPr>
      </w:pPr>
      <w:r w:rsidRPr="004C6C1C">
        <w:rPr>
          <w:rFonts w:ascii="Arial" w:hAnsi="Arial" w:cs="Arial"/>
          <w:b/>
          <w:bCs/>
          <w:sz w:val="22"/>
          <w:szCs w:val="22"/>
        </w:rPr>
        <w:t>4.4.4 A gap between two literatures</w:t>
      </w:r>
    </w:p>
    <w:p w14:paraId="4F975247" w14:textId="77777777" w:rsidR="00ED3C34" w:rsidRPr="00ED3C34" w:rsidRDefault="00ED3C34" w:rsidP="00ED3C34">
      <w:pPr>
        <w:spacing w:after="200"/>
        <w:jc w:val="both"/>
        <w:rPr>
          <w:rFonts w:ascii="Arial" w:hAnsi="Arial" w:cs="Arial"/>
          <w:sz w:val="22"/>
          <w:szCs w:val="22"/>
        </w:rPr>
      </w:pPr>
      <w:r w:rsidRPr="00ED3C34">
        <w:rPr>
          <w:rFonts w:ascii="Arial" w:hAnsi="Arial" w:cs="Arial"/>
          <w:sz w:val="22"/>
          <w:szCs w:val="22"/>
        </w:rPr>
        <w:t>A further finding worth noting is the apparent asymmetry in how burnout and retention are discussed relative to patient safety in the literature analysed. While the wellbeing literature and the patient safety literature both draw on overlapping underlying causes — chronic understaffing, excessive workload — they have tended to develop as distinct strands, with comparatively few sources in this analysis explicitly modelling staff burnout as a mediating variable between staffing establishment and patient outcomes. This gap, already anticipated in Chapter 2, is substantively confirmed by this analysis and is returned to in the discussion of limitations and future research in Chapter 5.</w:t>
      </w:r>
    </w:p>
    <w:p w14:paraId="5F3F85B5" w14:textId="77777777" w:rsidR="009F441E" w:rsidRPr="009F441E" w:rsidRDefault="009F441E" w:rsidP="009F441E">
      <w:pPr>
        <w:spacing w:after="200"/>
        <w:jc w:val="both"/>
        <w:rPr>
          <w:rFonts w:ascii="Arial" w:hAnsi="Arial" w:cs="Arial"/>
          <w:b/>
          <w:bCs/>
          <w:sz w:val="22"/>
          <w:szCs w:val="22"/>
        </w:rPr>
      </w:pPr>
      <w:r w:rsidRPr="009F441E">
        <w:rPr>
          <w:rFonts w:ascii="Arial" w:hAnsi="Arial" w:cs="Arial"/>
          <w:b/>
          <w:bCs/>
          <w:sz w:val="22"/>
          <w:szCs w:val="22"/>
        </w:rPr>
        <w:t>4.5 Theme 4: Policy Responses and Their Effectiveness</w:t>
      </w:r>
    </w:p>
    <w:p w14:paraId="22F94952" w14:textId="77777777" w:rsidR="009F441E" w:rsidRPr="009F441E" w:rsidRDefault="009F441E" w:rsidP="009F441E">
      <w:pPr>
        <w:spacing w:after="200"/>
        <w:jc w:val="both"/>
        <w:rPr>
          <w:rFonts w:ascii="Arial" w:hAnsi="Arial" w:cs="Arial"/>
          <w:b/>
          <w:bCs/>
          <w:sz w:val="22"/>
          <w:szCs w:val="22"/>
        </w:rPr>
      </w:pPr>
      <w:r w:rsidRPr="009F441E">
        <w:rPr>
          <w:rFonts w:ascii="Arial" w:hAnsi="Arial" w:cs="Arial"/>
          <w:b/>
          <w:bCs/>
          <w:sz w:val="22"/>
          <w:szCs w:val="22"/>
        </w:rPr>
        <w:t>4.5.1 Overview</w:t>
      </w:r>
    </w:p>
    <w:p w14:paraId="192DCF48" w14:textId="77777777" w:rsidR="00FC5A77" w:rsidRPr="00FC5A77" w:rsidRDefault="00FC5A77" w:rsidP="00FC5A77">
      <w:pPr>
        <w:spacing w:after="200"/>
        <w:jc w:val="both"/>
        <w:rPr>
          <w:rFonts w:ascii="Arial" w:hAnsi="Arial" w:cs="Arial"/>
          <w:sz w:val="22"/>
          <w:szCs w:val="22"/>
        </w:rPr>
      </w:pPr>
      <w:r w:rsidRPr="00FC5A77">
        <w:rPr>
          <w:rFonts w:ascii="Arial" w:hAnsi="Arial" w:cs="Arial"/>
          <w:sz w:val="22"/>
          <w:szCs w:val="22"/>
        </w:rPr>
        <w:t>The analysis identifies three principal categories of policy response within the literature: international recruitment, domestic training reform, and retention-focused interventions. Each is considered in turn, before the theme concludes with a finding on the geographic mismatch between policy design and the distribution of need identified in Theme 1.</w:t>
      </w:r>
    </w:p>
    <w:p w14:paraId="56596928" w14:textId="77777777" w:rsidR="003E19C2" w:rsidRPr="003E19C2" w:rsidRDefault="003E19C2" w:rsidP="003E19C2">
      <w:pPr>
        <w:spacing w:after="200"/>
        <w:jc w:val="both"/>
        <w:rPr>
          <w:rFonts w:ascii="Arial" w:hAnsi="Arial" w:cs="Arial"/>
          <w:b/>
          <w:bCs/>
          <w:sz w:val="22"/>
          <w:szCs w:val="22"/>
        </w:rPr>
      </w:pPr>
      <w:r w:rsidRPr="003E19C2">
        <w:rPr>
          <w:rFonts w:ascii="Arial" w:hAnsi="Arial" w:cs="Arial"/>
          <w:b/>
          <w:bCs/>
          <w:sz w:val="22"/>
          <w:szCs w:val="22"/>
        </w:rPr>
        <w:t>4.5.2 International recruitment</w:t>
      </w:r>
    </w:p>
    <w:p w14:paraId="4C1E4436" w14:textId="77777777" w:rsidR="00CC305B" w:rsidRPr="00CC305B" w:rsidRDefault="00CC305B" w:rsidP="00CC305B">
      <w:pPr>
        <w:spacing w:after="200"/>
        <w:jc w:val="both"/>
        <w:rPr>
          <w:rFonts w:ascii="Arial" w:hAnsi="Arial" w:cs="Arial"/>
          <w:sz w:val="22"/>
          <w:szCs w:val="22"/>
        </w:rPr>
      </w:pPr>
      <w:r w:rsidRPr="00CC305B">
        <w:rPr>
          <w:rFonts w:ascii="Arial" w:hAnsi="Arial" w:cs="Arial"/>
          <w:sz w:val="22"/>
          <w:szCs w:val="22"/>
        </w:rPr>
        <w:t>International recruitment emerged as the most immediately impactful lever for reducing headline vacancy figures, but the analysis found consistent concern, particularly from the World Health Organization (2016), that this strategy raises ethical questions regarding workforce “brain drain” from lower-income source countries and does not address the underlying structural shortfall in domestic training capacity.</w:t>
      </w:r>
    </w:p>
    <w:p w14:paraId="54E1F561" w14:textId="77777777" w:rsidR="00823864" w:rsidRPr="00823864" w:rsidRDefault="00823864" w:rsidP="00823864">
      <w:pPr>
        <w:spacing w:after="200"/>
        <w:jc w:val="both"/>
        <w:rPr>
          <w:rFonts w:ascii="Arial" w:hAnsi="Arial" w:cs="Arial"/>
          <w:b/>
          <w:bCs/>
          <w:sz w:val="22"/>
          <w:szCs w:val="22"/>
        </w:rPr>
      </w:pPr>
      <w:r w:rsidRPr="00823864">
        <w:rPr>
          <w:rFonts w:ascii="Arial" w:hAnsi="Arial" w:cs="Arial"/>
          <w:b/>
          <w:bCs/>
          <w:sz w:val="22"/>
          <w:szCs w:val="22"/>
        </w:rPr>
        <w:t>4.5.3 Domestic training reform</w:t>
      </w:r>
    </w:p>
    <w:p w14:paraId="5CD8C988" w14:textId="77777777" w:rsidR="007826F0" w:rsidRPr="007826F0" w:rsidRDefault="007826F0" w:rsidP="007826F0">
      <w:pPr>
        <w:spacing w:after="200"/>
        <w:jc w:val="both"/>
        <w:rPr>
          <w:rFonts w:ascii="Arial" w:hAnsi="Arial" w:cs="Arial"/>
          <w:sz w:val="22"/>
          <w:szCs w:val="22"/>
        </w:rPr>
      </w:pPr>
      <w:r w:rsidRPr="007826F0">
        <w:rPr>
          <w:rFonts w:ascii="Arial" w:hAnsi="Arial" w:cs="Arial"/>
          <w:sz w:val="22"/>
          <w:szCs w:val="22"/>
        </w:rPr>
        <w:t>Regarding domestic training, the analysis found strong consensus across sources that the 2017 elimination of the nursing bursary constituted a significant policy misstep, reducing the pipeline of new nursing graduates at a critical juncture, and that its partial reinstatement has been judged insufficient to reverse this effect (Buchan et al., 2019). The more recent NHS Long Term Workforce Plan, which seeks to expand training places and reform training pathways, was found to represent a more structurally ambitious response; however, the analysis supports the Health Foundation's (2019) caution that funding and delivery certainty remain limited, and that — given training pipelines of a decade or more — even successful implementation would take considerable time to be reflected in workforce numbers.</w:t>
      </w:r>
    </w:p>
    <w:p w14:paraId="3DBD5EC4" w14:textId="77777777" w:rsidR="00763D63" w:rsidRPr="00763D63" w:rsidRDefault="00763D63" w:rsidP="00763D63">
      <w:pPr>
        <w:spacing w:after="200"/>
        <w:jc w:val="both"/>
        <w:rPr>
          <w:rFonts w:ascii="Arial" w:hAnsi="Arial" w:cs="Arial"/>
          <w:b/>
          <w:bCs/>
          <w:sz w:val="22"/>
          <w:szCs w:val="22"/>
        </w:rPr>
      </w:pPr>
      <w:r w:rsidRPr="00763D63">
        <w:rPr>
          <w:rFonts w:ascii="Arial" w:hAnsi="Arial" w:cs="Arial"/>
          <w:b/>
          <w:bCs/>
          <w:sz w:val="22"/>
          <w:szCs w:val="22"/>
        </w:rPr>
        <w:t>4.5.4 Retention-focused interventions</w:t>
      </w:r>
    </w:p>
    <w:p w14:paraId="03E293CC" w14:textId="77777777" w:rsidR="00910B24" w:rsidRPr="00910B24" w:rsidRDefault="00910B24" w:rsidP="00910B24">
      <w:pPr>
        <w:spacing w:after="200"/>
        <w:jc w:val="both"/>
        <w:rPr>
          <w:rFonts w:ascii="Arial" w:hAnsi="Arial" w:cs="Arial"/>
          <w:sz w:val="22"/>
          <w:szCs w:val="22"/>
        </w:rPr>
      </w:pPr>
      <w:r w:rsidRPr="00910B24">
        <w:rPr>
          <w:rFonts w:ascii="Arial" w:hAnsi="Arial" w:cs="Arial"/>
          <w:sz w:val="22"/>
          <w:szCs w:val="22"/>
        </w:rPr>
        <w:t>Retention-focused interventions, including flexible working initiatives and pay review body recommendations, were found in the analysed sources to have had limited measurable effect on the attrition trends discussed in section 4.4 (BMA, 2026). Read alongside the burnout mechanism identified above, this finding suggests that current retention interventions may be insufficiently matched in scale or design to the drivers of attrition identified in the literature — namely, workload, work-life balance, and pay dissatisfaction — rather than that retention as a policy lever is inherently ineffective.</w:t>
      </w:r>
    </w:p>
    <w:p w14:paraId="513105F7" w14:textId="77777777" w:rsidR="00AE1D6F" w:rsidRPr="00AE1D6F" w:rsidRDefault="00AE1D6F" w:rsidP="00AE1D6F">
      <w:pPr>
        <w:spacing w:after="200"/>
        <w:jc w:val="both"/>
        <w:rPr>
          <w:rFonts w:ascii="Arial" w:hAnsi="Arial" w:cs="Arial"/>
          <w:b/>
          <w:bCs/>
          <w:sz w:val="22"/>
          <w:szCs w:val="22"/>
        </w:rPr>
      </w:pPr>
      <w:r w:rsidRPr="00AE1D6F">
        <w:rPr>
          <w:rFonts w:ascii="Arial" w:hAnsi="Arial" w:cs="Arial"/>
          <w:b/>
          <w:bCs/>
          <w:sz w:val="22"/>
          <w:szCs w:val="22"/>
        </w:rPr>
        <w:t>4.5.5 A geographic mismatch</w:t>
      </w:r>
    </w:p>
    <w:p w14:paraId="5413B83A" w14:textId="77777777" w:rsidR="00A43F04" w:rsidRPr="00A43F04" w:rsidRDefault="00A43F04" w:rsidP="00A43F04">
      <w:pPr>
        <w:spacing w:after="200"/>
        <w:jc w:val="both"/>
        <w:rPr>
          <w:rFonts w:ascii="Arial" w:hAnsi="Arial" w:cs="Arial"/>
          <w:sz w:val="22"/>
          <w:szCs w:val="22"/>
        </w:rPr>
      </w:pPr>
      <w:r w:rsidRPr="00A43F04">
        <w:rPr>
          <w:rFonts w:ascii="Arial" w:hAnsi="Arial" w:cs="Arial"/>
          <w:sz w:val="22"/>
          <w:szCs w:val="22"/>
        </w:rPr>
        <w:t>Finally, the regional and specialty-level disparities identified in section 4.2 raise a further finding relevant to policy effectiveness: national-level policy responses, as currently framed in the analysed sources, appear to be predominantly pitched at the aggregate national level rather than targeted at the specific regions and service types — such as mental health, community services, and the East of England — shown to be most acutely affected. This suggests a potential mismatch between the distribution of the problem and the distribution of the policy response, a finding with direct implications for the recommendations developed in Chapter 5.</w:t>
      </w:r>
    </w:p>
    <w:p w14:paraId="226F31FD" w14:textId="77777777" w:rsidR="004C78C8" w:rsidRPr="004C78C8" w:rsidRDefault="004C78C8" w:rsidP="004C78C8">
      <w:pPr>
        <w:spacing w:after="200"/>
        <w:jc w:val="both"/>
        <w:rPr>
          <w:rFonts w:ascii="Arial" w:hAnsi="Arial" w:cs="Arial"/>
          <w:b/>
          <w:bCs/>
          <w:sz w:val="22"/>
          <w:szCs w:val="22"/>
        </w:rPr>
      </w:pPr>
      <w:r w:rsidRPr="004C78C8">
        <w:rPr>
          <w:rFonts w:ascii="Arial" w:hAnsi="Arial" w:cs="Arial"/>
          <w:b/>
          <w:bCs/>
          <w:sz w:val="22"/>
          <w:szCs w:val="22"/>
        </w:rPr>
        <w:t>4.6 Cross-Theme Discussion and Link to Literature</w:t>
      </w:r>
    </w:p>
    <w:p w14:paraId="79938579" w14:textId="77777777" w:rsidR="000F29D1" w:rsidRPr="000F29D1" w:rsidRDefault="000F29D1" w:rsidP="000F29D1">
      <w:pPr>
        <w:spacing w:after="200"/>
        <w:jc w:val="both"/>
        <w:rPr>
          <w:rFonts w:ascii="Arial" w:hAnsi="Arial" w:cs="Arial"/>
          <w:sz w:val="22"/>
          <w:szCs w:val="22"/>
        </w:rPr>
      </w:pPr>
      <w:r w:rsidRPr="000F29D1">
        <w:rPr>
          <w:rFonts w:ascii="Arial" w:hAnsi="Arial" w:cs="Arial"/>
          <w:sz w:val="22"/>
          <w:szCs w:val="22"/>
        </w:rPr>
        <w:t>Drawing the four themes together, the findings support a coherent overall narrative consistent with the dissertation's aim of investigating how understaffing affects patient safety, care quality, staff welfare, and organisational performance.</w:t>
      </w:r>
    </w:p>
    <w:p w14:paraId="2B74782E" w14:textId="77777777" w:rsidR="000F29D1" w:rsidRPr="000F29D1" w:rsidRDefault="000F29D1" w:rsidP="000F29D1">
      <w:pPr>
        <w:spacing w:after="200"/>
        <w:jc w:val="both"/>
        <w:rPr>
          <w:rFonts w:ascii="Arial" w:hAnsi="Arial" w:cs="Arial"/>
          <w:sz w:val="22"/>
          <w:szCs w:val="22"/>
        </w:rPr>
      </w:pPr>
      <w:r w:rsidRPr="000F29D1">
        <w:rPr>
          <w:rFonts w:ascii="Arial" w:hAnsi="Arial" w:cs="Arial"/>
          <w:sz w:val="22"/>
          <w:szCs w:val="22"/>
        </w:rPr>
        <w:t>Workforce shortages, when measured using safety-oriented rather than purely establishment-based metrics (Theme 1), are shown to translate into patient safety risk through identifiable mechanisms — missed care, delayed escalation, and reduced capacity to respond to deterioration — that are moderated by skill mix and organisational culture rather than staffing numbers alone (Theme 2). These shortages simultaneously impose substantial financial and organisational costs, primarily through reliance on temporary staffing, which in turn constrains the very investment needed to resolve the underlying shortfall (Theme 2). This connects directly to the measurement discussion in Theme 1: a vacancy-rate-based understanding of the crisis, which understates true operational pressure, risks producing an underestimate of both the clinical risk and the financial cost documented here.</w:t>
      </w:r>
    </w:p>
    <w:p w14:paraId="2E33550E" w14:textId="77777777" w:rsidR="000F29D1" w:rsidRPr="000F29D1" w:rsidRDefault="000F29D1" w:rsidP="000F29D1">
      <w:pPr>
        <w:spacing w:after="200"/>
        <w:jc w:val="both"/>
        <w:rPr>
          <w:rFonts w:ascii="Arial" w:hAnsi="Arial" w:cs="Arial"/>
          <w:sz w:val="22"/>
          <w:szCs w:val="22"/>
        </w:rPr>
      </w:pPr>
      <w:r w:rsidRPr="000F29D1">
        <w:rPr>
          <w:rFonts w:ascii="Arial" w:hAnsi="Arial" w:cs="Arial"/>
          <w:sz w:val="22"/>
          <w:szCs w:val="22"/>
        </w:rPr>
        <w:t>Staff wellbeing and retention (Theme 3) emerge from this analysis not as a separate concern but as a central mechanism sustaining the shortage over time: burnout driven by chronic understaffing elevates attrition, which deepens the shortage for remaining staff, reinforcing the cycle identified across Themes 1 through 3. Policy responses to date (Theme 4), while addressing elements of this picture, appear only partially matched to the retention-driven and geographically uneven nature of the crisis identified across Themes 1 to 3.</w:t>
      </w:r>
    </w:p>
    <w:p w14:paraId="0252B37C" w14:textId="77777777" w:rsidR="000F29D1" w:rsidRPr="000F29D1" w:rsidRDefault="000F29D1" w:rsidP="000F29D1">
      <w:pPr>
        <w:spacing w:after="200"/>
        <w:jc w:val="both"/>
        <w:rPr>
          <w:rFonts w:ascii="Arial" w:hAnsi="Arial" w:cs="Arial"/>
          <w:sz w:val="22"/>
          <w:szCs w:val="22"/>
        </w:rPr>
      </w:pPr>
      <w:r w:rsidRPr="000F29D1">
        <w:rPr>
          <w:rFonts w:ascii="Arial" w:hAnsi="Arial" w:cs="Arial"/>
          <w:sz w:val="22"/>
          <w:szCs w:val="22"/>
        </w:rPr>
        <w:t>This synthesis is broadly consistent with, and extends, the literature reviewed in Chapter 2, substantiating the relationships established there using more current data and demonstrating how they interact as a connected system rather than as isolated findings.</w:t>
      </w:r>
    </w:p>
    <w:p w14:paraId="7CD9870B" w14:textId="77777777" w:rsidR="003B6B2B" w:rsidRPr="003B6B2B" w:rsidRDefault="003B6B2B" w:rsidP="003B6B2B">
      <w:pPr>
        <w:spacing w:after="200"/>
        <w:jc w:val="both"/>
        <w:rPr>
          <w:rFonts w:ascii="Arial" w:hAnsi="Arial" w:cs="Arial"/>
          <w:b/>
          <w:bCs/>
          <w:sz w:val="22"/>
          <w:szCs w:val="22"/>
        </w:rPr>
      </w:pPr>
      <w:r w:rsidRPr="003B6B2B">
        <w:rPr>
          <w:rFonts w:ascii="Arial" w:hAnsi="Arial" w:cs="Arial"/>
          <w:b/>
          <w:bCs/>
          <w:sz w:val="22"/>
          <w:szCs w:val="22"/>
        </w:rPr>
        <w:t>4.7 Summary of Key Findings</w:t>
      </w:r>
    </w:p>
    <w:p w14:paraId="5E768D75" w14:textId="77777777" w:rsidR="00B904AC" w:rsidRPr="00B904AC" w:rsidRDefault="00B904AC" w:rsidP="00B904AC">
      <w:pPr>
        <w:spacing w:after="200"/>
        <w:jc w:val="both"/>
        <w:rPr>
          <w:rFonts w:ascii="Arial" w:hAnsi="Arial" w:cs="Arial"/>
          <w:sz w:val="22"/>
          <w:szCs w:val="22"/>
        </w:rPr>
      </w:pPr>
      <w:r w:rsidRPr="00B904AC">
        <w:rPr>
          <w:rFonts w:ascii="Arial" w:hAnsi="Arial" w:cs="Arial"/>
          <w:sz w:val="22"/>
          <w:szCs w:val="22"/>
        </w:rPr>
        <w:t>This chapter has presented and discussed findings across four themes: the conceptualisation and measurement of workforce shortages; the relationship between staffing levels, patient safety, and organisational performance; staff wellbeing, burnout, and retention; and the effectiveness of policy responses. Four key findings stand out.</w:t>
      </w:r>
    </w:p>
    <w:p w14:paraId="051D9B32" w14:textId="77777777" w:rsidR="00B904AC" w:rsidRPr="00B904AC" w:rsidRDefault="00B904AC" w:rsidP="00B904AC">
      <w:pPr>
        <w:spacing w:after="200"/>
        <w:jc w:val="both"/>
        <w:rPr>
          <w:rFonts w:ascii="Arial" w:hAnsi="Arial" w:cs="Arial"/>
          <w:sz w:val="22"/>
          <w:szCs w:val="22"/>
        </w:rPr>
      </w:pPr>
      <w:r w:rsidRPr="00B904AC">
        <w:rPr>
          <w:rFonts w:ascii="Arial" w:hAnsi="Arial" w:cs="Arial"/>
          <w:sz w:val="22"/>
          <w:szCs w:val="22"/>
        </w:rPr>
        <w:t>First, headline vacancy statistics understate the true scale of NHS workforce shortages, and a shift toward safety-based staffing gap metrics would better reflect the operational and clinical pressure facing services, though such metrics remain difficult to standardise. Second, staffing shortfalls translate into patient safety risk and organisational cost through interconnected mechanisms — missed care, escalation failure, and reliance on costly temporary staffing — that are moderated by organisational culture and skill mix rather than staffing numbers in isolation. Third, staff wellbeing and retention function as a central, self-reinforcing mechanism sustaining the shortage over time, rather than as a downstream consequence, meaning that recruitment-only strategies are structurally unlikely to resolve the crisis. Fourth, current policy responses remain only partially matched to the retention-driven and geographically uneven nature of the shortage, with national-level interventions insufficiently targeted at the specific regions and service types shown to be most acutely affected.</w:t>
      </w:r>
    </w:p>
    <w:p w14:paraId="5BD790E6" w14:textId="77777777" w:rsidR="00B904AC" w:rsidRPr="00B904AC" w:rsidRDefault="00B904AC" w:rsidP="00B904AC">
      <w:pPr>
        <w:spacing w:after="200"/>
        <w:jc w:val="both"/>
        <w:rPr>
          <w:rFonts w:ascii="Arial" w:hAnsi="Arial" w:cs="Arial"/>
          <w:sz w:val="22"/>
          <w:szCs w:val="22"/>
        </w:rPr>
      </w:pPr>
      <w:r w:rsidRPr="00B904AC">
        <w:rPr>
          <w:rFonts w:ascii="Arial" w:hAnsi="Arial" w:cs="Arial"/>
          <w:sz w:val="22"/>
          <w:szCs w:val="22"/>
        </w:rPr>
        <w:t>The following chapter concludes the dissertation, summarising these key findings in relation to the original research questions, considering their implications for policy and practice, and identifying limitations and directions for future research.</w:t>
      </w:r>
    </w:p>
    <w:p w14:paraId="50CD83CB" w14:textId="77777777" w:rsidR="00393071" w:rsidRPr="00393071" w:rsidRDefault="00393071" w:rsidP="00393071">
      <w:pPr>
        <w:spacing w:after="200"/>
        <w:jc w:val="both"/>
        <w:rPr>
          <w:rFonts w:ascii="Arial" w:hAnsi="Arial" w:cs="Arial"/>
          <w:b/>
          <w:bCs/>
          <w:sz w:val="22"/>
          <w:szCs w:val="22"/>
        </w:rPr>
      </w:pPr>
      <w:r w:rsidRPr="00393071">
        <w:rPr>
          <w:rFonts w:ascii="Arial" w:hAnsi="Arial" w:cs="Arial"/>
          <w:b/>
          <w:bCs/>
          <w:sz w:val="22"/>
          <w:szCs w:val="22"/>
        </w:rPr>
        <w:t>Chapter 5: Conclusion and Recommendations</w:t>
      </w:r>
    </w:p>
    <w:p w14:paraId="7745EB32" w14:textId="77777777" w:rsidR="00393071" w:rsidRPr="00393071" w:rsidRDefault="00393071" w:rsidP="00393071">
      <w:pPr>
        <w:spacing w:after="200"/>
        <w:jc w:val="both"/>
        <w:rPr>
          <w:rFonts w:ascii="Arial" w:hAnsi="Arial" w:cs="Arial"/>
          <w:b/>
          <w:bCs/>
          <w:sz w:val="22"/>
          <w:szCs w:val="22"/>
        </w:rPr>
      </w:pPr>
      <w:r w:rsidRPr="00393071">
        <w:rPr>
          <w:rFonts w:ascii="Arial" w:hAnsi="Arial" w:cs="Arial"/>
          <w:b/>
          <w:bCs/>
          <w:sz w:val="22"/>
          <w:szCs w:val="22"/>
        </w:rPr>
        <w:t>5.1 Overall Conclusion</w:t>
      </w:r>
    </w:p>
    <w:p w14:paraId="0B2AD997" w14:textId="77777777" w:rsidR="00CE343F" w:rsidRPr="00CE343F" w:rsidRDefault="00CE343F" w:rsidP="00CE343F">
      <w:pPr>
        <w:spacing w:after="200"/>
        <w:jc w:val="both"/>
        <w:rPr>
          <w:rFonts w:ascii="Arial" w:hAnsi="Arial" w:cs="Arial"/>
          <w:sz w:val="22"/>
          <w:szCs w:val="22"/>
        </w:rPr>
      </w:pPr>
      <w:r w:rsidRPr="00CE343F">
        <w:rPr>
          <w:rFonts w:ascii="Arial" w:hAnsi="Arial" w:cs="Arial"/>
          <w:sz w:val="22"/>
          <w:szCs w:val="22"/>
        </w:rPr>
        <w:t>This dissertation set out to examine the effects of workforce shortages on the delivery of healthcare within the NHS, with an emphasis on patient safety, care quality, staff wellbeing, and organisational performance. Addressing the three research objectives set out in Chapter 1, the study drew on a thematic analysis of academic literature, official statistics, sector reports, and public inquiry findings to examine how understaffing is conceptualised, how it translates into measurable consequences, and how effectively current policy has responded.</w:t>
      </w:r>
    </w:p>
    <w:p w14:paraId="05EA19E6" w14:textId="77777777" w:rsidR="00CE343F" w:rsidRPr="00CE343F" w:rsidRDefault="00CE343F" w:rsidP="00CE343F">
      <w:pPr>
        <w:spacing w:after="200"/>
        <w:jc w:val="both"/>
        <w:rPr>
          <w:rFonts w:ascii="Arial" w:hAnsi="Arial" w:cs="Arial"/>
          <w:sz w:val="22"/>
          <w:szCs w:val="22"/>
        </w:rPr>
      </w:pPr>
      <w:r w:rsidRPr="00CE343F">
        <w:rPr>
          <w:rFonts w:ascii="Arial" w:hAnsi="Arial" w:cs="Arial"/>
          <w:sz w:val="22"/>
          <w:szCs w:val="22"/>
        </w:rPr>
        <w:t>The analysis found that headline vacancy statistics understate the true scale of the shortage, and that a safety-oriented “staffing gap” measure offers a more meaningful basis for assessment than establishment-based figures alone. Understaffing was found to translate into patient safety risk through identifiable mechanisms, including missed care and delayed escalation, moderated by skill mix and organisational culture rather than staffing numbers in isolation. It was also found to generate substantial financial and organisational costs, chiefly through reliance on temporary staffing, and to interact with staff burnout and attrition in a self-reinforcing cycle: understaffing drives burnout, burnout drives attrition, and attrition deepens the shortage for those who remain. Policy responses to date — principally international recruitment and, more recently, domestic training expansion — were found to be only partially matched to the retention-driven and geographically uneven nature of the crisis.</w:t>
      </w:r>
    </w:p>
    <w:p w14:paraId="00F04E32" w14:textId="77777777" w:rsidR="00CE343F" w:rsidRPr="00CE343F" w:rsidRDefault="00CE343F" w:rsidP="00CE343F">
      <w:pPr>
        <w:spacing w:after="200"/>
        <w:jc w:val="both"/>
        <w:rPr>
          <w:rFonts w:ascii="Arial" w:hAnsi="Arial" w:cs="Arial"/>
          <w:sz w:val="22"/>
          <w:szCs w:val="22"/>
        </w:rPr>
      </w:pPr>
      <w:r w:rsidRPr="00CE343F">
        <w:rPr>
          <w:rFonts w:ascii="Arial" w:hAnsi="Arial" w:cs="Arial"/>
          <w:sz w:val="22"/>
          <w:szCs w:val="22"/>
        </w:rPr>
        <w:t>Taken together, these findings support the overall conclusion that NHS workforce shortages constitute a structural, self-reinforcing crisis rather than a transient operational difficulty. Understaffing degrades patient safety and organisational performance while simultaneously driving the staff burnout and attrition that sustain the shortage over time. Existing policy responses, though addressing important elements of the problem, have not yet been sufficiently matched in scale, targeting, or timeframe to reverse this cycle. Addressing the crisis effectively will likely require sustained, regionally targeted investment in both recruitment and retention, underpinned by more accurate, safety-oriented workforce measurement.</w:t>
      </w:r>
    </w:p>
    <w:p w14:paraId="47FB4118" w14:textId="77777777" w:rsidR="00C63733" w:rsidRPr="00C63733" w:rsidRDefault="00C63733" w:rsidP="00C63733">
      <w:pPr>
        <w:spacing w:after="200"/>
        <w:jc w:val="both"/>
        <w:rPr>
          <w:rFonts w:ascii="Arial" w:hAnsi="Arial" w:cs="Arial"/>
          <w:b/>
          <w:bCs/>
          <w:sz w:val="22"/>
          <w:szCs w:val="22"/>
        </w:rPr>
      </w:pPr>
      <w:r w:rsidRPr="00C63733">
        <w:rPr>
          <w:rFonts w:ascii="Arial" w:hAnsi="Arial" w:cs="Arial"/>
          <w:b/>
          <w:bCs/>
          <w:sz w:val="22"/>
          <w:szCs w:val="22"/>
        </w:rPr>
        <w:t>5.2 Key Recommendations</w:t>
      </w:r>
    </w:p>
    <w:p w14:paraId="08A05303" w14:textId="77777777" w:rsidR="00090833" w:rsidRPr="00090833" w:rsidRDefault="00090833" w:rsidP="00090833">
      <w:pPr>
        <w:spacing w:after="200"/>
        <w:jc w:val="both"/>
        <w:rPr>
          <w:rFonts w:ascii="Arial" w:hAnsi="Arial" w:cs="Arial"/>
          <w:sz w:val="22"/>
          <w:szCs w:val="22"/>
        </w:rPr>
      </w:pPr>
      <w:r w:rsidRPr="00090833">
        <w:rPr>
          <w:rFonts w:ascii="Arial" w:hAnsi="Arial" w:cs="Arial"/>
          <w:sz w:val="22"/>
          <w:szCs w:val="22"/>
        </w:rPr>
        <w:t>Based on these findings, four recommendations are proposed for policy and practice.</w:t>
      </w:r>
    </w:p>
    <w:p w14:paraId="099D61CD" w14:textId="77777777" w:rsidR="00090833" w:rsidRPr="00090833" w:rsidRDefault="00090833" w:rsidP="00090833">
      <w:pPr>
        <w:spacing w:after="200"/>
        <w:jc w:val="both"/>
        <w:rPr>
          <w:rFonts w:ascii="Arial" w:hAnsi="Arial" w:cs="Arial"/>
          <w:sz w:val="22"/>
          <w:szCs w:val="22"/>
        </w:rPr>
      </w:pPr>
      <w:r w:rsidRPr="00090833">
        <w:rPr>
          <w:rFonts w:ascii="Arial" w:hAnsi="Arial" w:cs="Arial"/>
          <w:sz w:val="22"/>
          <w:szCs w:val="22"/>
        </w:rPr>
        <w:t>First, national workforce monitoring should move beyond headline vacancy rates toward a standardised, safety-oriented staffing gap metric, incorporating temporary staffing reliance and rota-level shortfalls, to give policymakers a more accurate picture of operational pressure than establishment-based figures currently provide.</w:t>
      </w:r>
    </w:p>
    <w:p w14:paraId="75BDA26D" w14:textId="77777777" w:rsidR="00090833" w:rsidRPr="00090833" w:rsidRDefault="00090833" w:rsidP="00090833">
      <w:pPr>
        <w:spacing w:after="200"/>
        <w:jc w:val="both"/>
        <w:rPr>
          <w:rFonts w:ascii="Arial" w:hAnsi="Arial" w:cs="Arial"/>
          <w:sz w:val="22"/>
          <w:szCs w:val="22"/>
        </w:rPr>
      </w:pPr>
      <w:r w:rsidRPr="00090833">
        <w:rPr>
          <w:rFonts w:ascii="Arial" w:hAnsi="Arial" w:cs="Arial"/>
          <w:sz w:val="22"/>
          <w:szCs w:val="22"/>
        </w:rPr>
        <w:t>Second, retention should be treated as a policy priority equal to recruitment. Given the evidence that attrition is substantially driven by workload, work-life balance, and pay dissatisfaction, interventions such as flexible working and pay review recommendations should be scaled and targeted specifically at the burnout mechanisms identified in this study, rather than pursued as secondary measures alongside recruitment-focused strategies.</w:t>
      </w:r>
    </w:p>
    <w:p w14:paraId="070D2F34" w14:textId="77777777" w:rsidR="00090833" w:rsidRPr="00090833" w:rsidRDefault="00090833" w:rsidP="00090833">
      <w:pPr>
        <w:spacing w:after="200"/>
        <w:jc w:val="both"/>
        <w:rPr>
          <w:rFonts w:ascii="Arial" w:hAnsi="Arial" w:cs="Arial"/>
          <w:sz w:val="22"/>
          <w:szCs w:val="22"/>
        </w:rPr>
      </w:pPr>
      <w:r w:rsidRPr="00090833">
        <w:rPr>
          <w:rFonts w:ascii="Arial" w:hAnsi="Arial" w:cs="Arial"/>
          <w:sz w:val="22"/>
          <w:szCs w:val="22"/>
        </w:rPr>
        <w:t>Third, policy responses should be regionally and specialty-targeted rather than pitched solely at the national aggregate level. Given the disparities identified between regions such as the East of England and the national average, and between mental health, community, and acute settings, funding and training expansion should be weighted toward the areas of greatest shortfall rather than distributed uniformly.</w:t>
      </w:r>
    </w:p>
    <w:p w14:paraId="1FD89E42" w14:textId="77777777" w:rsidR="00090833" w:rsidRPr="00090833" w:rsidRDefault="00090833" w:rsidP="00090833">
      <w:pPr>
        <w:spacing w:after="200"/>
        <w:jc w:val="both"/>
        <w:rPr>
          <w:rFonts w:ascii="Arial" w:hAnsi="Arial" w:cs="Arial"/>
          <w:sz w:val="22"/>
          <w:szCs w:val="22"/>
        </w:rPr>
      </w:pPr>
      <w:r w:rsidRPr="00090833">
        <w:rPr>
          <w:rFonts w:ascii="Arial" w:hAnsi="Arial" w:cs="Arial"/>
          <w:sz w:val="22"/>
          <w:szCs w:val="22"/>
        </w:rPr>
        <w:t>Fourth, given the decade-long lag inherent in clinical training pipelines, policymakers should pair long-term measures such as the NHS Long Term Workforce Plan with clearly funded medium-term bridging strategies, so that patient safety and staff welfare are not left exposed during the extended period before expanded training capacity translates into workforce numbers.</w:t>
      </w:r>
    </w:p>
    <w:p w14:paraId="1253F0E0" w14:textId="758AF5AA" w:rsidR="00E1756A" w:rsidRDefault="00DA3D68" w:rsidP="00E747BE">
      <w:pPr>
        <w:spacing w:after="200"/>
        <w:jc w:val="both"/>
        <w:rPr>
          <w:rFonts w:ascii="Arial" w:hAnsi="Arial" w:cs="Arial"/>
          <w:b/>
          <w:bCs/>
          <w:sz w:val="22"/>
          <w:szCs w:val="22"/>
        </w:rPr>
      </w:pPr>
      <w:r w:rsidRPr="00DA3D68">
        <w:rPr>
          <w:rFonts w:ascii="Arial" w:hAnsi="Arial" w:cs="Arial"/>
          <w:b/>
          <w:bCs/>
          <w:sz w:val="22"/>
          <w:szCs w:val="22"/>
        </w:rPr>
        <w:t>5.3 Research Limitations</w:t>
      </w:r>
    </w:p>
    <w:p w14:paraId="5B475378" w14:textId="77777777" w:rsidR="003A6236" w:rsidRPr="003A6236" w:rsidRDefault="003A6236" w:rsidP="003A6236">
      <w:pPr>
        <w:spacing w:after="200"/>
        <w:jc w:val="both"/>
        <w:rPr>
          <w:rFonts w:ascii="Arial" w:hAnsi="Arial" w:cs="Arial"/>
          <w:sz w:val="22"/>
          <w:szCs w:val="22"/>
        </w:rPr>
      </w:pPr>
      <w:r w:rsidRPr="003A6236">
        <w:rPr>
          <w:rFonts w:ascii="Arial" w:hAnsi="Arial" w:cs="Arial"/>
          <w:sz w:val="22"/>
          <w:szCs w:val="22"/>
        </w:rPr>
        <w:t>Several limitations should be acknowledged when interpreting the findings of this study.</w:t>
      </w:r>
    </w:p>
    <w:p w14:paraId="5A5A105D" w14:textId="77777777" w:rsidR="003A6236" w:rsidRPr="003A6236" w:rsidRDefault="003A6236" w:rsidP="003A6236">
      <w:pPr>
        <w:spacing w:after="200"/>
        <w:jc w:val="both"/>
        <w:rPr>
          <w:rFonts w:ascii="Arial" w:hAnsi="Arial" w:cs="Arial"/>
          <w:sz w:val="22"/>
          <w:szCs w:val="22"/>
        </w:rPr>
      </w:pPr>
      <w:r w:rsidRPr="003A6236">
        <w:rPr>
          <w:rFonts w:ascii="Arial" w:hAnsi="Arial" w:cs="Arial"/>
          <w:sz w:val="22"/>
          <w:szCs w:val="22"/>
        </w:rPr>
        <w:t>First, as outlined in Chapter 3, the research relied entirely on secondary data and did not involve primary data collection such as interviews or surveys with NHS staff. While this allowed the study to draw on authoritative, national-level evidence, it also means the analysis is dependent on the framing, completeness, and currency of existing published sources, and cannot capture first-hand experiential accounts beyond those already documented elsewhere.</w:t>
      </w:r>
    </w:p>
    <w:p w14:paraId="4C329D98" w14:textId="77777777" w:rsidR="003A6236" w:rsidRPr="003A6236" w:rsidRDefault="003A6236" w:rsidP="003A6236">
      <w:pPr>
        <w:spacing w:after="200"/>
        <w:jc w:val="both"/>
        <w:rPr>
          <w:rFonts w:ascii="Arial" w:hAnsi="Arial" w:cs="Arial"/>
          <w:sz w:val="22"/>
          <w:szCs w:val="22"/>
        </w:rPr>
      </w:pPr>
      <w:r w:rsidRPr="003A6236">
        <w:rPr>
          <w:rFonts w:ascii="Arial" w:hAnsi="Arial" w:cs="Arial"/>
          <w:sz w:val="22"/>
          <w:szCs w:val="22"/>
        </w:rPr>
        <w:t>Second, much of the available quantitative and inquiry-based evidence used in this study originates from acute hospital and maternity settings. As a result, the study's conclusions regarding the mechanisms linking staffing to outcomes are better evidenced for these settings than for community, mental health, and primary care, despite the latter reporting some of the highest vacancy rates. This imbalance reflects a gap in the underlying literature rather than a methodological choice within this study, but it nonetheless constrains the generalisability of the findings across all NHS service settings.</w:t>
      </w:r>
    </w:p>
    <w:p w14:paraId="4CD4B9F1" w14:textId="77777777" w:rsidR="003A6236" w:rsidRPr="003A6236" w:rsidRDefault="003A6236" w:rsidP="003A6236">
      <w:pPr>
        <w:spacing w:after="200"/>
        <w:jc w:val="both"/>
        <w:rPr>
          <w:rFonts w:ascii="Arial" w:hAnsi="Arial" w:cs="Arial"/>
          <w:sz w:val="22"/>
          <w:szCs w:val="22"/>
        </w:rPr>
      </w:pPr>
      <w:r w:rsidRPr="003A6236">
        <w:rPr>
          <w:rFonts w:ascii="Arial" w:hAnsi="Arial" w:cs="Arial"/>
          <w:sz w:val="22"/>
          <w:szCs w:val="22"/>
        </w:rPr>
        <w:t>Third, the study's thematic, narrative synthesis approach, while appropriate for integrating heterogeneous secondary sources, does not permit the same statistical precision as an independent quantitative re-analysis of underlying datasets. Associations identified between staffing, burnout, and outcomes should therefore be understood as consistent with the reviewed evidence rather than as independently verified causal findings.</w:t>
      </w:r>
    </w:p>
    <w:p w14:paraId="17EE37B5" w14:textId="77777777" w:rsidR="003A6236" w:rsidRPr="003A6236" w:rsidRDefault="003A6236" w:rsidP="003A6236">
      <w:pPr>
        <w:spacing w:after="200"/>
        <w:jc w:val="both"/>
        <w:rPr>
          <w:rFonts w:ascii="Arial" w:hAnsi="Arial" w:cs="Arial"/>
          <w:sz w:val="22"/>
          <w:szCs w:val="22"/>
        </w:rPr>
      </w:pPr>
      <w:r w:rsidRPr="003A6236">
        <w:rPr>
          <w:rFonts w:ascii="Arial" w:hAnsi="Arial" w:cs="Arial"/>
          <w:sz w:val="22"/>
          <w:szCs w:val="22"/>
        </w:rPr>
        <w:t>Finally, the England-specific scope of the study, while consistent with its stated aims, means the findings and recommendations may not transfer directly to other UK nations or international health systems with different workforce structures and policy contexts.</w:t>
      </w:r>
    </w:p>
    <w:p w14:paraId="5DB18C2D" w14:textId="77777777" w:rsidR="00C479A0" w:rsidRPr="00DC2C23" w:rsidRDefault="00C479A0" w:rsidP="00C479A0">
      <w:pPr>
        <w:rPr>
          <w:rFonts w:ascii="Arial" w:hAnsi="Arial" w:cs="Arial"/>
          <w:b/>
          <w:bCs/>
          <w:sz w:val="22"/>
          <w:szCs w:val="22"/>
        </w:rPr>
      </w:pPr>
      <w:r w:rsidRPr="00DC2C23">
        <w:rPr>
          <w:rFonts w:ascii="Arial" w:hAnsi="Arial" w:cs="Arial"/>
          <w:b/>
          <w:bCs/>
          <w:sz w:val="22"/>
          <w:szCs w:val="22"/>
        </w:rPr>
        <w:t>5.4 Future Research Directions</w:t>
      </w:r>
    </w:p>
    <w:p w14:paraId="0E112DF5" w14:textId="77777777" w:rsidR="008F6FDA" w:rsidRPr="008F6FDA" w:rsidRDefault="008F6FDA" w:rsidP="008F6FDA">
      <w:pPr>
        <w:spacing w:after="200"/>
        <w:jc w:val="both"/>
        <w:rPr>
          <w:rFonts w:ascii="Arial" w:hAnsi="Arial" w:cs="Arial"/>
          <w:sz w:val="22"/>
          <w:szCs w:val="22"/>
        </w:rPr>
      </w:pPr>
      <w:r w:rsidRPr="008F6FDA">
        <w:rPr>
          <w:rFonts w:ascii="Arial" w:hAnsi="Arial" w:cs="Arial"/>
          <w:sz w:val="22"/>
          <w:szCs w:val="22"/>
        </w:rPr>
        <w:t>Building on the gaps identified throughout this study, three directions for future research are proposed.</w:t>
      </w:r>
    </w:p>
    <w:p w14:paraId="441CCC2C" w14:textId="77777777" w:rsidR="008F6FDA" w:rsidRPr="008F6FDA" w:rsidRDefault="008F6FDA" w:rsidP="008F6FDA">
      <w:pPr>
        <w:spacing w:after="200"/>
        <w:jc w:val="both"/>
        <w:rPr>
          <w:rFonts w:ascii="Arial" w:hAnsi="Arial" w:cs="Arial"/>
          <w:sz w:val="22"/>
          <w:szCs w:val="22"/>
        </w:rPr>
      </w:pPr>
      <w:r w:rsidRPr="008F6FDA">
        <w:rPr>
          <w:rFonts w:ascii="Arial" w:hAnsi="Arial" w:cs="Arial"/>
          <w:sz w:val="22"/>
          <w:szCs w:val="22"/>
        </w:rPr>
        <w:t>First, primary data collection — through interviews or surveys with staff working in under-represented settings such as community and mental health services — would help establish whether the mechanisms linking staffing to patient outcomes identified in acute and maternity contexts apply similarly elsewhere, addressing the evidence imbalance noted in section 5.3.</w:t>
      </w:r>
    </w:p>
    <w:p w14:paraId="1FD1885B" w14:textId="77777777" w:rsidR="008F6FDA" w:rsidRPr="008F6FDA" w:rsidRDefault="008F6FDA" w:rsidP="008F6FDA">
      <w:pPr>
        <w:spacing w:after="200"/>
        <w:jc w:val="both"/>
        <w:rPr>
          <w:rFonts w:ascii="Arial" w:hAnsi="Arial" w:cs="Arial"/>
          <w:sz w:val="22"/>
          <w:szCs w:val="22"/>
        </w:rPr>
      </w:pPr>
      <w:r w:rsidRPr="008F6FDA">
        <w:rPr>
          <w:rFonts w:ascii="Arial" w:hAnsi="Arial" w:cs="Arial"/>
          <w:sz w:val="22"/>
          <w:szCs w:val="22"/>
        </w:rPr>
        <w:t>Second, future research would benefit from work explicitly modelling staff burnout as a mediating variable between staffing levels and patient safety outcomes, using quantitative methods capable of testing this relationship directly rather than inferring it from parallel bodies of literature, as this study has necessarily done.</w:t>
      </w:r>
    </w:p>
    <w:p w14:paraId="4468D2C4" w14:textId="77777777" w:rsidR="008F6FDA" w:rsidRPr="008F6FDA" w:rsidRDefault="008F6FDA" w:rsidP="008F6FDA">
      <w:pPr>
        <w:spacing w:after="200"/>
        <w:jc w:val="both"/>
        <w:rPr>
          <w:rFonts w:ascii="Arial" w:hAnsi="Arial" w:cs="Arial"/>
          <w:sz w:val="22"/>
          <w:szCs w:val="22"/>
        </w:rPr>
      </w:pPr>
      <w:r w:rsidRPr="466C777D">
        <w:rPr>
          <w:rFonts w:ascii="Arial" w:hAnsi="Arial" w:cs="Arial"/>
          <w:sz w:val="22"/>
          <w:szCs w:val="22"/>
        </w:rPr>
        <w:t>Third, as the NHS Long Term Workforce Plan matures, longitudinal research evaluating its actual impact on regional and specialty-level staffing gaps — rather than national aggregate vacancy figures — would provide a more robust evidence base than currently exists for assessing whether this policy response addresses the geographically uneven crisis identified in this dissertation.</w:t>
      </w:r>
    </w:p>
    <w:p w14:paraId="4E72AF6A" w14:textId="31A6F487" w:rsidR="466C777D" w:rsidRDefault="466C777D" w:rsidP="466C777D">
      <w:pPr>
        <w:spacing w:after="200"/>
        <w:jc w:val="both"/>
        <w:rPr>
          <w:rFonts w:ascii="Arial" w:hAnsi="Arial" w:cs="Arial"/>
          <w:b/>
          <w:bCs/>
          <w:sz w:val="28"/>
          <w:szCs w:val="28"/>
        </w:rPr>
      </w:pPr>
    </w:p>
    <w:p w14:paraId="20F0BFE2" w14:textId="6E314E7D" w:rsidR="466C777D" w:rsidRDefault="466C777D" w:rsidP="466C777D">
      <w:pPr>
        <w:spacing w:after="200"/>
        <w:jc w:val="both"/>
        <w:rPr>
          <w:rFonts w:ascii="Arial" w:hAnsi="Arial" w:cs="Arial"/>
          <w:b/>
          <w:bCs/>
          <w:sz w:val="28"/>
          <w:szCs w:val="28"/>
        </w:rPr>
      </w:pPr>
    </w:p>
    <w:p w14:paraId="1BB745AB" w14:textId="29969298" w:rsidR="57177649" w:rsidRDefault="57177649" w:rsidP="466C777D">
      <w:r w:rsidRPr="466C777D">
        <w:rPr>
          <w:rFonts w:ascii="Arial" w:eastAsia="Times New Roman" w:hAnsi="Arial" w:cs="Arial"/>
          <w:b/>
          <w:bCs/>
          <w:color w:val="2E74B5"/>
          <w:sz w:val="28"/>
          <w:szCs w:val="28"/>
          <w:lang w:eastAsia="en-GB"/>
        </w:rPr>
        <w:t xml:space="preserve">Element 3- Reflection </w:t>
      </w:r>
    </w:p>
    <w:p w14:paraId="36D5268C" w14:textId="6EC53A49" w:rsidR="57177649" w:rsidRDefault="57177649" w:rsidP="466C777D">
      <w:pPr>
        <w:spacing w:line="276" w:lineRule="auto"/>
        <w:jc w:val="center"/>
      </w:pPr>
      <w:r w:rsidRPr="466C777D">
        <w:rPr>
          <w:rFonts w:ascii="Aptos" w:eastAsia="Aptos" w:hAnsi="Aptos" w:cs="Aptos"/>
        </w:rPr>
        <w:t xml:space="preserve">Reflective report </w:t>
      </w:r>
    </w:p>
    <w:p w14:paraId="72A64F61" w14:textId="73A90D52" w:rsidR="57177649" w:rsidRDefault="57177649" w:rsidP="466C777D">
      <w:pPr>
        <w:spacing w:line="276" w:lineRule="auto"/>
      </w:pPr>
      <w:r w:rsidRPr="466C777D">
        <w:rPr>
          <w:rFonts w:ascii="Arial" w:eastAsia="Arial" w:hAnsi="Arial" w:cs="Arial"/>
          <w:sz w:val="22"/>
          <w:szCs w:val="22"/>
        </w:rPr>
        <w:t>Research Process Reflection (Gibbs' Reflective Cycle)</w:t>
      </w:r>
    </w:p>
    <w:p w14:paraId="5AC9A9A1" w14:textId="7B426F72" w:rsidR="32AACC8E" w:rsidRDefault="32AACC8E" w:rsidP="466C777D">
      <w:pPr>
        <w:spacing w:line="276" w:lineRule="auto"/>
        <w:rPr>
          <w:rFonts w:ascii="Arial" w:eastAsia="Arial" w:hAnsi="Arial" w:cs="Arial"/>
          <w:b/>
          <w:bCs/>
          <w:color w:val="FF0000"/>
          <w:sz w:val="22"/>
          <w:szCs w:val="22"/>
        </w:rPr>
      </w:pPr>
      <w:r w:rsidRPr="466C777D">
        <w:rPr>
          <w:rFonts w:ascii="Arial" w:eastAsia="Arial" w:hAnsi="Arial" w:cs="Arial"/>
          <w:b/>
          <w:bCs/>
          <w:color w:val="FF0000"/>
          <w:sz w:val="22"/>
          <w:szCs w:val="22"/>
        </w:rPr>
        <w:t xml:space="preserve">Add a brief introduction </w:t>
      </w:r>
    </w:p>
    <w:p w14:paraId="3993B0A4" w14:textId="0B092B38" w:rsidR="57177649" w:rsidRDefault="57177649" w:rsidP="466C777D">
      <w:pPr>
        <w:spacing w:line="276" w:lineRule="auto"/>
      </w:pPr>
      <w:r w:rsidRPr="466C777D">
        <w:rPr>
          <w:rFonts w:ascii="Arial" w:eastAsia="Arial" w:hAnsi="Arial" w:cs="Arial"/>
          <w:b/>
          <w:bCs/>
          <w:sz w:val="22"/>
          <w:szCs w:val="22"/>
        </w:rPr>
        <w:t>Description</w:t>
      </w:r>
    </w:p>
    <w:p w14:paraId="104F5D09" w14:textId="12CD3043" w:rsidR="57177649" w:rsidRDefault="57177649" w:rsidP="466C777D">
      <w:pPr>
        <w:spacing w:line="276" w:lineRule="auto"/>
      </w:pPr>
      <w:r w:rsidRPr="466C777D">
        <w:rPr>
          <w:rFonts w:ascii="Arial" w:eastAsia="Arial" w:hAnsi="Arial" w:cs="Arial"/>
          <w:sz w:val="22"/>
          <w:szCs w:val="22"/>
        </w:rPr>
        <w:t>To complete my dissertation, I had to compile academic literature, national data, and the results of a public inquiry into an organised piece of research in order to examine how workforce shortages affect the provision of healthcare in the NHS. I began the process with the advantage of having worked in the NHS for more than six years and in healthcare in general for around ten years. My strategy was to base the dissertation on topics that I had previously identified from my work, such as staffing strain, burnout, and retention, and to provide formal literature to back them up.</w:t>
      </w:r>
    </w:p>
    <w:p w14:paraId="61927436" w14:textId="3BB1BEA6" w:rsidR="57177649" w:rsidRDefault="57177649" w:rsidP="466C777D">
      <w:pPr>
        <w:spacing w:line="276" w:lineRule="auto"/>
      </w:pPr>
      <w:r w:rsidRPr="466C777D">
        <w:rPr>
          <w:rFonts w:ascii="Arial" w:eastAsia="Arial" w:hAnsi="Arial" w:cs="Arial"/>
          <w:b/>
          <w:bCs/>
          <w:sz w:val="22"/>
          <w:szCs w:val="22"/>
        </w:rPr>
        <w:t>Feelings</w:t>
      </w:r>
    </w:p>
    <w:p w14:paraId="7CD4057E" w14:textId="073FCB69" w:rsidR="57177649" w:rsidRDefault="57177649" w:rsidP="466C777D">
      <w:pPr>
        <w:spacing w:line="276" w:lineRule="auto"/>
      </w:pPr>
      <w:r w:rsidRPr="466C777D">
        <w:rPr>
          <w:rFonts w:ascii="Arial" w:eastAsia="Arial" w:hAnsi="Arial" w:cs="Arial"/>
          <w:sz w:val="22"/>
          <w:szCs w:val="22"/>
        </w:rPr>
        <w:t>I started the procedure with confidence rather than anxiety because I was previously familiar with the subject. I didn't feel the uneasiness that often accompanies researching a completely unknown subject. But as I dug more into the literature search, I noticed that a lot of what I "knew" from experience was difficult to prove in writing, which made me feel a little frustrated. Considering how confident I had first felt, this was an unexpected emotion.</w:t>
      </w:r>
    </w:p>
    <w:p w14:paraId="053D1DAB" w14:textId="0D3E8E8D" w:rsidR="57177649" w:rsidRDefault="57177649" w:rsidP="466C777D">
      <w:pPr>
        <w:spacing w:line="276" w:lineRule="auto"/>
      </w:pPr>
      <w:r w:rsidRPr="466C777D">
        <w:rPr>
          <w:rFonts w:ascii="Arial" w:eastAsia="Arial" w:hAnsi="Arial" w:cs="Arial"/>
          <w:b/>
          <w:bCs/>
          <w:sz w:val="22"/>
          <w:szCs w:val="22"/>
        </w:rPr>
        <w:t>Evaluation</w:t>
      </w:r>
    </w:p>
    <w:p w14:paraId="233A6AD1" w14:textId="3DB16D6A" w:rsidR="57177649" w:rsidRDefault="57177649" w:rsidP="466C777D">
      <w:pPr>
        <w:spacing w:line="276" w:lineRule="auto"/>
      </w:pPr>
      <w:r w:rsidRPr="466C777D">
        <w:rPr>
          <w:rFonts w:ascii="Arial" w:eastAsia="Arial" w:hAnsi="Arial" w:cs="Arial"/>
          <w:sz w:val="22"/>
          <w:szCs w:val="22"/>
        </w:rPr>
        <w:t>The conceptual portion of the dissertation, which included choosing topics, organising arguments, and instinctively determining which concerns were most important (e.g., urging that burnout and retention be handled as fundamental themes rather than a subsidiary worry), went well. Converting this practical understanding into written, citable evidence was more challenging. Finding academic or policy literature that matched this situation took longer than I had anticipated, and a lot of what I learned about staffing shortages came from conversations, shift patterns, and personal observation rather than from published sources.</w:t>
      </w:r>
    </w:p>
    <w:p w14:paraId="7775B134" w14:textId="633853D4" w:rsidR="57177649" w:rsidRDefault="57177649" w:rsidP="466C777D">
      <w:pPr>
        <w:spacing w:line="276" w:lineRule="auto"/>
      </w:pPr>
      <w:r w:rsidRPr="466C777D">
        <w:rPr>
          <w:rFonts w:ascii="Arial" w:eastAsia="Arial" w:hAnsi="Arial" w:cs="Arial"/>
          <w:b/>
          <w:bCs/>
          <w:sz w:val="22"/>
          <w:szCs w:val="22"/>
        </w:rPr>
        <w:t>Analysis</w:t>
      </w:r>
    </w:p>
    <w:p w14:paraId="02855F1C" w14:textId="22724C36" w:rsidR="57177649" w:rsidRDefault="57177649" w:rsidP="466C777D">
      <w:pPr>
        <w:spacing w:line="276" w:lineRule="auto"/>
      </w:pPr>
      <w:r w:rsidRPr="466C777D">
        <w:rPr>
          <w:rFonts w:ascii="Arial" w:eastAsia="Arial" w:hAnsi="Arial" w:cs="Arial"/>
          <w:sz w:val="22"/>
          <w:szCs w:val="22"/>
        </w:rPr>
        <w:t>Considering the reasons behind this, I believe that my work experience gave me a strong sense of intuition but not a ready-made body of proof; the two are not the same thing, and I misjudged the difference between the two during the planning phase. This put strain on my overall deadline because I had to spend time looking for and confirming sources instead of writing. In retrospect, it also became evident that beginning earlier would have absorbed this additional seeking time without impacting the latter phases of writing.</w:t>
      </w:r>
    </w:p>
    <w:p w14:paraId="6486AEC6" w14:textId="3765E209" w:rsidR="57177649" w:rsidRDefault="57177649" w:rsidP="466C777D">
      <w:pPr>
        <w:spacing w:line="276" w:lineRule="auto"/>
      </w:pPr>
      <w:r w:rsidRPr="466C777D">
        <w:rPr>
          <w:rFonts w:ascii="Arial" w:eastAsia="Arial" w:hAnsi="Arial" w:cs="Arial"/>
          <w:b/>
          <w:bCs/>
          <w:sz w:val="22"/>
          <w:szCs w:val="22"/>
        </w:rPr>
        <w:t>Conclusion</w:t>
      </w:r>
    </w:p>
    <w:p w14:paraId="2EEB4104" w14:textId="43F095F7" w:rsidR="57177649" w:rsidRDefault="57177649" w:rsidP="466C777D">
      <w:pPr>
        <w:spacing w:line="276" w:lineRule="auto"/>
      </w:pPr>
      <w:r w:rsidRPr="466C777D">
        <w:rPr>
          <w:rFonts w:ascii="Arial" w:eastAsia="Arial" w:hAnsi="Arial" w:cs="Arial"/>
          <w:sz w:val="22"/>
          <w:szCs w:val="22"/>
        </w:rPr>
        <w:t>Overall, I draw the conclusion that my job experience was a real value to this dissertation since it helped construct a solid, well-thought-out original strategy and prevented me from having to drastically alter course once I got going. But I could have more correctly predicted the difficulty of acquiring proof and scheduled my time appropriately. Additionally, I've come to the conclusion that this method has increased my respect for structure: comprehending a big, well-known topic is not the same as turning it into a well-organised piece of academic study.</w:t>
      </w:r>
    </w:p>
    <w:p w14:paraId="697040DA" w14:textId="7A67E096" w:rsidR="57177649" w:rsidRDefault="57177649" w:rsidP="466C777D">
      <w:pPr>
        <w:spacing w:line="276" w:lineRule="auto"/>
      </w:pPr>
      <w:r w:rsidRPr="466C777D">
        <w:rPr>
          <w:rFonts w:ascii="Arial" w:eastAsia="Arial" w:hAnsi="Arial" w:cs="Arial"/>
          <w:b/>
          <w:bCs/>
          <w:sz w:val="22"/>
          <w:szCs w:val="22"/>
        </w:rPr>
        <w:t>Action Plan</w:t>
      </w:r>
    </w:p>
    <w:p w14:paraId="5FF2F412" w14:textId="119E1DB8" w:rsidR="57177649" w:rsidRDefault="57177649" w:rsidP="466C777D">
      <w:pPr>
        <w:spacing w:line="276" w:lineRule="auto"/>
      </w:pPr>
      <w:r w:rsidRPr="466C777D">
        <w:rPr>
          <w:rFonts w:ascii="Arial" w:eastAsia="Arial" w:hAnsi="Arial" w:cs="Arial"/>
          <w:sz w:val="22"/>
          <w:szCs w:val="22"/>
        </w:rPr>
        <w:t>Instead of expecting that my prior knowledge will immediately transform into citable sources, I will begin the process earlier for future research projects, especially allocating more time at the outset for finding textual proof. Since I now see structure as one of my main strengths as a researcher, I will also adopt the same organised approach that worked effectively in my dissertation from the beginning of future projects rather than creating it as I go.</w:t>
      </w:r>
    </w:p>
    <w:p w14:paraId="6CA954E4" w14:textId="4AB1E385" w:rsidR="466C777D" w:rsidRDefault="466C777D" w:rsidP="466C777D">
      <w:pPr>
        <w:rPr>
          <w:rFonts w:ascii="Arial" w:eastAsia="Times New Roman" w:hAnsi="Arial" w:cs="Arial"/>
          <w:b/>
          <w:bCs/>
          <w:color w:val="2E74B5"/>
          <w:sz w:val="28"/>
          <w:szCs w:val="28"/>
          <w:lang w:eastAsia="en-GB"/>
        </w:rPr>
      </w:pPr>
    </w:p>
    <w:p w14:paraId="1FB13DEB" w14:textId="27CF3634" w:rsidR="466C777D" w:rsidRDefault="466C777D" w:rsidP="466C777D">
      <w:pPr>
        <w:rPr>
          <w:rFonts w:ascii="Arial" w:eastAsia="Times New Roman" w:hAnsi="Arial" w:cs="Arial"/>
          <w:b/>
          <w:bCs/>
          <w:color w:val="2E74B5"/>
          <w:sz w:val="28"/>
          <w:szCs w:val="28"/>
          <w:lang w:eastAsia="en-GB"/>
        </w:rPr>
      </w:pPr>
    </w:p>
    <w:p w14:paraId="72158FCD" w14:textId="19304F9A" w:rsidR="57177649" w:rsidRDefault="57177649" w:rsidP="466C777D">
      <w:r w:rsidRPr="466C777D">
        <w:rPr>
          <w:rFonts w:ascii="Arial" w:eastAsia="Times New Roman" w:hAnsi="Arial" w:cs="Arial"/>
          <w:b/>
          <w:bCs/>
          <w:color w:val="2E74B5"/>
          <w:sz w:val="28"/>
          <w:szCs w:val="28"/>
          <w:lang w:eastAsia="en-GB"/>
        </w:rPr>
        <w:t xml:space="preserve">Element 3- Poster </w:t>
      </w:r>
    </w:p>
    <w:p w14:paraId="3844ADE8" w14:textId="48FFE679" w:rsidR="466C777D" w:rsidRDefault="466C777D" w:rsidP="466C777D">
      <w:pPr>
        <w:rPr>
          <w:rFonts w:ascii="Arial" w:eastAsia="Times New Roman" w:hAnsi="Arial" w:cs="Arial"/>
          <w:b/>
          <w:bCs/>
          <w:color w:val="2E74B5"/>
          <w:sz w:val="28"/>
          <w:szCs w:val="28"/>
          <w:lang w:eastAsia="en-GB"/>
        </w:rPr>
      </w:pPr>
    </w:p>
    <w:tbl>
      <w:tblPr>
        <w:tblW w:w="0" w:type="auto"/>
        <w:tblLook w:val="04A0" w:firstRow="1" w:lastRow="0" w:firstColumn="1" w:lastColumn="0" w:noHBand="0" w:noVBand="1"/>
      </w:tblPr>
      <w:tblGrid>
        <w:gridCol w:w="9015"/>
      </w:tblGrid>
      <w:tr w:rsidR="466C777D" w14:paraId="5C3BA589" w14:textId="77777777" w:rsidTr="466C777D">
        <w:trPr>
          <w:trHeight w:val="300"/>
        </w:trPr>
        <w:tc>
          <w:tcPr>
            <w:tcW w:w="9015" w:type="dxa"/>
            <w:tcBorders>
              <w:top w:val="nil"/>
              <w:left w:val="nil"/>
              <w:bottom w:val="nil"/>
              <w:right w:val="nil"/>
            </w:tcBorders>
            <w:shd w:val="clear" w:color="auto" w:fill="005EB8"/>
            <w:tcMar>
              <w:top w:w="280" w:type="dxa"/>
              <w:left w:w="300" w:type="dxa"/>
              <w:bottom w:w="280" w:type="dxa"/>
              <w:right w:w="300" w:type="dxa"/>
            </w:tcMar>
            <w:vAlign w:val="center"/>
          </w:tcPr>
          <w:p w14:paraId="2772C1B1" w14:textId="6A7D84B8" w:rsidR="466C777D" w:rsidRDefault="466C777D" w:rsidP="466C777D">
            <w:pPr>
              <w:spacing w:after="0"/>
              <w:jc w:val="center"/>
            </w:pPr>
            <w:r w:rsidRPr="466C777D">
              <w:rPr>
                <w:rFonts w:ascii="Arial" w:eastAsia="Arial" w:hAnsi="Arial" w:cs="Arial"/>
                <w:b/>
                <w:bCs/>
                <w:color w:val="FFFFFF" w:themeColor="background1"/>
                <w:sz w:val="42"/>
                <w:szCs w:val="42"/>
              </w:rPr>
              <w:t>Exploring the Effects of Staff Shortages on NHS Healthcare Delivery</w:t>
            </w:r>
          </w:p>
          <w:p w14:paraId="73D9C16D" w14:textId="18EDD943" w:rsidR="466C777D" w:rsidRDefault="466C777D" w:rsidP="466C777D">
            <w:pPr>
              <w:spacing w:before="140" w:after="0"/>
              <w:jc w:val="center"/>
            </w:pPr>
            <w:r w:rsidRPr="466C777D">
              <w:rPr>
                <w:rFonts w:ascii="Calibri" w:eastAsia="Calibri" w:hAnsi="Calibri" w:cs="Calibri"/>
                <w:i/>
                <w:iCs/>
                <w:color w:val="D2E5F5"/>
                <w:sz w:val="21"/>
                <w:szCs w:val="21"/>
              </w:rPr>
              <w:t>A secondary-data investigation into workforce shortages, patient safety, staff wellbeing, and organisational performance across the NHS in England</w:t>
            </w:r>
          </w:p>
        </w:tc>
      </w:tr>
    </w:tbl>
    <w:p w14:paraId="0076D717" w14:textId="547D095E" w:rsidR="707022DA" w:rsidRDefault="707022DA" w:rsidP="466C777D">
      <w:pPr>
        <w:jc w:val="both"/>
      </w:pPr>
      <w:r w:rsidRPr="466C777D">
        <w:rPr>
          <w:rFonts w:ascii="Times New Roman" w:eastAsia="Times New Roman" w:hAnsi="Times New Roman" w:cs="Times New Roman"/>
          <w:sz w:val="20"/>
          <w:szCs w:val="20"/>
        </w:rPr>
        <w:t xml:space="preserve"> </w:t>
      </w:r>
    </w:p>
    <w:tbl>
      <w:tblPr>
        <w:tblW w:w="0" w:type="auto"/>
        <w:tblLook w:val="04A0" w:firstRow="1" w:lastRow="0" w:firstColumn="1" w:lastColumn="0" w:noHBand="0" w:noVBand="1"/>
      </w:tblPr>
      <w:tblGrid>
        <w:gridCol w:w="2254"/>
        <w:gridCol w:w="2254"/>
        <w:gridCol w:w="2254"/>
        <w:gridCol w:w="2254"/>
      </w:tblGrid>
      <w:tr w:rsidR="466C777D" w14:paraId="761C1F12" w14:textId="77777777" w:rsidTr="466C777D">
        <w:trPr>
          <w:trHeight w:val="300"/>
        </w:trPr>
        <w:tc>
          <w:tcPr>
            <w:tcW w:w="2254" w:type="dxa"/>
            <w:tcBorders>
              <w:top w:val="nil"/>
              <w:left w:val="nil"/>
              <w:bottom w:val="nil"/>
              <w:right w:val="nil"/>
            </w:tcBorders>
            <w:shd w:val="clear" w:color="auto" w:fill="FFFFFF" w:themeFill="background1"/>
            <w:tcMar>
              <w:top w:w="160" w:type="dxa"/>
              <w:left w:w="100" w:type="dxa"/>
              <w:bottom w:w="160" w:type="dxa"/>
              <w:right w:w="100" w:type="dxa"/>
            </w:tcMar>
            <w:vAlign w:val="center"/>
          </w:tcPr>
          <w:p w14:paraId="015E1C4E" w14:textId="5B1CD8BD" w:rsidR="466C777D" w:rsidRDefault="466C777D" w:rsidP="466C777D">
            <w:pPr>
              <w:spacing w:after="0"/>
              <w:jc w:val="center"/>
            </w:pPr>
            <w:r w:rsidRPr="466C777D">
              <w:rPr>
                <w:rFonts w:ascii="Arial" w:eastAsia="Arial" w:hAnsi="Arial" w:cs="Arial"/>
                <w:b/>
                <w:bCs/>
                <w:color w:val="005EB8"/>
                <w:sz w:val="40"/>
                <w:szCs w:val="40"/>
              </w:rPr>
              <w:t>~100,000</w:t>
            </w:r>
          </w:p>
          <w:p w14:paraId="4606FCBC" w14:textId="350991DF" w:rsidR="466C777D" w:rsidRDefault="466C777D" w:rsidP="466C777D">
            <w:pPr>
              <w:spacing w:after="0"/>
              <w:jc w:val="center"/>
            </w:pPr>
            <w:r w:rsidRPr="466C777D">
              <w:rPr>
                <w:rFonts w:ascii="Calibri" w:eastAsia="Calibri" w:hAnsi="Calibri" w:cs="Calibri"/>
                <w:color w:val="425563"/>
                <w:sz w:val="15"/>
                <w:szCs w:val="15"/>
              </w:rPr>
              <w:t>Vacant posts in England, ~6.7% of workforce (NHS England, 2025)</w:t>
            </w:r>
          </w:p>
        </w:tc>
        <w:tc>
          <w:tcPr>
            <w:tcW w:w="2254" w:type="dxa"/>
            <w:tcBorders>
              <w:top w:val="nil"/>
              <w:left w:val="nil"/>
              <w:bottom w:val="nil"/>
              <w:right w:val="nil"/>
            </w:tcBorders>
            <w:shd w:val="clear" w:color="auto" w:fill="FFFFFF" w:themeFill="background1"/>
            <w:tcMar>
              <w:top w:w="160" w:type="dxa"/>
              <w:left w:w="100" w:type="dxa"/>
              <w:bottom w:w="160" w:type="dxa"/>
              <w:right w:w="100" w:type="dxa"/>
            </w:tcMar>
            <w:vAlign w:val="center"/>
          </w:tcPr>
          <w:p w14:paraId="3D7DED4A" w14:textId="0AECE992" w:rsidR="466C777D" w:rsidRDefault="466C777D" w:rsidP="466C777D">
            <w:pPr>
              <w:spacing w:after="0"/>
              <w:jc w:val="center"/>
            </w:pPr>
            <w:r w:rsidRPr="466C777D">
              <w:rPr>
                <w:rFonts w:ascii="Arial" w:eastAsia="Arial" w:hAnsi="Arial" w:cs="Arial"/>
                <w:b/>
                <w:bCs/>
                <w:color w:val="00A499"/>
                <w:sz w:val="40"/>
                <w:szCs w:val="40"/>
              </w:rPr>
              <w:t>£3.5bn</w:t>
            </w:r>
          </w:p>
          <w:p w14:paraId="3CA39288" w14:textId="50986C82" w:rsidR="466C777D" w:rsidRDefault="466C777D" w:rsidP="466C777D">
            <w:pPr>
              <w:spacing w:after="0"/>
              <w:jc w:val="center"/>
            </w:pPr>
            <w:r w:rsidRPr="466C777D">
              <w:rPr>
                <w:rFonts w:ascii="Calibri" w:eastAsia="Calibri" w:hAnsi="Calibri" w:cs="Calibri"/>
                <w:color w:val="425563"/>
                <w:sz w:val="15"/>
                <w:szCs w:val="15"/>
              </w:rPr>
              <w:t>Peak annual NHS agency staffing spends, 2022/23 (NHS England, 2024)</w:t>
            </w:r>
          </w:p>
        </w:tc>
        <w:tc>
          <w:tcPr>
            <w:tcW w:w="2254" w:type="dxa"/>
            <w:tcBorders>
              <w:top w:val="nil"/>
              <w:left w:val="nil"/>
              <w:bottom w:val="nil"/>
              <w:right w:val="nil"/>
            </w:tcBorders>
            <w:shd w:val="clear" w:color="auto" w:fill="FFFFFF" w:themeFill="background1"/>
            <w:tcMar>
              <w:top w:w="160" w:type="dxa"/>
              <w:left w:w="100" w:type="dxa"/>
              <w:bottom w:w="160" w:type="dxa"/>
              <w:right w:w="100" w:type="dxa"/>
            </w:tcMar>
            <w:vAlign w:val="center"/>
          </w:tcPr>
          <w:p w14:paraId="22481624" w14:textId="21C45BE9" w:rsidR="466C777D" w:rsidRDefault="466C777D" w:rsidP="466C777D">
            <w:pPr>
              <w:spacing w:after="0"/>
              <w:jc w:val="center"/>
            </w:pPr>
            <w:r w:rsidRPr="466C777D">
              <w:rPr>
                <w:rFonts w:ascii="Arial" w:eastAsia="Arial" w:hAnsi="Arial" w:cs="Arial"/>
                <w:b/>
                <w:bCs/>
                <w:color w:val="003087"/>
                <w:sz w:val="40"/>
                <w:szCs w:val="40"/>
              </w:rPr>
              <w:t>42.4%</w:t>
            </w:r>
          </w:p>
          <w:p w14:paraId="2FD6D724" w14:textId="6A5F1A46" w:rsidR="466C777D" w:rsidRDefault="466C777D" w:rsidP="466C777D">
            <w:pPr>
              <w:spacing w:after="0"/>
              <w:jc w:val="center"/>
            </w:pPr>
            <w:r w:rsidRPr="466C777D">
              <w:rPr>
                <w:rFonts w:ascii="Calibri" w:eastAsia="Calibri" w:hAnsi="Calibri" w:cs="Calibri"/>
                <w:color w:val="425563"/>
                <w:sz w:val="15"/>
                <w:szCs w:val="15"/>
              </w:rPr>
              <w:t>Staff reporting work-related stress (NHS Staff Survey, 2025)</w:t>
            </w:r>
          </w:p>
        </w:tc>
        <w:tc>
          <w:tcPr>
            <w:tcW w:w="2254" w:type="dxa"/>
            <w:tcBorders>
              <w:top w:val="nil"/>
              <w:left w:val="nil"/>
              <w:bottom w:val="nil"/>
              <w:right w:val="nil"/>
            </w:tcBorders>
            <w:shd w:val="clear" w:color="auto" w:fill="FFFFFF" w:themeFill="background1"/>
            <w:tcMar>
              <w:top w:w="160" w:type="dxa"/>
              <w:left w:w="100" w:type="dxa"/>
              <w:bottom w:w="160" w:type="dxa"/>
              <w:right w:w="100" w:type="dxa"/>
            </w:tcMar>
            <w:vAlign w:val="center"/>
          </w:tcPr>
          <w:p w14:paraId="65B3774F" w14:textId="3A9E07CB" w:rsidR="466C777D" w:rsidRDefault="466C777D" w:rsidP="466C777D">
            <w:pPr>
              <w:spacing w:after="0"/>
              <w:jc w:val="center"/>
            </w:pPr>
            <w:r w:rsidRPr="466C777D">
              <w:rPr>
                <w:rFonts w:ascii="Arial" w:eastAsia="Arial" w:hAnsi="Arial" w:cs="Arial"/>
                <w:b/>
                <w:bCs/>
                <w:color w:val="425563"/>
                <w:sz w:val="40"/>
                <w:szCs w:val="40"/>
              </w:rPr>
              <w:t>4</w:t>
            </w:r>
          </w:p>
          <w:p w14:paraId="6A0D98C8" w14:textId="3933B3DE" w:rsidR="466C777D" w:rsidRDefault="466C777D" w:rsidP="466C777D">
            <w:pPr>
              <w:spacing w:after="0"/>
              <w:jc w:val="center"/>
            </w:pPr>
            <w:r w:rsidRPr="466C777D">
              <w:rPr>
                <w:rFonts w:ascii="Calibri" w:eastAsia="Calibri" w:hAnsi="Calibri" w:cs="Calibri"/>
                <w:color w:val="425563"/>
                <w:sz w:val="15"/>
                <w:szCs w:val="15"/>
              </w:rPr>
              <w:t>Themes synthesised from the reviewed literature</w:t>
            </w:r>
          </w:p>
        </w:tc>
      </w:tr>
    </w:tbl>
    <w:p w14:paraId="185EB3E3" w14:textId="1F5DC023" w:rsidR="707022DA" w:rsidRDefault="707022DA" w:rsidP="466C777D">
      <w:pPr>
        <w:spacing w:after="220"/>
        <w:jc w:val="both"/>
      </w:pPr>
      <w:r w:rsidRPr="466C777D">
        <w:rPr>
          <w:rFonts w:ascii="Times New Roman" w:eastAsia="Times New Roman" w:hAnsi="Times New Roman" w:cs="Times New Roman"/>
          <w:sz w:val="20"/>
          <w:szCs w:val="20"/>
        </w:rPr>
        <w:t xml:space="preserve"> </w:t>
      </w:r>
    </w:p>
    <w:tbl>
      <w:tblPr>
        <w:tblW w:w="0" w:type="auto"/>
        <w:tblLook w:val="04A0" w:firstRow="1" w:lastRow="0" w:firstColumn="1" w:lastColumn="0" w:noHBand="0" w:noVBand="1"/>
      </w:tblPr>
      <w:tblGrid>
        <w:gridCol w:w="1979"/>
        <w:gridCol w:w="2530"/>
        <w:gridCol w:w="2219"/>
        <w:gridCol w:w="2298"/>
      </w:tblGrid>
      <w:tr w:rsidR="466C777D" w14:paraId="65AA4FC1" w14:textId="77777777" w:rsidTr="466C777D">
        <w:trPr>
          <w:trHeight w:val="300"/>
        </w:trPr>
        <w:tc>
          <w:tcPr>
            <w:tcW w:w="2300" w:type="dxa"/>
            <w:tcBorders>
              <w:top w:val="nil"/>
              <w:left w:val="nil"/>
              <w:bottom w:val="nil"/>
              <w:right w:val="nil"/>
            </w:tcBorders>
            <w:tcMar>
              <w:top w:w="200" w:type="dxa"/>
              <w:bottom w:w="200" w:type="dxa"/>
              <w:right w:w="220" w:type="dxa"/>
            </w:tcMar>
          </w:tcPr>
          <w:p w14:paraId="19DD530E" w14:textId="03E466F5" w:rsidR="466C777D" w:rsidRDefault="466C777D" w:rsidP="466C777D">
            <w:pPr>
              <w:pBdr>
                <w:bottom w:val="single" w:sz="12" w:space="4" w:color="005EB8"/>
              </w:pBdr>
              <w:spacing w:before="160" w:after="140"/>
            </w:pPr>
            <w:r w:rsidRPr="466C777D">
              <w:rPr>
                <w:rFonts w:ascii="Arial" w:eastAsia="Arial" w:hAnsi="Arial" w:cs="Arial"/>
                <w:b/>
                <w:bCs/>
                <w:color w:val="003087"/>
                <w:sz w:val="27"/>
                <w:szCs w:val="27"/>
              </w:rPr>
              <w:t>Background</w:t>
            </w:r>
          </w:p>
          <w:p w14:paraId="24EE09F6" w14:textId="79594992" w:rsidR="466C777D" w:rsidRDefault="466C777D" w:rsidP="466C777D">
            <w:pPr>
              <w:spacing w:after="240"/>
            </w:pPr>
            <w:r w:rsidRPr="466C777D">
              <w:rPr>
                <w:rFonts w:ascii="Arial" w:eastAsia="Arial" w:hAnsi="Arial" w:cs="Arial"/>
                <w:sz w:val="22"/>
                <w:szCs w:val="22"/>
              </w:rPr>
              <w:t>Workforce shortages in the NHS have evolved from an operational issue to a systemic disaster. The headline statistic of over 100,000 open positions in England is generally considered to be an underestimation of actual operational strain. Major care failures, such as those in Mid Staffordshire, Shrewsbury, and Telford, have been directly linked to understaffing, which increases the need for expensive temporary personnel.</w:t>
            </w:r>
          </w:p>
          <w:p w14:paraId="6FFDBCFA" w14:textId="157F3335" w:rsidR="466C777D" w:rsidRDefault="466C777D" w:rsidP="466C777D">
            <w:pPr>
              <w:pBdr>
                <w:bottom w:val="single" w:sz="12" w:space="4" w:color="005EB8"/>
              </w:pBdr>
              <w:spacing w:before="160" w:after="140"/>
            </w:pPr>
            <w:r w:rsidRPr="466C777D">
              <w:rPr>
                <w:rFonts w:ascii="Arial" w:eastAsia="Arial" w:hAnsi="Arial" w:cs="Arial"/>
                <w:b/>
                <w:bCs/>
                <w:color w:val="003087"/>
                <w:sz w:val="27"/>
                <w:szCs w:val="27"/>
              </w:rPr>
              <w:t>Research Aim</w:t>
            </w:r>
          </w:p>
          <w:p w14:paraId="1E3FB4D7" w14:textId="448FEB5C" w:rsidR="466C777D" w:rsidRDefault="466C777D" w:rsidP="466C777D">
            <w:pPr>
              <w:spacing w:after="180"/>
              <w:jc w:val="both"/>
            </w:pPr>
            <w:r w:rsidRPr="466C777D">
              <w:rPr>
                <w:rFonts w:ascii="Arial" w:eastAsia="Arial" w:hAnsi="Arial" w:cs="Arial"/>
                <w:sz w:val="22"/>
                <w:szCs w:val="22"/>
              </w:rPr>
              <w:t>To investigate how NHS healthcare delivery is impacted by a lack of workers, with a focus on staff welfare, organisational performance, patient safety, and care quality.</w:t>
            </w:r>
          </w:p>
        </w:tc>
        <w:tc>
          <w:tcPr>
            <w:tcW w:w="2207" w:type="dxa"/>
            <w:tcBorders>
              <w:top w:val="nil"/>
              <w:left w:val="nil"/>
              <w:bottom w:val="nil"/>
              <w:right w:val="nil"/>
            </w:tcBorders>
            <w:tcMar>
              <w:top w:w="200" w:type="dxa"/>
              <w:left w:w="220" w:type="dxa"/>
              <w:bottom w:w="200" w:type="dxa"/>
              <w:right w:w="220" w:type="dxa"/>
            </w:tcMar>
          </w:tcPr>
          <w:p w14:paraId="7608BD31" w14:textId="57810C95" w:rsidR="466C777D" w:rsidRDefault="466C777D" w:rsidP="466C777D">
            <w:pPr>
              <w:pBdr>
                <w:bottom w:val="single" w:sz="12" w:space="4" w:color="003087"/>
              </w:pBdr>
              <w:spacing w:before="160" w:after="140"/>
            </w:pPr>
            <w:r w:rsidRPr="466C777D">
              <w:rPr>
                <w:rFonts w:ascii="Arial" w:eastAsia="Arial" w:hAnsi="Arial" w:cs="Arial"/>
                <w:b/>
                <w:bCs/>
                <w:color w:val="003087"/>
                <w:sz w:val="27"/>
                <w:szCs w:val="27"/>
              </w:rPr>
              <w:t>Methodology</w:t>
            </w:r>
          </w:p>
          <w:p w14:paraId="4BF8CB83" w14:textId="7A03B3B4" w:rsidR="466C777D" w:rsidRDefault="466C777D" w:rsidP="466C777D">
            <w:pPr>
              <w:spacing w:after="180"/>
            </w:pPr>
            <w:r w:rsidRPr="466C777D">
              <w:rPr>
                <w:rFonts w:ascii="Arial" w:eastAsia="Arial" w:hAnsi="Arial" w:cs="Arial"/>
                <w:sz w:val="22"/>
                <w:szCs w:val="22"/>
              </w:rPr>
              <w:t>A desk-based, interpretivist, qualitative design was used, organised as a methodical narrative review and thematic examination of secondary materials (Braun and Clarke, 2006). Peer-reviewed academic literature, NHS workforce figures, sector and policy papers, and significant public inquiry results were the four types of evidence that were examined.</w:t>
            </w:r>
          </w:p>
          <w:p w14:paraId="31D0B528" w14:textId="67386F47" w:rsidR="466C777D" w:rsidRDefault="466C777D" w:rsidP="466C777D">
            <w:pPr>
              <w:spacing w:after="0"/>
            </w:pPr>
            <w:r w:rsidRPr="466C777D">
              <w:rPr>
                <w:rFonts w:ascii="Calibri" w:eastAsia="Calibri" w:hAnsi="Calibri" w:cs="Calibri"/>
                <w:i/>
                <w:iCs/>
                <w:color w:val="425563"/>
                <w:sz w:val="18"/>
                <w:szCs w:val="18"/>
              </w:rPr>
              <w:t>Six-phase thematic analysis process:</w:t>
            </w:r>
          </w:p>
          <w:p w14:paraId="6EB0DFF1" w14:textId="563AF537" w:rsidR="466C777D" w:rsidRDefault="466C777D" w:rsidP="466C777D">
            <w:pPr>
              <w:spacing w:after="80"/>
            </w:pPr>
            <w:r w:rsidRPr="466C777D">
              <w:rPr>
                <w:rFonts w:ascii="Times New Roman" w:eastAsia="Times New Roman" w:hAnsi="Times New Roman" w:cs="Times New Roman"/>
                <w:sz w:val="20"/>
                <w:szCs w:val="20"/>
              </w:rPr>
              <w:t xml:space="preserve"> </w:t>
            </w:r>
          </w:p>
          <w:p w14:paraId="5480DBF6" w14:textId="4E50D4E0" w:rsidR="466C777D" w:rsidRDefault="466C777D" w:rsidP="466C777D">
            <w:pPr>
              <w:pStyle w:val="ListParagraph"/>
              <w:numPr>
                <w:ilvl w:val="0"/>
                <w:numId w:val="1"/>
              </w:numPr>
              <w:spacing w:after="0"/>
              <w:rPr>
                <w:rFonts w:ascii="Arial" w:eastAsia="Arial" w:hAnsi="Arial" w:cs="Arial"/>
                <w:sz w:val="22"/>
                <w:szCs w:val="22"/>
              </w:rPr>
            </w:pPr>
            <w:r w:rsidRPr="466C777D">
              <w:rPr>
                <w:rFonts w:ascii="Arial" w:eastAsia="Arial" w:hAnsi="Arial" w:cs="Arial"/>
                <w:sz w:val="22"/>
                <w:szCs w:val="22"/>
              </w:rPr>
              <w:t>Getting connected with the data</w:t>
            </w:r>
          </w:p>
          <w:p w14:paraId="43413825" w14:textId="7EE36992" w:rsidR="466C777D" w:rsidRDefault="466C777D" w:rsidP="466C777D">
            <w:pPr>
              <w:pStyle w:val="ListParagraph"/>
              <w:numPr>
                <w:ilvl w:val="0"/>
                <w:numId w:val="1"/>
              </w:numPr>
              <w:spacing w:after="0"/>
              <w:rPr>
                <w:rFonts w:ascii="Arial" w:eastAsia="Arial" w:hAnsi="Arial" w:cs="Arial"/>
                <w:sz w:val="22"/>
                <w:szCs w:val="22"/>
              </w:rPr>
            </w:pPr>
            <w:r w:rsidRPr="466C777D">
              <w:rPr>
                <w:rFonts w:ascii="Arial" w:eastAsia="Arial" w:hAnsi="Arial" w:cs="Arial"/>
                <w:sz w:val="22"/>
                <w:szCs w:val="22"/>
              </w:rPr>
              <w:t>Initial code generation</w:t>
            </w:r>
          </w:p>
          <w:p w14:paraId="392565DD" w14:textId="66781DD2" w:rsidR="466C777D" w:rsidRDefault="466C777D" w:rsidP="466C777D">
            <w:pPr>
              <w:pStyle w:val="ListParagraph"/>
              <w:numPr>
                <w:ilvl w:val="0"/>
                <w:numId w:val="1"/>
              </w:numPr>
              <w:spacing w:after="0"/>
              <w:rPr>
                <w:rFonts w:ascii="Arial" w:eastAsia="Arial" w:hAnsi="Arial" w:cs="Arial"/>
                <w:sz w:val="22"/>
                <w:szCs w:val="22"/>
              </w:rPr>
            </w:pPr>
            <w:r w:rsidRPr="466C777D">
              <w:rPr>
                <w:rFonts w:ascii="Arial" w:eastAsia="Arial" w:hAnsi="Arial" w:cs="Arial"/>
                <w:sz w:val="22"/>
                <w:szCs w:val="22"/>
              </w:rPr>
              <w:t>Looking for theme</w:t>
            </w:r>
          </w:p>
          <w:p w14:paraId="61A1652C" w14:textId="52DD9D25" w:rsidR="466C777D" w:rsidRDefault="466C777D" w:rsidP="466C777D">
            <w:pPr>
              <w:pStyle w:val="ListParagraph"/>
              <w:numPr>
                <w:ilvl w:val="0"/>
                <w:numId w:val="1"/>
              </w:numPr>
              <w:spacing w:after="0"/>
              <w:rPr>
                <w:rFonts w:ascii="Arial" w:eastAsia="Arial" w:hAnsi="Arial" w:cs="Arial"/>
                <w:sz w:val="22"/>
                <w:szCs w:val="22"/>
              </w:rPr>
            </w:pPr>
            <w:r w:rsidRPr="466C777D">
              <w:rPr>
                <w:rFonts w:ascii="Arial" w:eastAsia="Arial" w:hAnsi="Arial" w:cs="Arial"/>
                <w:sz w:val="22"/>
                <w:szCs w:val="22"/>
              </w:rPr>
              <w:t>Examining the subject</w:t>
            </w:r>
          </w:p>
          <w:p w14:paraId="5E088ABB" w14:textId="22EC69EE" w:rsidR="466C777D" w:rsidRDefault="466C777D" w:rsidP="466C777D">
            <w:pPr>
              <w:pStyle w:val="ListParagraph"/>
              <w:numPr>
                <w:ilvl w:val="0"/>
                <w:numId w:val="1"/>
              </w:numPr>
              <w:spacing w:after="0"/>
              <w:rPr>
                <w:rFonts w:ascii="Arial" w:eastAsia="Arial" w:hAnsi="Arial" w:cs="Arial"/>
                <w:sz w:val="22"/>
                <w:szCs w:val="22"/>
              </w:rPr>
            </w:pPr>
            <w:r w:rsidRPr="466C777D">
              <w:rPr>
                <w:rFonts w:ascii="Arial" w:eastAsia="Arial" w:hAnsi="Arial" w:cs="Arial"/>
                <w:sz w:val="22"/>
                <w:szCs w:val="22"/>
              </w:rPr>
              <w:t>Identifying and characterising themes</w:t>
            </w:r>
          </w:p>
          <w:p w14:paraId="318D4A70" w14:textId="347BBF82" w:rsidR="466C777D" w:rsidRDefault="466C777D" w:rsidP="466C777D">
            <w:pPr>
              <w:pStyle w:val="ListParagraph"/>
              <w:numPr>
                <w:ilvl w:val="0"/>
                <w:numId w:val="1"/>
              </w:numPr>
              <w:spacing w:after="0"/>
              <w:rPr>
                <w:rFonts w:ascii="Arial" w:eastAsia="Arial" w:hAnsi="Arial" w:cs="Arial"/>
                <w:sz w:val="22"/>
                <w:szCs w:val="22"/>
              </w:rPr>
            </w:pPr>
            <w:r w:rsidRPr="466C777D">
              <w:rPr>
                <w:rFonts w:ascii="Arial" w:eastAsia="Arial" w:hAnsi="Arial" w:cs="Arial"/>
                <w:sz w:val="22"/>
                <w:szCs w:val="22"/>
              </w:rPr>
              <w:t>Making the ultimate analysis</w:t>
            </w:r>
          </w:p>
        </w:tc>
        <w:tc>
          <w:tcPr>
            <w:tcW w:w="2207" w:type="dxa"/>
            <w:tcBorders>
              <w:top w:val="nil"/>
              <w:left w:val="nil"/>
              <w:bottom w:val="nil"/>
              <w:right w:val="nil"/>
            </w:tcBorders>
            <w:tcMar>
              <w:top w:w="200" w:type="dxa"/>
              <w:left w:w="220" w:type="dxa"/>
              <w:bottom w:w="200" w:type="dxa"/>
              <w:right w:w="220" w:type="dxa"/>
            </w:tcMar>
          </w:tcPr>
          <w:p w14:paraId="1145924E" w14:textId="4D84CEBF" w:rsidR="466C777D" w:rsidRDefault="466C777D" w:rsidP="466C777D">
            <w:pPr>
              <w:pBdr>
                <w:bottom w:val="single" w:sz="12" w:space="4" w:color="00A499"/>
              </w:pBdr>
              <w:spacing w:before="160" w:after="140"/>
            </w:pPr>
            <w:r w:rsidRPr="466C777D">
              <w:rPr>
                <w:rFonts w:ascii="Arial" w:eastAsia="Arial" w:hAnsi="Arial" w:cs="Arial"/>
                <w:b/>
                <w:bCs/>
                <w:color w:val="003087"/>
                <w:sz w:val="27"/>
                <w:szCs w:val="27"/>
              </w:rPr>
              <w:t>Synthesis of Key Literature</w:t>
            </w:r>
          </w:p>
          <w:p w14:paraId="1E0F7DB7" w14:textId="57E17B7B" w:rsidR="466C777D" w:rsidRDefault="466C777D" w:rsidP="466C777D">
            <w:pPr>
              <w:spacing w:after="180"/>
              <w:jc w:val="both"/>
            </w:pPr>
            <w:r w:rsidRPr="466C777D">
              <w:rPr>
                <w:rFonts w:ascii="Calibri" w:eastAsia="Calibri" w:hAnsi="Calibri" w:cs="Calibri"/>
                <w:color w:val="212B32"/>
                <w:sz w:val="17"/>
                <w:szCs w:val="17"/>
              </w:rPr>
              <w:t>Four themes emerged from synthesising the reviewed sources:</w:t>
            </w:r>
          </w:p>
          <w:p w14:paraId="06A892D9" w14:textId="117C0FB2" w:rsidR="466C777D" w:rsidRDefault="466C777D" w:rsidP="466C777D">
            <w:pPr>
              <w:spacing w:after="80"/>
            </w:pPr>
            <w:r w:rsidRPr="466C777D">
              <w:rPr>
                <w:rFonts w:ascii="Times New Roman" w:eastAsia="Times New Roman" w:hAnsi="Times New Roman" w:cs="Times New Roman"/>
                <w:sz w:val="20"/>
                <w:szCs w:val="20"/>
              </w:rPr>
              <w:t xml:space="preserve"> </w:t>
            </w:r>
          </w:p>
          <w:tbl>
            <w:tblPr>
              <w:tblW w:w="0" w:type="auto"/>
              <w:tblLook w:val="04A0" w:firstRow="1" w:lastRow="0" w:firstColumn="1" w:lastColumn="0" w:noHBand="0" w:noVBand="1"/>
            </w:tblPr>
            <w:tblGrid>
              <w:gridCol w:w="1779"/>
            </w:tblGrid>
            <w:tr w:rsidR="466C777D" w14:paraId="47D0B3AF" w14:textId="77777777" w:rsidTr="466C777D">
              <w:trPr>
                <w:trHeight w:val="300"/>
              </w:trPr>
              <w:tc>
                <w:tcPr>
                  <w:tcW w:w="1787" w:type="dxa"/>
                  <w:tcBorders>
                    <w:top w:val="nil"/>
                    <w:left w:val="nil"/>
                    <w:bottom w:val="nil"/>
                    <w:right w:val="nil"/>
                  </w:tcBorders>
                  <w:shd w:val="clear" w:color="auto" w:fill="E8EDEE"/>
                  <w:tcMar>
                    <w:top w:w="140" w:type="dxa"/>
                    <w:left w:w="180" w:type="dxa"/>
                    <w:bottom w:w="140" w:type="dxa"/>
                    <w:right w:w="180" w:type="dxa"/>
                  </w:tcMar>
                </w:tcPr>
                <w:p w14:paraId="178B77D9" w14:textId="37A01097" w:rsidR="466C777D" w:rsidRDefault="466C777D" w:rsidP="466C777D">
                  <w:pPr>
                    <w:spacing w:after="80"/>
                  </w:pPr>
                  <w:r w:rsidRPr="466C777D">
                    <w:rPr>
                      <w:rFonts w:ascii="Arial" w:eastAsia="Arial" w:hAnsi="Arial" w:cs="Arial"/>
                      <w:b/>
                      <w:bCs/>
                      <w:color w:val="005EB8"/>
                      <w:sz w:val="22"/>
                      <w:szCs w:val="22"/>
                    </w:rPr>
                    <w:t>1 Measurement</w:t>
                  </w:r>
                </w:p>
                <w:p w14:paraId="10B6B6E3" w14:textId="33299170" w:rsidR="466C777D" w:rsidRDefault="466C777D" w:rsidP="466C777D">
                  <w:pPr>
                    <w:spacing w:after="0"/>
                  </w:pPr>
                  <w:r w:rsidRPr="466C777D">
                    <w:rPr>
                      <w:rFonts w:ascii="Arial" w:eastAsia="Arial" w:hAnsi="Arial" w:cs="Arial"/>
                      <w:color w:val="000000" w:themeColor="text1"/>
                      <w:sz w:val="22"/>
                      <w:szCs w:val="22"/>
                    </w:rPr>
                    <w:t>The underlying deficiency is probably understated by headline vacancy rates; the King's Fund's (2024) "staffing gap" notion provides a more significant, if more difficult to implement, alternative.</w:t>
                  </w:r>
                </w:p>
              </w:tc>
            </w:tr>
          </w:tbl>
          <w:p w14:paraId="3498F61C" w14:textId="2ABF4870" w:rsidR="466C777D" w:rsidRDefault="466C777D" w:rsidP="466C777D">
            <w:r w:rsidRPr="466C777D">
              <w:rPr>
                <w:rFonts w:ascii="Times New Roman" w:eastAsia="Times New Roman" w:hAnsi="Times New Roman" w:cs="Times New Roman"/>
                <w:sz w:val="20"/>
                <w:szCs w:val="20"/>
              </w:rPr>
              <w:t xml:space="preserve"> </w:t>
            </w:r>
          </w:p>
          <w:tbl>
            <w:tblPr>
              <w:tblW w:w="0" w:type="auto"/>
              <w:tblLook w:val="04A0" w:firstRow="1" w:lastRow="0" w:firstColumn="1" w:lastColumn="0" w:noHBand="0" w:noVBand="1"/>
            </w:tblPr>
            <w:tblGrid>
              <w:gridCol w:w="1779"/>
            </w:tblGrid>
            <w:tr w:rsidR="466C777D" w14:paraId="587B0730" w14:textId="77777777" w:rsidTr="466C777D">
              <w:trPr>
                <w:trHeight w:val="300"/>
              </w:trPr>
              <w:tc>
                <w:tcPr>
                  <w:tcW w:w="1787" w:type="dxa"/>
                  <w:tcBorders>
                    <w:top w:val="nil"/>
                    <w:left w:val="nil"/>
                    <w:bottom w:val="nil"/>
                    <w:right w:val="nil"/>
                  </w:tcBorders>
                  <w:shd w:val="clear" w:color="auto" w:fill="E8EDEE"/>
                  <w:tcMar>
                    <w:top w:w="140" w:type="dxa"/>
                    <w:left w:w="180" w:type="dxa"/>
                    <w:bottom w:w="140" w:type="dxa"/>
                    <w:right w:w="180" w:type="dxa"/>
                  </w:tcMar>
                </w:tcPr>
                <w:p w14:paraId="4310A6D2" w14:textId="0E9BD4AB" w:rsidR="466C777D" w:rsidRDefault="466C777D" w:rsidP="466C777D">
                  <w:pPr>
                    <w:spacing w:after="80"/>
                  </w:pPr>
                  <w:r w:rsidRPr="466C777D">
                    <w:rPr>
                      <w:rFonts w:ascii="Arial" w:eastAsia="Arial" w:hAnsi="Arial" w:cs="Arial"/>
                      <w:b/>
                      <w:bCs/>
                      <w:color w:val="00A499"/>
                      <w:sz w:val="22"/>
                      <w:szCs w:val="22"/>
                    </w:rPr>
                    <w:t>2 Patient</w:t>
                  </w:r>
                  <w:r w:rsidRPr="466C777D">
                    <w:rPr>
                      <w:rFonts w:ascii="Arial" w:eastAsia="Arial" w:hAnsi="Arial" w:cs="Arial"/>
                      <w:b/>
                      <w:bCs/>
                      <w:color w:val="003087"/>
                      <w:sz w:val="22"/>
                      <w:szCs w:val="22"/>
                    </w:rPr>
                    <w:t xml:space="preserve"> Safety &amp; Performance</w:t>
                  </w:r>
                </w:p>
                <w:p w14:paraId="492A423A" w14:textId="05B7CFF2" w:rsidR="466C777D" w:rsidRDefault="466C777D" w:rsidP="466C777D">
                  <w:pPr>
                    <w:spacing w:after="0"/>
                  </w:pPr>
                  <w:r w:rsidRPr="466C777D">
                    <w:rPr>
                      <w:rFonts w:ascii="Arial" w:eastAsia="Arial" w:hAnsi="Arial" w:cs="Arial"/>
                      <w:color w:val="000000" w:themeColor="text1"/>
                      <w:sz w:val="22"/>
                      <w:szCs w:val="22"/>
                    </w:rPr>
                    <w:t>NHS agency staffing cost alone peaked at over £3.5 billion yearly (NHS England, 2024); established research (Aiken et al., 2002; Griffiths et al., 2016) links understaffing to missed care and adverse events, regulated by skill mix and culture.</w:t>
                  </w:r>
                </w:p>
              </w:tc>
            </w:tr>
          </w:tbl>
          <w:p w14:paraId="6AA938E7" w14:textId="21FC5568" w:rsidR="466C777D" w:rsidRDefault="466C777D" w:rsidP="466C777D">
            <w:r w:rsidRPr="466C777D">
              <w:rPr>
                <w:rFonts w:ascii="Arial" w:eastAsia="Arial" w:hAnsi="Arial" w:cs="Arial"/>
                <w:sz w:val="22"/>
                <w:szCs w:val="22"/>
              </w:rPr>
              <w:t xml:space="preserve"> </w:t>
            </w:r>
          </w:p>
          <w:tbl>
            <w:tblPr>
              <w:tblW w:w="0" w:type="auto"/>
              <w:tblLook w:val="04A0" w:firstRow="1" w:lastRow="0" w:firstColumn="1" w:lastColumn="0" w:noHBand="0" w:noVBand="1"/>
            </w:tblPr>
            <w:tblGrid>
              <w:gridCol w:w="1779"/>
            </w:tblGrid>
            <w:tr w:rsidR="466C777D" w14:paraId="4E870CFD" w14:textId="77777777" w:rsidTr="466C777D">
              <w:trPr>
                <w:trHeight w:val="300"/>
              </w:trPr>
              <w:tc>
                <w:tcPr>
                  <w:tcW w:w="1787" w:type="dxa"/>
                  <w:tcBorders>
                    <w:top w:val="nil"/>
                    <w:left w:val="nil"/>
                    <w:bottom w:val="nil"/>
                    <w:right w:val="nil"/>
                  </w:tcBorders>
                  <w:shd w:val="clear" w:color="auto" w:fill="E8EDEE"/>
                  <w:tcMar>
                    <w:top w:w="140" w:type="dxa"/>
                    <w:left w:w="180" w:type="dxa"/>
                    <w:bottom w:w="140" w:type="dxa"/>
                    <w:right w:w="180" w:type="dxa"/>
                  </w:tcMar>
                </w:tcPr>
                <w:p w14:paraId="0A86886D" w14:textId="54208110" w:rsidR="466C777D" w:rsidRDefault="466C777D" w:rsidP="466C777D">
                  <w:pPr>
                    <w:spacing w:after="80"/>
                  </w:pPr>
                  <w:r w:rsidRPr="466C777D">
                    <w:rPr>
                      <w:rFonts w:ascii="Arial" w:eastAsia="Arial" w:hAnsi="Arial" w:cs="Arial"/>
                      <w:b/>
                      <w:bCs/>
                      <w:color w:val="003087"/>
                      <w:sz w:val="22"/>
                      <w:szCs w:val="22"/>
                    </w:rPr>
                    <w:t>3 Wellbeing &amp; Retention</w:t>
                  </w:r>
                </w:p>
                <w:p w14:paraId="32EFD262" w14:textId="7D8F38AE" w:rsidR="466C777D" w:rsidRDefault="466C777D" w:rsidP="466C777D">
                  <w:pPr>
                    <w:spacing w:after="0"/>
                  </w:pPr>
                  <w:r w:rsidRPr="466C777D">
                    <w:rPr>
                      <w:rFonts w:ascii="Arial" w:eastAsia="Arial" w:hAnsi="Arial" w:cs="Arial"/>
                      <w:color w:val="000000" w:themeColor="text1"/>
                      <w:sz w:val="22"/>
                      <w:szCs w:val="22"/>
                    </w:rPr>
                    <w:t>According to the literature (Maslach and Leiter, 2016), understaffing causes burnout, which in turn causes attrition, making retention a top goal alongside recruiting.</w:t>
                  </w:r>
                </w:p>
              </w:tc>
            </w:tr>
          </w:tbl>
          <w:p w14:paraId="4F4A071D" w14:textId="05D22338" w:rsidR="466C777D" w:rsidRDefault="466C777D" w:rsidP="466C777D">
            <w:r w:rsidRPr="466C777D">
              <w:rPr>
                <w:rFonts w:ascii="Arial" w:eastAsia="Arial" w:hAnsi="Arial" w:cs="Arial"/>
                <w:sz w:val="22"/>
                <w:szCs w:val="22"/>
              </w:rPr>
              <w:t xml:space="preserve"> </w:t>
            </w:r>
          </w:p>
          <w:tbl>
            <w:tblPr>
              <w:tblW w:w="0" w:type="auto"/>
              <w:tblLook w:val="04A0" w:firstRow="1" w:lastRow="0" w:firstColumn="1" w:lastColumn="0" w:noHBand="0" w:noVBand="1"/>
            </w:tblPr>
            <w:tblGrid>
              <w:gridCol w:w="1779"/>
            </w:tblGrid>
            <w:tr w:rsidR="466C777D" w14:paraId="0324DE0C" w14:textId="77777777" w:rsidTr="466C777D">
              <w:trPr>
                <w:trHeight w:val="300"/>
              </w:trPr>
              <w:tc>
                <w:tcPr>
                  <w:tcW w:w="1787" w:type="dxa"/>
                  <w:tcBorders>
                    <w:top w:val="nil"/>
                    <w:left w:val="nil"/>
                    <w:bottom w:val="nil"/>
                    <w:right w:val="nil"/>
                  </w:tcBorders>
                  <w:shd w:val="clear" w:color="auto" w:fill="E8EDEE"/>
                  <w:tcMar>
                    <w:top w:w="140" w:type="dxa"/>
                    <w:left w:w="180" w:type="dxa"/>
                    <w:bottom w:w="140" w:type="dxa"/>
                    <w:right w:w="180" w:type="dxa"/>
                  </w:tcMar>
                </w:tcPr>
                <w:p w14:paraId="63FEF136" w14:textId="76550F29" w:rsidR="466C777D" w:rsidRDefault="466C777D" w:rsidP="466C777D">
                  <w:pPr>
                    <w:spacing w:after="80"/>
                  </w:pPr>
                  <w:r w:rsidRPr="466C777D">
                    <w:rPr>
                      <w:rFonts w:ascii="Arial" w:eastAsia="Arial" w:hAnsi="Arial" w:cs="Arial"/>
                      <w:b/>
                      <w:bCs/>
                      <w:color w:val="425563"/>
                      <w:sz w:val="22"/>
                      <w:szCs w:val="22"/>
                    </w:rPr>
                    <w:t>4 Policy</w:t>
                  </w:r>
                  <w:r w:rsidRPr="466C777D">
                    <w:rPr>
                      <w:rFonts w:ascii="Arial" w:eastAsia="Arial" w:hAnsi="Arial" w:cs="Arial"/>
                      <w:b/>
                      <w:bCs/>
                      <w:color w:val="003087"/>
                      <w:sz w:val="22"/>
                      <w:szCs w:val="22"/>
                    </w:rPr>
                    <w:t xml:space="preserve"> Response</w:t>
                  </w:r>
                </w:p>
                <w:p w14:paraId="6C02C710" w14:textId="3F9BF6F0" w:rsidR="466C777D" w:rsidRDefault="466C777D" w:rsidP="466C777D">
                  <w:pPr>
                    <w:spacing w:after="0"/>
                  </w:pPr>
                  <w:r w:rsidRPr="466C777D">
                    <w:rPr>
                      <w:rFonts w:ascii="Arial" w:eastAsia="Arial" w:hAnsi="Arial" w:cs="Arial"/>
                      <w:color w:val="000000" w:themeColor="text1"/>
                      <w:sz w:val="22"/>
                      <w:szCs w:val="22"/>
                    </w:rPr>
                    <w:t>The retention-driven, geographically unequal nature of the situation is only partially reflected in the present remedies, according to reviewed policy sources.</w:t>
                  </w:r>
                </w:p>
              </w:tc>
            </w:tr>
          </w:tbl>
          <w:p w14:paraId="6E9E4562" w14:textId="77777777" w:rsidR="00CA5B9D" w:rsidRDefault="00CA5B9D">
            <w:pPr>
              <w:spacing w:after="0" w:line="240" w:lineRule="auto"/>
            </w:pPr>
          </w:p>
        </w:tc>
        <w:tc>
          <w:tcPr>
            <w:tcW w:w="2300" w:type="dxa"/>
            <w:tcBorders>
              <w:top w:val="nil"/>
              <w:left w:val="nil"/>
              <w:bottom w:val="nil"/>
              <w:right w:val="nil"/>
            </w:tcBorders>
            <w:tcMar>
              <w:top w:w="200" w:type="dxa"/>
              <w:left w:w="220" w:type="dxa"/>
              <w:bottom w:w="200" w:type="dxa"/>
            </w:tcMar>
          </w:tcPr>
          <w:p w14:paraId="4C446904" w14:textId="26253583" w:rsidR="466C777D" w:rsidRDefault="466C777D" w:rsidP="466C777D">
            <w:pPr>
              <w:pBdr>
                <w:bottom w:val="single" w:sz="12" w:space="4" w:color="005EB8"/>
              </w:pBdr>
              <w:spacing w:before="160" w:after="140"/>
            </w:pPr>
            <w:r w:rsidRPr="466C777D">
              <w:rPr>
                <w:rFonts w:ascii="Arial" w:eastAsia="Arial" w:hAnsi="Arial" w:cs="Arial"/>
                <w:b/>
                <w:bCs/>
                <w:color w:val="003087"/>
              </w:rPr>
              <w:t>Conclusion</w:t>
            </w:r>
          </w:p>
          <w:p w14:paraId="6A9DD38E" w14:textId="65B91B64" w:rsidR="466C777D" w:rsidRDefault="466C777D" w:rsidP="466C777D">
            <w:pPr>
              <w:spacing w:after="200"/>
            </w:pPr>
            <w:r w:rsidRPr="466C777D">
              <w:rPr>
                <w:rFonts w:ascii="Arial" w:eastAsia="Arial" w:hAnsi="Arial" w:cs="Arial"/>
                <w:sz w:val="20"/>
                <w:szCs w:val="20"/>
              </w:rPr>
              <w:t>According to the analysed data, NHS labour shortages are not a temporary operational challenge but rather a systemic, self-reinforcing issue. In addition to contributing to the burnout and retention that perpetuate the deficit over time, understaffing is associated with worse patient safety and organisational effectiveness.</w:t>
            </w:r>
          </w:p>
          <w:p w14:paraId="1802EB5C" w14:textId="14789FC0" w:rsidR="466C777D" w:rsidRDefault="466C777D" w:rsidP="466C777D">
            <w:pPr>
              <w:pBdr>
                <w:bottom w:val="single" w:sz="12" w:space="4" w:color="003087"/>
              </w:pBdr>
              <w:spacing w:before="160" w:after="140"/>
            </w:pPr>
            <w:r w:rsidRPr="466C777D">
              <w:rPr>
                <w:rFonts w:ascii="Arial" w:eastAsia="Arial" w:hAnsi="Arial" w:cs="Arial"/>
                <w:b/>
                <w:bCs/>
                <w:color w:val="003087"/>
                <w:sz w:val="22"/>
                <w:szCs w:val="22"/>
              </w:rPr>
              <w:t>Recommendations</w:t>
            </w:r>
          </w:p>
          <w:p w14:paraId="10122911" w14:textId="6F434510" w:rsidR="466C777D" w:rsidRDefault="466C777D" w:rsidP="466C777D">
            <w:pPr>
              <w:pStyle w:val="ListParagraph"/>
              <w:numPr>
                <w:ilvl w:val="0"/>
                <w:numId w:val="1"/>
              </w:numPr>
              <w:spacing w:after="0"/>
              <w:rPr>
                <w:rFonts w:ascii="Arial" w:eastAsia="Arial" w:hAnsi="Arial" w:cs="Arial"/>
                <w:color w:val="212B32"/>
                <w:sz w:val="20"/>
                <w:szCs w:val="20"/>
              </w:rPr>
            </w:pPr>
            <w:r w:rsidRPr="466C777D">
              <w:rPr>
                <w:rFonts w:ascii="Arial" w:eastAsia="Arial" w:hAnsi="Arial" w:cs="Arial"/>
                <w:color w:val="212B32"/>
                <w:sz w:val="20"/>
                <w:szCs w:val="20"/>
              </w:rPr>
              <w:t>Adopt standards for staffing shortages based on safety.</w:t>
            </w:r>
          </w:p>
          <w:p w14:paraId="3088A9AB" w14:textId="090C0794" w:rsidR="466C777D" w:rsidRDefault="466C777D" w:rsidP="466C777D">
            <w:pPr>
              <w:pStyle w:val="ListParagraph"/>
              <w:numPr>
                <w:ilvl w:val="0"/>
                <w:numId w:val="1"/>
              </w:numPr>
              <w:spacing w:after="0"/>
              <w:rPr>
                <w:rFonts w:ascii="Arial" w:eastAsia="Arial" w:hAnsi="Arial" w:cs="Arial"/>
                <w:sz w:val="20"/>
                <w:szCs w:val="20"/>
              </w:rPr>
            </w:pPr>
            <w:r w:rsidRPr="466C777D">
              <w:rPr>
                <w:rFonts w:ascii="Arial" w:eastAsia="Arial" w:hAnsi="Arial" w:cs="Arial"/>
                <w:sz w:val="20"/>
                <w:szCs w:val="20"/>
              </w:rPr>
              <w:t>Give retention the same priority as hiring.</w:t>
            </w:r>
          </w:p>
          <w:p w14:paraId="6AEB770D" w14:textId="7B8DD07B" w:rsidR="466C777D" w:rsidRDefault="466C777D" w:rsidP="466C777D">
            <w:pPr>
              <w:pStyle w:val="ListParagraph"/>
              <w:numPr>
                <w:ilvl w:val="0"/>
                <w:numId w:val="1"/>
              </w:numPr>
              <w:spacing w:after="0"/>
              <w:rPr>
                <w:rFonts w:ascii="Arial" w:eastAsia="Arial" w:hAnsi="Arial" w:cs="Arial"/>
                <w:sz w:val="20"/>
                <w:szCs w:val="20"/>
              </w:rPr>
            </w:pPr>
            <w:r w:rsidRPr="466C777D">
              <w:rPr>
                <w:rFonts w:ascii="Arial" w:eastAsia="Arial" w:hAnsi="Arial" w:cs="Arial"/>
                <w:sz w:val="20"/>
                <w:szCs w:val="20"/>
              </w:rPr>
              <w:t>Aim for regional rather than national policies.</w:t>
            </w:r>
          </w:p>
          <w:p w14:paraId="6C5F6141" w14:textId="7626C7CA" w:rsidR="466C777D" w:rsidRDefault="466C777D" w:rsidP="466C777D">
            <w:pPr>
              <w:pStyle w:val="ListParagraph"/>
              <w:numPr>
                <w:ilvl w:val="0"/>
                <w:numId w:val="1"/>
              </w:numPr>
              <w:spacing w:after="0"/>
              <w:rPr>
                <w:rFonts w:ascii="Arial" w:eastAsia="Arial" w:hAnsi="Arial" w:cs="Arial"/>
                <w:sz w:val="20"/>
                <w:szCs w:val="20"/>
              </w:rPr>
            </w:pPr>
            <w:r w:rsidRPr="466C777D">
              <w:rPr>
                <w:rFonts w:ascii="Arial" w:eastAsia="Arial" w:hAnsi="Arial" w:cs="Arial"/>
                <w:sz w:val="20"/>
                <w:szCs w:val="20"/>
              </w:rPr>
              <w:t>Combine financed bridging methods with long-term reform.</w:t>
            </w:r>
          </w:p>
          <w:p w14:paraId="4268BCA6" w14:textId="4E69F082" w:rsidR="466C777D" w:rsidRDefault="466C777D" w:rsidP="466C777D">
            <w:pPr>
              <w:spacing w:after="200"/>
            </w:pPr>
            <w:r w:rsidRPr="466C777D">
              <w:rPr>
                <w:rFonts w:ascii="Arial" w:eastAsia="Arial" w:hAnsi="Arial" w:cs="Arial"/>
                <w:sz w:val="20"/>
                <w:szCs w:val="20"/>
              </w:rPr>
              <w:t xml:space="preserve"> </w:t>
            </w:r>
          </w:p>
          <w:p w14:paraId="39D16186" w14:textId="50A7B385" w:rsidR="466C777D" w:rsidRDefault="466C777D" w:rsidP="466C777D">
            <w:pPr>
              <w:pBdr>
                <w:bottom w:val="single" w:sz="12" w:space="4" w:color="00A499"/>
              </w:pBdr>
              <w:spacing w:before="160" w:after="140"/>
            </w:pPr>
            <w:r w:rsidRPr="466C777D">
              <w:rPr>
                <w:rFonts w:ascii="Arial" w:eastAsia="Arial" w:hAnsi="Arial" w:cs="Arial"/>
                <w:b/>
                <w:bCs/>
                <w:color w:val="003087"/>
              </w:rPr>
              <w:t>References</w:t>
            </w:r>
          </w:p>
          <w:p w14:paraId="2A8B26EE" w14:textId="14BFECAF" w:rsidR="466C777D" w:rsidRDefault="466C777D" w:rsidP="466C777D">
            <w:pPr>
              <w:spacing w:after="100"/>
            </w:pPr>
            <w:r w:rsidRPr="466C777D">
              <w:rPr>
                <w:rFonts w:ascii="Arial" w:eastAsia="Arial" w:hAnsi="Arial" w:cs="Arial"/>
                <w:sz w:val="20"/>
                <w:szCs w:val="20"/>
              </w:rPr>
              <w:t>Braun, V. and Clarke, V. (2006) Qualitative Research in Psychology, 3(2), pp.77–101.</w:t>
            </w:r>
          </w:p>
          <w:p w14:paraId="5C9A496E" w14:textId="2590CF28" w:rsidR="466C777D" w:rsidRDefault="466C777D" w:rsidP="466C777D">
            <w:pPr>
              <w:spacing w:after="100"/>
            </w:pPr>
            <w:r w:rsidRPr="466C777D">
              <w:rPr>
                <w:rFonts w:ascii="Arial" w:eastAsia="Arial" w:hAnsi="Arial" w:cs="Arial"/>
                <w:sz w:val="20"/>
                <w:szCs w:val="20"/>
              </w:rPr>
              <w:t>Francis, R. (2013) Mid Staffordshire NHS Foundation Trust Public Inquiry.</w:t>
            </w:r>
          </w:p>
          <w:p w14:paraId="64B848AA" w14:textId="13ECC200" w:rsidR="466C777D" w:rsidRDefault="466C777D" w:rsidP="466C777D">
            <w:pPr>
              <w:spacing w:after="100"/>
            </w:pPr>
            <w:r w:rsidRPr="466C777D">
              <w:rPr>
                <w:rFonts w:ascii="Arial" w:eastAsia="Arial" w:hAnsi="Arial" w:cs="Arial"/>
                <w:sz w:val="20"/>
                <w:szCs w:val="20"/>
              </w:rPr>
              <w:t>Griffiths, P. et al. (2016) BMJ Open, 6(2), e008751.</w:t>
            </w:r>
          </w:p>
          <w:p w14:paraId="5EA4E80A" w14:textId="7B9C8DCC" w:rsidR="466C777D" w:rsidRDefault="466C777D" w:rsidP="466C777D">
            <w:pPr>
              <w:spacing w:after="100"/>
            </w:pPr>
            <w:r w:rsidRPr="466C777D">
              <w:rPr>
                <w:rFonts w:ascii="Arial" w:eastAsia="Arial" w:hAnsi="Arial" w:cs="Arial"/>
                <w:sz w:val="20"/>
                <w:szCs w:val="20"/>
              </w:rPr>
              <w:t>King's Fund (2024) The Health Care Workforce in England.</w:t>
            </w:r>
          </w:p>
          <w:p w14:paraId="18CB03C8" w14:textId="5C0CCF6D" w:rsidR="466C777D" w:rsidRDefault="466C777D" w:rsidP="466C777D">
            <w:pPr>
              <w:spacing w:after="100"/>
            </w:pPr>
            <w:r w:rsidRPr="466C777D">
              <w:rPr>
                <w:rFonts w:ascii="Arial" w:eastAsia="Arial" w:hAnsi="Arial" w:cs="Arial"/>
                <w:sz w:val="20"/>
                <w:szCs w:val="20"/>
              </w:rPr>
              <w:t>Ockenden, D. (2022) Independent Review of Maternity Services.</w:t>
            </w:r>
          </w:p>
        </w:tc>
      </w:tr>
    </w:tbl>
    <w:p w14:paraId="562E825F" w14:textId="587D8DF3" w:rsidR="707022DA" w:rsidRDefault="707022DA" w:rsidP="466C777D">
      <w:pPr>
        <w:spacing w:after="260"/>
        <w:jc w:val="both"/>
      </w:pPr>
      <w:r w:rsidRPr="466C777D">
        <w:rPr>
          <w:rFonts w:ascii="Times New Roman" w:eastAsia="Times New Roman" w:hAnsi="Times New Roman" w:cs="Times New Roman"/>
          <w:sz w:val="20"/>
          <w:szCs w:val="20"/>
        </w:rPr>
        <w:t xml:space="preserve"> </w:t>
      </w:r>
    </w:p>
    <w:tbl>
      <w:tblPr>
        <w:tblW w:w="0" w:type="auto"/>
        <w:tblLook w:val="04A0" w:firstRow="1" w:lastRow="0" w:firstColumn="1" w:lastColumn="0" w:noHBand="0" w:noVBand="1"/>
      </w:tblPr>
      <w:tblGrid>
        <w:gridCol w:w="9015"/>
      </w:tblGrid>
      <w:tr w:rsidR="466C777D" w14:paraId="5A6FA296" w14:textId="77777777" w:rsidTr="466C777D">
        <w:trPr>
          <w:trHeight w:val="300"/>
        </w:trPr>
        <w:tc>
          <w:tcPr>
            <w:tcW w:w="9015" w:type="dxa"/>
            <w:tcBorders>
              <w:top w:val="nil"/>
              <w:left w:val="nil"/>
              <w:bottom w:val="nil"/>
              <w:right w:val="nil"/>
            </w:tcBorders>
            <w:shd w:val="clear" w:color="auto" w:fill="003087"/>
            <w:tcMar>
              <w:top w:w="140" w:type="dxa"/>
              <w:left w:w="200" w:type="dxa"/>
              <w:bottom w:w="140" w:type="dxa"/>
              <w:right w:w="200" w:type="dxa"/>
            </w:tcMar>
            <w:vAlign w:val="center"/>
          </w:tcPr>
          <w:p w14:paraId="17F2C1B2" w14:textId="2A82F6A2" w:rsidR="466C777D" w:rsidRDefault="466C777D" w:rsidP="466C777D">
            <w:pPr>
              <w:spacing w:after="0"/>
              <w:jc w:val="center"/>
            </w:pPr>
            <w:r w:rsidRPr="466C777D">
              <w:rPr>
                <w:rFonts w:ascii="Calibri" w:eastAsia="Calibri" w:hAnsi="Calibri" w:cs="Calibri"/>
                <w:color w:val="FFFFFF" w:themeColor="background1"/>
                <w:sz w:val="16"/>
                <w:szCs w:val="16"/>
              </w:rPr>
              <w:t>Dissertation Poster  |  Exploring the Effects of Staff Shortages on NHS Healthcare Delivery</w:t>
            </w:r>
          </w:p>
        </w:tc>
      </w:tr>
    </w:tbl>
    <w:p w14:paraId="5ED5F258" w14:textId="506B5B60" w:rsidR="466C777D" w:rsidRDefault="466C777D" w:rsidP="466C777D">
      <w:pPr>
        <w:spacing w:after="0"/>
        <w:jc w:val="both"/>
        <w:rPr>
          <w:rFonts w:ascii="Times New Roman" w:eastAsia="Times New Roman" w:hAnsi="Times New Roman" w:cs="Times New Roman"/>
          <w:sz w:val="20"/>
          <w:szCs w:val="20"/>
        </w:rPr>
      </w:pPr>
    </w:p>
    <w:p w14:paraId="3659E700" w14:textId="13D14813" w:rsidR="466C777D" w:rsidRDefault="466C777D" w:rsidP="466C777D">
      <w:pPr>
        <w:spacing w:after="200"/>
        <w:jc w:val="both"/>
        <w:rPr>
          <w:rFonts w:ascii="Arial" w:hAnsi="Arial" w:cs="Arial"/>
          <w:b/>
          <w:bCs/>
          <w:sz w:val="28"/>
          <w:szCs w:val="28"/>
        </w:rPr>
      </w:pPr>
    </w:p>
    <w:p w14:paraId="552D3717" w14:textId="08E97A7C" w:rsidR="466C777D" w:rsidRDefault="466C777D" w:rsidP="466C777D">
      <w:pPr>
        <w:spacing w:after="200"/>
        <w:jc w:val="both"/>
        <w:rPr>
          <w:rFonts w:ascii="Arial" w:hAnsi="Arial" w:cs="Arial"/>
          <w:b/>
          <w:bCs/>
          <w:sz w:val="28"/>
          <w:szCs w:val="28"/>
        </w:rPr>
      </w:pPr>
    </w:p>
    <w:p w14:paraId="42FA314A" w14:textId="37E10B62" w:rsidR="00513DCA" w:rsidRPr="00BB2B3C" w:rsidRDefault="006A011F" w:rsidP="00BB2B3C">
      <w:pPr>
        <w:spacing w:after="200"/>
        <w:jc w:val="both"/>
        <w:rPr>
          <w:rFonts w:ascii="Arial" w:hAnsi="Arial" w:cs="Arial"/>
          <w:b/>
          <w:bCs/>
          <w:sz w:val="28"/>
          <w:szCs w:val="28"/>
        </w:rPr>
      </w:pPr>
      <w:r w:rsidRPr="00BB2B3C">
        <w:rPr>
          <w:rFonts w:ascii="Arial" w:hAnsi="Arial" w:cs="Arial"/>
          <w:b/>
          <w:bCs/>
          <w:sz w:val="28"/>
          <w:szCs w:val="28"/>
        </w:rPr>
        <w:t xml:space="preserve">References </w:t>
      </w:r>
    </w:p>
    <w:p w14:paraId="4B3B2990" w14:textId="77777777" w:rsidR="008A17F3" w:rsidRPr="000061DA" w:rsidRDefault="008A17F3" w:rsidP="000061DA">
      <w:pPr>
        <w:spacing w:after="200"/>
        <w:jc w:val="both"/>
        <w:rPr>
          <w:rFonts w:ascii="Arial" w:hAnsi="Arial" w:cs="Arial"/>
          <w:sz w:val="22"/>
          <w:szCs w:val="22"/>
        </w:rPr>
      </w:pPr>
      <w:r w:rsidRPr="000061DA">
        <w:rPr>
          <w:rFonts w:ascii="Arial" w:hAnsi="Arial" w:cs="Arial"/>
          <w:sz w:val="22"/>
          <w:szCs w:val="22"/>
        </w:rPr>
        <w:t xml:space="preserve">Aiken, L.H., Clarke, S.P., Sloane, D.M., Sochalski, J. and Silber, J.H. (2002) Hospital nurse staffing and patient mortality, nurse burnout, and job dissatisfaction. </w:t>
      </w:r>
      <w:r w:rsidRPr="000061DA">
        <w:rPr>
          <w:rFonts w:ascii="Arial" w:hAnsi="Arial" w:cs="Arial"/>
          <w:i/>
          <w:iCs/>
          <w:sz w:val="22"/>
          <w:szCs w:val="22"/>
        </w:rPr>
        <w:t>JAMA</w:t>
      </w:r>
      <w:r w:rsidRPr="000061DA">
        <w:rPr>
          <w:rFonts w:ascii="Arial" w:hAnsi="Arial" w:cs="Arial"/>
          <w:sz w:val="22"/>
          <w:szCs w:val="22"/>
        </w:rPr>
        <w:t>, 288(16), pp.1987–1993.</w:t>
      </w:r>
    </w:p>
    <w:p w14:paraId="37B64418" w14:textId="77777777" w:rsidR="008A17F3" w:rsidRPr="000061DA" w:rsidRDefault="008A17F3" w:rsidP="000061DA">
      <w:pPr>
        <w:spacing w:after="200"/>
        <w:jc w:val="both"/>
        <w:rPr>
          <w:rFonts w:ascii="Arial" w:hAnsi="Arial" w:cs="Arial"/>
          <w:sz w:val="22"/>
          <w:szCs w:val="22"/>
        </w:rPr>
      </w:pPr>
      <w:r w:rsidRPr="000061DA">
        <w:rPr>
          <w:rFonts w:ascii="Arial" w:hAnsi="Arial" w:cs="Arial"/>
          <w:sz w:val="22"/>
          <w:szCs w:val="22"/>
        </w:rPr>
        <w:t xml:space="preserve">Aiken, L.H., Sloane, D.M., Bruyneel, L., Van den Heede, K., Griffiths, P., Busse, R., et al. (2014) Nurse staffing and education and hospital mortality in nine European countries: a retrospective observational study. </w:t>
      </w:r>
      <w:r w:rsidRPr="000061DA">
        <w:rPr>
          <w:rFonts w:ascii="Arial" w:hAnsi="Arial" w:cs="Arial"/>
          <w:i/>
          <w:iCs/>
          <w:sz w:val="22"/>
          <w:szCs w:val="22"/>
        </w:rPr>
        <w:t>The Lancet</w:t>
      </w:r>
      <w:r w:rsidRPr="000061DA">
        <w:rPr>
          <w:rFonts w:ascii="Arial" w:hAnsi="Arial" w:cs="Arial"/>
          <w:sz w:val="22"/>
          <w:szCs w:val="22"/>
        </w:rPr>
        <w:t>, 383(9931), pp.1824–1830.</w:t>
      </w:r>
    </w:p>
    <w:p w14:paraId="665F164C" w14:textId="77777777" w:rsidR="008A17F3" w:rsidRPr="000061DA" w:rsidRDefault="008A17F3" w:rsidP="000061DA">
      <w:pPr>
        <w:spacing w:after="200"/>
        <w:jc w:val="both"/>
        <w:rPr>
          <w:rFonts w:ascii="Arial" w:hAnsi="Arial" w:cs="Arial"/>
          <w:sz w:val="22"/>
          <w:szCs w:val="22"/>
        </w:rPr>
      </w:pPr>
      <w:r w:rsidRPr="000061DA">
        <w:rPr>
          <w:rFonts w:ascii="Arial" w:hAnsi="Arial" w:cs="Arial"/>
          <w:sz w:val="22"/>
          <w:szCs w:val="22"/>
        </w:rPr>
        <w:t xml:space="preserve">Ball, J.E., Murrells, T., Rafferty, A.M., Morrow, E. and Griffiths, P. (2014) 'Care left undone' during nursing shifts: associations with workload and perceived quality of care. </w:t>
      </w:r>
      <w:r w:rsidRPr="000061DA">
        <w:rPr>
          <w:rFonts w:ascii="Arial" w:hAnsi="Arial" w:cs="Arial"/>
          <w:i/>
          <w:iCs/>
          <w:sz w:val="22"/>
          <w:szCs w:val="22"/>
        </w:rPr>
        <w:t>BMJ Quality &amp; Safety</w:t>
      </w:r>
      <w:r w:rsidRPr="000061DA">
        <w:rPr>
          <w:rFonts w:ascii="Arial" w:hAnsi="Arial" w:cs="Arial"/>
          <w:sz w:val="22"/>
          <w:szCs w:val="22"/>
        </w:rPr>
        <w:t>, 23(2), pp.116–125.</w:t>
      </w:r>
    </w:p>
    <w:p w14:paraId="68E749AF" w14:textId="77777777" w:rsidR="008A17F3" w:rsidRPr="000061DA" w:rsidRDefault="008A17F3" w:rsidP="000061DA">
      <w:pPr>
        <w:spacing w:after="200"/>
        <w:jc w:val="both"/>
        <w:rPr>
          <w:rFonts w:ascii="Arial" w:hAnsi="Arial" w:cs="Arial"/>
          <w:sz w:val="22"/>
          <w:szCs w:val="22"/>
        </w:rPr>
      </w:pPr>
      <w:r w:rsidRPr="000061DA">
        <w:rPr>
          <w:rFonts w:ascii="Arial" w:hAnsi="Arial" w:cs="Arial"/>
          <w:sz w:val="22"/>
          <w:szCs w:val="22"/>
        </w:rPr>
        <w:t xml:space="preserve">Braun, V. and Clarke, V. (2006) Using thematic analysis in psychology. </w:t>
      </w:r>
      <w:r w:rsidRPr="000061DA">
        <w:rPr>
          <w:rFonts w:ascii="Arial" w:hAnsi="Arial" w:cs="Arial"/>
          <w:i/>
          <w:iCs/>
          <w:sz w:val="22"/>
          <w:szCs w:val="22"/>
        </w:rPr>
        <w:t>Qualitative Research in Psychology</w:t>
      </w:r>
      <w:r w:rsidRPr="000061DA">
        <w:rPr>
          <w:rFonts w:ascii="Arial" w:hAnsi="Arial" w:cs="Arial"/>
          <w:sz w:val="22"/>
          <w:szCs w:val="22"/>
        </w:rPr>
        <w:t>, 3(2), pp.77–101.</w:t>
      </w:r>
    </w:p>
    <w:p w14:paraId="0C02A3E1" w14:textId="77777777" w:rsidR="008A17F3" w:rsidRPr="000061DA" w:rsidRDefault="008A17F3" w:rsidP="000061DA">
      <w:pPr>
        <w:spacing w:after="200"/>
        <w:jc w:val="both"/>
        <w:rPr>
          <w:rFonts w:ascii="Arial" w:hAnsi="Arial" w:cs="Arial"/>
          <w:sz w:val="22"/>
          <w:szCs w:val="22"/>
        </w:rPr>
      </w:pPr>
      <w:r w:rsidRPr="000061DA">
        <w:rPr>
          <w:rFonts w:ascii="Arial" w:hAnsi="Arial" w:cs="Arial"/>
          <w:sz w:val="22"/>
          <w:szCs w:val="22"/>
        </w:rPr>
        <w:t xml:space="preserve">British Medical Association (2026) </w:t>
      </w:r>
      <w:r w:rsidRPr="000061DA">
        <w:rPr>
          <w:rFonts w:ascii="Arial" w:hAnsi="Arial" w:cs="Arial"/>
          <w:i/>
          <w:iCs/>
          <w:sz w:val="22"/>
          <w:szCs w:val="22"/>
        </w:rPr>
        <w:t>NHS Medical Staffing Data Analysis</w:t>
      </w:r>
      <w:r w:rsidRPr="000061DA">
        <w:rPr>
          <w:rFonts w:ascii="Arial" w:hAnsi="Arial" w:cs="Arial"/>
          <w:sz w:val="22"/>
          <w:szCs w:val="22"/>
        </w:rPr>
        <w:t>. London: BMA.</w:t>
      </w:r>
    </w:p>
    <w:p w14:paraId="5C55B864" w14:textId="77777777" w:rsidR="008A17F3" w:rsidRPr="000061DA" w:rsidRDefault="008A17F3" w:rsidP="000061DA">
      <w:pPr>
        <w:spacing w:after="200"/>
        <w:jc w:val="both"/>
        <w:rPr>
          <w:rFonts w:ascii="Arial" w:hAnsi="Arial" w:cs="Arial"/>
          <w:sz w:val="22"/>
          <w:szCs w:val="22"/>
        </w:rPr>
      </w:pPr>
      <w:r w:rsidRPr="000061DA">
        <w:rPr>
          <w:rFonts w:ascii="Arial" w:hAnsi="Arial" w:cs="Arial"/>
          <w:sz w:val="22"/>
          <w:szCs w:val="22"/>
        </w:rPr>
        <w:t xml:space="preserve">Buchan, J. (2009) </w:t>
      </w:r>
      <w:r w:rsidRPr="000061DA">
        <w:rPr>
          <w:rFonts w:ascii="Arial" w:hAnsi="Arial" w:cs="Arial"/>
          <w:i/>
          <w:iCs/>
          <w:sz w:val="22"/>
          <w:szCs w:val="22"/>
        </w:rPr>
        <w:t>Health Workforce Planning: The Journey from Metrics to Strategy</w:t>
      </w:r>
      <w:r w:rsidRPr="000061DA">
        <w:rPr>
          <w:rFonts w:ascii="Arial" w:hAnsi="Arial" w:cs="Arial"/>
          <w:sz w:val="22"/>
          <w:szCs w:val="22"/>
        </w:rPr>
        <w:t>. Geneva: World Health Organization.</w:t>
      </w:r>
    </w:p>
    <w:p w14:paraId="5F8FC35F" w14:textId="77777777" w:rsidR="008A17F3" w:rsidRPr="000061DA" w:rsidRDefault="008A17F3" w:rsidP="000061DA">
      <w:pPr>
        <w:spacing w:after="200"/>
        <w:jc w:val="both"/>
        <w:rPr>
          <w:rFonts w:ascii="Arial" w:hAnsi="Arial" w:cs="Arial"/>
          <w:sz w:val="22"/>
          <w:szCs w:val="22"/>
        </w:rPr>
      </w:pPr>
      <w:r w:rsidRPr="000061DA">
        <w:rPr>
          <w:rFonts w:ascii="Arial" w:hAnsi="Arial" w:cs="Arial"/>
          <w:sz w:val="22"/>
          <w:szCs w:val="22"/>
        </w:rPr>
        <w:t xml:space="preserve">Buchan, J., Charlesworth, A., Gershlick, B. and Seccombe, I. (2019) </w:t>
      </w:r>
      <w:r w:rsidRPr="000061DA">
        <w:rPr>
          <w:rFonts w:ascii="Arial" w:hAnsi="Arial" w:cs="Arial"/>
          <w:i/>
          <w:iCs/>
          <w:sz w:val="22"/>
          <w:szCs w:val="22"/>
        </w:rPr>
        <w:t>A Critical Moment: NHS Staffing Trends, Retention and Attrition</w:t>
      </w:r>
      <w:r w:rsidRPr="000061DA">
        <w:rPr>
          <w:rFonts w:ascii="Arial" w:hAnsi="Arial" w:cs="Arial"/>
          <w:sz w:val="22"/>
          <w:szCs w:val="22"/>
        </w:rPr>
        <w:t>. London: The Health Foundation.</w:t>
      </w:r>
    </w:p>
    <w:p w14:paraId="2946F4B2" w14:textId="77777777" w:rsidR="008A17F3" w:rsidRPr="000061DA" w:rsidRDefault="008A17F3" w:rsidP="000061DA">
      <w:pPr>
        <w:spacing w:after="200"/>
        <w:jc w:val="both"/>
        <w:rPr>
          <w:rFonts w:ascii="Arial" w:hAnsi="Arial" w:cs="Arial"/>
          <w:sz w:val="22"/>
          <w:szCs w:val="22"/>
        </w:rPr>
      </w:pPr>
      <w:r w:rsidRPr="000061DA">
        <w:rPr>
          <w:rFonts w:ascii="Arial" w:hAnsi="Arial" w:cs="Arial"/>
          <w:sz w:val="22"/>
          <w:szCs w:val="22"/>
        </w:rPr>
        <w:t xml:space="preserve">Francis, R. (2013) </w:t>
      </w:r>
      <w:r w:rsidRPr="000061DA">
        <w:rPr>
          <w:rFonts w:ascii="Arial" w:hAnsi="Arial" w:cs="Arial"/>
          <w:i/>
          <w:iCs/>
          <w:sz w:val="22"/>
          <w:szCs w:val="22"/>
        </w:rPr>
        <w:t>Report of the Mid Staffordshire NHS Foundation Trust Public Inquiry</w:t>
      </w:r>
      <w:r w:rsidRPr="000061DA">
        <w:rPr>
          <w:rFonts w:ascii="Arial" w:hAnsi="Arial" w:cs="Arial"/>
          <w:sz w:val="22"/>
          <w:szCs w:val="22"/>
        </w:rPr>
        <w:t>. London: The Stationery Office.</w:t>
      </w:r>
    </w:p>
    <w:p w14:paraId="22261AB2" w14:textId="77777777" w:rsidR="008A17F3" w:rsidRPr="000061DA" w:rsidRDefault="008A17F3" w:rsidP="000061DA">
      <w:pPr>
        <w:spacing w:after="200"/>
        <w:jc w:val="both"/>
        <w:rPr>
          <w:rFonts w:ascii="Arial" w:hAnsi="Arial" w:cs="Arial"/>
          <w:sz w:val="22"/>
          <w:szCs w:val="22"/>
        </w:rPr>
      </w:pPr>
      <w:r w:rsidRPr="000061DA">
        <w:rPr>
          <w:rFonts w:ascii="Arial" w:hAnsi="Arial" w:cs="Arial"/>
          <w:sz w:val="22"/>
          <w:szCs w:val="22"/>
        </w:rPr>
        <w:t xml:space="preserve">Griffiths, P., Ball, J., Murrells, T., Jones, S. and Rafferty, A.M. (2016) Registered nurse, healthcare support worker, medical staffing levels and mortality in English hospital trusts: a cross-sectional study. </w:t>
      </w:r>
      <w:r w:rsidRPr="000061DA">
        <w:rPr>
          <w:rFonts w:ascii="Arial" w:hAnsi="Arial" w:cs="Arial"/>
          <w:i/>
          <w:iCs/>
          <w:sz w:val="22"/>
          <w:szCs w:val="22"/>
        </w:rPr>
        <w:t>BMJ Open</w:t>
      </w:r>
      <w:r w:rsidRPr="000061DA">
        <w:rPr>
          <w:rFonts w:ascii="Arial" w:hAnsi="Arial" w:cs="Arial"/>
          <w:sz w:val="22"/>
          <w:szCs w:val="22"/>
        </w:rPr>
        <w:t>, 6(2), e008751.</w:t>
      </w:r>
    </w:p>
    <w:p w14:paraId="2ADAE3D3" w14:textId="77777777" w:rsidR="008A17F3" w:rsidRPr="000061DA" w:rsidRDefault="008A17F3" w:rsidP="000061DA">
      <w:pPr>
        <w:spacing w:after="200"/>
        <w:jc w:val="both"/>
        <w:rPr>
          <w:rFonts w:ascii="Arial" w:hAnsi="Arial" w:cs="Arial"/>
          <w:sz w:val="22"/>
          <w:szCs w:val="22"/>
        </w:rPr>
      </w:pPr>
      <w:r w:rsidRPr="000061DA">
        <w:rPr>
          <w:rFonts w:ascii="Arial" w:hAnsi="Arial" w:cs="Arial"/>
          <w:sz w:val="22"/>
          <w:szCs w:val="22"/>
        </w:rPr>
        <w:t xml:space="preserve">Griffiths, P., Ball, J., Drennan, J., Dall'Ora, C., Jones, J., Maruotti, A., Pope, C., Recio Saucedo, A. and Simon, M. (2016) Nurse staffing and patient outcomes: strengths and limitations of the evidence to inform policy and practice. </w:t>
      </w:r>
      <w:r w:rsidRPr="000061DA">
        <w:rPr>
          <w:rFonts w:ascii="Arial" w:hAnsi="Arial" w:cs="Arial"/>
          <w:i/>
          <w:iCs/>
          <w:sz w:val="22"/>
          <w:szCs w:val="22"/>
        </w:rPr>
        <w:t>International Journal of Nursing Studies</w:t>
      </w:r>
      <w:r w:rsidRPr="000061DA">
        <w:rPr>
          <w:rFonts w:ascii="Arial" w:hAnsi="Arial" w:cs="Arial"/>
          <w:sz w:val="22"/>
          <w:szCs w:val="22"/>
        </w:rPr>
        <w:t>, 63, pp.213–225.</w:t>
      </w:r>
    </w:p>
    <w:p w14:paraId="2A62E23B" w14:textId="77777777" w:rsidR="008A17F3" w:rsidRPr="000061DA" w:rsidRDefault="008A17F3" w:rsidP="000061DA">
      <w:pPr>
        <w:spacing w:after="200"/>
        <w:jc w:val="both"/>
        <w:rPr>
          <w:rFonts w:ascii="Arial" w:hAnsi="Arial" w:cs="Arial"/>
          <w:sz w:val="22"/>
          <w:szCs w:val="22"/>
        </w:rPr>
      </w:pPr>
      <w:r w:rsidRPr="000061DA">
        <w:rPr>
          <w:rFonts w:ascii="Arial" w:hAnsi="Arial" w:cs="Arial"/>
          <w:sz w:val="22"/>
          <w:szCs w:val="22"/>
        </w:rPr>
        <w:t xml:space="preserve">Kane, R.L., Shamliyan, T.A., Mueller, C., Duval, S. and Wilt, T.J. (2007) The association of registered nurse staffing levels and patient outcomes: systematic review and meta-analysis. </w:t>
      </w:r>
      <w:r w:rsidRPr="000061DA">
        <w:rPr>
          <w:rFonts w:ascii="Arial" w:hAnsi="Arial" w:cs="Arial"/>
          <w:i/>
          <w:iCs/>
          <w:sz w:val="22"/>
          <w:szCs w:val="22"/>
        </w:rPr>
        <w:t>Medical Care</w:t>
      </w:r>
      <w:r w:rsidRPr="000061DA">
        <w:rPr>
          <w:rFonts w:ascii="Arial" w:hAnsi="Arial" w:cs="Arial"/>
          <w:sz w:val="22"/>
          <w:szCs w:val="22"/>
        </w:rPr>
        <w:t>, 45(12), pp.1195–1204.</w:t>
      </w:r>
    </w:p>
    <w:p w14:paraId="2E8DBD56" w14:textId="77777777" w:rsidR="008A17F3" w:rsidRPr="000061DA" w:rsidRDefault="008A17F3" w:rsidP="000061DA">
      <w:pPr>
        <w:spacing w:after="200"/>
        <w:jc w:val="both"/>
        <w:rPr>
          <w:rFonts w:ascii="Arial" w:hAnsi="Arial" w:cs="Arial"/>
          <w:sz w:val="22"/>
          <w:szCs w:val="22"/>
        </w:rPr>
      </w:pPr>
      <w:r w:rsidRPr="000061DA">
        <w:rPr>
          <w:rFonts w:ascii="Arial" w:hAnsi="Arial" w:cs="Arial"/>
          <w:sz w:val="22"/>
          <w:szCs w:val="22"/>
        </w:rPr>
        <w:t xml:space="preserve">King's Fund (2024) </w:t>
      </w:r>
      <w:r w:rsidRPr="000061DA">
        <w:rPr>
          <w:rFonts w:ascii="Arial" w:hAnsi="Arial" w:cs="Arial"/>
          <w:i/>
          <w:iCs/>
          <w:sz w:val="22"/>
          <w:szCs w:val="22"/>
        </w:rPr>
        <w:t>The Health Care Workforce in England: Make or Break?</w:t>
      </w:r>
      <w:r w:rsidRPr="000061DA">
        <w:rPr>
          <w:rFonts w:ascii="Arial" w:hAnsi="Arial" w:cs="Arial"/>
          <w:sz w:val="22"/>
          <w:szCs w:val="22"/>
        </w:rPr>
        <w:t xml:space="preserve"> London: The King's Fund.</w:t>
      </w:r>
    </w:p>
    <w:p w14:paraId="0EA56629" w14:textId="77777777" w:rsidR="008A17F3" w:rsidRPr="000061DA" w:rsidRDefault="008A17F3" w:rsidP="000061DA">
      <w:pPr>
        <w:spacing w:after="200"/>
        <w:jc w:val="both"/>
        <w:rPr>
          <w:rFonts w:ascii="Arial" w:hAnsi="Arial" w:cs="Arial"/>
          <w:sz w:val="22"/>
          <w:szCs w:val="22"/>
        </w:rPr>
      </w:pPr>
      <w:r w:rsidRPr="000061DA">
        <w:rPr>
          <w:rFonts w:ascii="Arial" w:hAnsi="Arial" w:cs="Arial"/>
          <w:sz w:val="22"/>
          <w:szCs w:val="22"/>
        </w:rPr>
        <w:t xml:space="preserve">Maslach, C. and Leiter, M.P. (2016) Understanding the burnout experience: recent research and its implications for psychiatry. </w:t>
      </w:r>
      <w:r w:rsidRPr="000061DA">
        <w:rPr>
          <w:rFonts w:ascii="Arial" w:hAnsi="Arial" w:cs="Arial"/>
          <w:i/>
          <w:iCs/>
          <w:sz w:val="22"/>
          <w:szCs w:val="22"/>
        </w:rPr>
        <w:t>World Psychiatry</w:t>
      </w:r>
      <w:r w:rsidRPr="000061DA">
        <w:rPr>
          <w:rFonts w:ascii="Arial" w:hAnsi="Arial" w:cs="Arial"/>
          <w:sz w:val="22"/>
          <w:szCs w:val="22"/>
        </w:rPr>
        <w:t>, 15(2), pp.103–111.</w:t>
      </w:r>
    </w:p>
    <w:p w14:paraId="7A4CE52B" w14:textId="77777777" w:rsidR="008A17F3" w:rsidRPr="000061DA" w:rsidRDefault="008A17F3" w:rsidP="000061DA">
      <w:pPr>
        <w:spacing w:after="200"/>
        <w:jc w:val="both"/>
        <w:rPr>
          <w:rFonts w:ascii="Arial" w:hAnsi="Arial" w:cs="Arial"/>
          <w:sz w:val="22"/>
          <w:szCs w:val="22"/>
        </w:rPr>
      </w:pPr>
      <w:r w:rsidRPr="000061DA">
        <w:rPr>
          <w:rFonts w:ascii="Arial" w:hAnsi="Arial" w:cs="Arial"/>
          <w:sz w:val="22"/>
          <w:szCs w:val="22"/>
        </w:rPr>
        <w:t xml:space="preserve">NHS England (2024) </w:t>
      </w:r>
      <w:r w:rsidRPr="000061DA">
        <w:rPr>
          <w:rFonts w:ascii="Arial" w:hAnsi="Arial" w:cs="Arial"/>
          <w:i/>
          <w:iCs/>
          <w:sz w:val="22"/>
          <w:szCs w:val="22"/>
        </w:rPr>
        <w:t>Reducing Expenditure on NHS Agency Staff</w:t>
      </w:r>
      <w:r w:rsidRPr="000061DA">
        <w:rPr>
          <w:rFonts w:ascii="Arial" w:hAnsi="Arial" w:cs="Arial"/>
          <w:sz w:val="22"/>
          <w:szCs w:val="22"/>
        </w:rPr>
        <w:t>. London: NHS England.</w:t>
      </w:r>
    </w:p>
    <w:p w14:paraId="73009E40" w14:textId="77777777" w:rsidR="008A17F3" w:rsidRPr="000061DA" w:rsidRDefault="008A17F3" w:rsidP="000061DA">
      <w:pPr>
        <w:spacing w:after="200"/>
        <w:jc w:val="both"/>
        <w:rPr>
          <w:rFonts w:ascii="Arial" w:hAnsi="Arial" w:cs="Arial"/>
          <w:sz w:val="22"/>
          <w:szCs w:val="22"/>
        </w:rPr>
      </w:pPr>
      <w:r w:rsidRPr="000061DA">
        <w:rPr>
          <w:rFonts w:ascii="Arial" w:hAnsi="Arial" w:cs="Arial"/>
          <w:sz w:val="22"/>
          <w:szCs w:val="22"/>
        </w:rPr>
        <w:t xml:space="preserve">NHS England (2025) </w:t>
      </w:r>
      <w:r w:rsidRPr="000061DA">
        <w:rPr>
          <w:rFonts w:ascii="Arial" w:hAnsi="Arial" w:cs="Arial"/>
          <w:i/>
          <w:iCs/>
          <w:sz w:val="22"/>
          <w:szCs w:val="22"/>
        </w:rPr>
        <w:t>NHS Vacancy Statistics, England, April 2015 – June 2025, Experimental Statistics</w:t>
      </w:r>
      <w:r w:rsidRPr="000061DA">
        <w:rPr>
          <w:rFonts w:ascii="Arial" w:hAnsi="Arial" w:cs="Arial"/>
          <w:sz w:val="22"/>
          <w:szCs w:val="22"/>
        </w:rPr>
        <w:t>. Leeds: NHS Digital.</w:t>
      </w:r>
    </w:p>
    <w:p w14:paraId="79C3F25C" w14:textId="77777777" w:rsidR="008A17F3" w:rsidRPr="000061DA" w:rsidRDefault="008A17F3" w:rsidP="000061DA">
      <w:pPr>
        <w:spacing w:after="200"/>
        <w:jc w:val="both"/>
        <w:rPr>
          <w:rFonts w:ascii="Arial" w:hAnsi="Arial" w:cs="Arial"/>
          <w:sz w:val="22"/>
          <w:szCs w:val="22"/>
        </w:rPr>
      </w:pPr>
      <w:r w:rsidRPr="000061DA">
        <w:rPr>
          <w:rFonts w:ascii="Arial" w:hAnsi="Arial" w:cs="Arial"/>
          <w:sz w:val="22"/>
          <w:szCs w:val="22"/>
        </w:rPr>
        <w:t xml:space="preserve">NHS Staff Survey Coordination Centre (2025) </w:t>
      </w:r>
      <w:r w:rsidRPr="000061DA">
        <w:rPr>
          <w:rFonts w:ascii="Arial" w:hAnsi="Arial" w:cs="Arial"/>
          <w:i/>
          <w:iCs/>
          <w:sz w:val="22"/>
          <w:szCs w:val="22"/>
        </w:rPr>
        <w:t>NHS Staff Survey 2025 National Results</w:t>
      </w:r>
      <w:r w:rsidRPr="000061DA">
        <w:rPr>
          <w:rFonts w:ascii="Arial" w:hAnsi="Arial" w:cs="Arial"/>
          <w:sz w:val="22"/>
          <w:szCs w:val="22"/>
        </w:rPr>
        <w:t>. London: NHS England.</w:t>
      </w:r>
    </w:p>
    <w:p w14:paraId="6D35B006" w14:textId="77777777" w:rsidR="008A17F3" w:rsidRPr="000061DA" w:rsidRDefault="008A17F3" w:rsidP="000061DA">
      <w:pPr>
        <w:spacing w:after="200"/>
        <w:jc w:val="both"/>
        <w:rPr>
          <w:rFonts w:ascii="Arial" w:hAnsi="Arial" w:cs="Arial"/>
          <w:sz w:val="22"/>
          <w:szCs w:val="22"/>
        </w:rPr>
      </w:pPr>
      <w:r w:rsidRPr="000061DA">
        <w:rPr>
          <w:rFonts w:ascii="Arial" w:hAnsi="Arial" w:cs="Arial"/>
          <w:sz w:val="22"/>
          <w:szCs w:val="22"/>
        </w:rPr>
        <w:t xml:space="preserve">Nuffield Trust (2026) </w:t>
      </w:r>
      <w:r w:rsidRPr="000061DA">
        <w:rPr>
          <w:rFonts w:ascii="Arial" w:hAnsi="Arial" w:cs="Arial"/>
          <w:i/>
          <w:iCs/>
          <w:sz w:val="22"/>
          <w:szCs w:val="22"/>
        </w:rPr>
        <w:t>The NHS Workforce in Numbers</w:t>
      </w:r>
      <w:r w:rsidRPr="000061DA">
        <w:rPr>
          <w:rFonts w:ascii="Arial" w:hAnsi="Arial" w:cs="Arial"/>
          <w:sz w:val="22"/>
          <w:szCs w:val="22"/>
        </w:rPr>
        <w:t>. London: Nuffield Trust.</w:t>
      </w:r>
    </w:p>
    <w:p w14:paraId="3FAED914" w14:textId="77777777" w:rsidR="008A17F3" w:rsidRPr="000061DA" w:rsidRDefault="008A17F3" w:rsidP="000061DA">
      <w:pPr>
        <w:spacing w:after="200"/>
        <w:jc w:val="both"/>
        <w:rPr>
          <w:rFonts w:ascii="Arial" w:hAnsi="Arial" w:cs="Arial"/>
          <w:sz w:val="22"/>
          <w:szCs w:val="22"/>
        </w:rPr>
      </w:pPr>
      <w:r w:rsidRPr="000061DA">
        <w:rPr>
          <w:rFonts w:ascii="Arial" w:hAnsi="Arial" w:cs="Arial"/>
          <w:sz w:val="22"/>
          <w:szCs w:val="22"/>
        </w:rPr>
        <w:t xml:space="preserve">Ockenden, D. (2022) </w:t>
      </w:r>
      <w:r w:rsidRPr="000061DA">
        <w:rPr>
          <w:rFonts w:ascii="Arial" w:hAnsi="Arial" w:cs="Arial"/>
          <w:i/>
          <w:iCs/>
          <w:sz w:val="22"/>
          <w:szCs w:val="22"/>
        </w:rPr>
        <w:t>Findings, Conclusions and Essential Actions from the Independent Review of Maternity Services at The Shrewsbury and Telford Hospital NHS Trust</w:t>
      </w:r>
      <w:r w:rsidRPr="000061DA">
        <w:rPr>
          <w:rFonts w:ascii="Arial" w:hAnsi="Arial" w:cs="Arial"/>
          <w:sz w:val="22"/>
          <w:szCs w:val="22"/>
        </w:rPr>
        <w:t>. London: HMSO.</w:t>
      </w:r>
    </w:p>
    <w:p w14:paraId="31CABAB2" w14:textId="77777777" w:rsidR="008A17F3" w:rsidRPr="000061DA" w:rsidRDefault="008A17F3" w:rsidP="000061DA">
      <w:pPr>
        <w:spacing w:after="200"/>
        <w:jc w:val="both"/>
        <w:rPr>
          <w:rFonts w:ascii="Arial" w:hAnsi="Arial" w:cs="Arial"/>
          <w:sz w:val="22"/>
          <w:szCs w:val="22"/>
        </w:rPr>
      </w:pPr>
      <w:r w:rsidRPr="000061DA">
        <w:rPr>
          <w:rFonts w:ascii="Arial" w:hAnsi="Arial" w:cs="Arial"/>
          <w:sz w:val="22"/>
          <w:szCs w:val="22"/>
        </w:rPr>
        <w:t xml:space="preserve">Recruitment &amp; Employment Confederation (2026) </w:t>
      </w:r>
      <w:r w:rsidRPr="000061DA">
        <w:rPr>
          <w:rFonts w:ascii="Arial" w:hAnsi="Arial" w:cs="Arial"/>
          <w:i/>
          <w:iCs/>
          <w:sz w:val="22"/>
          <w:szCs w:val="22"/>
        </w:rPr>
        <w:t>NHS Stats Highlight the Costly Impact of its Over-Reliance on Banks</w:t>
      </w:r>
      <w:r w:rsidRPr="000061DA">
        <w:rPr>
          <w:rFonts w:ascii="Arial" w:hAnsi="Arial" w:cs="Arial"/>
          <w:sz w:val="22"/>
          <w:szCs w:val="22"/>
        </w:rPr>
        <w:t>. London: REC.</w:t>
      </w:r>
    </w:p>
    <w:p w14:paraId="4968FDC1" w14:textId="77777777" w:rsidR="008A17F3" w:rsidRPr="000061DA" w:rsidRDefault="008A17F3" w:rsidP="000061DA">
      <w:pPr>
        <w:spacing w:after="200"/>
        <w:jc w:val="both"/>
        <w:rPr>
          <w:rFonts w:ascii="Arial" w:hAnsi="Arial" w:cs="Arial"/>
          <w:sz w:val="22"/>
          <w:szCs w:val="22"/>
        </w:rPr>
      </w:pPr>
      <w:r w:rsidRPr="000061DA">
        <w:rPr>
          <w:rFonts w:ascii="Arial" w:hAnsi="Arial" w:cs="Arial"/>
          <w:sz w:val="22"/>
          <w:szCs w:val="22"/>
        </w:rPr>
        <w:t xml:space="preserve">Saunders, M., Lewis, P. and Thornhill, A. (2019) </w:t>
      </w:r>
      <w:r w:rsidRPr="000061DA">
        <w:rPr>
          <w:rFonts w:ascii="Arial" w:hAnsi="Arial" w:cs="Arial"/>
          <w:i/>
          <w:iCs/>
          <w:sz w:val="22"/>
          <w:szCs w:val="22"/>
        </w:rPr>
        <w:t>Research Methods for Business Students</w:t>
      </w:r>
      <w:r w:rsidRPr="000061DA">
        <w:rPr>
          <w:rFonts w:ascii="Arial" w:hAnsi="Arial" w:cs="Arial"/>
          <w:sz w:val="22"/>
          <w:szCs w:val="22"/>
        </w:rPr>
        <w:t>. 8th edn. Harlow: Pearson.</w:t>
      </w:r>
    </w:p>
    <w:p w14:paraId="2C4190C7" w14:textId="77777777" w:rsidR="005A3806" w:rsidRPr="000061DA" w:rsidRDefault="008A17F3" w:rsidP="000061DA">
      <w:pPr>
        <w:spacing w:after="200"/>
        <w:jc w:val="both"/>
        <w:rPr>
          <w:rFonts w:ascii="Arial" w:hAnsi="Arial" w:cs="Arial"/>
          <w:sz w:val="22"/>
          <w:szCs w:val="22"/>
        </w:rPr>
      </w:pPr>
      <w:r w:rsidRPr="000061DA">
        <w:rPr>
          <w:rFonts w:ascii="Arial" w:hAnsi="Arial" w:cs="Arial"/>
          <w:sz w:val="22"/>
          <w:szCs w:val="22"/>
        </w:rPr>
        <w:t xml:space="preserve">World Health Organization (2016) </w:t>
      </w:r>
      <w:r w:rsidRPr="000061DA">
        <w:rPr>
          <w:rFonts w:ascii="Arial" w:hAnsi="Arial" w:cs="Arial"/>
          <w:i/>
          <w:iCs/>
          <w:sz w:val="22"/>
          <w:szCs w:val="22"/>
        </w:rPr>
        <w:t>Global Strategy on Human Resources for Health: Workforce 2030</w:t>
      </w:r>
      <w:r w:rsidRPr="000061DA">
        <w:rPr>
          <w:rFonts w:ascii="Arial" w:hAnsi="Arial" w:cs="Arial"/>
          <w:sz w:val="22"/>
          <w:szCs w:val="22"/>
        </w:rPr>
        <w:t>. Geneva: WHO.</w:t>
      </w:r>
    </w:p>
    <w:p w14:paraId="7859230A" w14:textId="12C26F99" w:rsidR="006942AA" w:rsidRPr="000061DA" w:rsidRDefault="006942AA" w:rsidP="000061DA">
      <w:pPr>
        <w:spacing w:after="200"/>
        <w:jc w:val="both"/>
        <w:rPr>
          <w:rFonts w:ascii="Arial" w:hAnsi="Arial" w:cs="Arial"/>
          <w:sz w:val="22"/>
          <w:szCs w:val="22"/>
        </w:rPr>
      </w:pPr>
      <w:r w:rsidRPr="000061DA">
        <w:rPr>
          <w:rFonts w:ascii="Arial" w:hAnsi="Arial" w:cs="Arial"/>
          <w:sz w:val="22"/>
          <w:szCs w:val="22"/>
        </w:rPr>
        <w:t xml:space="preserve">Needleman, J., Buerhaus, P., Mattke, S., Stewart, M. and Zelevinsky, K. (2002) Nurse-staffing levels and the quality of care in hospitals. </w:t>
      </w:r>
      <w:r w:rsidRPr="000061DA">
        <w:rPr>
          <w:rFonts w:ascii="Arial" w:hAnsi="Arial" w:cs="Arial"/>
          <w:i/>
          <w:iCs/>
          <w:sz w:val="22"/>
          <w:szCs w:val="22"/>
        </w:rPr>
        <w:t>New England Journal of Medicine</w:t>
      </w:r>
      <w:r w:rsidRPr="000061DA">
        <w:rPr>
          <w:rFonts w:ascii="Arial" w:hAnsi="Arial" w:cs="Arial"/>
          <w:sz w:val="22"/>
          <w:szCs w:val="22"/>
        </w:rPr>
        <w:t xml:space="preserve">, 346(22), pp.1715–1722. </w:t>
      </w:r>
    </w:p>
    <w:p w14:paraId="0EA23989" w14:textId="0CC3F66F" w:rsidR="006942AA" w:rsidRPr="000061DA" w:rsidRDefault="006942AA" w:rsidP="000061DA">
      <w:pPr>
        <w:spacing w:after="200"/>
        <w:jc w:val="both"/>
        <w:rPr>
          <w:rFonts w:ascii="Arial" w:hAnsi="Arial" w:cs="Arial"/>
          <w:sz w:val="22"/>
          <w:szCs w:val="22"/>
        </w:rPr>
      </w:pPr>
      <w:r w:rsidRPr="000061DA">
        <w:rPr>
          <w:rFonts w:ascii="Arial" w:hAnsi="Arial" w:cs="Arial"/>
          <w:sz w:val="22"/>
          <w:szCs w:val="22"/>
        </w:rPr>
        <w:t xml:space="preserve">Needleman, J., Buerhaus, P., Pankratz, V.S., Leibson, C.L., Stevens, S.R. and Harris, M. (2011) Nurse staffing and inpatient hospital mortality. </w:t>
      </w:r>
      <w:r w:rsidRPr="000061DA">
        <w:rPr>
          <w:rFonts w:ascii="Arial" w:hAnsi="Arial" w:cs="Arial"/>
          <w:i/>
          <w:iCs/>
          <w:sz w:val="22"/>
          <w:szCs w:val="22"/>
        </w:rPr>
        <w:t>New England Journal of Medicine</w:t>
      </w:r>
      <w:r w:rsidRPr="000061DA">
        <w:rPr>
          <w:rFonts w:ascii="Arial" w:hAnsi="Arial" w:cs="Arial"/>
          <w:sz w:val="22"/>
          <w:szCs w:val="22"/>
        </w:rPr>
        <w:t xml:space="preserve">, 364(11), pp.1037–1045. </w:t>
      </w:r>
    </w:p>
    <w:p w14:paraId="0085FCD6" w14:textId="5D248B6F" w:rsidR="006942AA" w:rsidRPr="000061DA" w:rsidRDefault="006942AA" w:rsidP="000061DA">
      <w:pPr>
        <w:spacing w:after="200"/>
        <w:jc w:val="both"/>
        <w:rPr>
          <w:rFonts w:ascii="Arial" w:hAnsi="Arial" w:cs="Arial"/>
          <w:sz w:val="22"/>
          <w:szCs w:val="22"/>
        </w:rPr>
      </w:pPr>
      <w:r w:rsidRPr="000061DA">
        <w:rPr>
          <w:rFonts w:ascii="Arial" w:hAnsi="Arial" w:cs="Arial"/>
          <w:sz w:val="22"/>
          <w:szCs w:val="22"/>
        </w:rPr>
        <w:t xml:space="preserve">Mark, B.A., Harless, D.W., McCue, M. and Xu, Y. (2004) A longitudinal examination of hospital registered nurse staffing and quality of care. </w:t>
      </w:r>
      <w:r w:rsidRPr="000061DA">
        <w:rPr>
          <w:rFonts w:ascii="Arial" w:hAnsi="Arial" w:cs="Arial"/>
          <w:i/>
          <w:iCs/>
          <w:sz w:val="22"/>
          <w:szCs w:val="22"/>
        </w:rPr>
        <w:t>Health Services Research</w:t>
      </w:r>
      <w:r w:rsidRPr="000061DA">
        <w:rPr>
          <w:rFonts w:ascii="Arial" w:hAnsi="Arial" w:cs="Arial"/>
          <w:sz w:val="22"/>
          <w:szCs w:val="22"/>
        </w:rPr>
        <w:t xml:space="preserve">, 39(2), pp.279–300. </w:t>
      </w:r>
    </w:p>
    <w:p w14:paraId="2F415CD5" w14:textId="7817B017" w:rsidR="006942AA" w:rsidRPr="000061DA" w:rsidRDefault="006942AA" w:rsidP="000061DA">
      <w:pPr>
        <w:spacing w:after="200"/>
        <w:jc w:val="both"/>
        <w:rPr>
          <w:rFonts w:ascii="Arial" w:hAnsi="Arial" w:cs="Arial"/>
          <w:sz w:val="22"/>
          <w:szCs w:val="22"/>
        </w:rPr>
      </w:pPr>
      <w:r w:rsidRPr="000061DA">
        <w:rPr>
          <w:rFonts w:ascii="Arial" w:hAnsi="Arial" w:cs="Arial"/>
          <w:sz w:val="22"/>
          <w:szCs w:val="22"/>
        </w:rPr>
        <w:t xml:space="preserve">Sales, A., Sharp, N., Li, Y-F., Lowy, E., Greiner, G., Liu, C-F., Alt-White, A. and Rick, C. (2008) The association between nursing factors and patient mortality in the Veterans Health Administration: the view from the nursing unit level. </w:t>
      </w:r>
      <w:r w:rsidRPr="000061DA">
        <w:rPr>
          <w:rFonts w:ascii="Arial" w:hAnsi="Arial" w:cs="Arial"/>
          <w:i/>
          <w:iCs/>
          <w:sz w:val="22"/>
          <w:szCs w:val="22"/>
        </w:rPr>
        <w:t>Medical Care</w:t>
      </w:r>
      <w:r w:rsidRPr="000061DA">
        <w:rPr>
          <w:rFonts w:ascii="Arial" w:hAnsi="Arial" w:cs="Arial"/>
          <w:sz w:val="22"/>
          <w:szCs w:val="22"/>
        </w:rPr>
        <w:t xml:space="preserve">, 46(9), pp.938–945. </w:t>
      </w:r>
    </w:p>
    <w:p w14:paraId="2247FEDF" w14:textId="5C31FFC3" w:rsidR="006942AA" w:rsidRPr="000061DA" w:rsidRDefault="006942AA" w:rsidP="000061DA">
      <w:pPr>
        <w:spacing w:after="200"/>
        <w:jc w:val="both"/>
        <w:rPr>
          <w:rFonts w:ascii="Arial" w:hAnsi="Arial" w:cs="Arial"/>
        </w:rPr>
      </w:pPr>
      <w:r w:rsidRPr="000061DA">
        <w:rPr>
          <w:rFonts w:ascii="Arial" w:hAnsi="Arial" w:cs="Arial"/>
          <w:sz w:val="22"/>
          <w:szCs w:val="22"/>
        </w:rPr>
        <w:t xml:space="preserve">National Audit Office (2024) </w:t>
      </w:r>
      <w:r w:rsidRPr="000061DA">
        <w:rPr>
          <w:rFonts w:ascii="Arial" w:hAnsi="Arial" w:cs="Arial"/>
          <w:i/>
          <w:iCs/>
          <w:sz w:val="22"/>
          <w:szCs w:val="22"/>
        </w:rPr>
        <w:t>NHS England's Modelling for the Long Term Workforce Plan</w:t>
      </w:r>
      <w:r w:rsidRPr="000061DA">
        <w:rPr>
          <w:rFonts w:ascii="Arial" w:hAnsi="Arial" w:cs="Arial"/>
          <w:sz w:val="22"/>
          <w:szCs w:val="22"/>
        </w:rPr>
        <w:t>. London: NAO.</w:t>
      </w:r>
    </w:p>
    <w:p w14:paraId="63452AF7" w14:textId="77777777" w:rsidR="00ED4148" w:rsidRPr="000061DA" w:rsidRDefault="00ED4148" w:rsidP="000061DA">
      <w:pPr>
        <w:spacing w:after="200"/>
        <w:jc w:val="both"/>
        <w:rPr>
          <w:rFonts w:ascii="Arial" w:hAnsi="Arial" w:cs="Arial"/>
        </w:rPr>
      </w:pPr>
      <w:r w:rsidRPr="000061DA">
        <w:rPr>
          <w:rFonts w:ascii="Arial" w:hAnsi="Arial" w:cs="Arial"/>
        </w:rPr>
        <w:t>Hobfoll, S.E. (1989) Conservation of resources: a new attempt at conceptualizing stress. American Psychologist, 44(3), pp.513–524.</w:t>
      </w:r>
    </w:p>
    <w:p w14:paraId="0DC87328" w14:textId="6A967C86" w:rsidR="00F21BFF" w:rsidRPr="000061DA" w:rsidRDefault="00ED4148" w:rsidP="000061DA">
      <w:pPr>
        <w:spacing w:after="200"/>
        <w:jc w:val="both"/>
        <w:rPr>
          <w:rFonts w:ascii="Arial" w:hAnsi="Arial" w:cs="Arial"/>
        </w:rPr>
      </w:pPr>
      <w:r w:rsidRPr="000061DA">
        <w:rPr>
          <w:rFonts w:ascii="Arial" w:hAnsi="Arial" w:cs="Arial"/>
        </w:rPr>
        <w:t>Herzberg, F., Mausner, B. and Snyderman, B. (1959) The Motivation to Work. New York: John Wiley &amp; Sons.</w:t>
      </w:r>
    </w:p>
    <w:p w14:paraId="79DA1FEB" w14:textId="77777777" w:rsidR="00BB2B3C" w:rsidRPr="000061DA" w:rsidRDefault="00BB2B3C" w:rsidP="000061DA">
      <w:pPr>
        <w:spacing w:after="200"/>
        <w:jc w:val="both"/>
        <w:rPr>
          <w:rFonts w:ascii="Arial" w:hAnsi="Arial" w:cs="Arial"/>
        </w:rPr>
      </w:pPr>
      <w:r w:rsidRPr="000061DA">
        <w:rPr>
          <w:rFonts w:ascii="Arial" w:hAnsi="Arial" w:cs="Arial"/>
        </w:rPr>
        <w:t>Price, J.L. (1977) The Study of Turnover. Ames: Iowa State University Press.</w:t>
      </w:r>
    </w:p>
    <w:p w14:paraId="40076345" w14:textId="77777777" w:rsidR="00BB2B3C" w:rsidRPr="000061DA" w:rsidRDefault="00BB2B3C" w:rsidP="000061DA">
      <w:pPr>
        <w:spacing w:after="200"/>
        <w:jc w:val="both"/>
        <w:rPr>
          <w:rFonts w:ascii="Arial" w:hAnsi="Arial" w:cs="Arial"/>
        </w:rPr>
      </w:pPr>
      <w:r w:rsidRPr="000061DA">
        <w:rPr>
          <w:rFonts w:ascii="Arial" w:hAnsi="Arial" w:cs="Arial"/>
        </w:rPr>
        <w:t>Price, J.L. (2001) Reflections on the determinants of voluntary turnover. International Journal of Manpower, 22(7), pp.600–624.</w:t>
      </w:r>
    </w:p>
    <w:p w14:paraId="7678334B" w14:textId="77777777" w:rsidR="00BB2B3C" w:rsidRPr="000061DA" w:rsidRDefault="00BB2B3C" w:rsidP="000061DA">
      <w:pPr>
        <w:spacing w:after="200"/>
        <w:jc w:val="both"/>
        <w:rPr>
          <w:rFonts w:ascii="Arial" w:hAnsi="Arial" w:cs="Arial"/>
        </w:rPr>
      </w:pPr>
      <w:r w:rsidRPr="000061DA">
        <w:rPr>
          <w:rFonts w:ascii="Arial" w:hAnsi="Arial" w:cs="Arial"/>
        </w:rPr>
        <w:t>Mobley, W.H. (1977) Intermediate linkages in the relationship between job satisfaction and employee turnover. Journal of Applied Psychology, 62(2), pp.237–240.</w:t>
      </w:r>
    </w:p>
    <w:p w14:paraId="7C54AD4B" w14:textId="77777777" w:rsidR="00BB2B3C" w:rsidRPr="000061DA" w:rsidRDefault="00BB2B3C" w:rsidP="000061DA">
      <w:pPr>
        <w:spacing w:after="200"/>
        <w:jc w:val="both"/>
        <w:rPr>
          <w:rFonts w:ascii="Arial" w:hAnsi="Arial" w:cs="Arial"/>
        </w:rPr>
      </w:pPr>
      <w:r w:rsidRPr="000061DA">
        <w:rPr>
          <w:rFonts w:ascii="Arial" w:hAnsi="Arial" w:cs="Arial"/>
        </w:rPr>
        <w:t>World Health Organization (2021) WHO Guideline on Health Workforce Development, Attraction, Recruitment and Retention in Rural and Remote Areas. Geneva: WHO.</w:t>
      </w:r>
    </w:p>
    <w:p w14:paraId="5789098F" w14:textId="77777777" w:rsidR="00BB2B3C" w:rsidRPr="000061DA" w:rsidRDefault="00BB2B3C" w:rsidP="000061DA">
      <w:pPr>
        <w:spacing w:after="200"/>
        <w:jc w:val="both"/>
        <w:rPr>
          <w:rFonts w:ascii="Arial" w:hAnsi="Arial" w:cs="Arial"/>
        </w:rPr>
      </w:pPr>
      <w:r w:rsidRPr="000061DA">
        <w:rPr>
          <w:rFonts w:ascii="Arial" w:hAnsi="Arial" w:cs="Arial"/>
        </w:rPr>
        <w:t>Scheffler, R.M., Liu, J.X., Kinfu, Y. and Dal Poz, M.R. (2008) Forecasting the global shortage of physicians: an economic- and needs-based approach. Bulletin of the World Health Organization, 86(7), pp.516–523.</w:t>
      </w:r>
    </w:p>
    <w:p w14:paraId="3F40A1C5" w14:textId="77777777" w:rsidR="00BB2B3C" w:rsidRPr="000061DA" w:rsidRDefault="00BB2B3C" w:rsidP="000061DA">
      <w:pPr>
        <w:spacing w:after="200"/>
        <w:jc w:val="both"/>
        <w:rPr>
          <w:rFonts w:ascii="Arial" w:hAnsi="Arial" w:cs="Arial"/>
        </w:rPr>
      </w:pPr>
      <w:r w:rsidRPr="000061DA">
        <w:rPr>
          <w:rFonts w:ascii="Arial" w:hAnsi="Arial" w:cs="Arial"/>
        </w:rPr>
        <w:t>Herzberg, F. (1968) One more time: how do you motivate employees? Harvard Business Review, 46(1), pp.53–62.</w:t>
      </w:r>
    </w:p>
    <w:p w14:paraId="2D8ACED8" w14:textId="77777777" w:rsidR="00BB2B3C" w:rsidRPr="000061DA" w:rsidRDefault="00BB2B3C" w:rsidP="000061DA">
      <w:pPr>
        <w:spacing w:after="200"/>
        <w:jc w:val="both"/>
        <w:rPr>
          <w:rFonts w:ascii="Arial" w:hAnsi="Arial" w:cs="Arial"/>
        </w:rPr>
      </w:pPr>
      <w:r w:rsidRPr="000061DA">
        <w:rPr>
          <w:rFonts w:ascii="Arial" w:hAnsi="Arial" w:cs="Arial"/>
        </w:rPr>
        <w:t>West, M. and Dawson, J. (2012) Employee Engagement and NHS Performance. London: The King's Fund.</w:t>
      </w:r>
    </w:p>
    <w:p w14:paraId="412E0ADC" w14:textId="77777777" w:rsidR="00BB2B3C" w:rsidRPr="000061DA" w:rsidRDefault="00BB2B3C" w:rsidP="000061DA">
      <w:pPr>
        <w:spacing w:after="200"/>
        <w:jc w:val="both"/>
        <w:rPr>
          <w:rFonts w:ascii="Arial" w:hAnsi="Arial" w:cs="Arial"/>
        </w:rPr>
      </w:pPr>
      <w:r w:rsidRPr="000061DA">
        <w:rPr>
          <w:rFonts w:ascii="Arial" w:hAnsi="Arial" w:cs="Arial"/>
        </w:rPr>
        <w:t>NHS Employers (2021) Improving Staff Retention: A Guide for Employers. London: NHS Employers.</w:t>
      </w:r>
    </w:p>
    <w:p w14:paraId="1E638453" w14:textId="77777777" w:rsidR="00BB2B3C" w:rsidRPr="000061DA" w:rsidRDefault="00BB2B3C" w:rsidP="000061DA">
      <w:pPr>
        <w:spacing w:after="200"/>
        <w:jc w:val="both"/>
        <w:rPr>
          <w:rFonts w:ascii="Arial" w:hAnsi="Arial" w:cs="Arial"/>
        </w:rPr>
      </w:pPr>
      <w:r w:rsidRPr="000061DA">
        <w:rPr>
          <w:rFonts w:ascii="Arial" w:hAnsi="Arial" w:cs="Arial"/>
        </w:rPr>
        <w:t>Cooper, C.L. and Marshall, J. (1976) Occupational sources of stress: a review of the literature relating to coronary heart disease and mental ill health. Journal of Occupational Psychology, 49(1), pp.11–28.</w:t>
      </w:r>
    </w:p>
    <w:p w14:paraId="6AD814EE" w14:textId="77777777" w:rsidR="00BB2B3C" w:rsidRPr="000061DA" w:rsidRDefault="00BB2B3C" w:rsidP="000061DA">
      <w:pPr>
        <w:spacing w:after="200"/>
        <w:jc w:val="both"/>
        <w:rPr>
          <w:rFonts w:ascii="Arial" w:hAnsi="Arial" w:cs="Arial"/>
        </w:rPr>
      </w:pPr>
      <w:r w:rsidRPr="000061DA">
        <w:rPr>
          <w:rFonts w:ascii="Arial" w:hAnsi="Arial" w:cs="Arial"/>
        </w:rPr>
        <w:t>Locke, E.A. and Latham, G.P. (1990) A Theory of Goal Setting and Task Performance. Englewood Cliffs, NJ: Prentice Hall.</w:t>
      </w:r>
    </w:p>
    <w:p w14:paraId="7EA7D1D0" w14:textId="77777777" w:rsidR="00BB2B3C" w:rsidRPr="000061DA" w:rsidRDefault="00BB2B3C" w:rsidP="000061DA">
      <w:pPr>
        <w:spacing w:after="200"/>
        <w:jc w:val="both"/>
        <w:rPr>
          <w:rFonts w:ascii="Arial" w:hAnsi="Arial" w:cs="Arial"/>
        </w:rPr>
      </w:pPr>
      <w:r w:rsidRPr="000061DA">
        <w:rPr>
          <w:rFonts w:ascii="Arial" w:hAnsi="Arial" w:cs="Arial"/>
        </w:rPr>
        <w:t>Wright, P.M. and McMahan, G.C. (1992) Theoretical perspectives for strategic human resource management. Journal of Management, 18(2), pp.295–320.</w:t>
      </w:r>
    </w:p>
    <w:p w14:paraId="291BB411" w14:textId="07291360" w:rsidR="00BB2B3C" w:rsidRPr="008A17F3" w:rsidRDefault="00BB2B3C" w:rsidP="000061DA">
      <w:pPr>
        <w:spacing w:after="200"/>
        <w:jc w:val="both"/>
      </w:pPr>
      <w:r w:rsidRPr="000061DA">
        <w:rPr>
          <w:rFonts w:ascii="Arial" w:hAnsi="Arial" w:cs="Arial"/>
        </w:rPr>
        <w:t xml:space="preserve">Becker, G.S. (1964) Human </w:t>
      </w:r>
      <w:r>
        <w:t>Capital: A Theoretical and Empirical Analysis, with Special Reference to Education. Chicago: University of Chicago Press.</w:t>
      </w:r>
    </w:p>
    <w:p w14:paraId="4D3269DC" w14:textId="3CF70B9F" w:rsidR="466C777D" w:rsidRDefault="466C777D" w:rsidP="466C777D">
      <w:pPr>
        <w:spacing w:after="200"/>
        <w:jc w:val="both"/>
        <w:rPr>
          <w:rFonts w:ascii="Arial" w:hAnsi="Arial" w:cs="Arial"/>
          <w:sz w:val="22"/>
          <w:szCs w:val="22"/>
        </w:rPr>
      </w:pPr>
    </w:p>
    <w:p w14:paraId="53EDB75C" w14:textId="334E4575" w:rsidR="27472105" w:rsidRDefault="27472105" w:rsidP="466C777D">
      <w:pPr>
        <w:spacing w:after="200"/>
        <w:jc w:val="both"/>
      </w:pPr>
      <w:r w:rsidRPr="466C777D">
        <w:rPr>
          <w:rFonts w:ascii="Arial" w:hAnsi="Arial" w:cs="Arial"/>
          <w:sz w:val="22"/>
          <w:szCs w:val="22"/>
        </w:rPr>
        <w:t xml:space="preserve">Appendices </w:t>
      </w:r>
    </w:p>
    <w:p w14:paraId="18E13014" w14:textId="7198C804" w:rsidR="27472105" w:rsidRDefault="27472105" w:rsidP="466C777D">
      <w:pPr>
        <w:spacing w:after="200"/>
        <w:jc w:val="both"/>
        <w:rPr>
          <w:rFonts w:ascii="Arial" w:hAnsi="Arial" w:cs="Arial"/>
          <w:sz w:val="22"/>
          <w:szCs w:val="22"/>
        </w:rPr>
      </w:pPr>
      <w:r w:rsidRPr="466C777D">
        <w:rPr>
          <w:rFonts w:ascii="Arial" w:hAnsi="Arial" w:cs="Arial"/>
          <w:sz w:val="22"/>
          <w:szCs w:val="22"/>
        </w:rPr>
        <w:t xml:space="preserve">Appendix 1- Ethics Form </w:t>
      </w:r>
    </w:p>
    <w:p w14:paraId="7938907E" w14:textId="3F0E3A34" w:rsidR="00D26919" w:rsidRDefault="00C06367" w:rsidP="466C777D">
      <w:pPr>
        <w:spacing w:after="200"/>
        <w:jc w:val="both"/>
      </w:pPr>
      <w:r w:rsidRPr="00C06367">
        <w:drawing>
          <wp:inline distT="0" distB="0" distL="0" distR="0" wp14:anchorId="1FDBB755" wp14:editId="4B14F492">
            <wp:extent cx="14487631" cy="5991269"/>
            <wp:effectExtent l="0" t="0" r="9525" b="9525"/>
            <wp:docPr id="1448483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483261" name=""/>
                    <pic:cNvPicPr/>
                  </pic:nvPicPr>
                  <pic:blipFill>
                    <a:blip r:embed="rId10"/>
                    <a:stretch>
                      <a:fillRect/>
                    </a:stretch>
                  </pic:blipFill>
                  <pic:spPr>
                    <a:xfrm>
                      <a:off x="0" y="0"/>
                      <a:ext cx="14487631" cy="5991269"/>
                    </a:xfrm>
                    <a:prstGeom prst="rect">
                      <a:avLst/>
                    </a:prstGeom>
                  </pic:spPr>
                </pic:pic>
              </a:graphicData>
            </a:graphic>
          </wp:inline>
        </w:drawing>
      </w:r>
    </w:p>
    <w:p w14:paraId="2994717E" w14:textId="0260C7C1" w:rsidR="466C777D" w:rsidRDefault="466C777D" w:rsidP="466C777D">
      <w:pPr>
        <w:spacing w:after="200"/>
        <w:jc w:val="both"/>
        <w:rPr>
          <w:rFonts w:ascii="Arial" w:hAnsi="Arial" w:cs="Arial"/>
          <w:sz w:val="22"/>
          <w:szCs w:val="22"/>
        </w:rPr>
      </w:pPr>
    </w:p>
    <w:p w14:paraId="0925759C" w14:textId="77777777" w:rsidR="008A17F3" w:rsidRPr="008A17F3" w:rsidRDefault="008A17F3" w:rsidP="00E747BE">
      <w:pPr>
        <w:spacing w:after="200"/>
        <w:jc w:val="both"/>
        <w:rPr>
          <w:rFonts w:ascii="Arial" w:hAnsi="Arial" w:cs="Arial"/>
          <w:b/>
          <w:bCs/>
          <w:sz w:val="28"/>
          <w:szCs w:val="28"/>
        </w:rPr>
      </w:pPr>
    </w:p>
    <w:p w14:paraId="762016EC" w14:textId="6801C095" w:rsidR="008F1A31" w:rsidRPr="00DB706E" w:rsidRDefault="001B484B" w:rsidP="00DB706E">
      <w:pPr>
        <w:spacing w:after="200"/>
        <w:jc w:val="both"/>
        <w:rPr>
          <w:rFonts w:ascii="Arial" w:hAnsi="Arial" w:cs="Arial"/>
          <w:sz w:val="22"/>
          <w:szCs w:val="22"/>
        </w:rPr>
      </w:pPr>
      <w:r>
        <w:rPr>
          <w:rFonts w:ascii="Arial" w:hAnsi="Arial" w:cs="Arial"/>
          <w:noProof/>
          <w:sz w:val="22"/>
          <w:szCs w:val="22"/>
        </w:rPr>
        <w:drawing>
          <wp:inline distT="0" distB="0" distL="0" distR="0" wp14:anchorId="3B76EB51" wp14:editId="7CA1D8A9">
            <wp:extent cx="10210800" cy="6600825"/>
            <wp:effectExtent l="0" t="0" r="0" b="9525"/>
            <wp:docPr id="17155970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210800" cy="6600825"/>
                    </a:xfrm>
                    <a:prstGeom prst="rect">
                      <a:avLst/>
                    </a:prstGeom>
                    <a:noFill/>
                  </pic:spPr>
                </pic:pic>
              </a:graphicData>
            </a:graphic>
          </wp:inline>
        </w:drawing>
      </w:r>
    </w:p>
    <w:p w14:paraId="66A78B5E" w14:textId="7587B090" w:rsidR="00A30242" w:rsidRPr="00A30242" w:rsidRDefault="00817E53" w:rsidP="00B277DD">
      <w:pPr>
        <w:spacing w:after="200"/>
        <w:jc w:val="both"/>
        <w:rPr>
          <w:rFonts w:ascii="Arial" w:hAnsi="Arial" w:cs="Arial"/>
          <w:sz w:val="22"/>
          <w:szCs w:val="22"/>
        </w:rPr>
      </w:pPr>
      <w:r>
        <w:rPr>
          <w:rFonts w:ascii="Arial" w:hAnsi="Arial" w:cs="Arial"/>
          <w:noProof/>
          <w:sz w:val="22"/>
          <w:szCs w:val="22"/>
        </w:rPr>
        <w:drawing>
          <wp:inline distT="0" distB="0" distL="0" distR="0" wp14:anchorId="2D334F52" wp14:editId="370FD5BE">
            <wp:extent cx="14535150" cy="6591300"/>
            <wp:effectExtent l="0" t="0" r="0" b="0"/>
            <wp:docPr id="146123263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535150" cy="6591300"/>
                    </a:xfrm>
                    <a:prstGeom prst="rect">
                      <a:avLst/>
                    </a:prstGeom>
                    <a:noFill/>
                  </pic:spPr>
                </pic:pic>
              </a:graphicData>
            </a:graphic>
          </wp:inline>
        </w:drawing>
      </w:r>
    </w:p>
    <w:p w14:paraId="02EDB953" w14:textId="50B33BF0" w:rsidR="00300572" w:rsidRPr="00AF4178" w:rsidRDefault="006F00CA" w:rsidP="00AF4178">
      <w:pPr>
        <w:spacing w:after="200"/>
        <w:jc w:val="both"/>
        <w:rPr>
          <w:rFonts w:ascii="Arial" w:hAnsi="Arial" w:cs="Arial"/>
          <w:sz w:val="22"/>
          <w:szCs w:val="22"/>
        </w:rPr>
      </w:pPr>
      <w:r>
        <w:rPr>
          <w:rFonts w:ascii="Arial" w:hAnsi="Arial" w:cs="Arial"/>
          <w:noProof/>
          <w:sz w:val="22"/>
          <w:szCs w:val="22"/>
        </w:rPr>
        <w:drawing>
          <wp:inline distT="0" distB="0" distL="0" distR="0" wp14:anchorId="21383D50" wp14:editId="5BE73A44">
            <wp:extent cx="14268450" cy="6619875"/>
            <wp:effectExtent l="0" t="0" r="0" b="9525"/>
            <wp:docPr id="93797803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268450" cy="6619875"/>
                    </a:xfrm>
                    <a:prstGeom prst="rect">
                      <a:avLst/>
                    </a:prstGeom>
                    <a:noFill/>
                  </pic:spPr>
                </pic:pic>
              </a:graphicData>
            </a:graphic>
          </wp:inline>
        </w:drawing>
      </w:r>
    </w:p>
    <w:p w14:paraId="75824280" w14:textId="446F86EF" w:rsidR="002A14F4" w:rsidRPr="009349F2" w:rsidRDefault="008B5632" w:rsidP="002A14F4">
      <w:pPr>
        <w:spacing w:after="200"/>
        <w:jc w:val="both"/>
        <w:rPr>
          <w:rFonts w:ascii="Arial" w:hAnsi="Arial" w:cs="Arial"/>
          <w:sz w:val="22"/>
          <w:szCs w:val="22"/>
        </w:rPr>
      </w:pPr>
      <w:r>
        <w:rPr>
          <w:rFonts w:ascii="Arial" w:hAnsi="Arial" w:cs="Arial"/>
          <w:noProof/>
          <w:sz w:val="22"/>
          <w:szCs w:val="22"/>
        </w:rPr>
        <w:drawing>
          <wp:inline distT="0" distB="0" distL="0" distR="0" wp14:anchorId="7F29D72C" wp14:editId="2979E5BF">
            <wp:extent cx="13992225" cy="6677025"/>
            <wp:effectExtent l="0" t="0" r="9525" b="9525"/>
            <wp:docPr id="106796989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3992225" cy="6677025"/>
                    </a:xfrm>
                    <a:prstGeom prst="rect">
                      <a:avLst/>
                    </a:prstGeom>
                    <a:noFill/>
                  </pic:spPr>
                </pic:pic>
              </a:graphicData>
            </a:graphic>
          </wp:inline>
        </w:drawing>
      </w:r>
    </w:p>
    <w:p w14:paraId="4195F1F2" w14:textId="51718339" w:rsidR="00425004" w:rsidRPr="00EC56ED" w:rsidRDefault="00A83BE0" w:rsidP="00EC56ED">
      <w:pPr>
        <w:spacing w:after="200"/>
        <w:jc w:val="both"/>
        <w:rPr>
          <w:rFonts w:ascii="Arial" w:hAnsi="Arial" w:cs="Arial"/>
          <w:sz w:val="22"/>
          <w:szCs w:val="22"/>
        </w:rPr>
      </w:pPr>
      <w:r>
        <w:rPr>
          <w:rFonts w:ascii="Arial" w:hAnsi="Arial" w:cs="Arial"/>
          <w:noProof/>
          <w:sz w:val="22"/>
          <w:szCs w:val="22"/>
        </w:rPr>
        <w:drawing>
          <wp:inline distT="0" distB="0" distL="0" distR="0" wp14:anchorId="0D938D4C" wp14:editId="2D207692">
            <wp:extent cx="8296275" cy="6686550"/>
            <wp:effectExtent l="0" t="0" r="9525" b="0"/>
            <wp:docPr id="113821715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8296275" cy="6686550"/>
                    </a:xfrm>
                    <a:prstGeom prst="rect">
                      <a:avLst/>
                    </a:prstGeom>
                    <a:noFill/>
                  </pic:spPr>
                </pic:pic>
              </a:graphicData>
            </a:graphic>
          </wp:inline>
        </w:drawing>
      </w:r>
    </w:p>
    <w:p w14:paraId="350E279E" w14:textId="7BCA3D71" w:rsidR="001F6E11" w:rsidRPr="00913EFC" w:rsidRDefault="001E2F04" w:rsidP="00913EFC">
      <w:pPr>
        <w:spacing w:after="200"/>
        <w:jc w:val="both"/>
        <w:rPr>
          <w:rFonts w:ascii="Arial" w:hAnsi="Arial" w:cs="Arial"/>
          <w:sz w:val="22"/>
          <w:szCs w:val="22"/>
        </w:rPr>
      </w:pPr>
      <w:r>
        <w:rPr>
          <w:rFonts w:ascii="Arial" w:hAnsi="Arial" w:cs="Arial"/>
          <w:noProof/>
          <w:sz w:val="22"/>
          <w:szCs w:val="22"/>
        </w:rPr>
        <w:drawing>
          <wp:inline distT="0" distB="0" distL="0" distR="0" wp14:anchorId="2C3101E5" wp14:editId="5CCD02B4">
            <wp:extent cx="8753475" cy="6543675"/>
            <wp:effectExtent l="0" t="0" r="9525" b="9525"/>
            <wp:docPr id="111237100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8753475" cy="6543675"/>
                    </a:xfrm>
                    <a:prstGeom prst="rect">
                      <a:avLst/>
                    </a:prstGeom>
                    <a:noFill/>
                  </pic:spPr>
                </pic:pic>
              </a:graphicData>
            </a:graphic>
          </wp:inline>
        </w:drawing>
      </w:r>
      <w:r w:rsidR="00D23C77">
        <w:rPr>
          <w:rFonts w:ascii="Arial" w:hAnsi="Arial" w:cs="Arial"/>
          <w:noProof/>
          <w:sz w:val="22"/>
          <w:szCs w:val="22"/>
        </w:rPr>
        <w:drawing>
          <wp:inline distT="0" distB="0" distL="0" distR="0" wp14:anchorId="24B18864" wp14:editId="538A4D74">
            <wp:extent cx="9648825" cy="6667500"/>
            <wp:effectExtent l="0" t="0" r="9525" b="0"/>
            <wp:docPr id="131497592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9648825" cy="6667500"/>
                    </a:xfrm>
                    <a:prstGeom prst="rect">
                      <a:avLst/>
                    </a:prstGeom>
                    <a:noFill/>
                  </pic:spPr>
                </pic:pic>
              </a:graphicData>
            </a:graphic>
          </wp:inline>
        </w:drawing>
      </w:r>
      <w:r w:rsidR="003D41C3">
        <w:rPr>
          <w:rFonts w:ascii="Arial" w:hAnsi="Arial" w:cs="Arial"/>
          <w:noProof/>
          <w:sz w:val="22"/>
          <w:szCs w:val="22"/>
        </w:rPr>
        <w:drawing>
          <wp:inline distT="0" distB="0" distL="0" distR="0" wp14:anchorId="221AF674" wp14:editId="4C2BDF45">
            <wp:extent cx="12830175" cy="6677025"/>
            <wp:effectExtent l="0" t="0" r="9525" b="9525"/>
            <wp:docPr id="181022897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2830175" cy="6677025"/>
                    </a:xfrm>
                    <a:prstGeom prst="rect">
                      <a:avLst/>
                    </a:prstGeom>
                    <a:noFill/>
                  </pic:spPr>
                </pic:pic>
              </a:graphicData>
            </a:graphic>
          </wp:inline>
        </w:drawing>
      </w:r>
    </w:p>
    <w:p w14:paraId="2BE25DDF" w14:textId="0580EC99" w:rsidR="00922AFC" w:rsidRPr="00DF69A7" w:rsidRDefault="002C6E91" w:rsidP="002C5386">
      <w:pPr>
        <w:spacing w:after="200"/>
        <w:jc w:val="both"/>
        <w:rPr>
          <w:rFonts w:ascii="Arial" w:hAnsi="Arial" w:cs="Arial"/>
          <w:sz w:val="22"/>
          <w:szCs w:val="22"/>
        </w:rPr>
      </w:pPr>
      <w:r>
        <w:rPr>
          <w:rFonts w:ascii="Arial" w:hAnsi="Arial" w:cs="Arial"/>
          <w:noProof/>
          <w:sz w:val="22"/>
          <w:szCs w:val="22"/>
        </w:rPr>
        <w:drawing>
          <wp:inline distT="0" distB="0" distL="0" distR="0" wp14:anchorId="2BC7E94D" wp14:editId="3BAD6177">
            <wp:extent cx="9486900" cy="6210300"/>
            <wp:effectExtent l="0" t="0" r="0" b="0"/>
            <wp:docPr id="58287403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9486900" cy="6210300"/>
                    </a:xfrm>
                    <a:prstGeom prst="rect">
                      <a:avLst/>
                    </a:prstGeom>
                    <a:noFill/>
                  </pic:spPr>
                </pic:pic>
              </a:graphicData>
            </a:graphic>
          </wp:inline>
        </w:drawing>
      </w:r>
    </w:p>
    <w:p w14:paraId="4144D415" w14:textId="57505C9A" w:rsidR="00C91A7B" w:rsidRPr="005F6A2C" w:rsidRDefault="003C690D" w:rsidP="005F6A2C">
      <w:pPr>
        <w:spacing w:after="200"/>
        <w:jc w:val="both"/>
        <w:rPr>
          <w:rFonts w:ascii="Arial" w:hAnsi="Arial" w:cs="Arial"/>
          <w:sz w:val="22"/>
          <w:szCs w:val="22"/>
        </w:rPr>
      </w:pPr>
      <w:r>
        <w:rPr>
          <w:rFonts w:ascii="Arial" w:hAnsi="Arial" w:cs="Arial"/>
          <w:noProof/>
          <w:sz w:val="22"/>
          <w:szCs w:val="22"/>
        </w:rPr>
        <w:drawing>
          <wp:inline distT="0" distB="0" distL="0" distR="0" wp14:anchorId="756F9C0E" wp14:editId="0C69F107">
            <wp:extent cx="8658225" cy="6181725"/>
            <wp:effectExtent l="0" t="0" r="9525" b="9525"/>
            <wp:docPr id="21585855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8658225" cy="6181725"/>
                    </a:xfrm>
                    <a:prstGeom prst="rect">
                      <a:avLst/>
                    </a:prstGeom>
                    <a:noFill/>
                  </pic:spPr>
                </pic:pic>
              </a:graphicData>
            </a:graphic>
          </wp:inline>
        </w:drawing>
      </w:r>
    </w:p>
    <w:p w14:paraId="69B71E61" w14:textId="213A0351" w:rsidR="006022C4" w:rsidRPr="006022C4" w:rsidRDefault="001E630C" w:rsidP="00241233">
      <w:pPr>
        <w:spacing w:after="200"/>
        <w:jc w:val="both"/>
        <w:rPr>
          <w:rFonts w:ascii="Arial" w:hAnsi="Arial" w:cs="Arial"/>
          <w:sz w:val="22"/>
          <w:szCs w:val="22"/>
        </w:rPr>
      </w:pPr>
      <w:r>
        <w:rPr>
          <w:rFonts w:ascii="Arial" w:hAnsi="Arial" w:cs="Arial"/>
          <w:noProof/>
          <w:sz w:val="22"/>
          <w:szCs w:val="22"/>
        </w:rPr>
        <w:drawing>
          <wp:inline distT="0" distB="0" distL="0" distR="0" wp14:anchorId="011ECEBB" wp14:editId="77B621C2">
            <wp:extent cx="7972425" cy="6562725"/>
            <wp:effectExtent l="0" t="0" r="9525" b="9525"/>
            <wp:docPr id="33580713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7972425" cy="6562725"/>
                    </a:xfrm>
                    <a:prstGeom prst="rect">
                      <a:avLst/>
                    </a:prstGeom>
                    <a:noFill/>
                  </pic:spPr>
                </pic:pic>
              </a:graphicData>
            </a:graphic>
          </wp:inline>
        </w:drawing>
      </w:r>
    </w:p>
    <w:p w14:paraId="032AD085" w14:textId="5B053A1A" w:rsidR="00A44A39" w:rsidRPr="000B47F3" w:rsidRDefault="004073DE" w:rsidP="000B47F3">
      <w:pPr>
        <w:spacing w:after="200"/>
        <w:jc w:val="both"/>
        <w:rPr>
          <w:rFonts w:ascii="Arial" w:hAnsi="Arial" w:cs="Arial"/>
          <w:sz w:val="22"/>
          <w:szCs w:val="22"/>
        </w:rPr>
      </w:pPr>
      <w:r>
        <w:rPr>
          <w:rFonts w:ascii="Arial" w:hAnsi="Arial" w:cs="Arial"/>
          <w:noProof/>
          <w:sz w:val="22"/>
          <w:szCs w:val="22"/>
        </w:rPr>
        <w:drawing>
          <wp:inline distT="0" distB="0" distL="0" distR="0" wp14:anchorId="71C16EB8" wp14:editId="32434D9C">
            <wp:extent cx="8848725" cy="6591300"/>
            <wp:effectExtent l="0" t="0" r="9525" b="0"/>
            <wp:docPr id="169303043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8848725" cy="6591300"/>
                    </a:xfrm>
                    <a:prstGeom prst="rect">
                      <a:avLst/>
                    </a:prstGeom>
                    <a:noFill/>
                  </pic:spPr>
                </pic:pic>
              </a:graphicData>
            </a:graphic>
          </wp:inline>
        </w:drawing>
      </w:r>
    </w:p>
    <w:p w14:paraId="53A9F5D3" w14:textId="796712A5" w:rsidR="00B57B68" w:rsidRPr="002F407E" w:rsidRDefault="00A17F49" w:rsidP="00EF2855">
      <w:pPr>
        <w:spacing w:after="200" w:line="240" w:lineRule="auto"/>
        <w:jc w:val="both"/>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14:ligatures w14:val="none"/>
        </w:rPr>
        <w:drawing>
          <wp:inline distT="0" distB="0" distL="0" distR="0" wp14:anchorId="2030B3F0" wp14:editId="35E3A614">
            <wp:extent cx="8963025" cy="6610350"/>
            <wp:effectExtent l="0" t="0" r="9525" b="0"/>
            <wp:docPr id="109955762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8963025" cy="6610350"/>
                    </a:xfrm>
                    <a:prstGeom prst="rect">
                      <a:avLst/>
                    </a:prstGeom>
                    <a:noFill/>
                  </pic:spPr>
                </pic:pic>
              </a:graphicData>
            </a:graphic>
          </wp:inline>
        </w:drawing>
      </w:r>
    </w:p>
    <w:p w14:paraId="4D958C23" w14:textId="0EA7FAD7" w:rsidR="00226AB2" w:rsidRPr="00226AB2" w:rsidRDefault="00FF72D3" w:rsidP="00FB638E">
      <w:pPr>
        <w:spacing w:after="200"/>
        <w:jc w:val="both"/>
        <w:rPr>
          <w:rFonts w:ascii="Arial" w:hAnsi="Arial" w:cs="Arial"/>
          <w:sz w:val="22"/>
          <w:szCs w:val="22"/>
        </w:rPr>
      </w:pPr>
      <w:r>
        <w:rPr>
          <w:rFonts w:ascii="Arial" w:hAnsi="Arial" w:cs="Arial"/>
          <w:noProof/>
          <w:sz w:val="22"/>
          <w:szCs w:val="22"/>
        </w:rPr>
        <w:drawing>
          <wp:inline distT="0" distB="0" distL="0" distR="0" wp14:anchorId="2C52F96A" wp14:editId="1D101FFD">
            <wp:extent cx="8420100" cy="6429375"/>
            <wp:effectExtent l="0" t="0" r="0" b="9525"/>
            <wp:docPr id="199908321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8420100" cy="6429375"/>
                    </a:xfrm>
                    <a:prstGeom prst="rect">
                      <a:avLst/>
                    </a:prstGeom>
                    <a:noFill/>
                  </pic:spPr>
                </pic:pic>
              </a:graphicData>
            </a:graphic>
          </wp:inline>
        </w:drawing>
      </w:r>
    </w:p>
    <w:p w14:paraId="21B3277F" w14:textId="521261AC" w:rsidR="00E44DE4" w:rsidRPr="00E44DE4" w:rsidRDefault="001D5BA0" w:rsidP="00E44DE4">
      <w:pPr>
        <w:spacing w:after="200"/>
        <w:jc w:val="both"/>
        <w:rPr>
          <w:rFonts w:ascii="Arial" w:hAnsi="Arial" w:cs="Arial"/>
          <w:sz w:val="22"/>
          <w:szCs w:val="22"/>
        </w:rPr>
      </w:pPr>
      <w:r>
        <w:rPr>
          <w:rFonts w:ascii="Arial" w:hAnsi="Arial" w:cs="Arial"/>
          <w:noProof/>
          <w:sz w:val="22"/>
          <w:szCs w:val="22"/>
        </w:rPr>
        <w:drawing>
          <wp:inline distT="0" distB="0" distL="0" distR="0" wp14:anchorId="699C48D3" wp14:editId="652EDE48">
            <wp:extent cx="11001375" cy="6505575"/>
            <wp:effectExtent l="0" t="0" r="9525" b="9525"/>
            <wp:docPr id="137897548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1001375" cy="6505575"/>
                    </a:xfrm>
                    <a:prstGeom prst="rect">
                      <a:avLst/>
                    </a:prstGeom>
                    <a:noFill/>
                  </pic:spPr>
                </pic:pic>
              </a:graphicData>
            </a:graphic>
          </wp:inline>
        </w:drawing>
      </w:r>
    </w:p>
    <w:p w14:paraId="328F6158" w14:textId="4D120019" w:rsidR="00D72431" w:rsidRPr="00E44DE4" w:rsidRDefault="002B3EB0" w:rsidP="00F80BD4">
      <w:pPr>
        <w:spacing w:after="200"/>
        <w:jc w:val="both"/>
        <w:rPr>
          <w:rFonts w:ascii="Arial" w:hAnsi="Arial" w:cs="Arial"/>
          <w:sz w:val="22"/>
          <w:szCs w:val="22"/>
        </w:rPr>
      </w:pPr>
      <w:r>
        <w:rPr>
          <w:rFonts w:ascii="Arial" w:hAnsi="Arial" w:cs="Arial"/>
          <w:noProof/>
          <w:sz w:val="22"/>
          <w:szCs w:val="22"/>
        </w:rPr>
        <w:drawing>
          <wp:inline distT="0" distB="0" distL="0" distR="0" wp14:anchorId="0F7BE018" wp14:editId="1E76C28B">
            <wp:extent cx="14211300" cy="6505575"/>
            <wp:effectExtent l="0" t="0" r="0" b="9525"/>
            <wp:docPr id="164289905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4211300" cy="6505575"/>
                    </a:xfrm>
                    <a:prstGeom prst="rect">
                      <a:avLst/>
                    </a:prstGeom>
                    <a:noFill/>
                  </pic:spPr>
                </pic:pic>
              </a:graphicData>
            </a:graphic>
          </wp:inline>
        </w:drawing>
      </w:r>
    </w:p>
    <w:p w14:paraId="649DF5E9" w14:textId="33BEB53E" w:rsidR="00F80BD4" w:rsidRPr="00F80BD4" w:rsidRDefault="00A12CAD" w:rsidP="00F80BD4">
      <w:pPr>
        <w:spacing w:after="120" w:line="240" w:lineRule="auto"/>
        <w:rPr>
          <w:rFonts w:ascii="Arial" w:hAnsi="Arial" w:cs="Arial"/>
          <w:sz w:val="22"/>
          <w:szCs w:val="22"/>
        </w:rPr>
      </w:pPr>
      <w:r>
        <w:rPr>
          <w:rFonts w:ascii="Arial" w:hAnsi="Arial" w:cs="Arial"/>
          <w:noProof/>
          <w:sz w:val="22"/>
          <w:szCs w:val="22"/>
        </w:rPr>
        <w:drawing>
          <wp:inline distT="0" distB="0" distL="0" distR="0" wp14:anchorId="1F8D209A" wp14:editId="566D2203">
            <wp:extent cx="14277975" cy="5934075"/>
            <wp:effectExtent l="0" t="0" r="9525" b="9525"/>
            <wp:docPr id="114139389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4277975" cy="5934075"/>
                    </a:xfrm>
                    <a:prstGeom prst="rect">
                      <a:avLst/>
                    </a:prstGeom>
                    <a:noFill/>
                  </pic:spPr>
                </pic:pic>
              </a:graphicData>
            </a:graphic>
          </wp:inline>
        </w:drawing>
      </w:r>
    </w:p>
    <w:p w14:paraId="0F8C3E3C" w14:textId="77777777" w:rsidR="00F80BD4" w:rsidRPr="00F80BD4" w:rsidRDefault="00F80BD4" w:rsidP="00F80BD4">
      <w:pPr>
        <w:rPr>
          <w:rFonts w:ascii="Arial" w:hAnsi="Arial" w:cs="Arial"/>
          <w:b/>
          <w:bCs/>
          <w:sz w:val="22"/>
          <w:szCs w:val="22"/>
        </w:rPr>
      </w:pPr>
    </w:p>
    <w:p w14:paraId="201E84EB" w14:textId="77777777" w:rsidR="00F80BD4" w:rsidRPr="00F80BD4" w:rsidRDefault="00F80BD4" w:rsidP="00F80BD4">
      <w:pPr>
        <w:spacing w:after="200"/>
        <w:jc w:val="both"/>
        <w:rPr>
          <w:rFonts w:ascii="Arial" w:hAnsi="Arial" w:cs="Arial"/>
          <w:sz w:val="22"/>
          <w:szCs w:val="22"/>
        </w:rPr>
      </w:pPr>
    </w:p>
    <w:p w14:paraId="2A380BD5" w14:textId="77777777" w:rsidR="00F80BD4" w:rsidRPr="00EF333A" w:rsidRDefault="00F80BD4" w:rsidP="00EF333A">
      <w:pPr>
        <w:spacing w:after="200"/>
        <w:jc w:val="both"/>
        <w:rPr>
          <w:rFonts w:ascii="Arial" w:hAnsi="Arial" w:cs="Arial"/>
          <w:sz w:val="22"/>
          <w:szCs w:val="22"/>
        </w:rPr>
      </w:pPr>
    </w:p>
    <w:p w14:paraId="4AF4FAC1" w14:textId="23A70728" w:rsidR="00EF333A" w:rsidRPr="00EF333A" w:rsidRDefault="00EF333A" w:rsidP="00EF333A">
      <w:pPr>
        <w:rPr>
          <w:rFonts w:ascii="Arial" w:eastAsia="Times New Roman" w:hAnsi="Arial" w:cs="Arial"/>
          <w:b/>
          <w:bCs/>
          <w:kern w:val="0"/>
          <w:sz w:val="28"/>
          <w:szCs w:val="28"/>
          <w:lang w:eastAsia="en-GB"/>
          <w14:ligatures w14:val="none"/>
        </w:rPr>
      </w:pPr>
    </w:p>
    <w:p w14:paraId="19CB6078" w14:textId="71E4026B" w:rsidR="00EF333A" w:rsidRPr="00EF333A" w:rsidRDefault="00EF333A" w:rsidP="00EF333A">
      <w:pPr>
        <w:rPr>
          <w:rFonts w:ascii="Arial" w:hAnsi="Arial" w:cs="Arial"/>
          <w:sz w:val="22"/>
          <w:szCs w:val="22"/>
          <w14:textOutline w14:w="9525" w14:cap="rnd" w14:cmpd="sng" w14:algn="ctr">
            <w14:solidFill>
              <w14:schemeClr w14:val="tx1"/>
            </w14:solidFill>
            <w14:prstDash w14:val="solid"/>
            <w14:bevel/>
          </w14:textOutline>
        </w:rPr>
      </w:pPr>
    </w:p>
    <w:sectPr w:rsidR="00EF333A" w:rsidRPr="00EF333A">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4" w:author="Md Kalam" w:date="2026-08-13T12:37:00Z" w:initials="MK">
    <w:p w14:paraId="0616C5B9" w14:textId="6D5A4A7E" w:rsidR="00CA5B9D" w:rsidRDefault="00CA5B9D">
      <w:r>
        <w:annotationRef/>
      </w:r>
      <w:r w:rsidRPr="742ECC75">
        <w:t xml:space="preserve">what is workforce planning? is there any theoretical underpinning relating to workforce planning? </w:t>
      </w:r>
    </w:p>
  </w:comment>
  <w:comment w:id="5" w:author="Md Kalam" w:date="2026-08-13T12:38:00Z" w:initials="MK">
    <w:p w14:paraId="4686C6DB" w14:textId="3A1F56BD" w:rsidR="00CA5B9D" w:rsidRDefault="00CA5B9D">
      <w:r>
        <w:annotationRef/>
      </w:r>
      <w:r w:rsidRPr="1DF24D31">
        <w:t xml:space="preserve">is there any theoretical underpinning relating to this topic? </w:t>
      </w:r>
    </w:p>
  </w:comment>
  <w:comment w:id="6" w:author="Md Kalam" w:date="2026-08-13T12:42:00Z" w:initials="MK">
    <w:p w14:paraId="09BC71EF" w14:textId="3E250B63" w:rsidR="00CA5B9D" w:rsidRDefault="00CA5B9D">
      <w:r>
        <w:annotationRef/>
      </w:r>
      <w:r w:rsidRPr="3828AC9A">
        <w:t>Try to apply 5C steps</w:t>
      </w:r>
    </w:p>
    <w:p w14:paraId="2B41FE72" w14:textId="6536DC1C" w:rsidR="00CA5B9D" w:rsidRDefault="00CA5B9D">
      <w:r w:rsidRPr="214F328E">
        <w:t>The 5 Cs Breakdown</w:t>
      </w:r>
    </w:p>
    <w:p w14:paraId="31E36210" w14:textId="14A40BFF" w:rsidR="00CA5B9D" w:rsidRDefault="00CA5B9D">
      <w:r w:rsidRPr="1C714D68">
        <w:rPr>
          <w:b/>
          <w:bCs/>
        </w:rPr>
        <w:t>Cite:</w:t>
      </w:r>
      <w:r w:rsidRPr="3F071499">
        <w:t xml:space="preserve"> Reference key authors, theories, and studies to establish academic credibility and build a solid foundation. [</w:t>
      </w:r>
      <w:hyperlink r:id="rId1" w:history="1">
        <w:r w:rsidRPr="46B2032E">
          <w:t>1</w:t>
        </w:r>
      </w:hyperlink>
      <w:r w:rsidRPr="3D2C9609">
        <w:t xml:space="preserve">, </w:t>
      </w:r>
      <w:hyperlink r:id="rId2" w:history="1">
        <w:r w:rsidRPr="28B59D92">
          <w:t>2</w:t>
        </w:r>
      </w:hyperlink>
      <w:r w:rsidRPr="7268EB94">
        <w:t>]</w:t>
      </w:r>
    </w:p>
    <w:p w14:paraId="00D1CEA2" w14:textId="10317AE9" w:rsidR="00CA5B9D" w:rsidRDefault="00CA5B9D"/>
    <w:p w14:paraId="1FB84D71" w14:textId="481D9794" w:rsidR="00CA5B9D" w:rsidRDefault="00CA5B9D">
      <w:r w:rsidRPr="6D97E1FB">
        <w:rPr>
          <w:b/>
          <w:bCs/>
        </w:rPr>
        <w:t>Compare:</w:t>
      </w:r>
      <w:r w:rsidRPr="78B388C6">
        <w:t xml:space="preserve"> Find similarities in findings, methods, or theories across different studies to highlight trends and consensus. [</w:t>
      </w:r>
      <w:hyperlink r:id="rId3" w:history="1">
        <w:r w:rsidRPr="6D3809A5">
          <w:t>1</w:t>
        </w:r>
      </w:hyperlink>
      <w:r w:rsidRPr="2416ED15">
        <w:t xml:space="preserve">, </w:t>
      </w:r>
      <w:hyperlink r:id="rId4" w:history="1">
        <w:r w:rsidRPr="3B6AFB7F">
          <w:t>2</w:t>
        </w:r>
      </w:hyperlink>
      <w:r w:rsidRPr="1638AEF2">
        <w:t>]</w:t>
      </w:r>
    </w:p>
    <w:p w14:paraId="480D89A2" w14:textId="1EBDAA85" w:rsidR="00CA5B9D" w:rsidRDefault="00CA5B9D"/>
    <w:p w14:paraId="06AAD6A3" w14:textId="5C0F5A89" w:rsidR="00CA5B9D" w:rsidRDefault="00CA5B9D">
      <w:r w:rsidRPr="1FA7F12D">
        <w:rPr>
          <w:b/>
          <w:bCs/>
        </w:rPr>
        <w:t>Contrast:</w:t>
      </w:r>
      <w:r w:rsidRPr="15E16418">
        <w:t xml:space="preserve"> Analyze differences, opposing viewpoints, and inconsistencies to reveal ongoing debates or gaps in the field. [</w:t>
      </w:r>
      <w:hyperlink r:id="rId5" w:history="1">
        <w:r w:rsidRPr="7C422AF0">
          <w:t>1</w:t>
        </w:r>
      </w:hyperlink>
      <w:r w:rsidRPr="025B7081">
        <w:t xml:space="preserve">, </w:t>
      </w:r>
      <w:hyperlink r:id="rId6" w:history="1">
        <w:r w:rsidRPr="5B4E8373">
          <w:t>2</w:t>
        </w:r>
      </w:hyperlink>
      <w:r w:rsidRPr="6E5639E3">
        <w:t>]</w:t>
      </w:r>
    </w:p>
    <w:p w14:paraId="1D8E7342" w14:textId="04578A96" w:rsidR="00CA5B9D" w:rsidRDefault="00CA5B9D"/>
    <w:p w14:paraId="249A97D6" w14:textId="362B3180" w:rsidR="00CA5B9D" w:rsidRDefault="00CA5B9D">
      <w:r w:rsidRPr="6EDA9FDF">
        <w:rPr>
          <w:b/>
          <w:bCs/>
        </w:rPr>
        <w:t>Critique:</w:t>
      </w:r>
      <w:r w:rsidRPr="4DC8A4BA">
        <w:t xml:space="preserve"> Evaluate the strengths, weaknesses, sample sizes, and methodological limitations of the sources rather than accepting them blindly. [</w:t>
      </w:r>
      <w:hyperlink r:id="rId7" w:history="1">
        <w:r w:rsidRPr="5F0CF1DD">
          <w:t>1</w:t>
        </w:r>
      </w:hyperlink>
      <w:r w:rsidRPr="77CFA609">
        <w:t xml:space="preserve">, </w:t>
      </w:r>
      <w:hyperlink r:id="rId8" w:history="1">
        <w:r w:rsidRPr="0A51B477">
          <w:t>2</w:t>
        </w:r>
      </w:hyperlink>
      <w:r w:rsidRPr="3199434B">
        <w:t>]</w:t>
      </w:r>
    </w:p>
    <w:p w14:paraId="55BBE6AA" w14:textId="60AD5020" w:rsidR="00CA5B9D" w:rsidRDefault="00CA5B9D"/>
    <w:p w14:paraId="3FF5F56E" w14:textId="4590D147" w:rsidR="00CA5B9D" w:rsidRDefault="00CA5B9D">
      <w:r w:rsidRPr="09A79F79">
        <w:rPr>
          <w:b/>
          <w:bCs/>
        </w:rPr>
        <w:t>Connect:</w:t>
      </w:r>
      <w:r w:rsidRPr="16E541FA">
        <w:t xml:space="preserve"> Link the reviewed literature directly to your own research question, showing how your work fills a gap or builds on prior knowledge. [</w:t>
      </w:r>
      <w:hyperlink r:id="rId9" w:history="1">
        <w:r w:rsidRPr="0AEB7F79">
          <w:t>1</w:t>
        </w:r>
      </w:hyperlink>
      <w:r w:rsidRPr="2E567051">
        <w:t xml:space="preserve">, </w:t>
      </w:r>
      <w:hyperlink r:id="rId10" w:history="1">
        <w:r w:rsidRPr="5115C5E6">
          <w:t>2</w:t>
        </w:r>
      </w:hyperlink>
      <w:r w:rsidRPr="4ACF482E">
        <w: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616C5B9" w15:done="0"/>
  <w15:commentEx w15:paraId="4686C6DB" w15:done="0"/>
  <w15:commentEx w15:paraId="3FF5F56E" w15:paraIdParent="4686C6DB"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18E302A9" w16cex:dateUtc="2026-08-13T11:37:00Z"/>
  <w16cex:commentExtensible w16cex:durableId="3478BD42" w16cex:dateUtc="2026-08-13T11:38:00Z"/>
  <w16cex:commentExtensible w16cex:durableId="6BF92DD5" w16cex:dateUtc="2026-08-13T11:4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616C5B9" w16cid:durableId="18E302A9"/>
  <w16cid:commentId w16cid:paraId="4686C6DB" w16cid:durableId="3478BD42"/>
  <w16cid:commentId w16cid:paraId="3FF5F56E" w16cid:durableId="6BF92DD5"/>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7227D7"/>
    <w:multiLevelType w:val="hybridMultilevel"/>
    <w:tmpl w:val="20328860"/>
    <w:lvl w:ilvl="0" w:tplc="0809000F">
      <w:start w:val="1"/>
      <w:numFmt w:val="decimal"/>
      <w:lvlText w:val="%1."/>
      <w:lvlJc w:val="left"/>
      <w:pPr>
        <w:ind w:left="502" w:hanging="360"/>
      </w:p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 w15:restartNumberingAfterBreak="0">
    <w:nsid w:val="222F1E56"/>
    <w:multiLevelType w:val="hybridMultilevel"/>
    <w:tmpl w:val="23E2EE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385C58"/>
    <w:multiLevelType w:val="hybridMultilevel"/>
    <w:tmpl w:val="D5C45602"/>
    <w:lvl w:ilvl="0" w:tplc="F43A1C14">
      <w:start w:val="1"/>
      <w:numFmt w:val="bullet"/>
      <w:lvlText w:val="●"/>
      <w:lvlJc w:val="left"/>
      <w:pPr>
        <w:ind w:left="720" w:hanging="360"/>
      </w:pPr>
    </w:lvl>
    <w:lvl w:ilvl="1" w:tplc="B060BEAC">
      <w:start w:val="1"/>
      <w:numFmt w:val="bullet"/>
      <w:lvlText w:val="○"/>
      <w:lvlJc w:val="left"/>
      <w:pPr>
        <w:ind w:left="1440" w:hanging="360"/>
      </w:pPr>
    </w:lvl>
    <w:lvl w:ilvl="2" w:tplc="48BA5BE8">
      <w:start w:val="1"/>
      <w:numFmt w:val="bullet"/>
      <w:lvlText w:val="■"/>
      <w:lvlJc w:val="left"/>
      <w:pPr>
        <w:ind w:left="2160" w:hanging="360"/>
      </w:pPr>
    </w:lvl>
    <w:lvl w:ilvl="3" w:tplc="65305780">
      <w:start w:val="1"/>
      <w:numFmt w:val="bullet"/>
      <w:lvlText w:val="●"/>
      <w:lvlJc w:val="left"/>
      <w:pPr>
        <w:ind w:left="2880" w:hanging="360"/>
      </w:pPr>
    </w:lvl>
    <w:lvl w:ilvl="4" w:tplc="4E463D12">
      <w:start w:val="1"/>
      <w:numFmt w:val="bullet"/>
      <w:lvlText w:val="○"/>
      <w:lvlJc w:val="left"/>
      <w:pPr>
        <w:ind w:left="3600" w:hanging="360"/>
      </w:pPr>
    </w:lvl>
    <w:lvl w:ilvl="5" w:tplc="32AC6812">
      <w:start w:val="1"/>
      <w:numFmt w:val="bullet"/>
      <w:lvlText w:val="■"/>
      <w:lvlJc w:val="left"/>
      <w:pPr>
        <w:ind w:left="4320" w:hanging="360"/>
      </w:pPr>
    </w:lvl>
    <w:lvl w:ilvl="6" w:tplc="0772FC48">
      <w:start w:val="1"/>
      <w:numFmt w:val="bullet"/>
      <w:lvlText w:val="●"/>
      <w:lvlJc w:val="left"/>
      <w:pPr>
        <w:ind w:left="5040" w:hanging="360"/>
      </w:pPr>
    </w:lvl>
    <w:lvl w:ilvl="7" w:tplc="FDBCBC74">
      <w:start w:val="1"/>
      <w:numFmt w:val="bullet"/>
      <w:lvlText w:val="●"/>
      <w:lvlJc w:val="left"/>
      <w:pPr>
        <w:ind w:left="5760" w:hanging="360"/>
      </w:pPr>
    </w:lvl>
    <w:lvl w:ilvl="8" w:tplc="300801AA">
      <w:start w:val="1"/>
      <w:numFmt w:val="bullet"/>
      <w:lvlText w:val="●"/>
      <w:lvlJc w:val="left"/>
      <w:pPr>
        <w:ind w:left="6480" w:hanging="360"/>
      </w:pPr>
    </w:lvl>
  </w:abstractNum>
  <w:abstractNum w:abstractNumId="3" w15:restartNumberingAfterBreak="0">
    <w:nsid w:val="6749252E"/>
    <w:multiLevelType w:val="multilevel"/>
    <w:tmpl w:val="16088BDE"/>
    <w:lvl w:ilvl="0">
      <w:start w:val="1"/>
      <w:numFmt w:val="decimal"/>
      <w:lvlText w:val="%1"/>
      <w:lvlJc w:val="left"/>
      <w:pPr>
        <w:ind w:left="465" w:hanging="46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6C82C0B9"/>
    <w:multiLevelType w:val="hybridMultilevel"/>
    <w:tmpl w:val="9A6A550E"/>
    <w:lvl w:ilvl="0" w:tplc="76785E22">
      <w:start w:val="1"/>
      <w:numFmt w:val="decimal"/>
      <w:lvlText w:val="●"/>
      <w:lvlJc w:val="left"/>
      <w:pPr>
        <w:ind w:left="720" w:hanging="360"/>
      </w:pPr>
    </w:lvl>
    <w:lvl w:ilvl="1" w:tplc="94A27282">
      <w:start w:val="1"/>
      <w:numFmt w:val="lowerLetter"/>
      <w:lvlText w:val="%2."/>
      <w:lvlJc w:val="left"/>
      <w:pPr>
        <w:ind w:left="1440" w:hanging="360"/>
      </w:pPr>
    </w:lvl>
    <w:lvl w:ilvl="2" w:tplc="41907BB2">
      <w:start w:val="1"/>
      <w:numFmt w:val="lowerRoman"/>
      <w:lvlText w:val="%3."/>
      <w:lvlJc w:val="right"/>
      <w:pPr>
        <w:ind w:left="2160" w:hanging="180"/>
      </w:pPr>
    </w:lvl>
    <w:lvl w:ilvl="3" w:tplc="F2761BFA">
      <w:start w:val="1"/>
      <w:numFmt w:val="decimal"/>
      <w:lvlText w:val="%4."/>
      <w:lvlJc w:val="left"/>
      <w:pPr>
        <w:ind w:left="2880" w:hanging="360"/>
      </w:pPr>
    </w:lvl>
    <w:lvl w:ilvl="4" w:tplc="84788846">
      <w:start w:val="1"/>
      <w:numFmt w:val="lowerLetter"/>
      <w:lvlText w:val="%5."/>
      <w:lvlJc w:val="left"/>
      <w:pPr>
        <w:ind w:left="3600" w:hanging="360"/>
      </w:pPr>
    </w:lvl>
    <w:lvl w:ilvl="5" w:tplc="4DE259A0">
      <w:start w:val="1"/>
      <w:numFmt w:val="lowerRoman"/>
      <w:lvlText w:val="%6."/>
      <w:lvlJc w:val="right"/>
      <w:pPr>
        <w:ind w:left="4320" w:hanging="180"/>
      </w:pPr>
    </w:lvl>
    <w:lvl w:ilvl="6" w:tplc="D9E8142C">
      <w:start w:val="1"/>
      <w:numFmt w:val="decimal"/>
      <w:lvlText w:val="%7."/>
      <w:lvlJc w:val="left"/>
      <w:pPr>
        <w:ind w:left="5040" w:hanging="360"/>
      </w:pPr>
    </w:lvl>
    <w:lvl w:ilvl="7" w:tplc="5EF68F68">
      <w:start w:val="1"/>
      <w:numFmt w:val="lowerLetter"/>
      <w:lvlText w:val="%8."/>
      <w:lvlJc w:val="left"/>
      <w:pPr>
        <w:ind w:left="5760" w:hanging="360"/>
      </w:pPr>
    </w:lvl>
    <w:lvl w:ilvl="8" w:tplc="29306B12">
      <w:start w:val="1"/>
      <w:numFmt w:val="lowerRoman"/>
      <w:lvlText w:val="%9."/>
      <w:lvlJc w:val="right"/>
      <w:pPr>
        <w:ind w:left="6480" w:hanging="180"/>
      </w:pPr>
    </w:lvl>
  </w:abstractNum>
  <w:num w:numId="1" w16cid:durableId="1012414415">
    <w:abstractNumId w:val="4"/>
  </w:num>
  <w:num w:numId="2" w16cid:durableId="667753886">
    <w:abstractNumId w:val="3"/>
  </w:num>
  <w:num w:numId="3" w16cid:durableId="1774011606">
    <w:abstractNumId w:val="2"/>
    <w:lvlOverride w:ilvl="0">
      <w:startOverride w:val="1"/>
    </w:lvlOverride>
  </w:num>
  <w:num w:numId="4" w16cid:durableId="349839662">
    <w:abstractNumId w:val="0"/>
  </w:num>
  <w:num w:numId="5" w16cid:durableId="109887167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Md Kalam">
    <w15:presenceInfo w15:providerId="AD" w15:userId="S::m.kalam@uwtsd.ac.uk::927d9245-887d-403e-a3b6-11e840536a5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33A"/>
    <w:rsid w:val="00003902"/>
    <w:rsid w:val="00004E05"/>
    <w:rsid w:val="000061DA"/>
    <w:rsid w:val="0002009D"/>
    <w:rsid w:val="00067158"/>
    <w:rsid w:val="00090833"/>
    <w:rsid w:val="000939C2"/>
    <w:rsid w:val="000B47F3"/>
    <w:rsid w:val="000D3B1E"/>
    <w:rsid w:val="000F29D1"/>
    <w:rsid w:val="000F2E60"/>
    <w:rsid w:val="000F53C4"/>
    <w:rsid w:val="000F623C"/>
    <w:rsid w:val="00106F7C"/>
    <w:rsid w:val="00113E23"/>
    <w:rsid w:val="0011412C"/>
    <w:rsid w:val="00125D6C"/>
    <w:rsid w:val="001337F6"/>
    <w:rsid w:val="00157F59"/>
    <w:rsid w:val="00192F97"/>
    <w:rsid w:val="001955F8"/>
    <w:rsid w:val="001A0376"/>
    <w:rsid w:val="001B484B"/>
    <w:rsid w:val="001D3B23"/>
    <w:rsid w:val="001D5BA0"/>
    <w:rsid w:val="001E2F04"/>
    <w:rsid w:val="001E630C"/>
    <w:rsid w:val="001F6E11"/>
    <w:rsid w:val="00226AB2"/>
    <w:rsid w:val="00241233"/>
    <w:rsid w:val="002A14F4"/>
    <w:rsid w:val="002A7D49"/>
    <w:rsid w:val="002B1531"/>
    <w:rsid w:val="002B3EB0"/>
    <w:rsid w:val="002C5386"/>
    <w:rsid w:val="002C6E91"/>
    <w:rsid w:val="002F1DE4"/>
    <w:rsid w:val="002F407E"/>
    <w:rsid w:val="00300572"/>
    <w:rsid w:val="0030192C"/>
    <w:rsid w:val="00393071"/>
    <w:rsid w:val="003A6236"/>
    <w:rsid w:val="003B6B2B"/>
    <w:rsid w:val="003C690D"/>
    <w:rsid w:val="003D41C3"/>
    <w:rsid w:val="003E19C2"/>
    <w:rsid w:val="003F2E6E"/>
    <w:rsid w:val="0040418F"/>
    <w:rsid w:val="004073DE"/>
    <w:rsid w:val="0042415A"/>
    <w:rsid w:val="00425004"/>
    <w:rsid w:val="00443689"/>
    <w:rsid w:val="0046146E"/>
    <w:rsid w:val="00491D59"/>
    <w:rsid w:val="004C6C1C"/>
    <w:rsid w:val="004C78C8"/>
    <w:rsid w:val="00513DCA"/>
    <w:rsid w:val="0059616F"/>
    <w:rsid w:val="005A3806"/>
    <w:rsid w:val="005D5886"/>
    <w:rsid w:val="005E25E6"/>
    <w:rsid w:val="005F6A2C"/>
    <w:rsid w:val="006022C4"/>
    <w:rsid w:val="00613885"/>
    <w:rsid w:val="00644957"/>
    <w:rsid w:val="0064559B"/>
    <w:rsid w:val="0065153D"/>
    <w:rsid w:val="006942AA"/>
    <w:rsid w:val="006A011F"/>
    <w:rsid w:val="006A7FB4"/>
    <w:rsid w:val="006E114B"/>
    <w:rsid w:val="006F00CA"/>
    <w:rsid w:val="0070647D"/>
    <w:rsid w:val="007335D4"/>
    <w:rsid w:val="00763D63"/>
    <w:rsid w:val="007826F0"/>
    <w:rsid w:val="007909AA"/>
    <w:rsid w:val="007D57C9"/>
    <w:rsid w:val="00817E53"/>
    <w:rsid w:val="00820952"/>
    <w:rsid w:val="00823864"/>
    <w:rsid w:val="00854BE3"/>
    <w:rsid w:val="00863987"/>
    <w:rsid w:val="008A17F3"/>
    <w:rsid w:val="008A6258"/>
    <w:rsid w:val="008B5632"/>
    <w:rsid w:val="008E006F"/>
    <w:rsid w:val="008F1A31"/>
    <w:rsid w:val="008F3219"/>
    <w:rsid w:val="008F6FDA"/>
    <w:rsid w:val="00910B24"/>
    <w:rsid w:val="00913EFC"/>
    <w:rsid w:val="00922AFC"/>
    <w:rsid w:val="009349F2"/>
    <w:rsid w:val="0095346A"/>
    <w:rsid w:val="009A17AD"/>
    <w:rsid w:val="009C0949"/>
    <w:rsid w:val="009F441E"/>
    <w:rsid w:val="00A12CAD"/>
    <w:rsid w:val="00A17F49"/>
    <w:rsid w:val="00A30242"/>
    <w:rsid w:val="00A31176"/>
    <w:rsid w:val="00A43F04"/>
    <w:rsid w:val="00A44A39"/>
    <w:rsid w:val="00A55203"/>
    <w:rsid w:val="00A73737"/>
    <w:rsid w:val="00A83BE0"/>
    <w:rsid w:val="00AB0675"/>
    <w:rsid w:val="00AE1D6F"/>
    <w:rsid w:val="00AF4178"/>
    <w:rsid w:val="00B24246"/>
    <w:rsid w:val="00B277DD"/>
    <w:rsid w:val="00B57B68"/>
    <w:rsid w:val="00B770E0"/>
    <w:rsid w:val="00B86E0B"/>
    <w:rsid w:val="00B904AC"/>
    <w:rsid w:val="00BA1B7C"/>
    <w:rsid w:val="00BB2B3C"/>
    <w:rsid w:val="00C06367"/>
    <w:rsid w:val="00C20910"/>
    <w:rsid w:val="00C479A0"/>
    <w:rsid w:val="00C6189C"/>
    <w:rsid w:val="00C63733"/>
    <w:rsid w:val="00C91A7B"/>
    <w:rsid w:val="00CA31E0"/>
    <w:rsid w:val="00CA7B42"/>
    <w:rsid w:val="00CB1649"/>
    <w:rsid w:val="00CC305B"/>
    <w:rsid w:val="00CD604E"/>
    <w:rsid w:val="00CE343F"/>
    <w:rsid w:val="00D23C77"/>
    <w:rsid w:val="00D26919"/>
    <w:rsid w:val="00D32C9D"/>
    <w:rsid w:val="00D72431"/>
    <w:rsid w:val="00D739E0"/>
    <w:rsid w:val="00D8730F"/>
    <w:rsid w:val="00DA3D68"/>
    <w:rsid w:val="00DB5527"/>
    <w:rsid w:val="00DB706E"/>
    <w:rsid w:val="00DF69A7"/>
    <w:rsid w:val="00E1756A"/>
    <w:rsid w:val="00E44DE4"/>
    <w:rsid w:val="00E747BE"/>
    <w:rsid w:val="00EB6694"/>
    <w:rsid w:val="00EC56ED"/>
    <w:rsid w:val="00ED3C34"/>
    <w:rsid w:val="00ED4148"/>
    <w:rsid w:val="00EF2855"/>
    <w:rsid w:val="00EF333A"/>
    <w:rsid w:val="00F039D2"/>
    <w:rsid w:val="00F21BFF"/>
    <w:rsid w:val="00F80BD4"/>
    <w:rsid w:val="00F84A2A"/>
    <w:rsid w:val="00F86600"/>
    <w:rsid w:val="00FB638E"/>
    <w:rsid w:val="00FB6E3B"/>
    <w:rsid w:val="00FC5A77"/>
    <w:rsid w:val="00FD6C8E"/>
    <w:rsid w:val="00FF72D3"/>
    <w:rsid w:val="06843EF9"/>
    <w:rsid w:val="0784B51B"/>
    <w:rsid w:val="0B1F3C1F"/>
    <w:rsid w:val="0F62A440"/>
    <w:rsid w:val="1290AC8A"/>
    <w:rsid w:val="14BE03F3"/>
    <w:rsid w:val="27472105"/>
    <w:rsid w:val="293F86B8"/>
    <w:rsid w:val="2D31E7EE"/>
    <w:rsid w:val="309368B9"/>
    <w:rsid w:val="30C4E34F"/>
    <w:rsid w:val="31D951D7"/>
    <w:rsid w:val="32AACC8E"/>
    <w:rsid w:val="33B13434"/>
    <w:rsid w:val="466C777D"/>
    <w:rsid w:val="57177649"/>
    <w:rsid w:val="6F8F1B6B"/>
    <w:rsid w:val="7041C022"/>
    <w:rsid w:val="707022DA"/>
    <w:rsid w:val="7807DD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C95CC"/>
  <w15:chartTrackingRefBased/>
  <w15:docId w15:val="{46C439A6-F66C-45DB-A4EB-B9D84321B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33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33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33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33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33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33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33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33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33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33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33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33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33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33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33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33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33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333A"/>
    <w:rPr>
      <w:rFonts w:eastAsiaTheme="majorEastAsia" w:cstheme="majorBidi"/>
      <w:color w:val="272727" w:themeColor="text1" w:themeTint="D8"/>
    </w:rPr>
  </w:style>
  <w:style w:type="paragraph" w:styleId="Title">
    <w:name w:val="Title"/>
    <w:basedOn w:val="Normal"/>
    <w:next w:val="Normal"/>
    <w:link w:val="TitleChar"/>
    <w:uiPriority w:val="10"/>
    <w:qFormat/>
    <w:rsid w:val="00EF33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33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33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33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333A"/>
    <w:pPr>
      <w:spacing w:before="160"/>
      <w:jc w:val="center"/>
    </w:pPr>
    <w:rPr>
      <w:i/>
      <w:iCs/>
      <w:color w:val="404040" w:themeColor="text1" w:themeTint="BF"/>
    </w:rPr>
  </w:style>
  <w:style w:type="character" w:customStyle="1" w:styleId="QuoteChar">
    <w:name w:val="Quote Char"/>
    <w:basedOn w:val="DefaultParagraphFont"/>
    <w:link w:val="Quote"/>
    <w:uiPriority w:val="29"/>
    <w:rsid w:val="00EF333A"/>
    <w:rPr>
      <w:i/>
      <w:iCs/>
      <w:color w:val="404040" w:themeColor="text1" w:themeTint="BF"/>
    </w:rPr>
  </w:style>
  <w:style w:type="paragraph" w:styleId="ListParagraph">
    <w:name w:val="List Paragraph"/>
    <w:basedOn w:val="Normal"/>
    <w:qFormat/>
    <w:rsid w:val="00EF333A"/>
    <w:pPr>
      <w:ind w:left="720"/>
      <w:contextualSpacing/>
    </w:pPr>
  </w:style>
  <w:style w:type="character" w:styleId="IntenseEmphasis">
    <w:name w:val="Intense Emphasis"/>
    <w:basedOn w:val="DefaultParagraphFont"/>
    <w:uiPriority w:val="21"/>
    <w:qFormat/>
    <w:rsid w:val="00EF333A"/>
    <w:rPr>
      <w:i/>
      <w:iCs/>
      <w:color w:val="0F4761" w:themeColor="accent1" w:themeShade="BF"/>
    </w:rPr>
  </w:style>
  <w:style w:type="paragraph" w:styleId="IntenseQuote">
    <w:name w:val="Intense Quote"/>
    <w:basedOn w:val="Normal"/>
    <w:next w:val="Normal"/>
    <w:link w:val="IntenseQuoteChar"/>
    <w:uiPriority w:val="30"/>
    <w:qFormat/>
    <w:rsid w:val="00EF33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333A"/>
    <w:rPr>
      <w:i/>
      <w:iCs/>
      <w:color w:val="0F4761" w:themeColor="accent1" w:themeShade="BF"/>
    </w:rPr>
  </w:style>
  <w:style w:type="character" w:styleId="IntenseReference">
    <w:name w:val="Intense Reference"/>
    <w:basedOn w:val="DefaultParagraphFont"/>
    <w:uiPriority w:val="32"/>
    <w:qFormat/>
    <w:rsid w:val="00EF333A"/>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comments.xml.rels><?xml version="1.0" encoding="UTF-8" standalone="yes"?>
<Relationships xmlns="http://schemas.openxmlformats.org/package/2006/relationships"><Relationship Id="rId8" Type="http://schemas.openxmlformats.org/officeDocument/2006/relationships/hyperlink" Target="https://www.linkedin.com/posts/toai-kim-tran-ph-d-a0368763_5-cs-to-writing-a-strong-literature-review-activity-7416621436292870144-b4Xn" TargetMode="External"/><Relationship Id="rId3" Type="http://schemas.openxmlformats.org/officeDocument/2006/relationships/hyperlink" Target="https://www.scribd.com/document/931277044/THE-5CsOF-LITERATURE-FEVIEW1234566" TargetMode="External"/><Relationship Id="rId7" Type="http://schemas.openxmlformats.org/officeDocument/2006/relationships/hyperlink" Target="https://www.linkedin.com/pulse/5-cs-writing-effective-literature-review-dr-naureen-aleem-9gmtf" TargetMode="External"/><Relationship Id="rId2" Type="http://schemas.openxmlformats.org/officeDocument/2006/relationships/hyperlink" Target="https://www.facebook.com/econstat/videos/the-5-cs-of-a-literature-reviewacademy-researchers-researchpaperresearchmatters-/1862084517725771/" TargetMode="External"/><Relationship Id="rId1" Type="http://schemas.openxmlformats.org/officeDocument/2006/relationships/hyperlink" Target="https://www.linkedin.com/posts/toai-kim-tran-ph-d-a0368763_5-cs-to-writing-a-strong-literature-review-activity-7416621436292870144-b4Xn" TargetMode="External"/><Relationship Id="rId6" Type="http://schemas.openxmlformats.org/officeDocument/2006/relationships/hyperlink" Target="https://www.facebook.com/econstat/videos/the-5-cs-of-a-literature-reviewacademy-researchers-researchpaperresearchmatters-/1862084517725771/" TargetMode="External"/><Relationship Id="rId5" Type="http://schemas.openxmlformats.org/officeDocument/2006/relationships/hyperlink" Target="https://www.scribd.com/document/931277044/THE-5CsOF-LITERATURE-FEVIEW1234566" TargetMode="External"/><Relationship Id="rId10" Type="http://schemas.openxmlformats.org/officeDocument/2006/relationships/hyperlink" Target="https://www.facebook.com/econstat/videos/the-5-cs-of-a-literature-reviewacademy-researchers-researchpaperresearchmatters-/1862084517725771/" TargetMode="External"/><Relationship Id="rId4" Type="http://schemas.openxmlformats.org/officeDocument/2006/relationships/hyperlink" Target="https://www.instagram.com/reel/DZPp6PDP390/?hl=en" TargetMode="External"/><Relationship Id="rId9" Type="http://schemas.openxmlformats.org/officeDocument/2006/relationships/hyperlink" Target="https://www.linkedin.com/pulse/5-cs-writing-effective-literature-review-dr-naureen-aleem-9gmtf" TargetMode="External"/></Relationship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ettings" Target="settings.xml"/><Relationship Id="rId21" Type="http://schemas.openxmlformats.org/officeDocument/2006/relationships/image" Target="media/image13.png"/><Relationship Id="rId7" Type="http://schemas.microsoft.com/office/2011/relationships/commentsExtended" Target="commentsExtended.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29" Type="http://schemas.microsoft.com/office/2011/relationships/people" Target="people.xml"/><Relationship Id="rId1" Type="http://schemas.openxmlformats.org/officeDocument/2006/relationships/numbering" Target="numbering.xml"/><Relationship Id="rId6" Type="http://schemas.openxmlformats.org/officeDocument/2006/relationships/comments" Target="comment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image" Target="media/image1.emf"/><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webSettings" Target="webSettings.xml"/><Relationship Id="rId9" Type="http://schemas.microsoft.com/office/2018/08/relationships/commentsExtensible" Target="commentsExtensible.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12469</Words>
  <Characters>71076</Characters>
  <Application>Microsoft Office Word</Application>
  <DocSecurity>0</DocSecurity>
  <Lines>592</Lines>
  <Paragraphs>166</Paragraphs>
  <ScaleCrop>false</ScaleCrop>
  <Company/>
  <LinksUpToDate>false</LinksUpToDate>
  <CharactersWithSpaces>83379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N'Guessan (2127140)</dc:creator>
  <cp:keywords/>
  <dc:description/>
  <cp:lastModifiedBy>Sarah N'Guessan (2127140)</cp:lastModifiedBy>
  <cp:revision>3</cp:revision>
  <dcterms:created xsi:type="dcterms:W3CDTF">2026-08-17T12:16:00Z</dcterms:created>
  <dcterms:modified xsi:type="dcterms:W3CDTF">2026-08-17T12:17:00Z</dcterms:modified>
</cp:coreProperties>
</file>