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5A11" w:rsidRPr="005F6C7F" w:rsidRDefault="00622DCA">
      <w:pPr>
        <w:contextualSpacing w:val="0"/>
        <w:jc w:val="center"/>
        <w:rPr>
          <w:b/>
          <w:sz w:val="24"/>
          <w:szCs w:val="24"/>
          <w:u w:val="single"/>
        </w:rPr>
      </w:pPr>
      <w:r w:rsidRPr="005F6C7F">
        <w:rPr>
          <w:b/>
          <w:sz w:val="24"/>
          <w:szCs w:val="24"/>
          <w:u w:val="single"/>
        </w:rPr>
        <w:t xml:space="preserve">Chapter 1: Religious Ideology </w:t>
      </w:r>
    </w:p>
    <w:p w:rsidR="00C45A11" w:rsidRDefault="00C45A11">
      <w:pPr>
        <w:contextualSpacing w:val="0"/>
      </w:pPr>
    </w:p>
    <w:p w:rsidR="00C45A11" w:rsidRDefault="00622DCA">
      <w:pPr>
        <w:contextualSpacing w:val="0"/>
      </w:pPr>
      <w:r>
        <w:t>It cannot be disputed that there is not a singular, homogenous, globally accepted interpretation of Islam. On the contrary, there is much debate and contention, amongst the different denominations, as well as within them, with different madhhabs (schools o</w:t>
      </w:r>
      <w:r>
        <w:t>f law) providing conflicting  views and interpretations on specific issues and Qur’anic verses. This in itself could be the subject of its own debate, the notion of ‘Islams’ being a more accurate description as opposed to a singular ‘Islam’, as scholar Azi</w:t>
      </w:r>
      <w:r>
        <w:t>z al-Azmeh summarises, “There are as many Islams as there are situations that sustain them”</w:t>
      </w:r>
      <w:r>
        <w:rPr>
          <w:vertAlign w:val="superscript"/>
        </w:rPr>
        <w:footnoteReference w:id="1"/>
      </w:r>
      <w:r>
        <w:t xml:space="preserve">. The result of this is that it presents some critical issues for the everyday muslim, as well as the average lay-person with no religious background, particularly </w:t>
      </w:r>
      <w:r>
        <w:t>regarding the validity of religious interpretations. As it is safe to assume that the vast majority of muslims lack any formal training in Islamic jurisprudence (fiqh) or the other Islamic sciences, this leaves them vulnerable and ill equipped to distingui</w:t>
      </w:r>
      <w:r>
        <w:t>sh between the interpretations from authentic religious sources, or self-proclaimed ‘experts’, islamic scholars and clerics who have little to no formal training.</w:t>
      </w:r>
    </w:p>
    <w:p w:rsidR="00C45A11" w:rsidRDefault="00C45A11">
      <w:pPr>
        <w:contextualSpacing w:val="0"/>
      </w:pPr>
    </w:p>
    <w:p w:rsidR="00C45A11" w:rsidRDefault="00622DCA">
      <w:pPr>
        <w:contextualSpacing w:val="0"/>
      </w:pPr>
      <w:r>
        <w:t xml:space="preserve"> Quintan Wiktorowicz further contextualises the environment of ‘interpretive pluralism’ that</w:t>
      </w:r>
      <w:r>
        <w:t xml:space="preserve"> extremist groups such as Al-Muhajiroun have to operate in and contend with, describing it as “a competitive marketplace of ideas characterised by alternative religious interpretations”</w:t>
      </w:r>
      <w:r>
        <w:rPr>
          <w:vertAlign w:val="superscript"/>
        </w:rPr>
        <w:footnoteReference w:id="2"/>
      </w:r>
      <w:r>
        <w:t>. With a lack of centralised authority to dictate to people which inte</w:t>
      </w:r>
      <w:r>
        <w:t>rpretations are the most authoritative, what is it about the messages of Al-Muhajiroun, and other extremist groups that appeal to its potential followers more than the others? To what extent are their messages rooted in the Qur’an and other authoritative s</w:t>
      </w:r>
      <w:r>
        <w:t xml:space="preserve">ources? In order to examine this, it is necessary to identify which denomination these militant groups most closely align themselves with, in order to adequately assess their approach to interpreting scripture, the emphasis of their messages, and how they </w:t>
      </w:r>
      <w:r>
        <w:t>apply it to their daily lives and the core messages of their preaching.</w:t>
      </w:r>
    </w:p>
    <w:p w:rsidR="00C45A11" w:rsidRDefault="00C45A11">
      <w:pPr>
        <w:contextualSpacing w:val="0"/>
      </w:pPr>
    </w:p>
    <w:p w:rsidR="00C45A11" w:rsidRDefault="00622DCA">
      <w:pPr>
        <w:contextualSpacing w:val="0"/>
        <w:rPr>
          <w:b/>
          <w:u w:val="single"/>
        </w:rPr>
      </w:pPr>
      <w:r>
        <w:rPr>
          <w:b/>
          <w:u w:val="single"/>
        </w:rPr>
        <w:t xml:space="preserve">Salafism </w:t>
      </w:r>
    </w:p>
    <w:p w:rsidR="005F6C7F" w:rsidRDefault="00622DCA">
      <w:pPr>
        <w:contextualSpacing w:val="0"/>
      </w:pPr>
      <w:r>
        <w:t>According to David Rapoport, Salafism is the Islamic tradition most closely associated with the current ‘religious wave’ of international terrorism. While most Salafi Muslim</w:t>
      </w:r>
      <w:r>
        <w:t>s are neither political activists or terrorists (in fact, most do not engage in politics at all), it is undeniable that they subscribe to a number of beliefs that would have a profound impact on society, especially if implemented in a western european/ Bri</w:t>
      </w:r>
      <w:r>
        <w:t>tish context. Richard Nielsen also argues that while not all, or even most, clerics and followers of Salafism will make the move towards jihadism, he acknowledges an ‘ideological affinity’ between Salafism and Sunni jihadism, meaning that it would be a fai</w:t>
      </w:r>
      <w:r>
        <w:t>rly easy transition from one to the other because jihadists have constructed their ideology as an ‘outgrowth’ based on salafi thinking, meaning that many of the ideas previously held would remain unchanged</w:t>
      </w:r>
      <w:r>
        <w:rPr>
          <w:vertAlign w:val="superscript"/>
        </w:rPr>
        <w:footnoteReference w:id="3"/>
      </w:r>
      <w:r>
        <w:t>. But first, we must establish the core aspects of</w:t>
      </w:r>
      <w:r>
        <w:t xml:space="preserve"> this branch of Islam, and how it has inspired and influenced some of the militant jihadi groups in the UK in terms of concepts and ideology.</w:t>
      </w:r>
      <w:r w:rsidR="005F6C7F">
        <w:br/>
      </w:r>
    </w:p>
    <w:p w:rsidR="00C45A11" w:rsidRPr="005F6C7F" w:rsidRDefault="00622DCA">
      <w:pPr>
        <w:contextualSpacing w:val="0"/>
        <w:rPr>
          <w:lang w:val="en-GB"/>
        </w:rPr>
      </w:pPr>
      <w:r>
        <w:lastRenderedPageBreak/>
        <w:t>The term Salafi comes from the phrase ‘</w:t>
      </w:r>
      <w:r>
        <w:rPr>
          <w:i/>
        </w:rPr>
        <w:t>salaf al-salih’</w:t>
      </w:r>
      <w:r>
        <w:t>, meaning ‘pious ancestor’, a designation given to the comp</w:t>
      </w:r>
      <w:r>
        <w:t>anions of the Prophet Muhammad, and the first three generations of Muslim scholars</w:t>
      </w:r>
      <w:r>
        <w:rPr>
          <w:vertAlign w:val="superscript"/>
        </w:rPr>
        <w:footnoteReference w:id="4"/>
      </w:r>
      <w:r>
        <w:t>. It is because of this association that the term has an aura of religious authority, giving the impression of purity and authenticity to its bearers (which is perhaps one o</w:t>
      </w:r>
      <w:r>
        <w:t>f the reasons that groups such as Al-Muhajiroun do not hesitate to classify themselves as such, as it would give their movement a sense of authority over others) The term itself is used to refer to an orthodox ‘puritanical’ movement within Sunni Islam, the</w:t>
      </w:r>
      <w:r>
        <w:t xml:space="preserve"> members of which believe that Muslims who have incorporated any form of religious innovation (bid’a) or new practises have corrupted the pure message of Islam overtime. Salafi Muslims hold the view that the only way to rectify this is to reject any additi</w:t>
      </w:r>
      <w:r>
        <w:t>ons to the faith that have been added through contact with culture, and to return to the ways of the Prophet Muhammad, relying heavily on the literal interpretations of suras and hadith, and specifically reject any behaviour that was not supported or enjoi</w:t>
      </w:r>
      <w:r>
        <w:t xml:space="preserve">ned by Muhammad himself. It is because of their emphasis on independent religious reasoning (ijtihad), as well as a lack of subscription to a heavily layered scholastic tradition, that it is notably easier to become an authority figure amongst the Salafis </w:t>
      </w:r>
      <w:r>
        <w:t>(which would also work in the favour of militant-jihadist groups, as it allows them to establish their religious authority more easily).</w:t>
      </w:r>
      <w:r w:rsidR="005F6C7F">
        <w:rPr>
          <w:lang w:val="en-GB"/>
        </w:rPr>
        <w:t xml:space="preserve"> </w:t>
      </w:r>
    </w:p>
    <w:p w:rsidR="00C45A11" w:rsidRDefault="00C45A11">
      <w:pPr>
        <w:contextualSpacing w:val="0"/>
      </w:pPr>
    </w:p>
    <w:p w:rsidR="00C45A11" w:rsidRDefault="00622DCA">
      <w:pPr>
        <w:contextualSpacing w:val="0"/>
      </w:pPr>
      <w:r>
        <w:t xml:space="preserve">Additionally, it is worth noting that while Salafis are mostly in agreement on their religious beliefs and matters of </w:t>
      </w:r>
      <w:r>
        <w:t>jurisprudence (fiqh), their main points of contention amongst themselves largely revolve around  the extent to which they involve themselves in politics, as well as how to apply their principles to their everyday life. Wiktorowicz notes the three main type</w:t>
      </w:r>
      <w:r>
        <w:t xml:space="preserve">s of Salafis; the first of which being ‘quietists’, who reject political activism as ‘religiously deviant’ and therefore counter-productive, and prefer to focus on their own personal education and purification. The next type is ‘activists’ or ‘politicos’, </w:t>
      </w:r>
      <w:r>
        <w:t xml:space="preserve">which refers to those that embrace their activism as a way of implementing Islamic law, as well as increasing social justice. Finally, there are those referred to as ‘Salafi-jihadis’, who go above and beyond in their activism, viewing acts a violence as a </w:t>
      </w:r>
      <w:r>
        <w:t>just means to their religious ends (which is ultimately to establish God’s rule on earth)</w:t>
      </w:r>
      <w:r>
        <w:rPr>
          <w:vertAlign w:val="superscript"/>
        </w:rPr>
        <w:footnoteReference w:id="5"/>
      </w:r>
      <w:r>
        <w:t>.Al-Muhajiroun and its various offshoot groups (such as Islam4UK, Need4Khilafah etc) have aspects of both the latter two categories, but ultimately fall more into the</w:t>
      </w:r>
      <w:r>
        <w:t xml:space="preserve"> Salafi-jihadist branch, and take much of their ideological inspiration from the practical method of applying their beliefs to their everyday lives (manhaj), particularly with regards to jihad.</w:t>
      </w:r>
    </w:p>
    <w:p w:rsidR="00C45A11" w:rsidRDefault="00C45A11">
      <w:pPr>
        <w:contextualSpacing w:val="0"/>
      </w:pPr>
    </w:p>
    <w:p w:rsidR="00C45A11" w:rsidRDefault="00622DCA">
      <w:pPr>
        <w:contextualSpacing w:val="0"/>
        <w:rPr>
          <w:b/>
          <w:u w:val="single"/>
        </w:rPr>
      </w:pPr>
      <w:r>
        <w:rPr>
          <w:b/>
          <w:u w:val="single"/>
        </w:rPr>
        <w:t>Jihad Ideology</w:t>
      </w:r>
    </w:p>
    <w:p w:rsidR="00C45A11" w:rsidRDefault="00622DCA">
      <w:pPr>
        <w:contextualSpacing w:val="0"/>
      </w:pPr>
      <w:r>
        <w:t>The term jihad is derived from the verb jahada</w:t>
      </w:r>
      <w:r>
        <w:t>, which means ‘to exert’, ‘to struggle’  or ‘to strive’, jihad literally means ‘exerting one’s own utmost power, efforts, endeavours… striving towards a worthy goal’</w:t>
      </w:r>
      <w:r>
        <w:rPr>
          <w:vertAlign w:val="superscript"/>
        </w:rPr>
        <w:footnoteReference w:id="6"/>
      </w:r>
      <w:r>
        <w:t>. However, it must be noted that there is no singular, universally accepted doctrine regar</w:t>
      </w:r>
      <w:r>
        <w:t>ding jihad, as it is a concept that has been the topic of heated debate for centuries, from the early years of Islam, to the present day, by Muslims and non-muslims alike,thus making the task of defining the term jihad a problematic one. Even within the Qu</w:t>
      </w:r>
      <w:r>
        <w:t xml:space="preserve">r’an itself the references to jihad are often ambiguous, with it often being observed that the concept actually evolves and develops throughout the text in a somewhat contradictory </w:t>
      </w:r>
      <w:r>
        <w:lastRenderedPageBreak/>
        <w:t>way</w:t>
      </w:r>
      <w:r>
        <w:rPr>
          <w:vertAlign w:val="superscript"/>
        </w:rPr>
        <w:footnoteReference w:id="7"/>
      </w:r>
      <w:r>
        <w:t>. This has resulted in scholars emphasizing either the peaceful or more</w:t>
      </w:r>
      <w:r>
        <w:t xml:space="preserve"> violent character of the term, depending largely upon the circumstances in which they wish to apply the context, as well as their own understanding of the religion and the sacred text. </w:t>
      </w:r>
    </w:p>
    <w:p w:rsidR="00C45A11" w:rsidRDefault="00C45A11">
      <w:pPr>
        <w:contextualSpacing w:val="0"/>
      </w:pPr>
    </w:p>
    <w:p w:rsidR="00C45A11" w:rsidRDefault="00622DCA">
      <w:pPr>
        <w:contextualSpacing w:val="0"/>
      </w:pPr>
      <w:r>
        <w:t>It is also acknowledged by most Islamic scholars that there are diff</w:t>
      </w:r>
      <w:r>
        <w:t>erent types of jihad, as well as different ways of implementing and practising it, in order to struggle for the betterment of the Islamic community, and the ummah (global community of Muslims) as a whole. The idea of a ‘higher’ or ‘greater’  jihad (al-jiha</w:t>
      </w:r>
      <w:r>
        <w:t>d al-akbar) is one that is postulated more by the Sufi traditions, and is characterised by ‘an internal struggle’ or a ‘spiritual struggle for moral self improvement and the reform of society’</w:t>
      </w:r>
      <w:r>
        <w:rPr>
          <w:vertAlign w:val="superscript"/>
        </w:rPr>
        <w:footnoteReference w:id="8"/>
      </w:r>
      <w:r>
        <w:t>. The notion of ‘lesser’ jihad</w:t>
      </w:r>
    </w:p>
    <w:p w:rsidR="00C45A11" w:rsidRDefault="00622DCA">
      <w:pPr>
        <w:contextualSpacing w:val="0"/>
      </w:pPr>
      <w:r>
        <w:t xml:space="preserve">(al-jihad al-asghar), refers to </w:t>
      </w:r>
      <w:r>
        <w:t>‘armed fighting in the path of Islam’</w:t>
      </w:r>
      <w:r>
        <w:rPr>
          <w:vertAlign w:val="superscript"/>
        </w:rPr>
        <w:footnoteReference w:id="9"/>
      </w:r>
      <w:r>
        <w:t>.</w:t>
      </w:r>
      <w:r>
        <w:br/>
      </w:r>
    </w:p>
    <w:p w:rsidR="00C45A11" w:rsidRDefault="00622DCA">
      <w:pPr>
        <w:contextualSpacing w:val="0"/>
      </w:pPr>
      <w:r>
        <w:t>Ibn Taymiyyah (1268-1328 CE) is perhaps one of the most well known and influential Islamic scholars, and one of the first  to emphasize a more militant form of jihad, as an external fight to protect Muslims from ali</w:t>
      </w:r>
      <w:r>
        <w:t xml:space="preserve">en, outsider forces, as opposed to merely an internal struggle with one’s self in order to be a better Muslim. For Taymiyyah, the need for a more militant jihad was so important, that he categorised it as a higher obligation than the hajj (pilgrimage) and </w:t>
      </w:r>
      <w:r>
        <w:t>som (fasting)</w:t>
      </w:r>
      <w:r>
        <w:rPr>
          <w:vertAlign w:val="superscript"/>
        </w:rPr>
        <w:footnoteReference w:id="10"/>
      </w:r>
      <w:r>
        <w:t>.The views of Taymiyyah with regards to a more militant strand of jihad are credited for inspiring the work of Muhammad al-Wahhab (1703-1792 CE) who took to a more puritanical view, arguing that it was acceptable to take up a armed jihad agai</w:t>
      </w:r>
      <w:r>
        <w:t>nst fellow Muslims who did not subscribe to his own views, as well as all the ‘infidels’. This is perhaps one of the most well known interpretations of the term jihad, which is arguably why many westerners (most notably the media) have misinterpreted the t</w:t>
      </w:r>
      <w:r>
        <w:t>erm to mean ‘holy war’. It must be noted that there are historical circumstances that must be considered in order to fully contextualise the different interpretations of jihad at particular times in history. For example, Ibn Taymiyyah’s emphasis on armed j</w:t>
      </w:r>
      <w:r>
        <w:t>ihad to protect Muslims and their lands from outside forces was largely the result of the threat of the Mongol invasions in the 13th century, and their adopting of Islam but not implementing shari’a law</w:t>
      </w:r>
      <w:r>
        <w:rPr>
          <w:vertAlign w:val="superscript"/>
        </w:rPr>
        <w:footnoteReference w:id="11"/>
      </w:r>
      <w:r>
        <w:t>.</w:t>
      </w:r>
    </w:p>
    <w:p w:rsidR="00C45A11" w:rsidRDefault="00C45A11">
      <w:pPr>
        <w:contextualSpacing w:val="0"/>
      </w:pPr>
    </w:p>
    <w:p w:rsidR="00C45A11" w:rsidRDefault="00622DCA">
      <w:pPr>
        <w:contextualSpacing w:val="0"/>
      </w:pPr>
      <w:r>
        <w:t>Another influential figure in the ideological view</w:t>
      </w:r>
      <w:r>
        <w:t xml:space="preserve">points of militant-jihadists is the work of literary critic and activist Sayyid Qutb (1906-66 CE), who also took inspiration from Ibn Taymiyya’s work, and was affiliated with the Muslim Brotherhood, and thus their views influenced his own writing as well. </w:t>
      </w:r>
      <w:r>
        <w:t xml:space="preserve">Qutb is perhaps most noteworthy for his strong political views on the opposition of the West, Israel, and the leaders of Islamic societies whom he saw as entirely disregarding Allah’s word and law, claiming them to be living in a state of </w:t>
      </w:r>
      <w:r>
        <w:rPr>
          <w:sz w:val="18"/>
          <w:szCs w:val="18"/>
          <w:highlight w:val="white"/>
        </w:rPr>
        <w:t>j</w:t>
      </w:r>
      <w:r>
        <w:rPr>
          <w:highlight w:val="white"/>
        </w:rPr>
        <w:t>āhilīyah (litera</w:t>
      </w:r>
      <w:r>
        <w:rPr>
          <w:highlight w:val="white"/>
        </w:rPr>
        <w:t>lly meaning the ignorance of the truths of revelation)</w:t>
      </w:r>
      <w:r>
        <w:rPr>
          <w:highlight w:val="white"/>
          <w:vertAlign w:val="superscript"/>
        </w:rPr>
        <w:footnoteReference w:id="12"/>
      </w:r>
      <w:r>
        <w:rPr>
          <w:highlight w:val="white"/>
        </w:rPr>
        <w:t>, which, in his view, is to be abhorred, and is reason enough to encite armed jihad against them. Qutb deviates from other traditional Salafi scholars due to his suspicions surrounding the use of human</w:t>
      </w:r>
      <w:r>
        <w:rPr>
          <w:highlight w:val="white"/>
        </w:rPr>
        <w:t xml:space="preserve"> reason to interpret sacred texts (ijtihad), instead arguing that the understanding of true knowledge is </w:t>
      </w:r>
      <w:r>
        <w:rPr>
          <w:highlight w:val="white"/>
        </w:rPr>
        <w:lastRenderedPageBreak/>
        <w:t>not a matter of intellectual pursuits or activities, but rather the receptions of these divine truths.</w:t>
      </w:r>
    </w:p>
    <w:p w:rsidR="00C45A11" w:rsidRDefault="00C45A11">
      <w:pPr>
        <w:contextualSpacing w:val="0"/>
      </w:pPr>
    </w:p>
    <w:p w:rsidR="00C45A11" w:rsidRDefault="00622DCA">
      <w:pPr>
        <w:contextualSpacing w:val="0"/>
      </w:pPr>
      <w:r>
        <w:t>While all of the militant jihadi groups present</w:t>
      </w:r>
      <w:r>
        <w:t xml:space="preserve"> in the UK place an important emphasis on ‘jihad of the tongue’ as a concept, it is their views on ‘jihad of the sword’ is where their ideological beliefs diverge. All of the groups discussed condone ‘jihad of the sword’, but to varying degrees. One of the</w:t>
      </w:r>
      <w:r>
        <w:t xml:space="preserve"> primary reasons for this is due to these groups conforming to a ‘covenant of security’ which is a verbal agreement which has its basis in the Qur’an, which states ‘If any one of the idolaters should seek your protection, grant it to him, so that he may he</w:t>
      </w:r>
      <w:r>
        <w:t>ar the word of God, then take him to a place safe for him, for they are people of no knowledge’ (Qur’an 9:6). This verbal agreement is one that prevents these network activists from attacking the people whom they live amongst, so long as the British govern</w:t>
      </w:r>
      <w:r>
        <w:t>ment continues to protect their lives and livelihoods</w:t>
      </w:r>
      <w:r>
        <w:rPr>
          <w:vertAlign w:val="superscript"/>
        </w:rPr>
        <w:footnoteReference w:id="13"/>
      </w:r>
      <w:r>
        <w:t>.  However, this verbal agreement does have its limitations, primarily the fact that it does not cover conflicts that are occurring overseas, where it is perceived by these groups that Western forces ha</w:t>
      </w:r>
      <w:r>
        <w:t>ve ‘invaded Muslim lands’.</w:t>
      </w:r>
    </w:p>
    <w:p w:rsidR="00C45A11" w:rsidRDefault="00622DCA">
      <w:pPr>
        <w:contextualSpacing w:val="0"/>
      </w:pPr>
      <w:r>
        <w:br/>
        <w:t xml:space="preserve"> An example of this being the militant group Hizb al-Tahrir, that prescribes jihad as the primary duty only for Muslims living in Palestine who directly face the threat of Israeli occupation, and instead urge their followers in </w:t>
      </w:r>
      <w:r>
        <w:t>Britain to fulfil the secondary duty of jihad through means other than fighting</w:t>
      </w:r>
      <w:r>
        <w:rPr>
          <w:vertAlign w:val="superscript"/>
        </w:rPr>
        <w:footnoteReference w:id="14"/>
      </w:r>
      <w:r>
        <w:t>. In comparison, a number of Al-Muhajiroun members have taken this a step further, by actively encouraging their members to offer financial support and actively recruit for oth</w:t>
      </w:r>
      <w:r>
        <w:t>er militant groups abroad, such as Hamas, as well as welcoming their suicide bombings</w:t>
      </w:r>
      <w:r>
        <w:rPr>
          <w:vertAlign w:val="superscript"/>
        </w:rPr>
        <w:footnoteReference w:id="15"/>
      </w:r>
      <w:r>
        <w:t>.</w:t>
      </w:r>
    </w:p>
    <w:p w:rsidR="00C45A11" w:rsidRDefault="00C45A11">
      <w:pPr>
        <w:contextualSpacing w:val="0"/>
      </w:pPr>
    </w:p>
    <w:p w:rsidR="00C45A11" w:rsidRDefault="00622DCA">
      <w:pPr>
        <w:contextualSpacing w:val="0"/>
      </w:pPr>
      <w:r>
        <w:t xml:space="preserve"> While the covenant of security is often encouraged by the leading activists in these groups, ultimately it is up to the individual whether they choose to adhere to it</w:t>
      </w:r>
      <w:r>
        <w:t>.The Qur’an also states that ‘If they break their oaths after their covenant and thrust at your religion, then fight the leaders of unbelief’ (Qur’an 9:6).This text could be interpreted a number of ways. Perhaps one interpretation of this is that any perce</w:t>
      </w:r>
      <w:r>
        <w:t xml:space="preserve">ived attack on the individual’s religion would warrant a form of jihad being exercised. For example, if the perceived attack was merely verbal, would this constitute the </w:t>
      </w:r>
      <w:r w:rsidR="005F6C7F">
        <w:rPr>
          <w:lang w:val="en-GB"/>
        </w:rPr>
        <w:t>j</w:t>
      </w:r>
      <w:r>
        <w:t>ihad of the tongue, in order to engage them in a religious dialogue and convince them</w:t>
      </w:r>
      <w:r>
        <w:t xml:space="preserve"> otherwise? Or is a verbal attack enough to warrant a jihad of the sword? And what if the attack was physical, then to what extent does one respond? Do you take arms against only that individual that attacked your beliefs?  Michael Kenney interviewed a lea</w:t>
      </w:r>
      <w:r>
        <w:t>ding activist in Al-Muhajiroun in November 2010, who stated the following: ‘The only purpose Muslim</w:t>
      </w:r>
      <w:r w:rsidR="005F6C7F">
        <w:rPr>
          <w:lang w:val="en-GB"/>
        </w:rPr>
        <w:t>s</w:t>
      </w:r>
      <w:r>
        <w:t xml:space="preserve"> have in the UK is to propagate Islam. If the government stops Muslims from propagating Islam, their only option is jihad’</w:t>
      </w:r>
      <w:r>
        <w:rPr>
          <w:vertAlign w:val="superscript"/>
        </w:rPr>
        <w:footnoteReference w:id="16"/>
      </w:r>
      <w:r>
        <w:t>.This demonstrates the reign of fr</w:t>
      </w:r>
      <w:r>
        <w:t>eedom these organisations have to exploit these uncontextualized, vague statements into ways of inciting acts of violence.</w:t>
      </w:r>
    </w:p>
    <w:p w:rsidR="00C45A11" w:rsidRDefault="00C45A11">
      <w:pPr>
        <w:contextualSpacing w:val="0"/>
      </w:pPr>
    </w:p>
    <w:p w:rsidR="00C45A11" w:rsidRDefault="00622DCA">
      <w:pPr>
        <w:contextualSpacing w:val="0"/>
        <w:rPr>
          <w:highlight w:val="white"/>
        </w:rPr>
      </w:pPr>
      <w:r>
        <w:lastRenderedPageBreak/>
        <w:t>Another way in which these organisations are able to create motivations for committing armed jihad is through the concept of martyrd</w:t>
      </w:r>
      <w:r>
        <w:t>om.The Arabic word shahid (martyr) can be translated to both ‘martyr’ and ‘witness’, and mainly refers to ‘bearing witness’ or being an ‘observer’ of the divine truth</w:t>
      </w:r>
      <w:r>
        <w:rPr>
          <w:vertAlign w:val="superscript"/>
        </w:rPr>
        <w:footnoteReference w:id="17"/>
      </w:r>
      <w:r>
        <w:t xml:space="preserve">. There are a number of verses within the Qur’an that support this definition of martyr, </w:t>
      </w:r>
      <w:r>
        <w:t>an example of which being ‘</w:t>
      </w:r>
      <w:r>
        <w:rPr>
          <w:highlight w:val="white"/>
        </w:rPr>
        <w:t>establish witness for the sake of God. Anyone who believes in God and the Last Day should heed this: God will find a way out for those who are mindful of Him…’ (Qur’an 65:2).</w:t>
      </w:r>
    </w:p>
    <w:p w:rsidR="00C45A11" w:rsidRDefault="00C45A11">
      <w:pPr>
        <w:contextualSpacing w:val="0"/>
      </w:pPr>
    </w:p>
    <w:p w:rsidR="00C45A11" w:rsidRDefault="00622DCA">
      <w:pPr>
        <w:contextualSpacing w:val="0"/>
        <w:rPr>
          <w:sz w:val="17"/>
          <w:szCs w:val="17"/>
        </w:rPr>
      </w:pPr>
      <w:r>
        <w:t xml:space="preserve"> </w:t>
      </w:r>
      <w:r>
        <w:t>For militant jihadists however, the interpretation of jihad as an armed struggle provides the basis for the ideology of martyrdom, in which violent death which occurs in combat/battle</w:t>
      </w:r>
      <w:r w:rsidR="005F6C7F">
        <w:rPr>
          <w:lang w:val="en-GB"/>
        </w:rPr>
        <w:t xml:space="preserve"> scenario</w:t>
      </w:r>
      <w:r>
        <w:t xml:space="preserve"> is emphasized as a ‘desired death’, and acts as a key motivator for enga</w:t>
      </w:r>
      <w:r>
        <w:t>ging in violence. The rewards of potentially becoming a martyr outweigh the risk of potential death these activists may face, as it is thought that martyrs occupy a special status which can be likened to that of the prophets. There is also the incentive of</w:t>
      </w:r>
      <w:r>
        <w:t xml:space="preserve"> being rewarded in the afterlife by earning a place in the highest level of paradise (Jannat-al Firdaws)</w:t>
      </w:r>
      <w:r>
        <w:rPr>
          <w:vertAlign w:val="superscript"/>
        </w:rPr>
        <w:footnoteReference w:id="18"/>
      </w:r>
      <w:r>
        <w:t>. An example of a quote from the Qur’an that is often cited in favour of martyrdom is as follows:‘Do not think of those who have been killed in God’s w</w:t>
      </w:r>
      <w:r>
        <w:t>ay as dead. They are alive with their Lord, well provided for, happy with what God has given them of His favour; rejoicing that for those they have left behind who have yet to join them there is no fear, nor will they grieve’ (Qur’an 3:169-170). While this</w:t>
      </w:r>
      <w:r>
        <w:t xml:space="preserve"> quote does not implicitly mention being a martyr, it does imply the nobility of ‘dying in the path of God’</w:t>
      </w:r>
      <w:r>
        <w:rPr>
          <w:vertAlign w:val="superscript"/>
        </w:rPr>
        <w:footnoteReference w:id="19"/>
      </w:r>
      <w:r>
        <w:t>, which further demonstrates the lack of consistency with regards to the terminology and concept as a whole.</w:t>
      </w:r>
      <w:r>
        <w:br/>
      </w:r>
      <w:r>
        <w:br/>
        <w:t xml:space="preserve">In conclusion, it can be acknowledged </w:t>
      </w:r>
      <w:r>
        <w:t>that the ideological inspirations for the various militant jihadi groups in the UK do have roots in authentic, authoritative scripture to a certain extent. This can be deduced due to their religious grounding in the Salafi movement, which is a movement wit</w:t>
      </w:r>
      <w:r>
        <w:t>hin Sunni Islam that is heavily reliant on the literal interpretations of the Qur’an and Hadith. The issue here is that there is a lack of consistency with regards of key religious ideas, such as jihad and martyrdom, and that this, combined with quotations</w:t>
      </w:r>
      <w:r>
        <w:t xml:space="preserve"> from scripture and developments of the concepts being taken out of their historical contexts, leaves room for these groups to reinterpret these concepts as they see fit. The lack of a structured, and heavily layered scholastic tradition in Salafism, as we</w:t>
      </w:r>
      <w:r>
        <w:t>ll as its focus on personal interpretation (ijtihad) makes it considerably easier for these militant salafi-jihadists to appear as legitimate authority figures.</w:t>
      </w:r>
    </w:p>
    <w:p w:rsidR="00C45A11" w:rsidRDefault="00C45A11">
      <w:pPr>
        <w:contextualSpacing w:val="0"/>
        <w:rPr>
          <w:i/>
        </w:rPr>
      </w:pPr>
    </w:p>
    <w:p w:rsidR="00C45A11" w:rsidRDefault="00C45A11">
      <w:pPr>
        <w:contextualSpacing w:val="0"/>
      </w:pPr>
    </w:p>
    <w:p w:rsidR="005F6C7F" w:rsidRDefault="005F6C7F">
      <w:pPr>
        <w:contextualSpacing w:val="0"/>
      </w:pPr>
    </w:p>
    <w:p w:rsidR="005F6C7F" w:rsidRDefault="005F6C7F">
      <w:pPr>
        <w:contextualSpacing w:val="0"/>
      </w:pPr>
    </w:p>
    <w:p w:rsidR="005F6C7F" w:rsidRDefault="005F6C7F">
      <w:pPr>
        <w:contextualSpacing w:val="0"/>
      </w:pPr>
    </w:p>
    <w:p w:rsidR="005F6C7F" w:rsidRDefault="005F6C7F">
      <w:pPr>
        <w:contextualSpacing w:val="0"/>
      </w:pPr>
    </w:p>
    <w:p w:rsidR="005F6C7F" w:rsidRDefault="005F6C7F">
      <w:pPr>
        <w:contextualSpacing w:val="0"/>
      </w:pPr>
    </w:p>
    <w:p w:rsidR="00C45A11" w:rsidRDefault="00622DCA">
      <w:pPr>
        <w:contextualSpacing w:val="0"/>
        <w:rPr>
          <w:b/>
          <w:sz w:val="24"/>
          <w:szCs w:val="24"/>
        </w:rPr>
      </w:pPr>
      <w:bookmarkStart w:id="0" w:name="_GoBack"/>
      <w:bookmarkEnd w:id="0"/>
      <w:r>
        <w:lastRenderedPageBreak/>
        <w:br/>
      </w:r>
      <w:r>
        <w:rPr>
          <w:b/>
          <w:sz w:val="24"/>
          <w:szCs w:val="24"/>
        </w:rPr>
        <w:t>Bibliography</w:t>
      </w:r>
    </w:p>
    <w:p w:rsidR="00C45A11" w:rsidRDefault="00C45A11">
      <w:pPr>
        <w:contextualSpacing w:val="0"/>
        <w:rPr>
          <w:b/>
          <w:sz w:val="24"/>
          <w:szCs w:val="24"/>
        </w:rPr>
      </w:pPr>
    </w:p>
    <w:p w:rsidR="00C45A11" w:rsidRDefault="00622DCA">
      <w:pPr>
        <w:contextualSpacing w:val="0"/>
        <w:rPr>
          <w:b/>
          <w:u w:val="single"/>
        </w:rPr>
      </w:pPr>
      <w:r>
        <w:rPr>
          <w:b/>
          <w:u w:val="single"/>
        </w:rPr>
        <w:t>Books</w:t>
      </w:r>
      <w:r>
        <w:rPr>
          <w:b/>
          <w:u w:val="single"/>
        </w:rPr>
        <w:br/>
      </w:r>
    </w:p>
    <w:p w:rsidR="00C45A11" w:rsidRDefault="00622DCA">
      <w:pPr>
        <w:contextualSpacing w:val="0"/>
        <w:rPr>
          <w:color w:val="121212"/>
          <w:sz w:val="20"/>
          <w:szCs w:val="20"/>
          <w:highlight w:val="white"/>
        </w:rPr>
      </w:pPr>
      <w:r>
        <w:rPr>
          <w:sz w:val="20"/>
          <w:szCs w:val="20"/>
        </w:rPr>
        <w:t>Ansari, Humayan “Attitudes to Jihad, Martyrdom and Terrorism among Brit</w:t>
      </w:r>
      <w:r>
        <w:rPr>
          <w:sz w:val="20"/>
          <w:szCs w:val="20"/>
        </w:rPr>
        <w:t xml:space="preserve">ish Muslims” </w:t>
      </w:r>
      <w:r>
        <w:rPr>
          <w:color w:val="121212"/>
          <w:sz w:val="20"/>
          <w:szCs w:val="20"/>
          <w:highlight w:val="white"/>
        </w:rPr>
        <w:t>in</w:t>
      </w:r>
      <w:r>
        <w:rPr>
          <w:i/>
          <w:color w:val="121212"/>
          <w:sz w:val="20"/>
          <w:szCs w:val="20"/>
          <w:highlight w:val="white"/>
        </w:rPr>
        <w:t xml:space="preserve"> Muslim Britain: Communities Under Pressure</w:t>
      </w:r>
      <w:r>
        <w:rPr>
          <w:color w:val="121212"/>
          <w:sz w:val="20"/>
          <w:szCs w:val="20"/>
          <w:highlight w:val="white"/>
        </w:rPr>
        <w:t xml:space="preserve"> Ed. by Tahir Abbas, Zed Books, London (2005)</w:t>
      </w:r>
    </w:p>
    <w:p w:rsidR="00C45A11" w:rsidRDefault="00C45A11">
      <w:pPr>
        <w:contextualSpacing w:val="0"/>
        <w:rPr>
          <w:b/>
          <w:sz w:val="24"/>
          <w:szCs w:val="24"/>
        </w:rPr>
      </w:pPr>
    </w:p>
    <w:p w:rsidR="00C45A11" w:rsidRDefault="00622DCA">
      <w:pPr>
        <w:contextualSpacing w:val="0"/>
        <w:rPr>
          <w:sz w:val="20"/>
          <w:szCs w:val="20"/>
        </w:rPr>
      </w:pPr>
      <w:r>
        <w:rPr>
          <w:sz w:val="20"/>
          <w:szCs w:val="20"/>
        </w:rPr>
        <w:t xml:space="preserve">Kenney, Michael </w:t>
      </w:r>
      <w:r>
        <w:rPr>
          <w:i/>
          <w:sz w:val="20"/>
          <w:szCs w:val="20"/>
        </w:rPr>
        <w:t xml:space="preserve">The Islamic State in Britain: Radicalization and Resilience in and Activist Network </w:t>
      </w:r>
      <w:r>
        <w:rPr>
          <w:sz w:val="20"/>
          <w:szCs w:val="20"/>
        </w:rPr>
        <w:t>Cambridge University Press, Cambridge, UK (2018)</w:t>
      </w:r>
    </w:p>
    <w:p w:rsidR="00C45A11" w:rsidRDefault="00C45A11">
      <w:pPr>
        <w:contextualSpacing w:val="0"/>
        <w:rPr>
          <w:sz w:val="20"/>
          <w:szCs w:val="20"/>
        </w:rPr>
      </w:pPr>
    </w:p>
    <w:p w:rsidR="00C45A11" w:rsidRDefault="00622DCA">
      <w:pPr>
        <w:contextualSpacing w:val="0"/>
        <w:rPr>
          <w:sz w:val="20"/>
          <w:szCs w:val="20"/>
        </w:rPr>
      </w:pPr>
      <w:r>
        <w:rPr>
          <w:sz w:val="20"/>
          <w:szCs w:val="20"/>
        </w:rPr>
        <w:t>M</w:t>
      </w:r>
      <w:r>
        <w:rPr>
          <w:sz w:val="20"/>
          <w:szCs w:val="20"/>
        </w:rPr>
        <w:t xml:space="preserve">andaville, Peter </w:t>
      </w:r>
      <w:r>
        <w:rPr>
          <w:i/>
          <w:sz w:val="20"/>
          <w:szCs w:val="20"/>
        </w:rPr>
        <w:t xml:space="preserve">Islam and Politics </w:t>
      </w:r>
      <w:r>
        <w:rPr>
          <w:sz w:val="20"/>
          <w:szCs w:val="20"/>
        </w:rPr>
        <w:t>2nd Edition, Routledge, Oxon, UK (2014)</w:t>
      </w:r>
    </w:p>
    <w:p w:rsidR="00C45A11" w:rsidRDefault="00C45A11">
      <w:pPr>
        <w:contextualSpacing w:val="0"/>
        <w:rPr>
          <w:sz w:val="20"/>
          <w:szCs w:val="20"/>
        </w:rPr>
      </w:pPr>
    </w:p>
    <w:p w:rsidR="00C45A11" w:rsidRDefault="00622DCA">
      <w:pPr>
        <w:contextualSpacing w:val="0"/>
        <w:rPr>
          <w:sz w:val="20"/>
          <w:szCs w:val="20"/>
        </w:rPr>
      </w:pPr>
      <w:r>
        <w:rPr>
          <w:sz w:val="20"/>
          <w:szCs w:val="20"/>
        </w:rPr>
        <w:t xml:space="preserve">Nielsen, Richard A.  </w:t>
      </w:r>
      <w:r>
        <w:rPr>
          <w:i/>
          <w:sz w:val="20"/>
          <w:szCs w:val="20"/>
        </w:rPr>
        <w:t xml:space="preserve">Deadly Clerics: Blocked Ambition and the Paths to Jihad </w:t>
      </w:r>
      <w:r>
        <w:rPr>
          <w:sz w:val="20"/>
          <w:szCs w:val="20"/>
        </w:rPr>
        <w:t>Cambridge University Press, Cambridge, UK (2017)</w:t>
      </w:r>
    </w:p>
    <w:p w:rsidR="00C45A11" w:rsidRDefault="00C45A11">
      <w:pPr>
        <w:contextualSpacing w:val="0"/>
        <w:rPr>
          <w:b/>
          <w:sz w:val="24"/>
          <w:szCs w:val="24"/>
        </w:rPr>
      </w:pPr>
    </w:p>
    <w:p w:rsidR="00C45A11" w:rsidRDefault="00622DCA">
      <w:pPr>
        <w:contextualSpacing w:val="0"/>
        <w:rPr>
          <w:sz w:val="20"/>
          <w:szCs w:val="20"/>
        </w:rPr>
      </w:pPr>
      <w:r>
        <w:rPr>
          <w:sz w:val="20"/>
          <w:szCs w:val="20"/>
        </w:rPr>
        <w:t xml:space="preserve">Wiktorowicz, Quintan </w:t>
      </w:r>
      <w:r>
        <w:rPr>
          <w:i/>
          <w:sz w:val="20"/>
          <w:szCs w:val="20"/>
        </w:rPr>
        <w:t>Radical Islam Rising: Muslim Ex</w:t>
      </w:r>
      <w:r>
        <w:rPr>
          <w:i/>
          <w:sz w:val="20"/>
          <w:szCs w:val="20"/>
        </w:rPr>
        <w:t xml:space="preserve">tremism in the West </w:t>
      </w:r>
      <w:r>
        <w:rPr>
          <w:sz w:val="20"/>
          <w:szCs w:val="20"/>
        </w:rPr>
        <w:t>Rowman &amp; Littlefield Publishers Inc. Maryland, USA (2005)</w:t>
      </w:r>
    </w:p>
    <w:p w:rsidR="00C45A11" w:rsidRDefault="00C45A11">
      <w:pPr>
        <w:contextualSpacing w:val="0"/>
        <w:rPr>
          <w:b/>
          <w:sz w:val="24"/>
          <w:szCs w:val="24"/>
        </w:rPr>
      </w:pPr>
    </w:p>
    <w:p w:rsidR="00C45A11" w:rsidRDefault="00622DCA">
      <w:pPr>
        <w:contextualSpacing w:val="0"/>
        <w:rPr>
          <w:sz w:val="18"/>
          <w:szCs w:val="18"/>
        </w:rPr>
      </w:pPr>
      <w:r>
        <w:rPr>
          <w:b/>
          <w:u w:val="single"/>
        </w:rPr>
        <w:t>Online Sources</w:t>
      </w:r>
      <w:r>
        <w:rPr>
          <w:b/>
          <w:sz w:val="24"/>
          <w:szCs w:val="24"/>
          <w:u w:val="single"/>
        </w:rPr>
        <w:br/>
      </w:r>
      <w:r>
        <w:rPr>
          <w:b/>
          <w:sz w:val="24"/>
          <w:szCs w:val="24"/>
          <w:u w:val="single"/>
        </w:rPr>
        <w:br/>
      </w:r>
      <w:r>
        <w:rPr>
          <w:sz w:val="18"/>
          <w:szCs w:val="18"/>
        </w:rPr>
        <w:t>Akhavi, Shahrough . "Qu</w:t>
      </w:r>
      <w:r>
        <w:rPr>
          <w:sz w:val="18"/>
          <w:szCs w:val="18"/>
        </w:rPr>
        <w:t>ṭ</w:t>
      </w:r>
      <w:r>
        <w:rPr>
          <w:sz w:val="18"/>
          <w:szCs w:val="18"/>
        </w:rPr>
        <w:t xml:space="preserve">b, Sayyid." In </w:t>
      </w:r>
      <w:r>
        <w:rPr>
          <w:i/>
          <w:sz w:val="18"/>
          <w:szCs w:val="18"/>
        </w:rPr>
        <w:t>The Oxford Encyclopedia of the Islamic World</w:t>
      </w:r>
      <w:r>
        <w:rPr>
          <w:sz w:val="18"/>
          <w:szCs w:val="18"/>
        </w:rPr>
        <w:t>.Oxford Islamic Studies Online</w:t>
      </w:r>
      <w:r>
        <w:rPr>
          <w:sz w:val="18"/>
          <w:szCs w:val="18"/>
        </w:rPr>
        <w:br/>
      </w:r>
      <w:hyperlink r:id="rId6">
        <w:r>
          <w:rPr>
            <w:color w:val="1155CC"/>
            <w:sz w:val="18"/>
            <w:szCs w:val="18"/>
            <w:u w:val="single"/>
          </w:rPr>
          <w:t>http://www.oxfordislamicstudies.com.ezproxy.uwtsd.ac.uk/article/opr/t236/e0663</w:t>
        </w:r>
      </w:hyperlink>
      <w:r>
        <w:rPr>
          <w:sz w:val="18"/>
          <w:szCs w:val="18"/>
        </w:rPr>
        <w:t xml:space="preserve"> </w:t>
      </w:r>
      <w:r>
        <w:rPr>
          <w:sz w:val="18"/>
          <w:szCs w:val="18"/>
        </w:rPr>
        <w:br/>
        <w:t>Accessed: 29/11/2018</w:t>
      </w:r>
    </w:p>
    <w:p w:rsidR="00C45A11" w:rsidRDefault="00C45A11">
      <w:pPr>
        <w:contextualSpacing w:val="0"/>
        <w:rPr>
          <w:sz w:val="18"/>
          <w:szCs w:val="18"/>
        </w:rPr>
      </w:pPr>
    </w:p>
    <w:p w:rsidR="00C45A11" w:rsidRDefault="00622DCA">
      <w:pPr>
        <w:spacing w:line="240" w:lineRule="auto"/>
        <w:contextualSpacing w:val="0"/>
        <w:rPr>
          <w:sz w:val="20"/>
          <w:szCs w:val="20"/>
        </w:rPr>
      </w:pPr>
      <w:r>
        <w:rPr>
          <w:sz w:val="20"/>
          <w:szCs w:val="20"/>
        </w:rPr>
        <w:t xml:space="preserve">Al-Azmeh, Aziz “Islams and Modernities” in </w:t>
      </w:r>
      <w:r>
        <w:rPr>
          <w:i/>
          <w:sz w:val="20"/>
          <w:szCs w:val="20"/>
        </w:rPr>
        <w:t>Middle East Jou</w:t>
      </w:r>
      <w:r>
        <w:rPr>
          <w:i/>
          <w:sz w:val="20"/>
          <w:szCs w:val="20"/>
        </w:rPr>
        <w:t xml:space="preserve">rnal </w:t>
      </w:r>
      <w:r>
        <w:rPr>
          <w:sz w:val="20"/>
          <w:szCs w:val="20"/>
        </w:rPr>
        <w:t xml:space="preserve">Vol.48 No.4 Middle East Institute (1994) </w:t>
      </w:r>
      <w:r>
        <w:rPr>
          <w:sz w:val="20"/>
          <w:szCs w:val="20"/>
        </w:rPr>
        <w:br/>
      </w:r>
      <w:hyperlink r:id="rId7" w:anchor="page_scan_tab_contents">
        <w:r>
          <w:rPr>
            <w:color w:val="1155CC"/>
            <w:sz w:val="20"/>
            <w:szCs w:val="20"/>
            <w:u w:val="single"/>
          </w:rPr>
          <w:t>https://www.jstor.org/stable/4328762?seq=1#page_scan_tab_contents</w:t>
        </w:r>
      </w:hyperlink>
      <w:r>
        <w:rPr>
          <w:sz w:val="20"/>
          <w:szCs w:val="20"/>
        </w:rPr>
        <w:t xml:space="preserve"> </w:t>
      </w:r>
    </w:p>
    <w:p w:rsidR="00C45A11" w:rsidRDefault="00622DCA">
      <w:pPr>
        <w:spacing w:line="240" w:lineRule="auto"/>
        <w:contextualSpacing w:val="0"/>
        <w:rPr>
          <w:sz w:val="20"/>
          <w:szCs w:val="20"/>
        </w:rPr>
      </w:pPr>
      <w:r>
        <w:rPr>
          <w:sz w:val="20"/>
          <w:szCs w:val="20"/>
        </w:rPr>
        <w:t>Accessed 27/11/2018</w:t>
      </w:r>
    </w:p>
    <w:p w:rsidR="00C45A11" w:rsidRDefault="00C45A11">
      <w:pPr>
        <w:contextualSpacing w:val="0"/>
        <w:rPr>
          <w:b/>
          <w:sz w:val="18"/>
          <w:szCs w:val="18"/>
          <w:u w:val="single"/>
        </w:rPr>
      </w:pPr>
    </w:p>
    <w:p w:rsidR="00C45A11" w:rsidRDefault="00622DCA">
      <w:pPr>
        <w:spacing w:line="240" w:lineRule="auto"/>
        <w:contextualSpacing w:val="0"/>
        <w:rPr>
          <w:sz w:val="18"/>
          <w:szCs w:val="18"/>
        </w:rPr>
      </w:pPr>
      <w:r>
        <w:rPr>
          <w:sz w:val="18"/>
          <w:szCs w:val="18"/>
        </w:rPr>
        <w:t>Euben, R.L.” Killing (for) Poli</w:t>
      </w:r>
      <w:r>
        <w:rPr>
          <w:sz w:val="18"/>
          <w:szCs w:val="18"/>
        </w:rPr>
        <w:t xml:space="preserve">tics: Jihad, Martyrdom and Political Action” in </w:t>
      </w:r>
      <w:r>
        <w:rPr>
          <w:i/>
          <w:sz w:val="18"/>
          <w:szCs w:val="18"/>
        </w:rPr>
        <w:t xml:space="preserve">Political Theory, Vol. 30 No.1  </w:t>
      </w:r>
      <w:r>
        <w:rPr>
          <w:sz w:val="18"/>
          <w:szCs w:val="18"/>
        </w:rPr>
        <w:t xml:space="preserve">Sage Publications Inc. </w:t>
      </w:r>
      <w:r>
        <w:rPr>
          <w:i/>
          <w:sz w:val="18"/>
          <w:szCs w:val="18"/>
        </w:rPr>
        <w:t>(Feb 2002)</w:t>
      </w:r>
      <w:r>
        <w:rPr>
          <w:sz w:val="18"/>
          <w:szCs w:val="18"/>
        </w:rPr>
        <w:t xml:space="preserve"> pg 4-35</w:t>
      </w:r>
      <w:r>
        <w:rPr>
          <w:sz w:val="18"/>
          <w:szCs w:val="18"/>
        </w:rPr>
        <w:br/>
      </w:r>
      <w:hyperlink r:id="rId8" w:anchor="metadata_info_tab_contents">
        <w:r>
          <w:rPr>
            <w:color w:val="1155CC"/>
            <w:sz w:val="18"/>
            <w:szCs w:val="18"/>
            <w:u w:val="single"/>
          </w:rPr>
          <w:t>https://www-jstor-o</w:t>
        </w:r>
        <w:r>
          <w:rPr>
            <w:color w:val="1155CC"/>
            <w:sz w:val="18"/>
            <w:szCs w:val="18"/>
            <w:u w:val="single"/>
          </w:rPr>
          <w:t>rg.ezproxy.uwtsd.ac.uk/stable/3072484?seq=18#metadata_info_tab_contents</w:t>
        </w:r>
      </w:hyperlink>
      <w:r>
        <w:rPr>
          <w:sz w:val="18"/>
          <w:szCs w:val="18"/>
        </w:rPr>
        <w:t xml:space="preserve"> </w:t>
      </w:r>
      <w:r>
        <w:rPr>
          <w:sz w:val="18"/>
          <w:szCs w:val="18"/>
        </w:rPr>
        <w:br/>
        <w:t>Accessed: 29/11/2018</w:t>
      </w:r>
    </w:p>
    <w:p w:rsidR="00C45A11" w:rsidRDefault="00622DCA">
      <w:pPr>
        <w:spacing w:before="120" w:line="300" w:lineRule="auto"/>
        <w:contextualSpacing w:val="0"/>
        <w:rPr>
          <w:sz w:val="18"/>
          <w:szCs w:val="18"/>
        </w:rPr>
      </w:pPr>
      <w:r>
        <w:rPr>
          <w:sz w:val="18"/>
          <w:szCs w:val="18"/>
        </w:rPr>
        <w:br/>
        <w:t xml:space="preserve"> Fazaeli, Roja “Martyrdom” in </w:t>
      </w:r>
      <w:r>
        <w:rPr>
          <w:i/>
          <w:sz w:val="18"/>
          <w:szCs w:val="18"/>
        </w:rPr>
        <w:t xml:space="preserve">The Oxford Encyclopedia of Islam and Women, </w:t>
      </w:r>
      <w:r>
        <w:rPr>
          <w:sz w:val="18"/>
          <w:szCs w:val="18"/>
        </w:rPr>
        <w:t xml:space="preserve">Oxford Islamic Studies Online </w:t>
      </w:r>
      <w:hyperlink r:id="rId9">
        <w:r>
          <w:rPr>
            <w:color w:val="1155CC"/>
            <w:sz w:val="18"/>
            <w:szCs w:val="18"/>
            <w:u w:val="single"/>
          </w:rPr>
          <w:t>http://www.oxfordislamicstudies.com.ezproxy.uwtsd.ac.uk/article/opr/t355/e0155?_hi=0&amp;_pos=2</w:t>
        </w:r>
      </w:hyperlink>
      <w:r>
        <w:rPr>
          <w:sz w:val="18"/>
          <w:szCs w:val="18"/>
        </w:rPr>
        <w:t xml:space="preserve"> </w:t>
      </w:r>
      <w:r>
        <w:rPr>
          <w:sz w:val="18"/>
          <w:szCs w:val="18"/>
        </w:rPr>
        <w:br/>
        <w:t>Accessed: 29/11/2018</w:t>
      </w:r>
    </w:p>
    <w:p w:rsidR="00C45A11" w:rsidRDefault="00C45A11">
      <w:pPr>
        <w:spacing w:before="120" w:line="300" w:lineRule="auto"/>
        <w:contextualSpacing w:val="0"/>
        <w:rPr>
          <w:sz w:val="18"/>
          <w:szCs w:val="18"/>
        </w:rPr>
      </w:pPr>
    </w:p>
    <w:p w:rsidR="00C45A11" w:rsidRDefault="00622DCA">
      <w:pPr>
        <w:contextualSpacing w:val="0"/>
        <w:rPr>
          <w:sz w:val="18"/>
          <w:szCs w:val="18"/>
        </w:rPr>
      </w:pPr>
      <w:r>
        <w:rPr>
          <w:color w:val="121212"/>
          <w:sz w:val="18"/>
          <w:szCs w:val="18"/>
          <w:highlight w:val="white"/>
        </w:rPr>
        <w:t xml:space="preserve">Haykel, Bernard “On the Nature of Salafi thought and Action” in </w:t>
      </w:r>
      <w:r>
        <w:rPr>
          <w:i/>
          <w:color w:val="121212"/>
          <w:sz w:val="18"/>
          <w:szCs w:val="18"/>
          <w:highlight w:val="white"/>
        </w:rPr>
        <w:t>Global Salafism: Islam’</w:t>
      </w:r>
      <w:r>
        <w:rPr>
          <w:i/>
          <w:color w:val="121212"/>
          <w:sz w:val="18"/>
          <w:szCs w:val="18"/>
          <w:highlight w:val="white"/>
        </w:rPr>
        <w:t xml:space="preserve">s New Religious Movement </w:t>
      </w:r>
      <w:r>
        <w:rPr>
          <w:color w:val="121212"/>
          <w:sz w:val="18"/>
          <w:szCs w:val="18"/>
          <w:highlight w:val="white"/>
        </w:rPr>
        <w:t>Ed. Roel Meijer Oxford Scholarship Online (2014)</w:t>
      </w:r>
      <w:r>
        <w:rPr>
          <w:color w:val="121212"/>
          <w:sz w:val="18"/>
          <w:szCs w:val="18"/>
          <w:highlight w:val="white"/>
        </w:rPr>
        <w:br/>
      </w:r>
      <w:hyperlink r:id="rId10">
        <w:r>
          <w:rPr>
            <w:color w:val="1155CC"/>
            <w:sz w:val="18"/>
            <w:szCs w:val="18"/>
            <w:highlight w:val="white"/>
            <w:u w:val="single"/>
          </w:rPr>
          <w:t>http://www.oxfordscholarship.com</w:t>
        </w:r>
        <w:r>
          <w:rPr>
            <w:color w:val="1155CC"/>
            <w:sz w:val="18"/>
            <w:szCs w:val="18"/>
            <w:highlight w:val="white"/>
            <w:u w:val="single"/>
          </w:rPr>
          <w:t>.ezproxy.uwtsd.ac.uk/view/10.1093/acprof:oso/9780199333431.001.0001/acprof-9780199333431-chapter-2</w:t>
        </w:r>
      </w:hyperlink>
      <w:r>
        <w:rPr>
          <w:color w:val="121212"/>
          <w:sz w:val="18"/>
          <w:szCs w:val="18"/>
          <w:highlight w:val="white"/>
        </w:rPr>
        <w:t xml:space="preserve"> </w:t>
      </w:r>
      <w:r>
        <w:rPr>
          <w:color w:val="121212"/>
          <w:sz w:val="18"/>
          <w:szCs w:val="18"/>
          <w:highlight w:val="white"/>
        </w:rPr>
        <w:br/>
        <w:t>Accessed: 29/11/2018</w:t>
      </w:r>
    </w:p>
    <w:p w:rsidR="00C45A11" w:rsidRDefault="00C45A11">
      <w:pPr>
        <w:spacing w:before="120" w:line="300" w:lineRule="auto"/>
        <w:contextualSpacing w:val="0"/>
        <w:rPr>
          <w:sz w:val="18"/>
          <w:szCs w:val="18"/>
        </w:rPr>
      </w:pPr>
    </w:p>
    <w:p w:rsidR="00C45A11" w:rsidRDefault="00622DCA">
      <w:pPr>
        <w:spacing w:line="240" w:lineRule="auto"/>
        <w:contextualSpacing w:val="0"/>
        <w:rPr>
          <w:sz w:val="18"/>
          <w:szCs w:val="18"/>
        </w:rPr>
      </w:pPr>
      <w:r>
        <w:rPr>
          <w:sz w:val="18"/>
          <w:szCs w:val="18"/>
        </w:rPr>
        <w:t xml:space="preserve">Taji-Farouki, Suha ‘Islamists and the Threat of Jihad:Hizb al-Tahrir and Al-Muhajiroun on Israel and the Jews’ in </w:t>
      </w:r>
      <w:r>
        <w:rPr>
          <w:i/>
          <w:sz w:val="18"/>
          <w:szCs w:val="18"/>
        </w:rPr>
        <w:t xml:space="preserve">Middle Eastern Studies, Vol.36 No.4 </w:t>
      </w:r>
      <w:r>
        <w:rPr>
          <w:sz w:val="18"/>
          <w:szCs w:val="18"/>
        </w:rPr>
        <w:t>pg.34</w:t>
      </w:r>
      <w:r>
        <w:rPr>
          <w:sz w:val="18"/>
          <w:szCs w:val="18"/>
        </w:rPr>
        <w:br/>
      </w:r>
      <w:hyperlink r:id="rId11">
        <w:r>
          <w:rPr>
            <w:color w:val="1155CC"/>
            <w:sz w:val="18"/>
            <w:szCs w:val="18"/>
            <w:u w:val="single"/>
          </w:rPr>
          <w:t>https://www.tandfonline.com/doi/abs/10.1080/00263200008701330?journalCode=fmes20</w:t>
        </w:r>
      </w:hyperlink>
      <w:r>
        <w:rPr>
          <w:sz w:val="18"/>
          <w:szCs w:val="18"/>
        </w:rPr>
        <w:t xml:space="preserve"> </w:t>
      </w:r>
    </w:p>
    <w:p w:rsidR="00C45A11" w:rsidRDefault="00622DCA">
      <w:pPr>
        <w:spacing w:line="240" w:lineRule="auto"/>
        <w:contextualSpacing w:val="0"/>
        <w:rPr>
          <w:sz w:val="18"/>
          <w:szCs w:val="18"/>
        </w:rPr>
      </w:pPr>
      <w:r>
        <w:rPr>
          <w:sz w:val="18"/>
          <w:szCs w:val="18"/>
        </w:rPr>
        <w:t>Accessed :30/11/2018</w:t>
      </w:r>
      <w:r>
        <w:fldChar w:fldCharType="begin"/>
      </w:r>
      <w:r>
        <w:instrText xml:space="preserve"> HYPERLINK "https://www-jstor-org.ezproxy.uwtsd.ac.uk/pu</w:instrText>
      </w:r>
      <w:r>
        <w:instrText xml:space="preserve">blisher/sage" </w:instrText>
      </w:r>
      <w:r>
        <w:fldChar w:fldCharType="separate"/>
      </w:r>
    </w:p>
    <w:p w:rsidR="00C45A11" w:rsidRDefault="00622DCA">
      <w:pPr>
        <w:spacing w:line="240" w:lineRule="auto"/>
        <w:contextualSpacing w:val="0"/>
        <w:rPr>
          <w:sz w:val="18"/>
          <w:szCs w:val="18"/>
        </w:rPr>
      </w:pPr>
      <w:r>
        <w:fldChar w:fldCharType="end"/>
      </w:r>
    </w:p>
    <w:p w:rsidR="00C45A11" w:rsidRDefault="00C45A11">
      <w:pPr>
        <w:contextualSpacing w:val="0"/>
        <w:rPr>
          <w:b/>
          <w:sz w:val="18"/>
          <w:szCs w:val="18"/>
          <w:u w:val="single"/>
        </w:rPr>
      </w:pPr>
    </w:p>
    <w:p w:rsidR="00C45A11" w:rsidRDefault="00622DCA">
      <w:pPr>
        <w:spacing w:line="240" w:lineRule="auto"/>
        <w:contextualSpacing w:val="0"/>
        <w:rPr>
          <w:i/>
          <w:sz w:val="18"/>
          <w:szCs w:val="18"/>
        </w:rPr>
      </w:pPr>
      <w:r>
        <w:rPr>
          <w:sz w:val="18"/>
          <w:szCs w:val="18"/>
        </w:rPr>
        <w:t xml:space="preserve">Wiktorowicz, Quintan “Anatomy of a Salafi Movement” in </w:t>
      </w:r>
      <w:r>
        <w:rPr>
          <w:i/>
          <w:sz w:val="18"/>
          <w:szCs w:val="18"/>
        </w:rPr>
        <w:t>Studies in Conflict and Terror no.3 (2006)</w:t>
      </w:r>
    </w:p>
    <w:p w:rsidR="00C45A11" w:rsidRDefault="00622DCA">
      <w:pPr>
        <w:spacing w:line="240" w:lineRule="auto"/>
        <w:contextualSpacing w:val="0"/>
        <w:rPr>
          <w:sz w:val="18"/>
          <w:szCs w:val="18"/>
        </w:rPr>
      </w:pPr>
      <w:hyperlink r:id="rId12">
        <w:r>
          <w:rPr>
            <w:color w:val="1155CC"/>
            <w:sz w:val="18"/>
            <w:szCs w:val="18"/>
            <w:u w:val="single"/>
          </w:rPr>
          <w:t>https://www.tandfonline.com/doi/abs/10</w:t>
        </w:r>
        <w:r>
          <w:rPr>
            <w:color w:val="1155CC"/>
            <w:sz w:val="18"/>
            <w:szCs w:val="18"/>
            <w:u w:val="single"/>
          </w:rPr>
          <w:t>.1080/10576100500497004?journalCode=uter20</w:t>
        </w:r>
      </w:hyperlink>
      <w:r>
        <w:rPr>
          <w:sz w:val="18"/>
          <w:szCs w:val="18"/>
        </w:rPr>
        <w:t xml:space="preserve"> </w:t>
      </w:r>
    </w:p>
    <w:p w:rsidR="00C45A11" w:rsidRDefault="00622DCA">
      <w:pPr>
        <w:spacing w:line="240" w:lineRule="auto"/>
        <w:contextualSpacing w:val="0"/>
        <w:rPr>
          <w:i/>
          <w:sz w:val="18"/>
          <w:szCs w:val="18"/>
        </w:rPr>
      </w:pPr>
      <w:r>
        <w:rPr>
          <w:sz w:val="18"/>
          <w:szCs w:val="18"/>
        </w:rPr>
        <w:lastRenderedPageBreak/>
        <w:t>Accessed: 28/11/2018</w:t>
      </w:r>
      <w:r>
        <w:rPr>
          <w:i/>
          <w:sz w:val="18"/>
          <w:szCs w:val="18"/>
        </w:rPr>
        <w:t xml:space="preserve"> </w:t>
      </w:r>
    </w:p>
    <w:p w:rsidR="00C45A11" w:rsidRDefault="00C45A11">
      <w:pPr>
        <w:spacing w:line="240" w:lineRule="auto"/>
        <w:contextualSpacing w:val="0"/>
        <w:rPr>
          <w:i/>
          <w:sz w:val="20"/>
          <w:szCs w:val="20"/>
        </w:rPr>
      </w:pPr>
    </w:p>
    <w:p w:rsidR="00C45A11" w:rsidRDefault="00622DCA">
      <w:pPr>
        <w:spacing w:line="240" w:lineRule="auto"/>
        <w:contextualSpacing w:val="0"/>
        <w:rPr>
          <w:i/>
          <w:sz w:val="20"/>
          <w:szCs w:val="20"/>
        </w:rPr>
      </w:pPr>
      <w:r>
        <w:rPr>
          <w:sz w:val="20"/>
          <w:szCs w:val="20"/>
        </w:rPr>
        <w:t xml:space="preserve"> </w:t>
      </w:r>
    </w:p>
    <w:sectPr w:rsidR="00C45A11">
      <w:footerReference w:type="default" r:id="rId13"/>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2DCA" w:rsidRDefault="00622DCA">
      <w:pPr>
        <w:spacing w:line="240" w:lineRule="auto"/>
      </w:pPr>
      <w:r>
        <w:separator/>
      </w:r>
    </w:p>
  </w:endnote>
  <w:endnote w:type="continuationSeparator" w:id="0">
    <w:p w:rsidR="00622DCA" w:rsidRDefault="00622D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5A11" w:rsidRDefault="00C45A11">
    <w:pPr>
      <w:contextualSpacing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2DCA" w:rsidRDefault="00622DCA">
      <w:pPr>
        <w:spacing w:line="240" w:lineRule="auto"/>
      </w:pPr>
      <w:r>
        <w:separator/>
      </w:r>
    </w:p>
  </w:footnote>
  <w:footnote w:type="continuationSeparator" w:id="0">
    <w:p w:rsidR="00622DCA" w:rsidRDefault="00622DCA">
      <w:pPr>
        <w:spacing w:line="240" w:lineRule="auto"/>
      </w:pPr>
      <w:r>
        <w:continuationSeparator/>
      </w:r>
    </w:p>
  </w:footnote>
  <w:footnote w:id="1">
    <w:p w:rsidR="00C45A11" w:rsidRDefault="00622DCA">
      <w:pPr>
        <w:spacing w:line="240" w:lineRule="auto"/>
        <w:contextualSpacing w:val="0"/>
        <w:rPr>
          <w:sz w:val="20"/>
          <w:szCs w:val="20"/>
        </w:rPr>
      </w:pPr>
      <w:r>
        <w:rPr>
          <w:vertAlign w:val="superscript"/>
        </w:rPr>
        <w:footnoteRef/>
      </w:r>
      <w:r>
        <w:rPr>
          <w:sz w:val="20"/>
          <w:szCs w:val="20"/>
        </w:rPr>
        <w:t xml:space="preserve"> Al-Azmeh, Aziz “Islams and Modernities” in </w:t>
      </w:r>
      <w:r>
        <w:rPr>
          <w:i/>
          <w:sz w:val="20"/>
          <w:szCs w:val="20"/>
        </w:rPr>
        <w:t xml:space="preserve">Middle East Journal </w:t>
      </w:r>
      <w:r>
        <w:rPr>
          <w:sz w:val="20"/>
          <w:szCs w:val="20"/>
        </w:rPr>
        <w:t>Vol.48 No.4 (1994) pg 735</w:t>
      </w:r>
      <w:r>
        <w:rPr>
          <w:sz w:val="20"/>
          <w:szCs w:val="20"/>
        </w:rPr>
        <w:br/>
      </w:r>
      <w:hyperlink r:id="rId1" w:anchor="page_scan_tab_contents">
        <w:r>
          <w:rPr>
            <w:color w:val="1155CC"/>
            <w:sz w:val="20"/>
            <w:szCs w:val="20"/>
            <w:u w:val="single"/>
          </w:rPr>
          <w:t>https://www.jstor.org/stable/4328762?seq=1#page_scan_tab_contents</w:t>
        </w:r>
      </w:hyperlink>
      <w:r>
        <w:rPr>
          <w:sz w:val="20"/>
          <w:szCs w:val="20"/>
        </w:rPr>
        <w:t xml:space="preserve"> </w:t>
      </w:r>
    </w:p>
  </w:footnote>
  <w:footnote w:id="2">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 xml:space="preserve">Wiktorowicz, Quintan </w:t>
      </w:r>
      <w:r>
        <w:rPr>
          <w:i/>
          <w:sz w:val="20"/>
          <w:szCs w:val="20"/>
        </w:rPr>
        <w:t>Radical Islam Rising: Muslim Extremism in the West (2005)</w:t>
      </w:r>
      <w:r>
        <w:rPr>
          <w:sz w:val="20"/>
          <w:szCs w:val="20"/>
        </w:rPr>
        <w:t xml:space="preserve"> pg 25</w:t>
      </w:r>
    </w:p>
  </w:footnote>
  <w:footnote w:id="3">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 xml:space="preserve">Nielsen, Richard A.  </w:t>
      </w:r>
      <w:r>
        <w:rPr>
          <w:i/>
          <w:sz w:val="20"/>
          <w:szCs w:val="20"/>
        </w:rPr>
        <w:t>Deadly Clerics: Blocked Am</w:t>
      </w:r>
      <w:r>
        <w:rPr>
          <w:i/>
          <w:sz w:val="20"/>
          <w:szCs w:val="20"/>
        </w:rPr>
        <w:t>bition and the Paths to Jihad (2017)</w:t>
      </w:r>
      <w:r>
        <w:rPr>
          <w:sz w:val="20"/>
          <w:szCs w:val="20"/>
        </w:rPr>
        <w:t>, pg 75</w:t>
      </w:r>
    </w:p>
  </w:footnote>
  <w:footnote w:id="4">
    <w:p w:rsidR="00C45A11" w:rsidRDefault="00622DCA">
      <w:pPr>
        <w:spacing w:line="240" w:lineRule="auto"/>
        <w:contextualSpacing w:val="0"/>
        <w:rPr>
          <w:sz w:val="20"/>
          <w:szCs w:val="20"/>
        </w:rPr>
      </w:pPr>
      <w:r>
        <w:rPr>
          <w:vertAlign w:val="superscript"/>
        </w:rPr>
        <w:footnoteRef/>
      </w:r>
      <w:r>
        <w:rPr>
          <w:sz w:val="20"/>
          <w:szCs w:val="20"/>
        </w:rPr>
        <w:t xml:space="preserve">Mandaville, Peter </w:t>
      </w:r>
      <w:r>
        <w:rPr>
          <w:i/>
          <w:sz w:val="20"/>
          <w:szCs w:val="20"/>
        </w:rPr>
        <w:t xml:space="preserve">Islam and Politics </w:t>
      </w:r>
      <w:r>
        <w:rPr>
          <w:sz w:val="20"/>
          <w:szCs w:val="20"/>
        </w:rPr>
        <w:t>2nd Edition (2014), pg 48</w:t>
      </w:r>
    </w:p>
  </w:footnote>
  <w:footnote w:id="5">
    <w:p w:rsidR="00C45A11" w:rsidRDefault="00622DCA">
      <w:pPr>
        <w:spacing w:line="240" w:lineRule="auto"/>
        <w:contextualSpacing w:val="0"/>
        <w:rPr>
          <w:sz w:val="18"/>
          <w:szCs w:val="18"/>
        </w:rPr>
      </w:pPr>
      <w:r>
        <w:rPr>
          <w:vertAlign w:val="superscript"/>
        </w:rPr>
        <w:footnoteRef/>
      </w:r>
      <w:r>
        <w:rPr>
          <w:sz w:val="18"/>
          <w:szCs w:val="18"/>
        </w:rPr>
        <w:t xml:space="preserve"> </w:t>
      </w:r>
      <w:r>
        <w:rPr>
          <w:sz w:val="18"/>
          <w:szCs w:val="18"/>
        </w:rPr>
        <w:t xml:space="preserve">Wiktorowicz, Anatomy of a Salafi Movement </w:t>
      </w:r>
      <w:r>
        <w:rPr>
          <w:i/>
          <w:sz w:val="18"/>
          <w:szCs w:val="18"/>
        </w:rPr>
        <w:t>Stud</w:t>
      </w:r>
      <w:r>
        <w:rPr>
          <w:i/>
          <w:sz w:val="18"/>
          <w:szCs w:val="18"/>
        </w:rPr>
        <w:t>ies in Conflict and Terror no.3 (2006) pg 207-09.</w:t>
      </w:r>
      <w:r>
        <w:rPr>
          <w:i/>
          <w:sz w:val="18"/>
          <w:szCs w:val="18"/>
        </w:rPr>
        <w:br/>
      </w:r>
      <w:hyperlink r:id="rId2">
        <w:r>
          <w:rPr>
            <w:color w:val="1155CC"/>
            <w:sz w:val="18"/>
            <w:szCs w:val="18"/>
            <w:u w:val="single"/>
          </w:rPr>
          <w:t>https://www.tandfonline.com/doi/abs/10.1080/10576100500497004?journalCode=uter20</w:t>
        </w:r>
      </w:hyperlink>
      <w:r>
        <w:rPr>
          <w:sz w:val="18"/>
          <w:szCs w:val="18"/>
        </w:rPr>
        <w:t xml:space="preserve"> </w:t>
      </w:r>
    </w:p>
  </w:footnote>
  <w:footnote w:id="6">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E</w:t>
      </w:r>
      <w:r>
        <w:rPr>
          <w:sz w:val="20"/>
          <w:szCs w:val="20"/>
        </w:rPr>
        <w:t xml:space="preserve">uben, R.L. </w:t>
      </w:r>
      <w:r>
        <w:rPr>
          <w:i/>
          <w:sz w:val="20"/>
          <w:szCs w:val="20"/>
        </w:rPr>
        <w:t>Killing (for) Politics: Jihad, Martyrdom and Political Action</w:t>
      </w:r>
      <w:r>
        <w:rPr>
          <w:sz w:val="20"/>
          <w:szCs w:val="20"/>
        </w:rPr>
        <w:t xml:space="preserve"> pg 12</w:t>
      </w:r>
      <w:r>
        <w:rPr>
          <w:sz w:val="20"/>
          <w:szCs w:val="20"/>
        </w:rPr>
        <w:br/>
      </w:r>
      <w:hyperlink r:id="rId3" w:anchor="metadata_info_tab_contents">
        <w:r>
          <w:rPr>
            <w:color w:val="1155CC"/>
            <w:sz w:val="16"/>
            <w:szCs w:val="16"/>
            <w:u w:val="single"/>
          </w:rPr>
          <w:t>https://www-jstor-org.ezproxy.uwtsd.ac.uk/stable/3072484?seq=1</w:t>
        </w:r>
        <w:r>
          <w:rPr>
            <w:color w:val="1155CC"/>
            <w:sz w:val="16"/>
            <w:szCs w:val="16"/>
            <w:u w:val="single"/>
          </w:rPr>
          <w:t>8#metadata_info_tab_contents</w:t>
        </w:r>
      </w:hyperlink>
      <w:r>
        <w:rPr>
          <w:sz w:val="16"/>
          <w:szCs w:val="16"/>
        </w:rPr>
        <w:t xml:space="preserve">   </w:t>
      </w:r>
      <w:r>
        <w:rPr>
          <w:sz w:val="20"/>
          <w:szCs w:val="20"/>
        </w:rPr>
        <w:t xml:space="preserve"> </w:t>
      </w:r>
    </w:p>
  </w:footnote>
  <w:footnote w:id="7">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 xml:space="preserve">Ansari, Humayan “Attitudes to Jihad, Martyrdom and Terrorism among British Muslims” </w:t>
      </w:r>
      <w:r>
        <w:rPr>
          <w:color w:val="121212"/>
          <w:sz w:val="18"/>
          <w:szCs w:val="18"/>
          <w:highlight w:val="white"/>
        </w:rPr>
        <w:t>in</w:t>
      </w:r>
      <w:r>
        <w:rPr>
          <w:i/>
          <w:color w:val="121212"/>
          <w:sz w:val="18"/>
          <w:szCs w:val="18"/>
          <w:highlight w:val="white"/>
        </w:rPr>
        <w:t xml:space="preserve"> Muslim Britain: Communities Under Pressure </w:t>
      </w:r>
      <w:r>
        <w:rPr>
          <w:color w:val="121212"/>
          <w:sz w:val="18"/>
          <w:szCs w:val="18"/>
          <w:highlight w:val="white"/>
        </w:rPr>
        <w:t>2005</w:t>
      </w:r>
      <w:r>
        <w:rPr>
          <w:i/>
          <w:color w:val="121212"/>
          <w:sz w:val="18"/>
          <w:szCs w:val="18"/>
          <w:highlight w:val="white"/>
        </w:rPr>
        <w:t xml:space="preserve"> </w:t>
      </w:r>
      <w:r>
        <w:rPr>
          <w:sz w:val="18"/>
          <w:szCs w:val="18"/>
        </w:rPr>
        <w:t>Pg 146</w:t>
      </w:r>
    </w:p>
  </w:footnote>
  <w:footnote w:id="8">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Ansari,  “Attitudes to Jihad, Martyrdom and Terrorism among British Muslims” (2005) Pg 146</w:t>
      </w:r>
    </w:p>
  </w:footnote>
  <w:footnote w:id="9">
    <w:p w:rsidR="00C45A11" w:rsidRDefault="00622DCA">
      <w:pPr>
        <w:spacing w:line="240" w:lineRule="auto"/>
        <w:contextualSpacing w:val="0"/>
        <w:rPr>
          <w:sz w:val="18"/>
          <w:szCs w:val="18"/>
        </w:rPr>
      </w:pPr>
      <w:r>
        <w:rPr>
          <w:vertAlign w:val="superscript"/>
        </w:rPr>
        <w:footnoteRef/>
      </w:r>
      <w:r>
        <w:rPr>
          <w:sz w:val="18"/>
          <w:szCs w:val="18"/>
        </w:rPr>
        <w:t xml:space="preserve"> </w:t>
      </w:r>
      <w:r>
        <w:rPr>
          <w:sz w:val="18"/>
          <w:szCs w:val="18"/>
        </w:rPr>
        <w:t>Ansari,  “Attitudes to Jihad, Martyrdom and Terrorism among British Muslims” (2005) Pg 146</w:t>
      </w:r>
    </w:p>
  </w:footnote>
  <w:footnote w:id="10">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Ansari,  “Attitudes to Jihad, Martyrdom and Terrorism among British Muslims”(2005) Pg 147</w:t>
      </w:r>
    </w:p>
  </w:footnote>
  <w:footnote w:id="11">
    <w:p w:rsidR="00C45A11" w:rsidRDefault="00622DCA">
      <w:pPr>
        <w:spacing w:line="240" w:lineRule="auto"/>
        <w:contextualSpacing w:val="0"/>
        <w:rPr>
          <w:sz w:val="16"/>
          <w:szCs w:val="16"/>
        </w:rPr>
      </w:pPr>
      <w:r>
        <w:rPr>
          <w:vertAlign w:val="superscript"/>
        </w:rPr>
        <w:footnoteRef/>
      </w:r>
      <w:r>
        <w:rPr>
          <w:sz w:val="16"/>
          <w:szCs w:val="16"/>
        </w:rPr>
        <w:t xml:space="preserve"> </w:t>
      </w:r>
      <w:r>
        <w:rPr>
          <w:sz w:val="16"/>
          <w:szCs w:val="16"/>
        </w:rPr>
        <w:t xml:space="preserve">Euben, R.L.”Killing (for) Politics” in </w:t>
      </w:r>
      <w:r>
        <w:rPr>
          <w:i/>
          <w:sz w:val="16"/>
          <w:szCs w:val="16"/>
        </w:rPr>
        <w:t xml:space="preserve">Political Theory, Vol. 30 No.1 </w:t>
      </w:r>
      <w:r>
        <w:rPr>
          <w:sz w:val="16"/>
          <w:szCs w:val="16"/>
        </w:rPr>
        <w:t>(2002)</w:t>
      </w:r>
      <w:r>
        <w:rPr>
          <w:i/>
          <w:sz w:val="16"/>
          <w:szCs w:val="16"/>
        </w:rPr>
        <w:t xml:space="preserve"> </w:t>
      </w:r>
      <w:r>
        <w:rPr>
          <w:sz w:val="16"/>
          <w:szCs w:val="16"/>
        </w:rPr>
        <w:t>pg 16</w:t>
      </w:r>
      <w:r>
        <w:rPr>
          <w:sz w:val="16"/>
          <w:szCs w:val="16"/>
        </w:rPr>
        <w:br/>
      </w:r>
      <w:hyperlink r:id="rId4" w:anchor="metadata_info_tab_contents">
        <w:r>
          <w:rPr>
            <w:color w:val="1155CC"/>
            <w:sz w:val="16"/>
            <w:szCs w:val="16"/>
            <w:u w:val="single"/>
          </w:rPr>
          <w:t>https://www-jstor-org.ezproxy.uwtsd.ac.uk/s</w:t>
        </w:r>
        <w:r>
          <w:rPr>
            <w:color w:val="1155CC"/>
            <w:sz w:val="16"/>
            <w:szCs w:val="16"/>
            <w:u w:val="single"/>
          </w:rPr>
          <w:t>table/3072484?seq=18#metadata_info_tab_contents</w:t>
        </w:r>
      </w:hyperlink>
      <w:r>
        <w:rPr>
          <w:sz w:val="16"/>
          <w:szCs w:val="16"/>
        </w:rPr>
        <w:t xml:space="preserve">  </w:t>
      </w:r>
    </w:p>
  </w:footnote>
  <w:footnote w:id="12">
    <w:p w:rsidR="00C45A11" w:rsidRDefault="00622DCA">
      <w:pPr>
        <w:spacing w:line="240" w:lineRule="auto"/>
        <w:contextualSpacing w:val="0"/>
        <w:rPr>
          <w:sz w:val="18"/>
          <w:szCs w:val="18"/>
        </w:rPr>
      </w:pPr>
      <w:r>
        <w:rPr>
          <w:vertAlign w:val="superscript"/>
        </w:rPr>
        <w:footnoteRef/>
      </w:r>
      <w:r>
        <w:rPr>
          <w:sz w:val="18"/>
          <w:szCs w:val="18"/>
        </w:rPr>
        <w:t>Akhavi, Shahrough . "Qu</w:t>
      </w:r>
      <w:r>
        <w:rPr>
          <w:sz w:val="18"/>
          <w:szCs w:val="18"/>
        </w:rPr>
        <w:t>ṭ</w:t>
      </w:r>
      <w:r>
        <w:rPr>
          <w:sz w:val="18"/>
          <w:szCs w:val="18"/>
        </w:rPr>
        <w:t xml:space="preserve">b, Sayyid." In </w:t>
      </w:r>
      <w:r>
        <w:rPr>
          <w:i/>
          <w:sz w:val="18"/>
          <w:szCs w:val="18"/>
        </w:rPr>
        <w:t>The Oxford Encyclopedia of the Islamic World.</w:t>
      </w:r>
      <w:r>
        <w:rPr>
          <w:sz w:val="18"/>
          <w:szCs w:val="18"/>
        </w:rPr>
        <w:t>Oxford Islamic Studies Online</w:t>
      </w:r>
      <w:r>
        <w:rPr>
          <w:sz w:val="18"/>
          <w:szCs w:val="18"/>
        </w:rPr>
        <w:br/>
      </w:r>
      <w:hyperlink r:id="rId5">
        <w:r>
          <w:rPr>
            <w:color w:val="1155CC"/>
            <w:sz w:val="18"/>
            <w:szCs w:val="18"/>
            <w:u w:val="single"/>
          </w:rPr>
          <w:t>http://www.oxfordislamicstudies.com.ezproxy.uwtsd.ac.uk/article/opr</w:t>
        </w:r>
        <w:r>
          <w:rPr>
            <w:color w:val="1155CC"/>
            <w:sz w:val="18"/>
            <w:szCs w:val="18"/>
            <w:u w:val="single"/>
          </w:rPr>
          <w:t>/t236/e0663</w:t>
        </w:r>
      </w:hyperlink>
      <w:r>
        <w:rPr>
          <w:sz w:val="18"/>
          <w:szCs w:val="18"/>
        </w:rPr>
        <w:t xml:space="preserve"> </w:t>
      </w:r>
    </w:p>
  </w:footnote>
  <w:footnote w:id="13">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 xml:space="preserve">Kenney, Michael </w:t>
      </w:r>
      <w:r>
        <w:rPr>
          <w:i/>
          <w:sz w:val="18"/>
          <w:szCs w:val="18"/>
        </w:rPr>
        <w:t xml:space="preserve">The Islamic State in Britain: Radicalization and Resilience in and Activist Network </w:t>
      </w:r>
      <w:r>
        <w:rPr>
          <w:sz w:val="18"/>
          <w:szCs w:val="18"/>
        </w:rPr>
        <w:t>(2018) pg 19</w:t>
      </w:r>
    </w:p>
  </w:footnote>
  <w:footnote w:id="14">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Ansari, “Attitudes to Jihad, Martyrdom and Terrorism among British Muslims”</w:t>
      </w:r>
      <w:r>
        <w:rPr>
          <w:color w:val="121212"/>
          <w:sz w:val="18"/>
          <w:szCs w:val="18"/>
          <w:highlight w:val="white"/>
        </w:rPr>
        <w:t>(2005)</w:t>
      </w:r>
      <w:r>
        <w:rPr>
          <w:i/>
          <w:color w:val="121212"/>
          <w:sz w:val="18"/>
          <w:szCs w:val="18"/>
          <w:highlight w:val="white"/>
        </w:rPr>
        <w:t xml:space="preserve"> </w:t>
      </w:r>
      <w:r>
        <w:rPr>
          <w:sz w:val="18"/>
          <w:szCs w:val="18"/>
        </w:rPr>
        <w:t>Pg 148</w:t>
      </w:r>
    </w:p>
  </w:footnote>
  <w:footnote w:id="15">
    <w:p w:rsidR="00C45A11" w:rsidRDefault="00622DCA">
      <w:pPr>
        <w:spacing w:line="240" w:lineRule="auto"/>
        <w:contextualSpacing w:val="0"/>
        <w:rPr>
          <w:sz w:val="18"/>
          <w:szCs w:val="18"/>
        </w:rPr>
      </w:pPr>
      <w:r>
        <w:rPr>
          <w:vertAlign w:val="superscript"/>
        </w:rPr>
        <w:footnoteRef/>
      </w:r>
      <w:r>
        <w:rPr>
          <w:sz w:val="20"/>
          <w:szCs w:val="20"/>
        </w:rPr>
        <w:t xml:space="preserve"> </w:t>
      </w:r>
      <w:r>
        <w:rPr>
          <w:sz w:val="18"/>
          <w:szCs w:val="18"/>
        </w:rPr>
        <w:t xml:space="preserve">Taji-Farouki, Suha ‘Islamists and the Threat of Jihad:Hizb al-Tahrir and Al-Muhajiroun on Israel and the Jews’ in </w:t>
      </w:r>
      <w:r>
        <w:rPr>
          <w:i/>
          <w:sz w:val="18"/>
          <w:szCs w:val="18"/>
        </w:rPr>
        <w:t>Middle Eastern Stu</w:t>
      </w:r>
      <w:r>
        <w:rPr>
          <w:i/>
          <w:sz w:val="18"/>
          <w:szCs w:val="18"/>
        </w:rPr>
        <w:t xml:space="preserve">dies, Vol.36 No.4 </w:t>
      </w:r>
      <w:r>
        <w:rPr>
          <w:sz w:val="18"/>
          <w:szCs w:val="18"/>
        </w:rPr>
        <w:t>pg.34</w:t>
      </w:r>
      <w:r>
        <w:rPr>
          <w:sz w:val="18"/>
          <w:szCs w:val="18"/>
        </w:rPr>
        <w:br/>
      </w:r>
      <w:hyperlink r:id="rId6">
        <w:r>
          <w:rPr>
            <w:color w:val="1155CC"/>
            <w:sz w:val="18"/>
            <w:szCs w:val="18"/>
            <w:u w:val="single"/>
          </w:rPr>
          <w:t>https://www.tandfonline.com/doi/abs/10.1080/00263200008701330?journalCode=fmes20</w:t>
        </w:r>
      </w:hyperlink>
      <w:r>
        <w:rPr>
          <w:sz w:val="18"/>
          <w:szCs w:val="18"/>
        </w:rPr>
        <w:t xml:space="preserve"> </w:t>
      </w:r>
    </w:p>
  </w:footnote>
  <w:footnote w:id="16">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 xml:space="preserve">Kenney. “Interview with leading activist, Leyton, East London,November 2010, in </w:t>
      </w:r>
      <w:r>
        <w:rPr>
          <w:i/>
          <w:sz w:val="20"/>
          <w:szCs w:val="20"/>
        </w:rPr>
        <w:t>Islamic State in Britain,</w:t>
      </w:r>
      <w:r>
        <w:rPr>
          <w:sz w:val="20"/>
          <w:szCs w:val="20"/>
        </w:rPr>
        <w:t xml:space="preserve">  pg 223</w:t>
      </w:r>
    </w:p>
  </w:footnote>
  <w:footnote w:id="17">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 xml:space="preserve">Fazaeli, Roja “Martyrdom” in </w:t>
      </w:r>
      <w:r>
        <w:rPr>
          <w:i/>
          <w:sz w:val="20"/>
          <w:szCs w:val="20"/>
        </w:rPr>
        <w:t xml:space="preserve">The Oxford Encyclopedia of Islam and Women, </w:t>
      </w:r>
      <w:r>
        <w:rPr>
          <w:sz w:val="20"/>
          <w:szCs w:val="20"/>
        </w:rPr>
        <w:t xml:space="preserve">Oxford Islamic Studies Online </w:t>
      </w:r>
      <w:hyperlink r:id="rId7">
        <w:r>
          <w:rPr>
            <w:color w:val="1155CC"/>
            <w:sz w:val="20"/>
            <w:szCs w:val="20"/>
            <w:u w:val="single"/>
          </w:rPr>
          <w:t>http://www.oxfordislamicstudies.com.ezproxy.uwtsd.ac.uk/article/opr/t355/e0155?_hi=0&amp;_pos=2</w:t>
        </w:r>
      </w:hyperlink>
      <w:r>
        <w:rPr>
          <w:sz w:val="20"/>
          <w:szCs w:val="20"/>
        </w:rPr>
        <w:t xml:space="preserve"> </w:t>
      </w:r>
    </w:p>
  </w:footnote>
  <w:footnote w:id="18">
    <w:p w:rsidR="00C45A11" w:rsidRDefault="00622DCA">
      <w:pPr>
        <w:spacing w:line="240" w:lineRule="auto"/>
        <w:contextualSpacing w:val="0"/>
        <w:rPr>
          <w:sz w:val="20"/>
          <w:szCs w:val="20"/>
        </w:rPr>
      </w:pPr>
      <w:r>
        <w:rPr>
          <w:vertAlign w:val="superscript"/>
        </w:rPr>
        <w:footnoteRef/>
      </w:r>
      <w:r>
        <w:rPr>
          <w:sz w:val="20"/>
          <w:szCs w:val="20"/>
        </w:rPr>
        <w:t xml:space="preserve"> </w:t>
      </w:r>
      <w:r>
        <w:rPr>
          <w:sz w:val="18"/>
          <w:szCs w:val="18"/>
        </w:rPr>
        <w:t xml:space="preserve">Ansari, “Attitudes to Jihad, Martyrdom and Terrorism among British Muslims” </w:t>
      </w:r>
      <w:r>
        <w:rPr>
          <w:color w:val="121212"/>
          <w:sz w:val="18"/>
          <w:szCs w:val="18"/>
          <w:highlight w:val="white"/>
        </w:rPr>
        <w:t xml:space="preserve">(2005) </w:t>
      </w:r>
      <w:r>
        <w:rPr>
          <w:sz w:val="18"/>
          <w:szCs w:val="18"/>
        </w:rPr>
        <w:t>Pg 150</w:t>
      </w:r>
    </w:p>
  </w:footnote>
  <w:footnote w:id="19">
    <w:p w:rsidR="00C45A11" w:rsidRDefault="00622DCA">
      <w:pPr>
        <w:spacing w:line="240" w:lineRule="auto"/>
        <w:contextualSpacing w:val="0"/>
        <w:rPr>
          <w:sz w:val="20"/>
          <w:szCs w:val="20"/>
        </w:rPr>
      </w:pPr>
      <w:r>
        <w:rPr>
          <w:vertAlign w:val="superscript"/>
        </w:rPr>
        <w:footnoteRef/>
      </w:r>
      <w:r>
        <w:rPr>
          <w:sz w:val="20"/>
          <w:szCs w:val="20"/>
        </w:rPr>
        <w:t xml:space="preserve">  </w:t>
      </w:r>
      <w:r>
        <w:rPr>
          <w:sz w:val="20"/>
          <w:szCs w:val="20"/>
        </w:rPr>
        <w:t>Fazaeli, “Martyrdom”,</w:t>
      </w:r>
      <w:r>
        <w:rPr>
          <w:i/>
          <w:sz w:val="20"/>
          <w:szCs w:val="20"/>
        </w:rPr>
        <w:t xml:space="preserve"> </w:t>
      </w:r>
      <w:r>
        <w:rPr>
          <w:sz w:val="20"/>
          <w:szCs w:val="20"/>
        </w:rPr>
        <w:t xml:space="preserve">Oxford Islamic Studies Online </w:t>
      </w:r>
      <w:hyperlink r:id="rId8">
        <w:r>
          <w:rPr>
            <w:color w:val="1155CC"/>
            <w:sz w:val="20"/>
            <w:szCs w:val="20"/>
            <w:u w:val="single"/>
          </w:rPr>
          <w:t>http://www.oxfordislamicstudies.com.ezproxy.uwtsd.ac.uk/article/opr/t355/e0155?_hi=0&amp;_pos=2</w:t>
        </w:r>
      </w:hyperlink>
      <w:r>
        <w:rPr>
          <w:sz w:val="20"/>
          <w:szCs w:val="20"/>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45A11"/>
    <w:rsid w:val="005F6C7F"/>
    <w:rsid w:val="00622DCA"/>
    <w:rsid w:val="00C45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9494"/>
  <w15:docId w15:val="{FC7FE67C-5703-436A-9707-6C4EF182A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3072484?seq=18"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jstor.org/stable/4328762?seq=1" TargetMode="External"/><Relationship Id="rId12" Type="http://schemas.openxmlformats.org/officeDocument/2006/relationships/hyperlink" Target="https://www.tandfonline.com/doi/abs/10.1080/10576100500497004?journalCode=uter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xfordislamicstudies.com.ezproxy.uwtsd.ac.uk/article/opr/t236/e0663" TargetMode="External"/><Relationship Id="rId11" Type="http://schemas.openxmlformats.org/officeDocument/2006/relationships/hyperlink" Target="https://www.tandfonline.com/doi/abs/10.1080/00263200008701330?journalCode=fmes20"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oxfordscholarship.com.ezproxy.uwtsd.ac.uk/view/10.1093/acprof:oso/9780199333431.001.0001/acprof-9780199333431-chapter-2" TargetMode="External"/><Relationship Id="rId4" Type="http://schemas.openxmlformats.org/officeDocument/2006/relationships/footnotes" Target="footnotes.xml"/><Relationship Id="rId9" Type="http://schemas.openxmlformats.org/officeDocument/2006/relationships/hyperlink" Target="http://www.oxfordislamicstudies.com.ezproxy.uwtsd.ac.uk/article/opr/t355/e0155?_hi=0&amp;_pos=2"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oxfordislamicstudies.com.ezproxy.uwtsd.ac.uk/article/opr/t355/e0155?_hi=0&amp;_pos=2" TargetMode="External"/><Relationship Id="rId3" Type="http://schemas.openxmlformats.org/officeDocument/2006/relationships/hyperlink" Target="https://www-jstor-org.ezproxy.uwtsd.ac.uk/stable/3072484?seq=18" TargetMode="External"/><Relationship Id="rId7" Type="http://schemas.openxmlformats.org/officeDocument/2006/relationships/hyperlink" Target="http://www.oxfordislamicstudies.com.ezproxy.uwtsd.ac.uk/article/opr/t355/e0155?_hi=0&amp;_pos=2" TargetMode="External"/><Relationship Id="rId2" Type="http://schemas.openxmlformats.org/officeDocument/2006/relationships/hyperlink" Target="https://www.tandfonline.com/doi/abs/10.1080/10576100500497004?journalCode=uter20" TargetMode="External"/><Relationship Id="rId1" Type="http://schemas.openxmlformats.org/officeDocument/2006/relationships/hyperlink" Target="https://www.jstor.org/stable/4328762?seq=1" TargetMode="External"/><Relationship Id="rId6" Type="http://schemas.openxmlformats.org/officeDocument/2006/relationships/hyperlink" Target="https://www.tandfonline.com/doi/abs/10.1080/00263200008701330?journalCode=fmes20" TargetMode="External"/><Relationship Id="rId5" Type="http://schemas.openxmlformats.org/officeDocument/2006/relationships/hyperlink" Target="http://www.oxfordislamicstudies.com.ezproxy.uwtsd.ac.uk/article/opr/t236/e0663" TargetMode="External"/><Relationship Id="rId4" Type="http://schemas.openxmlformats.org/officeDocument/2006/relationships/hyperlink" Target="https://www-jstor-org.ezproxy.uwtsd.ac.uk/stable/3072484?seq=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7</Pages>
  <Words>2872</Words>
  <Characters>16372</Characters>
  <Application>Microsoft Office Word</Application>
  <DocSecurity>0</DocSecurity>
  <Lines>136</Lines>
  <Paragraphs>38</Paragraphs>
  <ScaleCrop>false</ScaleCrop>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Amina Oussalah (1602283)</cp:lastModifiedBy>
  <cp:revision>2</cp:revision>
  <dcterms:created xsi:type="dcterms:W3CDTF">2018-11-30T19:37:00Z</dcterms:created>
  <dcterms:modified xsi:type="dcterms:W3CDTF">2018-11-30T19:43:00Z</dcterms:modified>
</cp:coreProperties>
</file>