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1CB34B">
      <w:pPr>
        <w:jc w:val="center"/>
      </w:pPr>
      <w:r>
        <w:drawing>
          <wp:inline distT="0" distB="0" distL="0" distR="0">
            <wp:extent cx="4159250" cy="1588135"/>
            <wp:effectExtent l="0" t="0" r="1270" b="12065"/>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and Tata Steel - National Centre  for Universities &amp; Busines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4159250" cy="1588135"/>
                    </a:xfrm>
                    <a:prstGeom prst="rect">
                      <a:avLst/>
                    </a:prstGeom>
                    <a:noFill/>
                    <a:ln>
                      <a:noFill/>
                    </a:ln>
                  </pic:spPr>
                </pic:pic>
              </a:graphicData>
            </a:graphic>
          </wp:inline>
        </w:drawing>
      </w:r>
    </w:p>
    <w:p w14:paraId="4316FAA5"/>
    <w:p w14:paraId="51E0CB20">
      <w:pPr>
        <w:jc w:val="center"/>
        <w:rPr>
          <w:b/>
          <w:sz w:val="32"/>
          <w:szCs w:val="32"/>
        </w:rPr>
      </w:pPr>
      <w:r>
        <w:rPr>
          <w:b/>
          <w:sz w:val="32"/>
          <w:szCs w:val="32"/>
        </w:rPr>
        <w:t>How Can Skyscanner Survive When Google Controls the Travel Search Market?</w:t>
      </w:r>
    </w:p>
    <w:p w14:paraId="02CD5899">
      <w:pPr>
        <w:spacing w:after="160" w:line="278" w:lineRule="auto"/>
        <w:jc w:val="left"/>
        <w:rPr>
          <w:b/>
        </w:rPr>
      </w:pPr>
    </w:p>
    <w:p w14:paraId="448DC786">
      <w:pPr>
        <w:spacing w:after="160" w:line="278" w:lineRule="auto"/>
        <w:jc w:val="left"/>
        <w:rPr>
          <w:b/>
        </w:rPr>
      </w:pPr>
    </w:p>
    <w:p w14:paraId="14A7CF58">
      <w:pPr>
        <w:jc w:val="center"/>
        <w:rPr>
          <w:rFonts w:hint="default"/>
          <w:b/>
          <w:sz w:val="32"/>
          <w:szCs w:val="32"/>
          <w:lang w:val="en-GB"/>
        </w:rPr>
      </w:pPr>
      <w:r>
        <w:rPr>
          <w:b/>
          <w:sz w:val="32"/>
          <w:szCs w:val="32"/>
        </w:rPr>
        <w:t>Programme: Master of Business Administration</w:t>
      </w:r>
      <w:r>
        <w:rPr>
          <w:rFonts w:hint="default"/>
          <w:b/>
          <w:sz w:val="32"/>
          <w:szCs w:val="32"/>
          <w:lang w:val="en-GB"/>
        </w:rPr>
        <w:t xml:space="preserve">   </w:t>
      </w:r>
    </w:p>
    <w:p w14:paraId="18BAC282">
      <w:pPr>
        <w:ind w:firstLine="2721" w:firstLineChars="850"/>
        <w:jc w:val="both"/>
        <w:rPr>
          <w:rFonts w:hint="default"/>
          <w:b/>
          <w:sz w:val="32"/>
          <w:szCs w:val="32"/>
          <w:lang w:val="en-GB"/>
        </w:rPr>
      </w:pPr>
      <w:r>
        <w:rPr>
          <w:rFonts w:hint="default"/>
          <w:b/>
          <w:sz w:val="32"/>
          <w:szCs w:val="32"/>
          <w:lang w:val="en-GB"/>
        </w:rPr>
        <w:t xml:space="preserve">Module: Dissertation </w:t>
      </w:r>
    </w:p>
    <w:p w14:paraId="04091163">
      <w:pPr>
        <w:ind w:firstLine="2241" w:firstLineChars="700"/>
        <w:jc w:val="both"/>
        <w:rPr>
          <w:rFonts w:hint="default"/>
          <w:b/>
          <w:sz w:val="32"/>
          <w:szCs w:val="32"/>
          <w:lang w:val="en-GB"/>
        </w:rPr>
      </w:pPr>
      <w:r>
        <w:rPr>
          <w:rFonts w:hint="default"/>
          <w:b/>
          <w:sz w:val="32"/>
          <w:szCs w:val="32"/>
          <w:lang w:val="en-GB"/>
        </w:rPr>
        <w:t xml:space="preserve">Module Code: LCMB7035 </w:t>
      </w:r>
    </w:p>
    <w:p w14:paraId="1CE6E8A9">
      <w:pPr>
        <w:ind w:firstLine="1441" w:firstLineChars="450"/>
        <w:jc w:val="both"/>
        <w:rPr>
          <w:b/>
          <w:sz w:val="32"/>
          <w:szCs w:val="32"/>
        </w:rPr>
      </w:pPr>
      <w:r>
        <w:rPr>
          <w:b/>
          <w:sz w:val="32"/>
          <w:szCs w:val="32"/>
        </w:rPr>
        <w:t xml:space="preserve">Supervisor Name: </w:t>
      </w:r>
      <w:r>
        <w:rPr>
          <w:rFonts w:hint="default"/>
          <w:b/>
          <w:sz w:val="32"/>
          <w:szCs w:val="32"/>
          <w:lang w:val="en-GB"/>
        </w:rPr>
        <w:t xml:space="preserve"> Dr. </w:t>
      </w:r>
      <w:r>
        <w:rPr>
          <w:b/>
          <w:sz w:val="32"/>
          <w:szCs w:val="32"/>
        </w:rPr>
        <w:t>Stephen Malone</w:t>
      </w:r>
    </w:p>
    <w:p w14:paraId="5D4206DC">
      <w:pPr>
        <w:ind w:firstLine="1121" w:firstLineChars="350"/>
        <w:jc w:val="both"/>
        <w:rPr>
          <w:b/>
          <w:sz w:val="32"/>
          <w:szCs w:val="32"/>
        </w:rPr>
      </w:pPr>
      <w:r>
        <w:rPr>
          <w:b/>
          <w:sz w:val="32"/>
          <w:szCs w:val="32"/>
        </w:rPr>
        <w:t>Student name: MD Abdul Kadir Chowdhury</w:t>
      </w:r>
    </w:p>
    <w:p w14:paraId="03C45C5E">
      <w:pPr>
        <w:spacing w:after="160" w:line="278" w:lineRule="auto"/>
        <w:ind w:firstLine="2721" w:firstLineChars="850"/>
        <w:jc w:val="left"/>
        <w:rPr>
          <w:b/>
        </w:rPr>
      </w:pPr>
      <w:r>
        <w:rPr>
          <w:b/>
          <w:sz w:val="32"/>
          <w:szCs w:val="32"/>
        </w:rPr>
        <w:t>Student ID: 2435894</w:t>
      </w:r>
      <w:r>
        <w:rPr>
          <w:b/>
        </w:rPr>
        <w:br w:type="page"/>
      </w:r>
    </w:p>
    <w:p w14:paraId="2EDF9D03">
      <w:pPr>
        <w:pStyle w:val="2"/>
      </w:pPr>
      <w:bookmarkStart w:id="0" w:name="_Toc238757256"/>
      <w:bookmarkStart w:id="1" w:name="_Toc238766672"/>
      <w:r>
        <w:t>Declaration</w:t>
      </w:r>
      <w:bookmarkEnd w:id="0"/>
      <w:bookmarkEnd w:id="1"/>
      <w:r>
        <w:t xml:space="preserve"> </w:t>
      </w:r>
    </w:p>
    <w:p w14:paraId="53975122">
      <w:pPr>
        <w:pStyle w:val="56"/>
        <w:spacing w:before="0" w:beforeAutospacing="0" w:after="0" w:afterAutospacing="0"/>
        <w:jc w:val="both"/>
        <w:textAlignment w:val="baseline"/>
        <w:rPr>
          <w:sz w:val="20"/>
          <w:szCs w:val="18"/>
        </w:rPr>
      </w:pPr>
      <w:r>
        <w:rPr>
          <w:rStyle w:val="57"/>
          <w:rFonts w:eastAsiaTheme="majorEastAsia"/>
          <w:szCs w:val="22"/>
        </w:rPr>
        <w:t>I, MD Abdul Kadir Chowdhury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Pr>
          <w:rStyle w:val="58"/>
          <w:rFonts w:eastAsiaTheme="majorEastAsia"/>
          <w:szCs w:val="22"/>
        </w:rPr>
        <w:t> </w:t>
      </w:r>
    </w:p>
    <w:p w14:paraId="6F106568">
      <w:pPr>
        <w:pStyle w:val="56"/>
        <w:spacing w:before="0" w:beforeAutospacing="0" w:after="0" w:afterAutospacing="0"/>
        <w:textAlignment w:val="baseline"/>
        <w:rPr>
          <w:sz w:val="20"/>
          <w:szCs w:val="18"/>
        </w:rPr>
      </w:pPr>
      <w:r>
        <w:rPr>
          <w:rStyle w:val="58"/>
          <w:rFonts w:eastAsiaTheme="majorEastAsia"/>
          <w:szCs w:val="22"/>
        </w:rPr>
        <w:t> </w:t>
      </w:r>
    </w:p>
    <w:p w14:paraId="630F41BD">
      <w:pPr>
        <w:pStyle w:val="56"/>
        <w:spacing w:before="0" w:beforeAutospacing="0" w:after="0" w:afterAutospacing="0"/>
        <w:textAlignment w:val="baseline"/>
        <w:rPr>
          <w:sz w:val="20"/>
          <w:szCs w:val="18"/>
        </w:rPr>
      </w:pPr>
      <w:r>
        <w:rPr>
          <w:rStyle w:val="57"/>
          <w:rFonts w:eastAsiaTheme="majorEastAsia"/>
          <w:szCs w:val="22"/>
        </w:rPr>
        <w:t>Signature: MD Abdul Kadir Chowdhury</w:t>
      </w:r>
    </w:p>
    <w:p w14:paraId="5B59CC58">
      <w:pPr>
        <w:pStyle w:val="56"/>
        <w:spacing w:before="0" w:beforeAutospacing="0" w:after="0" w:afterAutospacing="0"/>
        <w:textAlignment w:val="baseline"/>
        <w:rPr>
          <w:sz w:val="20"/>
          <w:szCs w:val="18"/>
        </w:rPr>
      </w:pPr>
      <w:r>
        <w:rPr>
          <w:rStyle w:val="58"/>
          <w:rFonts w:eastAsiaTheme="majorEastAsia"/>
          <w:szCs w:val="22"/>
        </w:rPr>
        <w:t> </w:t>
      </w:r>
    </w:p>
    <w:p w14:paraId="1F014043">
      <w:pPr>
        <w:pStyle w:val="56"/>
        <w:spacing w:before="0" w:beforeAutospacing="0" w:after="0" w:afterAutospacing="0"/>
        <w:textAlignment w:val="baseline"/>
        <w:rPr>
          <w:sz w:val="20"/>
          <w:szCs w:val="18"/>
        </w:rPr>
      </w:pPr>
      <w:r>
        <w:rPr>
          <w:rStyle w:val="57"/>
          <w:rFonts w:eastAsiaTheme="majorEastAsia"/>
          <w:szCs w:val="22"/>
        </w:rPr>
        <w:t>Date: 27/08/2026</w:t>
      </w:r>
    </w:p>
    <w:p w14:paraId="0E0AFA39">
      <w:pPr>
        <w:spacing w:line="259" w:lineRule="auto"/>
        <w:jc w:val="left"/>
        <w:rPr>
          <w:rFonts w:eastAsiaTheme="majorEastAsia"/>
          <w:b/>
          <w:sz w:val="36"/>
          <w:szCs w:val="32"/>
        </w:rPr>
      </w:pPr>
      <w:r>
        <w:rPr>
          <w:sz w:val="28"/>
        </w:rPr>
        <w:br w:type="page"/>
      </w:r>
    </w:p>
    <w:p w14:paraId="106E386D">
      <w:pPr>
        <w:pStyle w:val="2"/>
      </w:pPr>
      <w:bookmarkStart w:id="2" w:name="_Toc238766673"/>
      <w:r>
        <w:t>Abstract</w:t>
      </w:r>
      <w:bookmarkEnd w:id="2"/>
    </w:p>
    <w:p w14:paraId="70F0E872">
      <w:pPr>
        <w:spacing w:line="360" w:lineRule="auto"/>
      </w:pPr>
      <w:r>
        <w:t>There is major disruption in the online travel industry. Google continues to conquer the travel search industry. The independent metasearch sites such as Skyscanner are at risk due to this dominance. This study investigates how Skyscanner can survive in this monopolised environment. A qualitative data analysis was conducted in this study with secondary data. Secondary papers were collected, including corporate reports, industry analyses and regulatory filings. Braun and Clarke thematic analysis framework was used to analyse the data.</w:t>
      </w:r>
    </w:p>
    <w:p w14:paraId="69E86ACF">
      <w:pPr>
        <w:spacing w:line="360" w:lineRule="auto"/>
      </w:pPr>
      <w:r>
        <w:t>The results indicate that there are three dominant themes. First, the search format of Google makes the conventional aggregator like Skyscanner extremely marginalised. Active suppression of other aggregators is done by absorbing most of the organic web traffic. It is done by features of zero-clicks and interface redesigns. Second, the existing regulatory frameworks such as the Digital Markets Act (DMA) by the EU do not reestablish fair competition. Dominating platforms take advantage of compliance gaps and national regulatory implementation is performative. Third, Skyscanner has been able to counter these external threats by diversifying the ecosystem. The company lessens its reliance on search engines by transferring the users to an in-house mobile application. Moreover, it capitalizes on centralised AI recommendation engines and B2B partnerships as distinctive strategic assets.</w:t>
      </w:r>
    </w:p>
    <w:p w14:paraId="21A7B527">
      <w:pPr>
        <w:spacing w:line="360" w:lineRule="auto"/>
      </w:pPr>
      <w:r>
        <w:t>The case study finds that independent travel platforms will not be able to survive on antitrust regulation. Rather, they have to develop internal resilience in their strategies. Platforms such as Skyscanner can effectively avoid search gatekeepers by creating closed-loop ecosystems and building strong technological infrastructure to overcome these gatekeepers.</w:t>
      </w:r>
    </w:p>
    <w:p w14:paraId="73C51967">
      <w:pPr>
        <w:spacing w:after="160" w:line="278" w:lineRule="auto"/>
        <w:jc w:val="left"/>
      </w:pPr>
      <w:r>
        <w:br w:type="page"/>
      </w:r>
    </w:p>
    <w:p w14:paraId="42BA0055">
      <w:pPr>
        <w:pStyle w:val="2"/>
      </w:pPr>
      <w:bookmarkStart w:id="3" w:name="_Toc238766674"/>
      <w:r>
        <w:t>Acknowledgement</w:t>
      </w:r>
      <w:bookmarkEnd w:id="3"/>
    </w:p>
    <w:p w14:paraId="7664CADD">
      <w:pPr>
        <w:spacing w:line="360" w:lineRule="auto"/>
      </w:pPr>
      <w:r>
        <w:t xml:space="preserve">I would like to express my gratitude to my supervisor, </w:t>
      </w:r>
      <w:r>
        <w:rPr>
          <w:rFonts w:hint="default"/>
          <w:lang w:val="en-GB"/>
        </w:rPr>
        <w:t xml:space="preserve"> Dr. </w:t>
      </w:r>
      <w:r>
        <w:t>Stephen Malone, for the constant guidance during the s</w:t>
      </w:r>
      <w:r>
        <w:rPr>
          <w:rFonts w:hint="default"/>
          <w:lang w:val="en-GB"/>
        </w:rPr>
        <w:t>upervision</w:t>
      </w:r>
      <w:bookmarkStart w:id="107" w:name="_GoBack"/>
      <w:bookmarkEnd w:id="107"/>
      <w:r>
        <w:t xml:space="preserve">. I was able to avoid all my misconceptions and mistakes with the help of the constant advices from my supervisor. </w:t>
      </w:r>
    </w:p>
    <w:p w14:paraId="4CFCA870">
      <w:pPr>
        <w:spacing w:after="160" w:line="278" w:lineRule="auto"/>
        <w:jc w:val="left"/>
        <w:rPr>
          <w:b/>
        </w:rPr>
      </w:pPr>
      <w:r>
        <w:rPr>
          <w:b/>
        </w:rPr>
        <w:br w:type="page"/>
      </w:r>
    </w:p>
    <w:sdt>
      <w:sdtPr>
        <w:rPr>
          <w:rFonts w:ascii="Times New Roman" w:hAnsi="Times New Roman" w:eastAsia="Times New Roman" w:cs="Times New Roman"/>
          <w:color w:val="auto"/>
          <w:sz w:val="24"/>
          <w:szCs w:val="24"/>
        </w:rPr>
        <w:id w:val="55359147"/>
        <w:docPartObj>
          <w:docPartGallery w:val="Table of Contents"/>
          <w:docPartUnique/>
        </w:docPartObj>
      </w:sdtPr>
      <w:sdtEndPr>
        <w:rPr>
          <w:rFonts w:ascii="Times New Roman" w:hAnsi="Times New Roman" w:eastAsia="Times New Roman" w:cs="Times New Roman"/>
          <w:b/>
          <w:bCs/>
          <w:color w:val="auto"/>
          <w:sz w:val="24"/>
          <w:szCs w:val="24"/>
        </w:rPr>
      </w:sdtEndPr>
      <w:sdtContent>
        <w:p w14:paraId="6ACAFBAF">
          <w:pPr>
            <w:pStyle w:val="52"/>
            <w:rPr>
              <w:rFonts w:ascii="Times New Roman" w:hAnsi="Times New Roman" w:cs="Times New Roman"/>
              <w:color w:val="auto"/>
            </w:rPr>
          </w:pPr>
          <w:r>
            <w:rPr>
              <w:rFonts w:ascii="Times New Roman" w:hAnsi="Times New Roman" w:cs="Times New Roman"/>
              <w:color w:val="auto"/>
            </w:rPr>
            <w:t>Table of Contents</w:t>
          </w:r>
        </w:p>
        <w:p w14:paraId="44556763">
          <w:pPr>
            <w:pStyle w:val="28"/>
            <w:tabs>
              <w:tab w:val="right" w:leader="dot" w:pos="8630"/>
            </w:tabs>
            <w:rPr>
              <w:rFonts w:asciiTheme="minorHAnsi" w:hAnsiTheme="minorHAnsi" w:eastAsiaTheme="minorEastAsia" w:cstheme="minorBidi"/>
              <w:sz w:val="22"/>
              <w:szCs w:val="22"/>
            </w:rPr>
          </w:pPr>
          <w:r>
            <w:fldChar w:fldCharType="begin"/>
          </w:r>
          <w:r>
            <w:instrText xml:space="preserve"> TOC \o "1-3" \h \z \u </w:instrText>
          </w:r>
          <w:r>
            <w:fldChar w:fldCharType="separate"/>
          </w:r>
          <w:r>
            <w:fldChar w:fldCharType="begin"/>
          </w:r>
          <w:r>
            <w:instrText xml:space="preserve"> HYPERLINK \l "_Toc238766672" </w:instrText>
          </w:r>
          <w:r>
            <w:fldChar w:fldCharType="separate"/>
          </w:r>
          <w:r>
            <w:rPr>
              <w:rStyle w:val="20"/>
            </w:rPr>
            <w:t>Declaration</w:t>
          </w:r>
          <w:r>
            <w:tab/>
          </w:r>
          <w:r>
            <w:fldChar w:fldCharType="begin"/>
          </w:r>
          <w:r>
            <w:instrText xml:space="preserve"> PAGEREF _Toc238766672 \h </w:instrText>
          </w:r>
          <w:r>
            <w:fldChar w:fldCharType="separate"/>
          </w:r>
          <w:r>
            <w:t>2</w:t>
          </w:r>
          <w:r>
            <w:fldChar w:fldCharType="end"/>
          </w:r>
          <w:r>
            <w:fldChar w:fldCharType="end"/>
          </w:r>
        </w:p>
        <w:p w14:paraId="1B6C29A4">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"_Toc238766673" </w:instrText>
          </w:r>
          <w:r>
            <w:fldChar w:fldCharType="separate"/>
          </w:r>
          <w:r>
            <w:rPr>
              <w:rStyle w:val="20"/>
            </w:rPr>
            <w:t>Abstract</w:t>
          </w:r>
          <w:r>
            <w:tab/>
          </w:r>
          <w:r>
            <w:fldChar w:fldCharType="begin"/>
          </w:r>
          <w:r>
            <w:instrText xml:space="preserve"> PAGEREF _Toc238766673 \h </w:instrText>
          </w:r>
          <w:r>
            <w:fldChar w:fldCharType="separate"/>
          </w:r>
          <w:r>
            <w:t>3</w:t>
          </w:r>
          <w:r>
            <w:fldChar w:fldCharType="end"/>
          </w:r>
          <w:r>
            <w:fldChar w:fldCharType="end"/>
          </w:r>
        </w:p>
        <w:p w14:paraId="1F8648E7">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"_Toc238766674" </w:instrText>
          </w:r>
          <w:r>
            <w:fldChar w:fldCharType="separate"/>
          </w:r>
          <w:r>
            <w:rPr>
              <w:rStyle w:val="20"/>
            </w:rPr>
            <w:t>Acknowledgement</w:t>
          </w:r>
          <w:r>
            <w:tab/>
          </w:r>
          <w:r>
            <w:fldChar w:fldCharType="begin"/>
          </w:r>
          <w:r>
            <w:instrText xml:space="preserve"> PAGEREF _Toc238766674 \h </w:instrText>
          </w:r>
          <w:r>
            <w:fldChar w:fldCharType="separate"/>
          </w:r>
          <w:r>
            <w:t>4</w:t>
          </w:r>
          <w:r>
            <w:fldChar w:fldCharType="end"/>
          </w:r>
          <w:r>
            <w:fldChar w:fldCharType="end"/>
          </w:r>
        </w:p>
        <w:p w14:paraId="7DA794F7">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"_Toc238766675" </w:instrText>
          </w:r>
          <w:r>
            <w:fldChar w:fldCharType="separate"/>
          </w:r>
          <w:r>
            <w:rPr>
              <w:rStyle w:val="20"/>
            </w:rPr>
            <w:t>Chapter 1: Introduction</w:t>
          </w:r>
          <w:r>
            <w:tab/>
          </w:r>
          <w:r>
            <w:fldChar w:fldCharType="begin"/>
          </w:r>
          <w:r>
            <w:instrText xml:space="preserve"> PAGEREF _Toc238766675 \h </w:instrText>
          </w:r>
          <w:r>
            <w:fldChar w:fldCharType="separate"/>
          </w:r>
          <w:r>
            <w:t>10</w:t>
          </w:r>
          <w:r>
            <w:fldChar w:fldCharType="end"/>
          </w:r>
          <w:r>
            <w:fldChar w:fldCharType="end"/>
          </w:r>
        </w:p>
        <w:p w14:paraId="210AB9C6">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"_Toc238766676" </w:instrText>
          </w:r>
          <w:r>
            <w:fldChar w:fldCharType="separate"/>
          </w:r>
          <w:r>
            <w:rPr>
              <w:rStyle w:val="20"/>
            </w:rPr>
            <w:t>1.1 Background</w:t>
          </w:r>
          <w:r>
            <w:tab/>
          </w:r>
          <w:r>
            <w:fldChar w:fldCharType="begin"/>
          </w:r>
          <w:r>
            <w:instrText xml:space="preserve"> PAGEREF _Toc238766676 \h </w:instrText>
          </w:r>
          <w:r>
            <w:fldChar w:fldCharType="separate"/>
          </w:r>
          <w:r>
            <w:t>10</w:t>
          </w:r>
          <w:r>
            <w:fldChar w:fldCharType="end"/>
          </w:r>
          <w:r>
            <w:fldChar w:fldCharType="end"/>
          </w:r>
        </w:p>
        <w:p w14:paraId="3385A617">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"_Toc238766677" </w:instrText>
          </w:r>
          <w:r>
            <w:fldChar w:fldCharType="separate"/>
          </w:r>
          <w:r>
            <w:rPr>
              <w:rStyle w:val="20"/>
            </w:rPr>
            <w:t>1.2 Problem Statement</w:t>
          </w:r>
          <w:r>
            <w:tab/>
          </w:r>
          <w:r>
            <w:fldChar w:fldCharType="begin"/>
          </w:r>
          <w:r>
            <w:instrText xml:space="preserve"> PAGEREF _Toc238766677 \h </w:instrText>
          </w:r>
          <w:r>
            <w:fldChar w:fldCharType="separate"/>
          </w:r>
          <w:r>
            <w:t>11</w:t>
          </w:r>
          <w:r>
            <w:fldChar w:fldCharType="end"/>
          </w:r>
          <w:r>
            <w:fldChar w:fldCharType="end"/>
          </w:r>
        </w:p>
        <w:p w14:paraId="29418CEF">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"_Toc238766678" </w:instrText>
          </w:r>
          <w:r>
            <w:fldChar w:fldCharType="separate"/>
          </w:r>
          <w:r>
            <w:rPr>
              <w:rStyle w:val="20"/>
            </w:rPr>
            <w:t>1.3 Aim</w:t>
          </w:r>
          <w:r>
            <w:tab/>
          </w:r>
          <w:r>
            <w:fldChar w:fldCharType="begin"/>
          </w:r>
          <w:r>
            <w:instrText xml:space="preserve"> PAGEREF _Toc238766678 \h </w:instrText>
          </w:r>
          <w:r>
            <w:fldChar w:fldCharType="separate"/>
          </w:r>
          <w:r>
            <w:t>12</w:t>
          </w:r>
          <w:r>
            <w:fldChar w:fldCharType="end"/>
          </w:r>
          <w:r>
            <w:fldChar w:fldCharType="end"/>
          </w:r>
        </w:p>
        <w:p w14:paraId="52C878BA">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"_Toc238766679" </w:instrText>
          </w:r>
          <w:r>
            <w:fldChar w:fldCharType="separate"/>
          </w:r>
          <w:r>
            <w:rPr>
              <w:rStyle w:val="20"/>
            </w:rPr>
            <w:t>1.4 Research Objectives</w:t>
          </w:r>
          <w:r>
            <w:tab/>
          </w:r>
          <w:r>
            <w:fldChar w:fldCharType="begin"/>
          </w:r>
          <w:r>
            <w:instrText xml:space="preserve"> PAGEREF _Toc238766679 \h </w:instrText>
          </w:r>
          <w:r>
            <w:fldChar w:fldCharType="separate"/>
          </w:r>
          <w:r>
            <w:t>12</w:t>
          </w:r>
          <w:r>
            <w:fldChar w:fldCharType="end"/>
          </w:r>
          <w:r>
            <w:fldChar w:fldCharType="end"/>
          </w:r>
        </w:p>
        <w:p w14:paraId="6FCC517B">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"_Toc238766680" </w:instrText>
          </w:r>
          <w:r>
            <w:fldChar w:fldCharType="separate"/>
          </w:r>
          <w:r>
            <w:rPr>
              <w:rStyle w:val="20"/>
            </w:rPr>
            <w:t>1.5 Research Questions</w:t>
          </w:r>
          <w:r>
            <w:tab/>
          </w:r>
          <w:r>
            <w:fldChar w:fldCharType="begin"/>
          </w:r>
          <w:r>
            <w:instrText xml:space="preserve"> PAGEREF _Toc238766680 \h </w:instrText>
          </w:r>
          <w:r>
            <w:fldChar w:fldCharType="separate"/>
          </w:r>
          <w:r>
            <w:t>13</w:t>
          </w:r>
          <w:r>
            <w:fldChar w:fldCharType="end"/>
          </w:r>
          <w:r>
            <w:fldChar w:fldCharType="end"/>
          </w:r>
        </w:p>
        <w:p w14:paraId="0C5EDAB1">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"_Toc238766681" </w:instrText>
          </w:r>
          <w:r>
            <w:fldChar w:fldCharType="separate"/>
          </w:r>
          <w:r>
            <w:rPr>
              <w:rStyle w:val="20"/>
            </w:rPr>
            <w:t>1.6 Relevancy of Research</w:t>
          </w:r>
          <w:r>
            <w:tab/>
          </w:r>
          <w:r>
            <w:fldChar w:fldCharType="begin"/>
          </w:r>
          <w:r>
            <w:instrText xml:space="preserve"> PAGEREF _Toc238766681 \h </w:instrText>
          </w:r>
          <w:r>
            <w:fldChar w:fldCharType="separate"/>
          </w:r>
          <w:r>
            <w:t>13</w:t>
          </w:r>
          <w:r>
            <w:fldChar w:fldCharType="end"/>
          </w:r>
          <w:r>
            <w:fldChar w:fldCharType="end"/>
          </w:r>
        </w:p>
        <w:p w14:paraId="2DF86748">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"_Toc238766682" </w:instrText>
          </w:r>
          <w:r>
            <w:fldChar w:fldCharType="separate"/>
          </w:r>
          <w:r>
            <w:rPr>
              <w:rStyle w:val="20"/>
            </w:rPr>
            <w:t>1.7 Brief Research Methodology</w:t>
          </w:r>
          <w:r>
            <w:tab/>
          </w:r>
          <w:r>
            <w:fldChar w:fldCharType="begin"/>
          </w:r>
          <w:r>
            <w:instrText xml:space="preserve"> PAGEREF _Toc238766682 \h </w:instrText>
          </w:r>
          <w:r>
            <w:fldChar w:fldCharType="separate"/>
          </w:r>
          <w:r>
            <w:t>14</w:t>
          </w:r>
          <w:r>
            <w:fldChar w:fldCharType="end"/>
          </w:r>
          <w:r>
            <w:fldChar w:fldCharType="end"/>
          </w:r>
        </w:p>
        <w:p w14:paraId="2D9F0ABA">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"_Toc238766683" </w:instrText>
          </w:r>
          <w:r>
            <w:fldChar w:fldCharType="separate"/>
          </w:r>
          <w:r>
            <w:rPr>
              <w:rStyle w:val="20"/>
            </w:rPr>
            <w:t>1.8 Structure of Rest of Project</w:t>
          </w:r>
          <w:r>
            <w:tab/>
          </w:r>
          <w:r>
            <w:fldChar w:fldCharType="begin"/>
          </w:r>
          <w:r>
            <w:instrText xml:space="preserve"> PAGEREF _Toc238766683 \h </w:instrText>
          </w:r>
          <w:r>
            <w:fldChar w:fldCharType="separate"/>
          </w:r>
          <w:r>
            <w:t>15</w:t>
          </w:r>
          <w:r>
            <w:fldChar w:fldCharType="end"/>
          </w:r>
          <w:r>
            <w:fldChar w:fldCharType="end"/>
          </w:r>
        </w:p>
        <w:p w14:paraId="496B45AE">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"_Toc238766684" </w:instrText>
          </w:r>
          <w:r>
            <w:fldChar w:fldCharType="separate"/>
          </w:r>
          <w:r>
            <w:rPr>
              <w:rStyle w:val="20"/>
            </w:rPr>
            <w:t>Chapter 2: Literature Review</w:t>
          </w:r>
          <w:r>
            <w:tab/>
          </w:r>
          <w:r>
            <w:fldChar w:fldCharType="begin"/>
          </w:r>
          <w:r>
            <w:instrText xml:space="preserve"> PAGEREF _Toc238766684 \h </w:instrText>
          </w:r>
          <w:r>
            <w:fldChar w:fldCharType="separate"/>
          </w:r>
          <w:r>
            <w:t>16</w:t>
          </w:r>
          <w:r>
            <w:fldChar w:fldCharType="end"/>
          </w:r>
          <w:r>
            <w:fldChar w:fldCharType="end"/>
          </w:r>
        </w:p>
        <w:p w14:paraId="335D0252">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"_Toc238766685" </w:instrText>
          </w:r>
          <w:r>
            <w:fldChar w:fldCharType="separate"/>
          </w:r>
          <w:r>
            <w:rPr>
              <w:rStyle w:val="20"/>
            </w:rPr>
            <w:t>2.1 Introduction</w:t>
          </w:r>
          <w:r>
            <w:tab/>
          </w:r>
          <w:r>
            <w:fldChar w:fldCharType="begin"/>
          </w:r>
          <w:r>
            <w:instrText xml:space="preserve"> PAGEREF _Toc238766685 \h </w:instrText>
          </w:r>
          <w:r>
            <w:fldChar w:fldCharType="separate"/>
          </w:r>
          <w:r>
            <w:t>16</w:t>
          </w:r>
          <w:r>
            <w:fldChar w:fldCharType="end"/>
          </w:r>
          <w:r>
            <w:fldChar w:fldCharType="end"/>
          </w:r>
        </w:p>
        <w:p w14:paraId="122EE307">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"_Toc238766686" </w:instrText>
          </w:r>
          <w:r>
            <w:fldChar w:fldCharType="separate"/>
          </w:r>
          <w:r>
            <w:rPr>
              <w:rStyle w:val="20"/>
            </w:rPr>
            <w:t>2.2 Search Layout Changes</w:t>
          </w:r>
          <w:r>
            <w:tab/>
          </w:r>
          <w:r>
            <w:fldChar w:fldCharType="begin"/>
          </w:r>
          <w:r>
            <w:instrText xml:space="preserve"> PAGEREF _Toc238766686 \h </w:instrText>
          </w:r>
          <w:r>
            <w:fldChar w:fldCharType="separate"/>
          </w:r>
          <w:r>
            <w:t>16</w:t>
          </w:r>
          <w:r>
            <w:fldChar w:fldCharType="end"/>
          </w:r>
          <w:r>
            <w:fldChar w:fldCharType="end"/>
          </w:r>
        </w:p>
        <w:p w14:paraId="2BC831DA">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"_Toc238766687" </w:instrText>
          </w:r>
          <w:r>
            <w:fldChar w:fldCharType="separate"/>
          </w:r>
          <w:r>
            <w:rPr>
              <w:rStyle w:val="20"/>
            </w:rPr>
            <w:t>2.2.1 Necessity of Changing Search Layout</w:t>
          </w:r>
          <w:r>
            <w:tab/>
          </w:r>
          <w:r>
            <w:fldChar w:fldCharType="begin"/>
          </w:r>
          <w:r>
            <w:instrText xml:space="preserve"> PAGEREF _Toc238766687 \h </w:instrText>
          </w:r>
          <w:r>
            <w:fldChar w:fldCharType="separate"/>
          </w:r>
          <w:r>
            <w:t>17</w:t>
          </w:r>
          <w:r>
            <w:fldChar w:fldCharType="end"/>
          </w:r>
          <w:r>
            <w:fldChar w:fldCharType="end"/>
          </w:r>
        </w:p>
        <w:p w14:paraId="3A2D356A">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"_Toc238766688" </w:instrText>
          </w:r>
          <w:r>
            <w:fldChar w:fldCharType="separate"/>
          </w:r>
          <w:r>
            <w:rPr>
              <w:rStyle w:val="20"/>
            </w:rPr>
            <w:t>2.2.2 Impact of Search Layout Changes on Web Traffic</w:t>
          </w:r>
          <w:r>
            <w:tab/>
          </w:r>
          <w:r>
            <w:fldChar w:fldCharType="begin"/>
          </w:r>
          <w:r>
            <w:instrText xml:space="preserve"> PAGEREF _Toc238766688 \h </w:instrText>
          </w:r>
          <w:r>
            <w:fldChar w:fldCharType="separate"/>
          </w:r>
          <w:r>
            <w:t>19</w:t>
          </w:r>
          <w:r>
            <w:fldChar w:fldCharType="end"/>
          </w:r>
          <w:r>
            <w:fldChar w:fldCharType="end"/>
          </w:r>
        </w:p>
        <w:p w14:paraId="7366E657">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"_Toc238766689" </w:instrText>
          </w:r>
          <w:r>
            <w:fldChar w:fldCharType="separate"/>
          </w:r>
          <w:r>
            <w:rPr>
              <w:rStyle w:val="20"/>
            </w:rPr>
            <w:t>2.3 Reducing Dependence on Specific Search Engine in Online Travel Industry</w:t>
          </w:r>
          <w:r>
            <w:tab/>
          </w:r>
          <w:r>
            <w:fldChar w:fldCharType="begin"/>
          </w:r>
          <w:r>
            <w:instrText xml:space="preserve"> PAGEREF _Toc238766689 \h </w:instrText>
          </w:r>
          <w:r>
            <w:fldChar w:fldCharType="separate"/>
          </w:r>
          <w:r>
            <w:t>20</w:t>
          </w:r>
          <w:r>
            <w:fldChar w:fldCharType="end"/>
          </w:r>
          <w:r>
            <w:fldChar w:fldCharType="end"/>
          </w:r>
        </w:p>
        <w:p w14:paraId="4D9F98B5">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"_Toc238766690" </w:instrText>
          </w:r>
          <w:r>
            <w:fldChar w:fldCharType="separate"/>
          </w:r>
          <w:r>
            <w:rPr>
              <w:rStyle w:val="20"/>
            </w:rPr>
            <w:t>2.3.1 Process of Enhancing Competitive Power and Reducing Dependence</w:t>
          </w:r>
          <w:r>
            <w:tab/>
          </w:r>
          <w:r>
            <w:fldChar w:fldCharType="begin"/>
          </w:r>
          <w:r>
            <w:instrText xml:space="preserve"> PAGEREF _Toc238766690 \h </w:instrText>
          </w:r>
          <w:r>
            <w:fldChar w:fldCharType="separate"/>
          </w:r>
          <w:r>
            <w:t>21</w:t>
          </w:r>
          <w:r>
            <w:fldChar w:fldCharType="end"/>
          </w:r>
          <w:r>
            <w:fldChar w:fldCharType="end"/>
          </w:r>
        </w:p>
        <w:p w14:paraId="7EB23064">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"_Toc238766691" </w:instrText>
          </w:r>
          <w:r>
            <w:fldChar w:fldCharType="separate"/>
          </w:r>
          <w:r>
            <w:rPr>
              <w:rStyle w:val="20"/>
            </w:rPr>
            <w:t>2.3.2 Importance of Taking Strategic Initiatives for Reducing Dependence on a Search Engine</w:t>
          </w:r>
          <w:r>
            <w:tab/>
          </w:r>
          <w:r>
            <w:fldChar w:fldCharType="begin"/>
          </w:r>
          <w:r>
            <w:instrText xml:space="preserve"> PAGEREF _Toc238766691 \h </w:instrText>
          </w:r>
          <w:r>
            <w:fldChar w:fldCharType="separate"/>
          </w:r>
          <w:r>
            <w:t>22</w:t>
          </w:r>
          <w:r>
            <w:fldChar w:fldCharType="end"/>
          </w:r>
          <w:r>
            <w:fldChar w:fldCharType="end"/>
          </w:r>
        </w:p>
        <w:p w14:paraId="14F767F6">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"_Toc238766692" </w:instrText>
          </w:r>
          <w:r>
            <w:fldChar w:fldCharType="separate"/>
          </w:r>
          <w:r>
            <w:rPr>
              <w:rStyle w:val="20"/>
            </w:rPr>
            <w:t>2.3.3 Benefits of Strategic Initiatives to Reduce Dependence on Any Search Engine Platform</w:t>
          </w:r>
          <w:r>
            <w:tab/>
          </w:r>
          <w:r>
            <w:fldChar w:fldCharType="begin"/>
          </w:r>
          <w:r>
            <w:instrText xml:space="preserve"> PAGEREF _Toc238766692 \h </w:instrText>
          </w:r>
          <w:r>
            <w:fldChar w:fldCharType="separate"/>
          </w:r>
          <w:r>
            <w:t>24</w:t>
          </w:r>
          <w:r>
            <w:fldChar w:fldCharType="end"/>
          </w:r>
          <w:r>
            <w:fldChar w:fldCharType="end"/>
          </w:r>
        </w:p>
        <w:p w14:paraId="725C171D">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"_Toc238766693" </w:instrText>
          </w:r>
          <w:r>
            <w:fldChar w:fldCharType="separate"/>
          </w:r>
          <w:r>
            <w:rPr>
              <w:rStyle w:val="20"/>
            </w:rPr>
            <w:t>2.4 Effectiveness of Regulatory Framework in Restoring Fair Competition</w:t>
          </w:r>
          <w:r>
            <w:tab/>
          </w:r>
          <w:r>
            <w:fldChar w:fldCharType="begin"/>
          </w:r>
          <w:r>
            <w:instrText xml:space="preserve"> PAGEREF _Toc238766693 \h </w:instrText>
          </w:r>
          <w:r>
            <w:fldChar w:fldCharType="separate"/>
          </w:r>
          <w:r>
            <w:t>25</w:t>
          </w:r>
          <w:r>
            <w:fldChar w:fldCharType="end"/>
          </w:r>
          <w:r>
            <w:fldChar w:fldCharType="end"/>
          </w:r>
        </w:p>
        <w:p w14:paraId="51EFB011">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"_Toc238766694" </w:instrText>
          </w:r>
          <w:r>
            <w:fldChar w:fldCharType="separate"/>
          </w:r>
          <w:r>
            <w:rPr>
              <w:rStyle w:val="20"/>
            </w:rPr>
            <w:t>2.4.1 Process of Maintaining Regulatory Framework to Gain Competitive Benefits</w:t>
          </w:r>
          <w:r>
            <w:tab/>
          </w:r>
          <w:r>
            <w:fldChar w:fldCharType="begin"/>
          </w:r>
          <w:r>
            <w:instrText xml:space="preserve"> PAGEREF _Toc238766694 \h </w:instrText>
          </w:r>
          <w:r>
            <w:fldChar w:fldCharType="separate"/>
          </w:r>
          <w:r>
            <w:t>27</w:t>
          </w:r>
          <w:r>
            <w:fldChar w:fldCharType="end"/>
          </w:r>
          <w:r>
            <w:fldChar w:fldCharType="end"/>
          </w:r>
        </w:p>
        <w:p w14:paraId="734251D1">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"_Toc238766695" </w:instrText>
          </w:r>
          <w:r>
            <w:fldChar w:fldCharType="separate"/>
          </w:r>
          <w:r>
            <w:rPr>
              <w:rStyle w:val="20"/>
            </w:rPr>
            <w:t>2.4.2 Benefits of Fair Competition in the Travel Industry</w:t>
          </w:r>
          <w:r>
            <w:tab/>
          </w:r>
          <w:r>
            <w:fldChar w:fldCharType="begin"/>
          </w:r>
          <w:r>
            <w:instrText xml:space="preserve"> PAGEREF _Toc238766695 \h </w:instrText>
          </w:r>
          <w:r>
            <w:fldChar w:fldCharType="separate"/>
          </w:r>
          <w:r>
            <w:t>28</w:t>
          </w:r>
          <w:r>
            <w:fldChar w:fldCharType="end"/>
          </w:r>
          <w:r>
            <w:fldChar w:fldCharType="end"/>
          </w:r>
        </w:p>
        <w:p w14:paraId="5249B05E">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"_Toc238766696" </w:instrText>
          </w:r>
          <w:r>
            <w:fldChar w:fldCharType="separate"/>
          </w:r>
          <w:r>
            <w:rPr>
              <w:rStyle w:val="20"/>
            </w:rPr>
            <w:t>2.5 Theoretical Framework</w:t>
          </w:r>
          <w:r>
            <w:tab/>
          </w:r>
          <w:r>
            <w:fldChar w:fldCharType="begin"/>
          </w:r>
          <w:r>
            <w:instrText xml:space="preserve"> PAGEREF _Toc238766696 \h </w:instrText>
          </w:r>
          <w:r>
            <w:fldChar w:fldCharType="separate"/>
          </w:r>
          <w:r>
            <w:t>29</w:t>
          </w:r>
          <w:r>
            <w:fldChar w:fldCharType="end"/>
          </w:r>
          <w:r>
            <w:fldChar w:fldCharType="end"/>
          </w:r>
        </w:p>
        <w:p w14:paraId="6FFFE049">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"_Toc238766697" </w:instrText>
          </w:r>
          <w:r>
            <w:fldChar w:fldCharType="separate"/>
          </w:r>
          <w:r>
            <w:rPr>
              <w:rStyle w:val="20"/>
            </w:rPr>
            <w:t>2.5.2 Resource-Based View (RBV) Theory</w:t>
          </w:r>
          <w:r>
            <w:tab/>
          </w:r>
          <w:r>
            <w:fldChar w:fldCharType="begin"/>
          </w:r>
          <w:r>
            <w:instrText xml:space="preserve"> PAGEREF _Toc238766697 \h </w:instrText>
          </w:r>
          <w:r>
            <w:fldChar w:fldCharType="separate"/>
          </w:r>
          <w:r>
            <w:t>30</w:t>
          </w:r>
          <w:r>
            <w:fldChar w:fldCharType="end"/>
          </w:r>
          <w:r>
            <w:fldChar w:fldCharType="end"/>
          </w:r>
        </w:p>
        <w:p w14:paraId="464C3E11">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"_Toc238766698" </w:instrText>
          </w:r>
          <w:r>
            <w:fldChar w:fldCharType="separate"/>
          </w:r>
          <w:r>
            <w:rPr>
              <w:rStyle w:val="20"/>
            </w:rPr>
            <w:t>2.5.3 PESTEL Analysis</w:t>
          </w:r>
          <w:r>
            <w:tab/>
          </w:r>
          <w:r>
            <w:fldChar w:fldCharType="begin"/>
          </w:r>
          <w:r>
            <w:instrText xml:space="preserve"> PAGEREF _Toc238766698 \h </w:instrText>
          </w:r>
          <w:r>
            <w:fldChar w:fldCharType="separate"/>
          </w:r>
          <w:r>
            <w:t>31</w:t>
          </w:r>
          <w:r>
            <w:fldChar w:fldCharType="end"/>
          </w:r>
          <w:r>
            <w:fldChar w:fldCharType="end"/>
          </w:r>
        </w:p>
        <w:p w14:paraId="75F5DB3A">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"_Toc238766699" </w:instrText>
          </w:r>
          <w:r>
            <w:fldChar w:fldCharType="separate"/>
          </w:r>
          <w:r>
            <w:rPr>
              <w:rStyle w:val="20"/>
            </w:rPr>
            <w:t>2.6 Literature Gaps</w:t>
          </w:r>
          <w:r>
            <w:tab/>
          </w:r>
          <w:r>
            <w:fldChar w:fldCharType="begin"/>
          </w:r>
          <w:r>
            <w:instrText xml:space="preserve"> PAGEREF _Toc238766699 \h </w:instrText>
          </w:r>
          <w:r>
            <w:fldChar w:fldCharType="separate"/>
          </w:r>
          <w:r>
            <w:t>32</w:t>
          </w:r>
          <w:r>
            <w:fldChar w:fldCharType="end"/>
          </w:r>
          <w:r>
            <w:fldChar w:fldCharType="end"/>
          </w:r>
        </w:p>
        <w:p w14:paraId="73E84417">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"_Toc238766700" </w:instrText>
          </w:r>
          <w:r>
            <w:fldChar w:fldCharType="separate"/>
          </w:r>
          <w:r>
            <w:rPr>
              <w:rStyle w:val="20"/>
            </w:rPr>
            <w:t>2.7 Summary</w:t>
          </w:r>
          <w:r>
            <w:tab/>
          </w:r>
          <w:r>
            <w:fldChar w:fldCharType="begin"/>
          </w:r>
          <w:r>
            <w:instrText xml:space="preserve"> PAGEREF _Toc238766700 \h </w:instrText>
          </w:r>
          <w:r>
            <w:fldChar w:fldCharType="separate"/>
          </w:r>
          <w:r>
            <w:t>32</w:t>
          </w:r>
          <w:r>
            <w:fldChar w:fldCharType="end"/>
          </w:r>
          <w:r>
            <w:fldChar w:fldCharType="end"/>
          </w:r>
        </w:p>
        <w:p w14:paraId="308928A8">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"_Toc238766701" </w:instrText>
          </w:r>
          <w:r>
            <w:fldChar w:fldCharType="separate"/>
          </w:r>
          <w:r>
            <w:rPr>
              <w:rStyle w:val="20"/>
            </w:rPr>
            <w:t>Chapter 3: Methodology</w:t>
          </w:r>
          <w:r>
            <w:tab/>
          </w:r>
          <w:r>
            <w:fldChar w:fldCharType="begin"/>
          </w:r>
          <w:r>
            <w:instrText xml:space="preserve"> PAGEREF _Toc238766701 \h </w:instrText>
          </w:r>
          <w:r>
            <w:fldChar w:fldCharType="separate"/>
          </w:r>
          <w:r>
            <w:t>34</w:t>
          </w:r>
          <w:r>
            <w:fldChar w:fldCharType="end"/>
          </w:r>
          <w:r>
            <w:fldChar w:fldCharType="end"/>
          </w:r>
        </w:p>
        <w:p w14:paraId="18E98A14">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"_Toc238766702" </w:instrText>
          </w:r>
          <w:r>
            <w:fldChar w:fldCharType="separate"/>
          </w:r>
          <w:r>
            <w:rPr>
              <w:rStyle w:val="20"/>
            </w:rPr>
            <w:t>3.1 Introduction</w:t>
          </w:r>
          <w:r>
            <w:tab/>
          </w:r>
          <w:r>
            <w:fldChar w:fldCharType="begin"/>
          </w:r>
          <w:r>
            <w:instrText xml:space="preserve"> PAGEREF _Toc238766702 \h </w:instrText>
          </w:r>
          <w:r>
            <w:fldChar w:fldCharType="separate"/>
          </w:r>
          <w:r>
            <w:t>34</w:t>
          </w:r>
          <w:r>
            <w:fldChar w:fldCharType="end"/>
          </w:r>
          <w:r>
            <w:fldChar w:fldCharType="end"/>
          </w:r>
        </w:p>
        <w:p w14:paraId="5262DAF6">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"_Toc238766703" </w:instrText>
          </w:r>
          <w:r>
            <w:fldChar w:fldCharType="separate"/>
          </w:r>
          <w:r>
            <w:rPr>
              <w:rStyle w:val="20"/>
            </w:rPr>
            <w:t>3.2 Research Philosophies and Assumptions</w:t>
          </w:r>
          <w:r>
            <w:tab/>
          </w:r>
          <w:r>
            <w:fldChar w:fldCharType="begin"/>
          </w:r>
          <w:r>
            <w:instrText xml:space="preserve"> PAGEREF _Toc238766703 \h </w:instrText>
          </w:r>
          <w:r>
            <w:fldChar w:fldCharType="separate"/>
          </w:r>
          <w:r>
            <w:t>35</w:t>
          </w:r>
          <w:r>
            <w:fldChar w:fldCharType="end"/>
          </w:r>
          <w:r>
            <w:fldChar w:fldCharType="end"/>
          </w:r>
        </w:p>
        <w:p w14:paraId="3576E3F6">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"_Toc238766704" </w:instrText>
          </w:r>
          <w:r>
            <w:fldChar w:fldCharType="separate"/>
          </w:r>
          <w:r>
            <w:rPr>
              <w:rStyle w:val="20"/>
            </w:rPr>
            <w:t>3.3 Research Design</w:t>
          </w:r>
          <w:r>
            <w:tab/>
          </w:r>
          <w:r>
            <w:fldChar w:fldCharType="begin"/>
          </w:r>
          <w:r>
            <w:instrText xml:space="preserve"> PAGEREF _Toc238766704 \h </w:instrText>
          </w:r>
          <w:r>
            <w:fldChar w:fldCharType="separate"/>
          </w:r>
          <w:r>
            <w:t>37</w:t>
          </w:r>
          <w:r>
            <w:fldChar w:fldCharType="end"/>
          </w:r>
          <w:r>
            <w:fldChar w:fldCharType="end"/>
          </w:r>
        </w:p>
        <w:p w14:paraId="2D1430FB">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"_Toc238766705" </w:instrText>
          </w:r>
          <w:r>
            <w:fldChar w:fldCharType="separate"/>
          </w:r>
          <w:r>
            <w:rPr>
              <w:rStyle w:val="20"/>
            </w:rPr>
            <w:t>3.4 Research Approaches</w:t>
          </w:r>
          <w:r>
            <w:tab/>
          </w:r>
          <w:r>
            <w:fldChar w:fldCharType="begin"/>
          </w:r>
          <w:r>
            <w:instrText xml:space="preserve"> PAGEREF _Toc238766705 \h </w:instrText>
          </w:r>
          <w:r>
            <w:fldChar w:fldCharType="separate"/>
          </w:r>
          <w:r>
            <w:t>39</w:t>
          </w:r>
          <w:r>
            <w:fldChar w:fldCharType="end"/>
          </w:r>
          <w:r>
            <w:fldChar w:fldCharType="end"/>
          </w:r>
        </w:p>
        <w:p w14:paraId="7AA7D423">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"_Toc238766706" </w:instrText>
          </w:r>
          <w:r>
            <w:fldChar w:fldCharType="separate"/>
          </w:r>
          <w:r>
            <w:rPr>
              <w:rStyle w:val="20"/>
            </w:rPr>
            <w:t>3.5 Data Collection Method</w:t>
          </w:r>
          <w:r>
            <w:tab/>
          </w:r>
          <w:r>
            <w:fldChar w:fldCharType="begin"/>
          </w:r>
          <w:r>
            <w:instrText xml:space="preserve"> PAGEREF _Toc238766706 \h </w:instrText>
          </w:r>
          <w:r>
            <w:fldChar w:fldCharType="separate"/>
          </w:r>
          <w:r>
            <w:t>40</w:t>
          </w:r>
          <w:r>
            <w:fldChar w:fldCharType="end"/>
          </w:r>
          <w:r>
            <w:fldChar w:fldCharType="end"/>
          </w:r>
        </w:p>
        <w:p w14:paraId="13824372">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"_Toc238766707" </w:instrText>
          </w:r>
          <w:r>
            <w:fldChar w:fldCharType="separate"/>
          </w:r>
          <w:r>
            <w:rPr>
              <w:rStyle w:val="20"/>
            </w:rPr>
            <w:t>3.6 Data Analysis</w:t>
          </w:r>
          <w:r>
            <w:tab/>
          </w:r>
          <w:r>
            <w:fldChar w:fldCharType="begin"/>
          </w:r>
          <w:r>
            <w:instrText xml:space="preserve"> PAGEREF _Toc238766707 \h </w:instrText>
          </w:r>
          <w:r>
            <w:fldChar w:fldCharType="separate"/>
          </w:r>
          <w:r>
            <w:t>41</w:t>
          </w:r>
          <w:r>
            <w:fldChar w:fldCharType="end"/>
          </w:r>
          <w:r>
            <w:fldChar w:fldCharType="end"/>
          </w:r>
        </w:p>
        <w:p w14:paraId="0762224B">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"_Toc238766708" </w:instrText>
          </w:r>
          <w:r>
            <w:fldChar w:fldCharType="separate"/>
          </w:r>
          <w:r>
            <w:rPr>
              <w:rStyle w:val="20"/>
            </w:rPr>
            <w:t>3.7 Ethical Factors</w:t>
          </w:r>
          <w:r>
            <w:tab/>
          </w:r>
          <w:r>
            <w:fldChar w:fldCharType="begin"/>
          </w:r>
          <w:r>
            <w:instrText xml:space="preserve"> PAGEREF _Toc238766708 \h </w:instrText>
          </w:r>
          <w:r>
            <w:fldChar w:fldCharType="separate"/>
          </w:r>
          <w:r>
            <w:t>44</w:t>
          </w:r>
          <w:r>
            <w:fldChar w:fldCharType="end"/>
          </w:r>
          <w:r>
            <w:fldChar w:fldCharType="end"/>
          </w:r>
        </w:p>
        <w:p w14:paraId="5ACA3B5C">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"_Toc238766709" </w:instrText>
          </w:r>
          <w:r>
            <w:fldChar w:fldCharType="separate"/>
          </w:r>
          <w:r>
            <w:rPr>
              <w:rStyle w:val="20"/>
            </w:rPr>
            <w:t>3.8 Summary</w:t>
          </w:r>
          <w:r>
            <w:tab/>
          </w:r>
          <w:r>
            <w:fldChar w:fldCharType="begin"/>
          </w:r>
          <w:r>
            <w:instrText xml:space="preserve"> PAGEREF _Toc238766709 \h </w:instrText>
          </w:r>
          <w:r>
            <w:fldChar w:fldCharType="separate"/>
          </w:r>
          <w:r>
            <w:t>45</w:t>
          </w:r>
          <w:r>
            <w:fldChar w:fldCharType="end"/>
          </w:r>
          <w:r>
            <w:fldChar w:fldCharType="end"/>
          </w:r>
        </w:p>
        <w:p w14:paraId="1B542765">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"_Toc238766710" </w:instrText>
          </w:r>
          <w:r>
            <w:fldChar w:fldCharType="separate"/>
          </w:r>
          <w:r>
            <w:rPr>
              <w:rStyle w:val="20"/>
            </w:rPr>
            <w:t>Chapter 4: Findings and Discussion</w:t>
          </w:r>
          <w:r>
            <w:tab/>
          </w:r>
          <w:r>
            <w:fldChar w:fldCharType="begin"/>
          </w:r>
          <w:r>
            <w:instrText xml:space="preserve"> PAGEREF _Toc238766710 \h </w:instrText>
          </w:r>
          <w:r>
            <w:fldChar w:fldCharType="separate"/>
          </w:r>
          <w:r>
            <w:t>47</w:t>
          </w:r>
          <w:r>
            <w:fldChar w:fldCharType="end"/>
          </w:r>
          <w:r>
            <w:fldChar w:fldCharType="end"/>
          </w:r>
        </w:p>
        <w:p w14:paraId="0678018C">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"_Toc238766711" </w:instrText>
          </w:r>
          <w:r>
            <w:fldChar w:fldCharType="separate"/>
          </w:r>
          <w:r>
            <w:rPr>
              <w:rStyle w:val="20"/>
            </w:rPr>
            <w:t>4.1 Introduction</w:t>
          </w:r>
          <w:r>
            <w:tab/>
          </w:r>
          <w:r>
            <w:fldChar w:fldCharType="begin"/>
          </w:r>
          <w:r>
            <w:instrText xml:space="preserve"> PAGEREF _Toc238766711 \h </w:instrText>
          </w:r>
          <w:r>
            <w:fldChar w:fldCharType="separate"/>
          </w:r>
          <w:r>
            <w:t>47</w:t>
          </w:r>
          <w:r>
            <w:fldChar w:fldCharType="end"/>
          </w:r>
          <w:r>
            <w:fldChar w:fldCharType="end"/>
          </w:r>
        </w:p>
        <w:p w14:paraId="44DFFFA5">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"_Toc238766712" </w:instrText>
          </w:r>
          <w:r>
            <w:fldChar w:fldCharType="separate"/>
          </w:r>
          <w:r>
            <w:rPr>
              <w:rStyle w:val="20"/>
            </w:rPr>
            <w:t>4.2 Presentation of the Findings</w:t>
          </w:r>
          <w:r>
            <w:tab/>
          </w:r>
          <w:r>
            <w:fldChar w:fldCharType="begin"/>
          </w:r>
          <w:r>
            <w:instrText xml:space="preserve"> PAGEREF _Toc238766712 \h </w:instrText>
          </w:r>
          <w:r>
            <w:fldChar w:fldCharType="separate"/>
          </w:r>
          <w:r>
            <w:t>47</w:t>
          </w:r>
          <w:r>
            <w:fldChar w:fldCharType="end"/>
          </w:r>
          <w:r>
            <w:fldChar w:fldCharType="end"/>
          </w:r>
        </w:p>
        <w:p w14:paraId="605F4816">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"_Toc238766713" </w:instrText>
          </w:r>
          <w:r>
            <w:fldChar w:fldCharType="separate"/>
          </w:r>
          <w:r>
            <w:rPr>
              <w:rStyle w:val="20"/>
            </w:rPr>
            <w:t>Theme 1: The Marginalization of Traditional Metasearch</w:t>
          </w:r>
          <w:r>
            <w:tab/>
          </w:r>
          <w:r>
            <w:fldChar w:fldCharType="begin"/>
          </w:r>
          <w:r>
            <w:instrText xml:space="preserve"> PAGEREF _Toc238766713 \h </w:instrText>
          </w:r>
          <w:r>
            <w:fldChar w:fldCharType="separate"/>
          </w:r>
          <w:r>
            <w:t>59</w:t>
          </w:r>
          <w:r>
            <w:fldChar w:fldCharType="end"/>
          </w:r>
          <w:r>
            <w:fldChar w:fldCharType="end"/>
          </w:r>
        </w:p>
        <w:p w14:paraId="425D6A74">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"_Toc238766714" </w:instrText>
          </w:r>
          <w:r>
            <w:fldChar w:fldCharType="separate"/>
          </w:r>
          <w:r>
            <w:rPr>
              <w:rStyle w:val="20"/>
            </w:rPr>
            <w:t>Theme 2: Ecosystem Diversification and Moat-Building</w:t>
          </w:r>
          <w:r>
            <w:tab/>
          </w:r>
          <w:r>
            <w:fldChar w:fldCharType="begin"/>
          </w:r>
          <w:r>
            <w:instrText xml:space="preserve"> PAGEREF _Toc238766714 \h </w:instrText>
          </w:r>
          <w:r>
            <w:fldChar w:fldCharType="separate"/>
          </w:r>
          <w:r>
            <w:t>59</w:t>
          </w:r>
          <w:r>
            <w:fldChar w:fldCharType="end"/>
          </w:r>
          <w:r>
            <w:fldChar w:fldCharType="end"/>
          </w:r>
        </w:p>
        <w:p w14:paraId="14C9C4A7">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"_Toc238766715" </w:instrText>
          </w:r>
          <w:r>
            <w:fldChar w:fldCharType="separate"/>
          </w:r>
          <w:r>
            <w:rPr>
              <w:rStyle w:val="20"/>
            </w:rPr>
            <w:t>Theme 3: Regulatory Friction and Enforcement Gaps</w:t>
          </w:r>
          <w:r>
            <w:tab/>
          </w:r>
          <w:r>
            <w:fldChar w:fldCharType="begin"/>
          </w:r>
          <w:r>
            <w:instrText xml:space="preserve"> PAGEREF _Toc238766715 \h </w:instrText>
          </w:r>
          <w:r>
            <w:fldChar w:fldCharType="separate"/>
          </w:r>
          <w:r>
            <w:t>60</w:t>
          </w:r>
          <w:r>
            <w:fldChar w:fldCharType="end"/>
          </w:r>
          <w:r>
            <w:fldChar w:fldCharType="end"/>
          </w:r>
        </w:p>
        <w:p w14:paraId="1B89EC59">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"_Toc238766716" </w:instrText>
          </w:r>
          <w:r>
            <w:fldChar w:fldCharType="separate"/>
          </w:r>
          <w:r>
            <w:rPr>
              <w:rStyle w:val="20"/>
            </w:rPr>
            <w:t>4.3 Analysis of the Findings</w:t>
          </w:r>
          <w:r>
            <w:tab/>
          </w:r>
          <w:r>
            <w:fldChar w:fldCharType="begin"/>
          </w:r>
          <w:r>
            <w:instrText xml:space="preserve"> PAGEREF _Toc238766716 \h </w:instrText>
          </w:r>
          <w:r>
            <w:fldChar w:fldCharType="separate"/>
          </w:r>
          <w:r>
            <w:t>61</w:t>
          </w:r>
          <w:r>
            <w:fldChar w:fldCharType="end"/>
          </w:r>
          <w:r>
            <w:fldChar w:fldCharType="end"/>
          </w:r>
        </w:p>
        <w:p w14:paraId="153CD638">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"_Toc238766717" </w:instrText>
          </w:r>
          <w:r>
            <w:fldChar w:fldCharType="separate"/>
          </w:r>
          <w:r>
            <w:rPr>
              <w:rStyle w:val="20"/>
            </w:rPr>
            <w:t>4.3.1 Theme 1: The Marginalization of Traditional Metasearch</w:t>
          </w:r>
          <w:r>
            <w:tab/>
          </w:r>
          <w:r>
            <w:fldChar w:fldCharType="begin"/>
          </w:r>
          <w:r>
            <w:instrText xml:space="preserve"> PAGEREF _Toc238766717 \h </w:instrText>
          </w:r>
          <w:r>
            <w:fldChar w:fldCharType="separate"/>
          </w:r>
          <w:r>
            <w:t>61</w:t>
          </w:r>
          <w:r>
            <w:fldChar w:fldCharType="end"/>
          </w:r>
          <w:r>
            <w:fldChar w:fldCharType="end"/>
          </w:r>
        </w:p>
        <w:p w14:paraId="59F2EB8C">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"_Toc238766718" </w:instrText>
          </w:r>
          <w:r>
            <w:fldChar w:fldCharType="separate"/>
          </w:r>
          <w:r>
            <w:rPr>
              <w:rStyle w:val="20"/>
            </w:rPr>
            <w:t>4.3.2 Theme 2: Ecosystem Diversification and Moat-Building</w:t>
          </w:r>
          <w:r>
            <w:tab/>
          </w:r>
          <w:r>
            <w:fldChar w:fldCharType="begin"/>
          </w:r>
          <w:r>
            <w:instrText xml:space="preserve"> PAGEREF _Toc238766718 \h </w:instrText>
          </w:r>
          <w:r>
            <w:fldChar w:fldCharType="separate"/>
          </w:r>
          <w:r>
            <w:t>65</w:t>
          </w:r>
          <w:r>
            <w:fldChar w:fldCharType="end"/>
          </w:r>
          <w:r>
            <w:fldChar w:fldCharType="end"/>
          </w:r>
        </w:p>
        <w:p w14:paraId="57434575">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"_Toc238766719" </w:instrText>
          </w:r>
          <w:r>
            <w:fldChar w:fldCharType="separate"/>
          </w:r>
          <w:r>
            <w:rPr>
              <w:rStyle w:val="20"/>
            </w:rPr>
            <w:t>4.3.3 Theme 3: Regulatory Friction and Enforcement Gaps</w:t>
          </w:r>
          <w:r>
            <w:tab/>
          </w:r>
          <w:r>
            <w:fldChar w:fldCharType="begin"/>
          </w:r>
          <w:r>
            <w:instrText xml:space="preserve"> PAGEREF _Toc238766719 \h </w:instrText>
          </w:r>
          <w:r>
            <w:fldChar w:fldCharType="separate"/>
          </w:r>
          <w:r>
            <w:t>68</w:t>
          </w:r>
          <w:r>
            <w:fldChar w:fldCharType="end"/>
          </w:r>
          <w:r>
            <w:fldChar w:fldCharType="end"/>
          </w:r>
        </w:p>
        <w:p w14:paraId="4ACC6D0C">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"_Toc238766720" </w:instrText>
          </w:r>
          <w:r>
            <w:fldChar w:fldCharType="separate"/>
          </w:r>
          <w:r>
            <w:rPr>
              <w:rStyle w:val="20"/>
            </w:rPr>
            <w:t>4.4 Discussion of Results</w:t>
          </w:r>
          <w:r>
            <w:tab/>
          </w:r>
          <w:r>
            <w:fldChar w:fldCharType="begin"/>
          </w:r>
          <w:r>
            <w:instrText xml:space="preserve"> PAGEREF _Toc238766720 \h </w:instrText>
          </w:r>
          <w:r>
            <w:fldChar w:fldCharType="separate"/>
          </w:r>
          <w:r>
            <w:t>71</w:t>
          </w:r>
          <w:r>
            <w:fldChar w:fldCharType="end"/>
          </w:r>
          <w:r>
            <w:fldChar w:fldCharType="end"/>
          </w:r>
        </w:p>
        <w:p w14:paraId="1F805382">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"_Toc238766721" </w:instrText>
          </w:r>
          <w:r>
            <w:fldChar w:fldCharType="separate"/>
          </w:r>
          <w:r>
            <w:rPr>
              <w:rStyle w:val="20"/>
            </w:rPr>
            <w:t>4.4.1 Objective 1: The Marginalization of Traditional Metasearch</w:t>
          </w:r>
          <w:r>
            <w:tab/>
          </w:r>
          <w:r>
            <w:fldChar w:fldCharType="begin"/>
          </w:r>
          <w:r>
            <w:instrText xml:space="preserve"> PAGEREF _Toc238766721 \h </w:instrText>
          </w:r>
          <w:r>
            <w:fldChar w:fldCharType="separate"/>
          </w:r>
          <w:r>
            <w:t>71</w:t>
          </w:r>
          <w:r>
            <w:fldChar w:fldCharType="end"/>
          </w:r>
          <w:r>
            <w:fldChar w:fldCharType="end"/>
          </w:r>
        </w:p>
        <w:p w14:paraId="19105628">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"_Toc238766722" </w:instrText>
          </w:r>
          <w:r>
            <w:fldChar w:fldCharType="separate"/>
          </w:r>
          <w:r>
            <w:rPr>
              <w:rStyle w:val="20"/>
            </w:rPr>
            <w:t>4.4.2 Objective 2: Ecosystem Diversification and Moat-Building</w:t>
          </w:r>
          <w:r>
            <w:tab/>
          </w:r>
          <w:r>
            <w:fldChar w:fldCharType="begin"/>
          </w:r>
          <w:r>
            <w:instrText xml:space="preserve"> PAGEREF _Toc238766722 \h </w:instrText>
          </w:r>
          <w:r>
            <w:fldChar w:fldCharType="separate"/>
          </w:r>
          <w:r>
            <w:t>72</w:t>
          </w:r>
          <w:r>
            <w:fldChar w:fldCharType="end"/>
          </w:r>
          <w:r>
            <w:fldChar w:fldCharType="end"/>
          </w:r>
        </w:p>
        <w:p w14:paraId="22C5EB4A">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"_Toc238766723" </w:instrText>
          </w:r>
          <w:r>
            <w:fldChar w:fldCharType="separate"/>
          </w:r>
          <w:r>
            <w:rPr>
              <w:rStyle w:val="20"/>
            </w:rPr>
            <w:t>4.4.3 Objective 3: Regulatory Friction and Enforcement Gaps</w:t>
          </w:r>
          <w:r>
            <w:tab/>
          </w:r>
          <w:r>
            <w:fldChar w:fldCharType="begin"/>
          </w:r>
          <w:r>
            <w:instrText xml:space="preserve"> PAGEREF _Toc238766723 \h </w:instrText>
          </w:r>
          <w:r>
            <w:fldChar w:fldCharType="separate"/>
          </w:r>
          <w:r>
            <w:t>72</w:t>
          </w:r>
          <w:r>
            <w:fldChar w:fldCharType="end"/>
          </w:r>
          <w:r>
            <w:fldChar w:fldCharType="end"/>
          </w:r>
        </w:p>
        <w:p w14:paraId="1DE0368C">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"_Toc238766724" </w:instrText>
          </w:r>
          <w:r>
            <w:fldChar w:fldCharType="separate"/>
          </w:r>
          <w:r>
            <w:rPr>
              <w:rStyle w:val="20"/>
            </w:rPr>
            <w:t>4.4.4 Synthesis with Theoretical Frameworks</w:t>
          </w:r>
          <w:r>
            <w:tab/>
          </w:r>
          <w:r>
            <w:fldChar w:fldCharType="begin"/>
          </w:r>
          <w:r>
            <w:instrText xml:space="preserve"> PAGEREF _Toc238766724 \h </w:instrText>
          </w:r>
          <w:r>
            <w:fldChar w:fldCharType="separate"/>
          </w:r>
          <w:r>
            <w:t>73</w:t>
          </w:r>
          <w:r>
            <w:fldChar w:fldCharType="end"/>
          </w:r>
          <w:r>
            <w:fldChar w:fldCharType="end"/>
          </w:r>
        </w:p>
        <w:p w14:paraId="3D996955">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"_Toc238766725" </w:instrText>
          </w:r>
          <w:r>
            <w:fldChar w:fldCharType="separate"/>
          </w:r>
          <w:r>
            <w:rPr>
              <w:rStyle w:val="20"/>
            </w:rPr>
            <w:t>4.5 Summary</w:t>
          </w:r>
          <w:r>
            <w:tab/>
          </w:r>
          <w:r>
            <w:fldChar w:fldCharType="begin"/>
          </w:r>
          <w:r>
            <w:instrText xml:space="preserve"> PAGEREF _Toc238766725 \h </w:instrText>
          </w:r>
          <w:r>
            <w:fldChar w:fldCharType="separate"/>
          </w:r>
          <w:r>
            <w:t>76</w:t>
          </w:r>
          <w:r>
            <w:fldChar w:fldCharType="end"/>
          </w:r>
          <w:r>
            <w:fldChar w:fldCharType="end"/>
          </w:r>
        </w:p>
        <w:p w14:paraId="416ABEDD">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"_Toc238766726" </w:instrText>
          </w:r>
          <w:r>
            <w:fldChar w:fldCharType="separate"/>
          </w:r>
          <w:r>
            <w:rPr>
              <w:rStyle w:val="20"/>
            </w:rPr>
            <w:t>Chapter 5: Conclusion and Recommendations</w:t>
          </w:r>
          <w:r>
            <w:tab/>
          </w:r>
          <w:r>
            <w:fldChar w:fldCharType="begin"/>
          </w:r>
          <w:r>
            <w:instrText xml:space="preserve"> PAGEREF _Toc238766726 \h </w:instrText>
          </w:r>
          <w:r>
            <w:fldChar w:fldCharType="separate"/>
          </w:r>
          <w:r>
            <w:t>77</w:t>
          </w:r>
          <w:r>
            <w:fldChar w:fldCharType="end"/>
          </w:r>
          <w:r>
            <w:fldChar w:fldCharType="end"/>
          </w:r>
        </w:p>
        <w:p w14:paraId="37290E16">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"_Toc238766727" </w:instrText>
          </w:r>
          <w:r>
            <w:fldChar w:fldCharType="separate"/>
          </w:r>
          <w:r>
            <w:rPr>
              <w:rStyle w:val="20"/>
            </w:rPr>
            <w:t>5.1 Summary of Main Findings</w:t>
          </w:r>
          <w:r>
            <w:tab/>
          </w:r>
          <w:r>
            <w:fldChar w:fldCharType="begin"/>
          </w:r>
          <w:r>
            <w:instrText xml:space="preserve"> PAGEREF _Toc238766727 \h </w:instrText>
          </w:r>
          <w:r>
            <w:fldChar w:fldCharType="separate"/>
          </w:r>
          <w:r>
            <w:t>77</w:t>
          </w:r>
          <w:r>
            <w:fldChar w:fldCharType="end"/>
          </w:r>
          <w:r>
            <w:fldChar w:fldCharType="end"/>
          </w:r>
        </w:p>
        <w:p w14:paraId="3D0E27C0">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"_Toc238766728" </w:instrText>
          </w:r>
          <w:r>
            <w:fldChar w:fldCharType="separate"/>
          </w:r>
          <w:r>
            <w:rPr>
              <w:rStyle w:val="20"/>
            </w:rPr>
            <w:t>5.2 Conclusion Based on the Research Questions</w:t>
          </w:r>
          <w:r>
            <w:tab/>
          </w:r>
          <w:r>
            <w:fldChar w:fldCharType="begin"/>
          </w:r>
          <w:r>
            <w:instrText xml:space="preserve"> PAGEREF _Toc238766728 \h </w:instrText>
          </w:r>
          <w:r>
            <w:fldChar w:fldCharType="separate"/>
          </w:r>
          <w:r>
            <w:t>78</w:t>
          </w:r>
          <w:r>
            <w:fldChar w:fldCharType="end"/>
          </w:r>
          <w:r>
            <w:fldChar w:fldCharType="end"/>
          </w:r>
        </w:p>
        <w:p w14:paraId="6317CEB5">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"_Toc238766729" </w:instrText>
          </w:r>
          <w:r>
            <w:fldChar w:fldCharType="separate"/>
          </w:r>
          <w:r>
            <w:rPr>
              <w:rStyle w:val="20"/>
            </w:rPr>
            <w:t>5.3 Recommendations</w:t>
          </w:r>
          <w:r>
            <w:tab/>
          </w:r>
          <w:r>
            <w:fldChar w:fldCharType="begin"/>
          </w:r>
          <w:r>
            <w:instrText xml:space="preserve"> PAGEREF _Toc238766729 \h </w:instrText>
          </w:r>
          <w:r>
            <w:fldChar w:fldCharType="separate"/>
          </w:r>
          <w:r>
            <w:t>80</w:t>
          </w:r>
          <w:r>
            <w:fldChar w:fldCharType="end"/>
          </w:r>
          <w:r>
            <w:fldChar w:fldCharType="end"/>
          </w:r>
        </w:p>
        <w:p w14:paraId="2361ED6B">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"_Toc238766730" </w:instrText>
          </w:r>
          <w:r>
            <w:fldChar w:fldCharType="separate"/>
          </w:r>
          <w:r>
            <w:rPr>
              <w:rStyle w:val="20"/>
            </w:rPr>
            <w:t>5.3.1 Practical Recommendations</w:t>
          </w:r>
          <w:r>
            <w:tab/>
          </w:r>
          <w:r>
            <w:fldChar w:fldCharType="begin"/>
          </w:r>
          <w:r>
            <w:instrText xml:space="preserve"> PAGEREF _Toc238766730 \h </w:instrText>
          </w:r>
          <w:r>
            <w:fldChar w:fldCharType="separate"/>
          </w:r>
          <w:r>
            <w:t>80</w:t>
          </w:r>
          <w:r>
            <w:fldChar w:fldCharType="end"/>
          </w:r>
          <w:r>
            <w:fldChar w:fldCharType="end"/>
          </w:r>
        </w:p>
        <w:p w14:paraId="7EDDD86A">
          <w:pPr>
            <w:pStyle w:val="30"/>
            <w:tabs>
              <w:tab w:val="right" w:leader="dot" w:pos="8630"/>
            </w:tabs>
            <w:rPr>
              <w:rFonts w:asciiTheme="minorHAnsi" w:hAnsiTheme="minorHAnsi" w:eastAsiaTheme="minorEastAsia" w:cstheme="minorBidi"/>
              <w:sz w:val="22"/>
              <w:szCs w:val="22"/>
            </w:rPr>
          </w:pPr>
          <w:r>
            <w:fldChar w:fldCharType="begin"/>
          </w:r>
          <w:r>
            <w:instrText xml:space="preserve"> HYPERLINK \l "_Toc238766731" </w:instrText>
          </w:r>
          <w:r>
            <w:fldChar w:fldCharType="separate"/>
          </w:r>
          <w:r>
            <w:rPr>
              <w:rStyle w:val="20"/>
            </w:rPr>
            <w:t>5.3.2 Theoretical Recommendations</w:t>
          </w:r>
          <w:r>
            <w:tab/>
          </w:r>
          <w:r>
            <w:fldChar w:fldCharType="begin"/>
          </w:r>
          <w:r>
            <w:instrText xml:space="preserve"> PAGEREF _Toc238766731 \h </w:instrText>
          </w:r>
          <w:r>
            <w:fldChar w:fldCharType="separate"/>
          </w:r>
          <w:r>
            <w:t>81</w:t>
          </w:r>
          <w:r>
            <w:fldChar w:fldCharType="end"/>
          </w:r>
          <w:r>
            <w:fldChar w:fldCharType="end"/>
          </w:r>
        </w:p>
        <w:p w14:paraId="1FC463B4">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"_Toc238766732" </w:instrText>
          </w:r>
          <w:r>
            <w:fldChar w:fldCharType="separate"/>
          </w:r>
          <w:r>
            <w:rPr>
              <w:rStyle w:val="20"/>
            </w:rPr>
            <w:t>5.4 Limitations of Research</w:t>
          </w:r>
          <w:r>
            <w:tab/>
          </w:r>
          <w:r>
            <w:fldChar w:fldCharType="begin"/>
          </w:r>
          <w:r>
            <w:instrText xml:space="preserve"> PAGEREF _Toc238766732 \h </w:instrText>
          </w:r>
          <w:r>
            <w:fldChar w:fldCharType="separate"/>
          </w:r>
          <w:r>
            <w:t>81</w:t>
          </w:r>
          <w:r>
            <w:fldChar w:fldCharType="end"/>
          </w:r>
          <w:r>
            <w:fldChar w:fldCharType="end"/>
          </w:r>
        </w:p>
        <w:p w14:paraId="4C31BA58">
          <w:pPr>
            <w:pStyle w:val="29"/>
            <w:tabs>
              <w:tab w:val="right" w:leader="dot" w:pos="8630"/>
            </w:tabs>
            <w:rPr>
              <w:rFonts w:asciiTheme="minorHAnsi" w:hAnsiTheme="minorHAnsi" w:eastAsiaTheme="minorEastAsia" w:cstheme="minorBidi"/>
              <w:sz w:val="22"/>
              <w:szCs w:val="22"/>
            </w:rPr>
          </w:pPr>
          <w:r>
            <w:fldChar w:fldCharType="begin"/>
          </w:r>
          <w:r>
            <w:instrText xml:space="preserve"> HYPERLINK \l "_Toc238766733" </w:instrText>
          </w:r>
          <w:r>
            <w:fldChar w:fldCharType="separate"/>
          </w:r>
          <w:r>
            <w:rPr>
              <w:rStyle w:val="20"/>
            </w:rPr>
            <w:t>5.5 Recommendations for Future Work</w:t>
          </w:r>
          <w:r>
            <w:tab/>
          </w:r>
          <w:r>
            <w:fldChar w:fldCharType="begin"/>
          </w:r>
          <w:r>
            <w:instrText xml:space="preserve"> PAGEREF _Toc238766733 \h </w:instrText>
          </w:r>
          <w:r>
            <w:fldChar w:fldCharType="separate"/>
          </w:r>
          <w:r>
            <w:t>82</w:t>
          </w:r>
          <w:r>
            <w:fldChar w:fldCharType="end"/>
          </w:r>
          <w:r>
            <w:fldChar w:fldCharType="end"/>
          </w:r>
        </w:p>
        <w:p w14:paraId="2AC6A686">
          <w:pPr>
            <w:pStyle w:val="28"/>
            <w:tabs>
              <w:tab w:val="right" w:leader="dot" w:pos="8630"/>
            </w:tabs>
            <w:rPr>
              <w:rFonts w:asciiTheme="minorHAnsi" w:hAnsiTheme="minorHAnsi" w:eastAsiaTheme="minorEastAsia" w:cstheme="minorBidi"/>
              <w:sz w:val="22"/>
              <w:szCs w:val="22"/>
            </w:rPr>
          </w:pPr>
          <w:r>
            <w:fldChar w:fldCharType="begin"/>
          </w:r>
          <w:r>
            <w:instrText xml:space="preserve"> HYPERLINK \l "_Toc238766734" </w:instrText>
          </w:r>
          <w:r>
            <w:fldChar w:fldCharType="separate"/>
          </w:r>
          <w:r>
            <w:rPr>
              <w:rStyle w:val="20"/>
            </w:rPr>
            <w:t>References</w:t>
          </w:r>
          <w:r>
            <w:tab/>
          </w:r>
          <w:r>
            <w:fldChar w:fldCharType="begin"/>
          </w:r>
          <w:r>
            <w:instrText xml:space="preserve"> PAGEREF _Toc238766734 \h </w:instrText>
          </w:r>
          <w:r>
            <w:fldChar w:fldCharType="separate"/>
          </w:r>
          <w:r>
            <w:t>83</w:t>
          </w:r>
          <w:r>
            <w:fldChar w:fldCharType="end"/>
          </w:r>
          <w:r>
            <w:fldChar w:fldCharType="end"/>
          </w:r>
        </w:p>
        <w:p w14:paraId="6B977C2F">
          <w:pPr>
            <w:pStyle w:val="52"/>
            <w:rPr>
              <w:color w:val="auto"/>
            </w:rPr>
          </w:pPr>
          <w:r>
            <w:rPr>
              <w:rFonts w:ascii="Times New Roman" w:hAnsi="Times New Roman" w:cs="Times New Roman"/>
              <w:b/>
              <w:bCs/>
              <w:color w:val="auto"/>
            </w:rPr>
            <w:fldChar w:fldCharType="end"/>
          </w:r>
          <w:r>
            <w:rPr>
              <w:rFonts w:ascii="Times New Roman" w:hAnsi="Times New Roman" w:cs="Times New Roman"/>
              <w:color w:val="auto"/>
            </w:rPr>
            <w:t>Table of Figures</w:t>
          </w:r>
          <w:r>
            <w:rPr>
              <w:rFonts w:ascii="Times New Roman" w:hAnsi="Times New Roman" w:cs="Times New Roman"/>
              <w:b/>
              <w:bCs/>
              <w:color w:val="auto"/>
            </w:rPr>
            <w:fldChar w:fldCharType="begin"/>
          </w:r>
          <w:r>
            <w:rPr>
              <w:rFonts w:ascii="Times New Roman" w:hAnsi="Times New Roman" w:cs="Times New Roman"/>
              <w:b/>
              <w:bCs/>
              <w:color w:val="auto"/>
            </w:rPr>
            <w:instrText xml:space="preserve"> TOC \h \z \c "Figure" </w:instrText>
          </w:r>
          <w:r>
            <w:rPr>
              <w:rFonts w:ascii="Times New Roman" w:hAnsi="Times New Roman" w:cs="Times New Roman"/>
              <w:b/>
              <w:bCs/>
              <w:color w:val="auto"/>
            </w:rPr>
            <w:fldChar w:fldCharType="separate"/>
          </w:r>
        </w:p>
        <w:p w14:paraId="2D84096B">
          <w:pPr>
            <w:pStyle w:val="26"/>
            <w:tabs>
              <w:tab w:val="right" w:leader="dot" w:pos="8630"/>
            </w:tabs>
            <w:rPr>
              <w:rFonts w:asciiTheme="minorHAnsi" w:hAnsiTheme="minorHAnsi" w:eastAsiaTheme="minorEastAsia" w:cstheme="minorBidi"/>
              <w:sz w:val="22"/>
              <w:szCs w:val="22"/>
              <w:lang w:val="en-GB" w:eastAsia="en-GB"/>
            </w:rPr>
          </w:pPr>
          <w:r>
            <w:fldChar w:fldCharType="begin"/>
          </w:r>
          <w:r>
            <w:instrText xml:space="preserve"> HYPERLINK \l "_Toc238763368" </w:instrText>
          </w:r>
          <w:r>
            <w:fldChar w:fldCharType="separate"/>
          </w:r>
          <w:r>
            <w:rPr>
              <w:rStyle w:val="20"/>
              <w:rFonts w:eastAsiaTheme="majorEastAsia"/>
              <w:color w:val="auto"/>
            </w:rPr>
            <w:t>Figure 1: Research onion model. Source: (Saunders et al., 2015)</w:t>
          </w:r>
          <w:r>
            <w:tab/>
          </w:r>
          <w:r>
            <w:fldChar w:fldCharType="begin"/>
          </w:r>
          <w:r>
            <w:instrText xml:space="preserve"> PAGEREF _Toc238763368 \h </w:instrText>
          </w:r>
          <w:r>
            <w:fldChar w:fldCharType="separate"/>
          </w:r>
          <w:r>
            <w:t>31</w:t>
          </w:r>
          <w:r>
            <w:fldChar w:fldCharType="end"/>
          </w:r>
          <w:r>
            <w:fldChar w:fldCharType="end"/>
          </w:r>
        </w:p>
        <w:p w14:paraId="033636CD">
          <w:pPr>
            <w:pStyle w:val="52"/>
            <w:rPr>
              <w:color w:val="auto"/>
            </w:rPr>
          </w:pPr>
          <w:r>
            <w:rPr>
              <w:rFonts w:ascii="Times New Roman" w:hAnsi="Times New Roman" w:cs="Times New Roman"/>
              <w:b/>
              <w:bCs/>
              <w:color w:val="auto"/>
            </w:rPr>
            <w:fldChar w:fldCharType="end"/>
          </w:r>
          <w:r>
            <w:rPr>
              <w:rFonts w:ascii="Times New Roman" w:hAnsi="Times New Roman" w:cs="Times New Roman"/>
              <w:b/>
              <w:bCs/>
              <w:color w:val="auto"/>
            </w:rPr>
            <w:t>List of</w:t>
          </w:r>
          <w:r>
            <w:rPr>
              <w:rFonts w:ascii="Times New Roman" w:hAnsi="Times New Roman" w:cs="Times New Roman"/>
              <w:color w:val="auto"/>
            </w:rPr>
            <w:t xml:space="preserve"> Tables</w:t>
          </w:r>
          <w:r>
            <w:rPr>
              <w:rFonts w:ascii="Times New Roman" w:hAnsi="Times New Roman" w:cs="Times New Roman"/>
              <w:b/>
              <w:bCs/>
              <w:color w:val="auto"/>
            </w:rPr>
            <w:fldChar w:fldCharType="begin"/>
          </w:r>
          <w:r>
            <w:rPr>
              <w:rFonts w:ascii="Times New Roman" w:hAnsi="Times New Roman" w:cs="Times New Roman"/>
              <w:b/>
              <w:bCs/>
              <w:color w:val="auto"/>
            </w:rPr>
            <w:instrText xml:space="preserve"> TOC \h \z \c "Table" </w:instrText>
          </w:r>
          <w:r>
            <w:rPr>
              <w:rFonts w:ascii="Times New Roman" w:hAnsi="Times New Roman" w:cs="Times New Roman"/>
              <w:b/>
              <w:bCs/>
              <w:color w:val="auto"/>
            </w:rPr>
            <w:fldChar w:fldCharType="separate"/>
          </w:r>
        </w:p>
        <w:p w14:paraId="51E10B25">
          <w:pPr>
            <w:pStyle w:val="26"/>
            <w:tabs>
              <w:tab w:val="right" w:leader="dot" w:pos="8630"/>
            </w:tabs>
            <w:rPr>
              <w:rFonts w:asciiTheme="minorHAnsi" w:hAnsiTheme="minorHAnsi" w:eastAsiaTheme="minorEastAsia" w:cstheme="minorBidi"/>
              <w:sz w:val="22"/>
              <w:szCs w:val="22"/>
              <w:lang w:val="en-GB" w:eastAsia="en-GB"/>
            </w:rPr>
          </w:pPr>
          <w:r>
            <w:fldChar w:fldCharType="begin"/>
          </w:r>
          <w:r>
            <w:instrText xml:space="preserve"> HYPERLINK \l "_Toc238763369" </w:instrText>
          </w:r>
          <w:r>
            <w:fldChar w:fldCharType="separate"/>
          </w:r>
          <w:r>
            <w:rPr>
              <w:rStyle w:val="20"/>
              <w:rFonts w:eastAsiaTheme="majorEastAsia"/>
              <w:color w:val="auto"/>
            </w:rPr>
            <w:t>Table 1: Structure of rest of the project</w:t>
          </w:r>
          <w:r>
            <w:tab/>
          </w:r>
          <w:r>
            <w:fldChar w:fldCharType="begin"/>
          </w:r>
          <w:r>
            <w:instrText xml:space="preserve"> PAGEREF _Toc238763369 \h </w:instrText>
          </w:r>
          <w:r>
            <w:fldChar w:fldCharType="separate"/>
          </w:r>
          <w:r>
            <w:t>11</w:t>
          </w:r>
          <w:r>
            <w:fldChar w:fldCharType="end"/>
          </w:r>
          <w:r>
            <w:fldChar w:fldCharType="end"/>
          </w:r>
        </w:p>
        <w:p w14:paraId="41757EE2">
          <w:pPr>
            <w:pStyle w:val="26"/>
            <w:tabs>
              <w:tab w:val="right" w:leader="dot" w:pos="8630"/>
            </w:tabs>
            <w:rPr>
              <w:rFonts w:asciiTheme="minorHAnsi" w:hAnsiTheme="minorHAnsi" w:eastAsiaTheme="minorEastAsia" w:cstheme="minorBidi"/>
              <w:sz w:val="22"/>
              <w:szCs w:val="22"/>
              <w:lang w:val="en-GB" w:eastAsia="en-GB"/>
            </w:rPr>
          </w:pPr>
          <w:r>
            <w:fldChar w:fldCharType="begin"/>
          </w:r>
          <w:r>
            <w:instrText xml:space="preserve"> HYPERLINK \l "_Toc238763370" </w:instrText>
          </w:r>
          <w:r>
            <w:fldChar w:fldCharType="separate"/>
          </w:r>
          <w:r>
            <w:rPr>
              <w:rStyle w:val="20"/>
              <w:rFonts w:eastAsiaTheme="majorEastAsia"/>
              <w:color w:val="auto"/>
            </w:rPr>
            <w:t>Table 2: Process for Thematic Analysis</w:t>
          </w:r>
          <w:r>
            <w:tab/>
          </w:r>
          <w:r>
            <w:fldChar w:fldCharType="begin"/>
          </w:r>
          <w:r>
            <w:instrText xml:space="preserve"> PAGEREF _Toc238763370 \h </w:instrText>
          </w:r>
          <w:r>
            <w:fldChar w:fldCharType="separate"/>
          </w:r>
          <w:r>
            <w:t>39</w:t>
          </w:r>
          <w:r>
            <w:fldChar w:fldCharType="end"/>
          </w:r>
          <w:r>
            <w:fldChar w:fldCharType="end"/>
          </w:r>
        </w:p>
        <w:p w14:paraId="539178EB">
          <w:pPr>
            <w:pStyle w:val="26"/>
            <w:tabs>
              <w:tab w:val="right" w:leader="dot" w:pos="8630"/>
            </w:tabs>
            <w:rPr>
              <w:rFonts w:asciiTheme="minorHAnsi" w:hAnsiTheme="minorHAnsi" w:eastAsiaTheme="minorEastAsia" w:cstheme="minorBidi"/>
              <w:sz w:val="22"/>
              <w:szCs w:val="22"/>
              <w:lang w:val="en-GB" w:eastAsia="en-GB"/>
            </w:rPr>
          </w:pPr>
          <w:r>
            <w:fldChar w:fldCharType="begin"/>
          </w:r>
          <w:r>
            <w:instrText xml:space="preserve"> HYPERLINK \l "_Toc238763371" </w:instrText>
          </w:r>
          <w:r>
            <w:fldChar w:fldCharType="separate"/>
          </w:r>
          <w:r>
            <w:rPr>
              <w:rStyle w:val="20"/>
              <w:rFonts w:eastAsiaTheme="majorEastAsia"/>
              <w:color w:val="auto"/>
            </w:rPr>
            <w:t>Table 3: Thematic coding</w:t>
          </w:r>
          <w:r>
            <w:tab/>
          </w:r>
          <w:r>
            <w:fldChar w:fldCharType="begin"/>
          </w:r>
          <w:r>
            <w:instrText xml:space="preserve"> PAGEREF _Toc238763371 \h </w:instrText>
          </w:r>
          <w:r>
            <w:fldChar w:fldCharType="separate"/>
          </w:r>
          <w:r>
            <w:t>55</w:t>
          </w:r>
          <w:r>
            <w:fldChar w:fldCharType="end"/>
          </w:r>
          <w:r>
            <w:fldChar w:fldCharType="end"/>
          </w:r>
        </w:p>
        <w:p w14:paraId="0ED8C0E4">
          <w:pPr>
            <w:pStyle w:val="26"/>
            <w:tabs>
              <w:tab w:val="right" w:leader="dot" w:pos="8630"/>
            </w:tabs>
            <w:rPr>
              <w:rFonts w:asciiTheme="minorHAnsi" w:hAnsiTheme="minorHAnsi" w:eastAsiaTheme="minorEastAsia" w:cstheme="minorBidi"/>
              <w:sz w:val="22"/>
              <w:szCs w:val="22"/>
              <w:lang w:val="en-GB" w:eastAsia="en-GB"/>
            </w:rPr>
          </w:pPr>
          <w:r>
            <w:fldChar w:fldCharType="begin"/>
          </w:r>
          <w:r>
            <w:instrText xml:space="preserve"> HYPERLINK \l "_Toc238763372" </w:instrText>
          </w:r>
          <w:r>
            <w:fldChar w:fldCharType="separate"/>
          </w:r>
          <w:r>
            <w:rPr>
              <w:rStyle w:val="20"/>
              <w:rFonts w:eastAsiaTheme="majorEastAsia"/>
              <w:color w:val="auto"/>
            </w:rPr>
            <w:t>Table 4: Sub-themes for Theme 1 (The Marginalization of Traditional Metasearch)</w:t>
          </w:r>
          <w:r>
            <w:tab/>
          </w:r>
          <w:r>
            <w:fldChar w:fldCharType="begin"/>
          </w:r>
          <w:r>
            <w:instrText xml:space="preserve"> PAGEREF _Toc238763372 \h </w:instrText>
          </w:r>
          <w:r>
            <w:fldChar w:fldCharType="separate"/>
          </w:r>
          <w:r>
            <w:t>57</w:t>
          </w:r>
          <w:r>
            <w:fldChar w:fldCharType="end"/>
          </w:r>
          <w:r>
            <w:fldChar w:fldCharType="end"/>
          </w:r>
        </w:p>
        <w:p w14:paraId="2C6CA56C">
          <w:pPr>
            <w:pStyle w:val="26"/>
            <w:tabs>
              <w:tab w:val="right" w:leader="dot" w:pos="8630"/>
            </w:tabs>
            <w:rPr>
              <w:rFonts w:asciiTheme="minorHAnsi" w:hAnsiTheme="minorHAnsi" w:eastAsiaTheme="minorEastAsia" w:cstheme="minorBidi"/>
              <w:sz w:val="22"/>
              <w:szCs w:val="22"/>
              <w:lang w:val="en-GB" w:eastAsia="en-GB"/>
            </w:rPr>
          </w:pPr>
          <w:r>
            <w:fldChar w:fldCharType="begin"/>
          </w:r>
          <w:r>
            <w:instrText xml:space="preserve"> HYPERLINK \l "_Toc238763373" </w:instrText>
          </w:r>
          <w:r>
            <w:fldChar w:fldCharType="separate"/>
          </w:r>
          <w:r>
            <w:rPr>
              <w:rStyle w:val="20"/>
              <w:rFonts w:eastAsiaTheme="majorEastAsia"/>
              <w:color w:val="auto"/>
            </w:rPr>
            <w:t>Table 5: Sub-themes for Theme 2 (Ecosystem Diversification and Moat-Building)</w:t>
          </w:r>
          <w:r>
            <w:tab/>
          </w:r>
          <w:r>
            <w:fldChar w:fldCharType="begin"/>
          </w:r>
          <w:r>
            <w:instrText xml:space="preserve"> PAGEREF _Toc238763373 \h </w:instrText>
          </w:r>
          <w:r>
            <w:fldChar w:fldCharType="separate"/>
          </w:r>
          <w:r>
            <w:t>61</w:t>
          </w:r>
          <w:r>
            <w:fldChar w:fldCharType="end"/>
          </w:r>
          <w:r>
            <w:fldChar w:fldCharType="end"/>
          </w:r>
        </w:p>
        <w:p w14:paraId="5F12FBB8">
          <w:pPr>
            <w:pStyle w:val="26"/>
            <w:tabs>
              <w:tab w:val="right" w:leader="dot" w:pos="8630"/>
            </w:tabs>
            <w:rPr>
              <w:rFonts w:asciiTheme="minorHAnsi" w:hAnsiTheme="minorHAnsi" w:eastAsiaTheme="minorEastAsia" w:cstheme="minorBidi"/>
              <w:sz w:val="22"/>
              <w:szCs w:val="22"/>
              <w:lang w:val="en-GB" w:eastAsia="en-GB"/>
            </w:rPr>
          </w:pPr>
          <w:r>
            <w:fldChar w:fldCharType="begin"/>
          </w:r>
          <w:r>
            <w:instrText xml:space="preserve"> HYPERLINK \l "_Toc238763374" </w:instrText>
          </w:r>
          <w:r>
            <w:fldChar w:fldCharType="separate"/>
          </w:r>
          <w:r>
            <w:rPr>
              <w:rStyle w:val="20"/>
              <w:rFonts w:eastAsiaTheme="majorEastAsia"/>
              <w:color w:val="auto"/>
            </w:rPr>
            <w:t>Table 6: Sub-themes for Theme 3 (Regulatory Friction and Enforcement Gaps)</w:t>
          </w:r>
          <w:r>
            <w:tab/>
          </w:r>
          <w:r>
            <w:fldChar w:fldCharType="begin"/>
          </w:r>
          <w:r>
            <w:instrText xml:space="preserve"> PAGEREF _Toc238763374 \h </w:instrText>
          </w:r>
          <w:r>
            <w:fldChar w:fldCharType="separate"/>
          </w:r>
          <w:r>
            <w:t>65</w:t>
          </w:r>
          <w:r>
            <w:fldChar w:fldCharType="end"/>
          </w:r>
          <w:r>
            <w:fldChar w:fldCharType="end"/>
          </w:r>
        </w:p>
        <w:p w14:paraId="764FB9BA">
          <w:pPr>
            <w:pStyle w:val="26"/>
            <w:tabs>
              <w:tab w:val="right" w:leader="dot" w:pos="8630"/>
            </w:tabs>
            <w:rPr>
              <w:rFonts w:asciiTheme="minorHAnsi" w:hAnsiTheme="minorHAnsi" w:eastAsiaTheme="minorEastAsia" w:cstheme="minorBidi"/>
              <w:sz w:val="22"/>
              <w:szCs w:val="22"/>
              <w:lang w:val="en-GB" w:eastAsia="en-GB"/>
            </w:rPr>
          </w:pPr>
          <w:r>
            <w:fldChar w:fldCharType="begin"/>
          </w:r>
          <w:r>
            <w:instrText xml:space="preserve"> HYPERLINK \l "_Toc238763375" </w:instrText>
          </w:r>
          <w:r>
            <w:fldChar w:fldCharType="separate"/>
          </w:r>
          <w:r>
            <w:rPr>
              <w:rStyle w:val="20"/>
              <w:rFonts w:eastAsiaTheme="majorEastAsia"/>
              <w:color w:val="auto"/>
            </w:rPr>
            <w:t>Table 7: Resource-Based View (RBV) Analysis of Skyscanner's Assets</w:t>
          </w:r>
          <w:r>
            <w:tab/>
          </w:r>
          <w:r>
            <w:fldChar w:fldCharType="begin"/>
          </w:r>
          <w:r>
            <w:instrText xml:space="preserve"> PAGEREF _Toc238763375 \h </w:instrText>
          </w:r>
          <w:r>
            <w:fldChar w:fldCharType="separate"/>
          </w:r>
          <w:r>
            <w:t>70</w:t>
          </w:r>
          <w:r>
            <w:fldChar w:fldCharType="end"/>
          </w:r>
          <w:r>
            <w:fldChar w:fldCharType="end"/>
          </w:r>
        </w:p>
        <w:p w14:paraId="6B950662">
          <w:pPr>
            <w:pStyle w:val="26"/>
            <w:tabs>
              <w:tab w:val="right" w:leader="dot" w:pos="8630"/>
            </w:tabs>
            <w:rPr>
              <w:rFonts w:asciiTheme="minorHAnsi" w:hAnsiTheme="minorHAnsi" w:eastAsiaTheme="minorEastAsia" w:cstheme="minorBidi"/>
              <w:sz w:val="22"/>
              <w:szCs w:val="22"/>
              <w:lang w:val="en-GB" w:eastAsia="en-GB"/>
            </w:rPr>
          </w:pPr>
          <w:r>
            <w:fldChar w:fldCharType="begin"/>
          </w:r>
          <w:r>
            <w:instrText xml:space="preserve"> HYPERLINK \l "_Toc238763376" </w:instrText>
          </w:r>
          <w:r>
            <w:fldChar w:fldCharType="separate"/>
          </w:r>
          <w:r>
            <w:rPr>
              <w:rStyle w:val="20"/>
              <w:rFonts w:eastAsiaTheme="majorEastAsia"/>
              <w:color w:val="auto"/>
            </w:rPr>
            <w:t>Table 8: PESTEL Macro-Environmental Pressures Analysis</w:t>
          </w:r>
          <w:r>
            <w:tab/>
          </w:r>
          <w:r>
            <w:fldChar w:fldCharType="begin"/>
          </w:r>
          <w:r>
            <w:instrText xml:space="preserve"> PAGEREF _Toc238763376 \h </w:instrText>
          </w:r>
          <w:r>
            <w:fldChar w:fldCharType="separate"/>
          </w:r>
          <w:r>
            <w:t>71</w:t>
          </w:r>
          <w:r>
            <w:fldChar w:fldCharType="end"/>
          </w:r>
          <w:r>
            <w:fldChar w:fldCharType="end"/>
          </w:r>
        </w:p>
        <w:p w14:paraId="08266BC7">
          <w:r>
            <w:rPr>
              <w:b/>
              <w:bCs/>
            </w:rPr>
            <w:fldChar w:fldCharType="end"/>
          </w:r>
        </w:p>
      </w:sdtContent>
    </w:sdt>
    <w:p w14:paraId="4FE1A5D8">
      <w:pPr>
        <w:spacing w:after="160" w:line="278" w:lineRule="auto"/>
        <w:jc w:val="left"/>
        <w:rPr>
          <w:rFonts w:eastAsiaTheme="majorEastAsia"/>
          <w:b/>
          <w:sz w:val="32"/>
          <w:szCs w:val="40"/>
        </w:rPr>
      </w:pPr>
      <w:r>
        <w:br w:type="page"/>
      </w:r>
    </w:p>
    <w:p w14:paraId="59B03E59">
      <w:pPr>
        <w:pStyle w:val="2"/>
        <w:rPr>
          <w:rFonts w:cs="Times New Roman"/>
        </w:rPr>
      </w:pPr>
      <w:bookmarkStart w:id="4" w:name="_Toc238766675"/>
      <w:bookmarkStart w:id="5" w:name="_Toc234309334"/>
      <w:r>
        <w:rPr>
          <w:rFonts w:cs="Times New Roman"/>
        </w:rPr>
        <w:t>Chapter 1: Introduction</w:t>
      </w:r>
      <w:bookmarkEnd w:id="4"/>
      <w:bookmarkEnd w:id="5"/>
      <w:r>
        <w:rPr>
          <w:rFonts w:cs="Times New Roman"/>
        </w:rPr>
        <w:t xml:space="preserve"> </w:t>
      </w:r>
    </w:p>
    <w:p w14:paraId="5954C468">
      <w:pPr>
        <w:pStyle w:val="3"/>
        <w:rPr>
          <w:rFonts w:cs="Times New Roman"/>
        </w:rPr>
      </w:pPr>
      <w:bookmarkStart w:id="6" w:name="_Toc234309335"/>
      <w:bookmarkStart w:id="7" w:name="_Toc238766676"/>
      <w:r>
        <w:rPr>
          <w:rFonts w:cs="Times New Roman"/>
        </w:rPr>
        <w:t>1.1 Background</w:t>
      </w:r>
      <w:bookmarkEnd w:id="6"/>
      <w:bookmarkEnd w:id="7"/>
      <w:r>
        <w:rPr>
          <w:rFonts w:cs="Times New Roman"/>
        </w:rPr>
        <w:t xml:space="preserve"> </w:t>
      </w:r>
    </w:p>
    <w:p w14:paraId="6CC18945">
      <w:r>
        <w:t xml:space="preserve">Digital transformation in the travel industry increases competitiveness as consumers can compare costs and make the best decision </w:t>
      </w:r>
      <w:r>
        <w:rPr>
          <w:shd w:val="clear" w:color="auto" w:fill="FFFFFF"/>
        </w:rPr>
        <w:t>(Carballa‐Smichowski et al., 2026)</w:t>
      </w:r>
      <w:r>
        <w:t xml:space="preserve">. Different travel metasearch platforms like Skyscanner, Momondo, Kayak, etc. focus on attracting the largest number of consumers to generate higher revenues. Most of the people rely on these platforms, whereas Google is preferred for offering organic search results </w:t>
      </w:r>
      <w:r>
        <w:rPr>
          <w:shd w:val="clear" w:color="auto" w:fill="FFFFFF"/>
        </w:rPr>
        <w:t>(Alimonti et al., 2021)</w:t>
      </w:r>
      <w:r>
        <w:t xml:space="preserve">. The metasearch platforms act as an intermediary between airlines and travellers by offering the chance of comparing prices and service quality. This model also plays a significant role in directing people to the booking providers by providing clear and specific information </w:t>
      </w:r>
      <w:r>
        <w:rPr>
          <w:shd w:val="clear" w:color="auto" w:fill="FFFFFF"/>
        </w:rPr>
        <w:t>(Stucke, 2022)</w:t>
      </w:r>
      <w:r>
        <w:t xml:space="preserve">. </w:t>
      </w:r>
    </w:p>
    <w:p w14:paraId="22ECA8A6">
      <w:r>
        <w:t xml:space="preserve">Google gets more acceptance from the majority of consumers for offering organic information with AI-generated search summaries </w:t>
      </w:r>
      <w:r>
        <w:rPr>
          <w:shd w:val="clear" w:color="auto" w:fill="FFFFFF"/>
        </w:rPr>
        <w:t>(Quirós, 2025)</w:t>
      </w:r>
      <w:r>
        <w:t xml:space="preserve">. It is providing authentic information about travel within its own ecosystem to gain more trust from the target group, that create major complication in surviving for competing companies. Consumers can get all of the travel information, like the prices of different airlines, schedules, recommended services or packages, without visiting different platforms </w:t>
      </w:r>
      <w:r>
        <w:rPr>
          <w:shd w:val="clear" w:color="auto" w:fill="FFFFFF"/>
        </w:rPr>
        <w:t>(Currie and Dobson, 2025)</w:t>
      </w:r>
      <w:r>
        <w:t xml:space="preserve">. It is focusing to the improvement of service by changing the search layout, which helps Skyscanner face challenges to survive and grow continuously. Trip.com Group acquired Skyscanner in 2016 and focuses on implementing innovative strategies for overcoming the competitive challenges. It placed more importance on reducing dependence on Google’s search traffic by investing a huge amount in the development of mobile applications, personalised services, direct engagement with the target groups, and loyalty programs. DMA in EU, CMA in UK emphasizes on ensuring fair competitiveness in the online travel industry. But it is not clear whether these kinds of initiatives can be effective for reducing the dependence on specific companies like Google and increasing the sustainable competitiveness of others like Skyscanner </w:t>
      </w:r>
      <w:r>
        <w:rPr>
          <w:shd w:val="clear" w:color="auto" w:fill="FFFFFF"/>
        </w:rPr>
        <w:t>(Neubert, 2023)</w:t>
      </w:r>
      <w:r>
        <w:t xml:space="preserve">. This research examines how Skyscanner can survive by overcoming the ongoing challenges in the market where Google dominates the online travel search market. </w:t>
      </w:r>
    </w:p>
    <w:p w14:paraId="6C0EB0FC">
      <w:pPr>
        <w:pStyle w:val="3"/>
        <w:rPr>
          <w:rFonts w:cs="Times New Roman"/>
        </w:rPr>
      </w:pPr>
      <w:bookmarkStart w:id="8" w:name="_Toc238766677"/>
      <w:bookmarkStart w:id="9" w:name="_Toc234309336"/>
      <w:r>
        <w:rPr>
          <w:rFonts w:cs="Times New Roman"/>
        </w:rPr>
        <w:t>1.2 Problem Statement</w:t>
      </w:r>
      <w:bookmarkEnd w:id="8"/>
      <w:bookmarkEnd w:id="9"/>
      <w:r>
        <w:rPr>
          <w:rFonts w:cs="Times New Roman"/>
        </w:rPr>
        <w:t xml:space="preserve"> </w:t>
      </w:r>
    </w:p>
    <w:p w14:paraId="0AA894BC">
      <w:r>
        <w:t xml:space="preserve">Consumers in the travel tech industry search for necessary information on different platforms for making the decision more effectively and faster </w:t>
      </w:r>
      <w:r>
        <w:rPr>
          <w:shd w:val="clear" w:color="auto" w:fill="FFFFFF"/>
        </w:rPr>
        <w:t>(Giachino et al., 2021)</w:t>
      </w:r>
      <w:r>
        <w:t xml:space="preserve">. Different search engines offer information about travel organisations and play significant roles in building relationships between travellers and travel organisations. Skyscanner faces a major challenge due to its dependence on Google’s search engine </w:t>
      </w:r>
      <w:r>
        <w:rPr>
          <w:shd w:val="clear" w:color="auto" w:fill="FFFFFF"/>
        </w:rPr>
        <w:t>(Kaur and Thakur, 2026)</w:t>
      </w:r>
      <w:r>
        <w:t xml:space="preserve">. Google's AI-generated search results are more authentic, where consumers can collect detailed information along with recommendations for making the best decision. For this reason, the visibility of the independent metasearch company has reduced massively, which also impacts traffic and customer engagement. Skyscanner is also facing a similar kind of challenge with declining organic traffic and the overall cost increase, which reduce the competitive power </w:t>
      </w:r>
      <w:r>
        <w:rPr>
          <w:shd w:val="clear" w:color="auto" w:fill="FFFFFF"/>
        </w:rPr>
        <w:t>(Dheemonth et al., 2024)</w:t>
      </w:r>
      <w:r>
        <w:t xml:space="preserve">. Dependence on Google’s search engine is highly threatening for other independent search engines, which reason Skyscanner focused to implement innovative strategy to overcome the issue. The existing studies provided in-depth information about the increasing competition in digital platforms in the travel industry and the power of Google's search engine. It was also possible to collect information about the initiatives of Skyscanner to overcome the challenge of the Google search engine event though it is not clear how successful it is with the strategic plans. It invested in the development of a mobile app to make consumers satisfied and get more interaction with diverse consumer groups </w:t>
      </w:r>
      <w:r>
        <w:rPr>
          <w:shd w:val="clear" w:color="auto" w:fill="FFFFFF"/>
        </w:rPr>
        <w:t>(Yang et al., 2025)</w:t>
      </w:r>
      <w:r>
        <w:t xml:space="preserve">. It also focused on the development of plans for direct engagement with different consumers for the enhancement of brand loyalty and to attain sustainable competitive power. But from these studies, it was not possible to understand how the ecosystem of Google’s search impacts the visibility and traffic of Skyscanner. The researcher developed this study to fill the identified gaps and support the readers with practical implications. Through the study, it will be possible to understand the strategic way to produce strategic plans for overcoming the competitive challenges. It will also be possible to understand how organisations can develop plans by considering the strengths and weaknesses of competitiveness for survival and generating better results.  </w:t>
      </w:r>
    </w:p>
    <w:p w14:paraId="005E940B">
      <w:pPr>
        <w:pStyle w:val="3"/>
        <w:rPr>
          <w:rFonts w:cs="Times New Roman"/>
        </w:rPr>
      </w:pPr>
      <w:bookmarkStart w:id="10" w:name="_Toc234309337"/>
      <w:bookmarkStart w:id="11" w:name="_Toc238766678"/>
      <w:r>
        <w:rPr>
          <w:rFonts w:cs="Times New Roman"/>
        </w:rPr>
        <w:t>1.3 Aim</w:t>
      </w:r>
      <w:bookmarkEnd w:id="10"/>
      <w:bookmarkEnd w:id="11"/>
      <w:r>
        <w:rPr>
          <w:rFonts w:cs="Times New Roman"/>
        </w:rPr>
        <w:t xml:space="preserve"> </w:t>
      </w:r>
    </w:p>
    <w:p w14:paraId="47620FC3">
      <w:r>
        <w:t xml:space="preserve">The study aims to investigate how Skyscanner can survive when Google controls the travel search market. </w:t>
      </w:r>
    </w:p>
    <w:p w14:paraId="1803744D">
      <w:pPr>
        <w:pStyle w:val="3"/>
        <w:rPr>
          <w:rFonts w:cs="Times New Roman"/>
        </w:rPr>
      </w:pPr>
      <w:bookmarkStart w:id="12" w:name="_Toc234309338"/>
      <w:bookmarkStart w:id="13" w:name="_Toc238766679"/>
      <w:r>
        <w:rPr>
          <w:rFonts w:cs="Times New Roman"/>
        </w:rPr>
        <w:t>1.4 Research Objectives</w:t>
      </w:r>
      <w:bookmarkEnd w:id="12"/>
      <w:bookmarkEnd w:id="13"/>
      <w:r>
        <w:rPr>
          <w:rFonts w:cs="Times New Roman"/>
        </w:rPr>
        <w:t xml:space="preserve"> </w:t>
      </w:r>
    </w:p>
    <w:p w14:paraId="57916246">
      <w:r>
        <w:t xml:space="preserve">The objectives are aligned with the aim of the study. </w:t>
      </w:r>
    </w:p>
    <w:p w14:paraId="6483B474">
      <w:pPr>
        <w:pStyle w:val="44"/>
        <w:numPr>
          <w:ilvl w:val="0"/>
          <w:numId w:val="1"/>
        </w:numPr>
      </w:pPr>
      <w:r>
        <w:t>Evaluate the Impact of Google’s Search Layout Changes on Skyscanner’s Web Traffic.</w:t>
      </w:r>
    </w:p>
    <w:p w14:paraId="3C1DF297">
      <w:pPr>
        <w:pStyle w:val="44"/>
        <w:numPr>
          <w:ilvl w:val="0"/>
          <w:numId w:val="1"/>
        </w:numPr>
      </w:pPr>
      <w:r>
        <w:t>Identify the Strategic Initiatives Skyscanner is Deploying to Reduce Dependence on Google.</w:t>
      </w:r>
      <w:bookmarkStart w:id="14" w:name="_Toc234309339"/>
    </w:p>
    <w:p w14:paraId="09C0E559">
      <w:pPr>
        <w:pStyle w:val="44"/>
        <w:numPr>
          <w:ilvl w:val="0"/>
          <w:numId w:val="1"/>
        </w:numPr>
      </w:pPr>
      <w:r>
        <w:t>Assess the Effectiveness of Regulatory Frameworks (like the EU's DMA) in Restoring Fair Competition.</w:t>
      </w:r>
    </w:p>
    <w:p w14:paraId="3E128097">
      <w:pPr>
        <w:pStyle w:val="3"/>
        <w:rPr>
          <w:rFonts w:cs="Times New Roman"/>
        </w:rPr>
      </w:pPr>
      <w:bookmarkStart w:id="15" w:name="_Toc238766680"/>
      <w:r>
        <w:rPr>
          <w:rFonts w:cs="Times New Roman"/>
        </w:rPr>
        <w:t>1.5 Research Questions</w:t>
      </w:r>
      <w:bookmarkEnd w:id="14"/>
      <w:bookmarkEnd w:id="15"/>
      <w:r>
        <w:rPr>
          <w:rFonts w:cs="Times New Roman"/>
        </w:rPr>
        <w:t xml:space="preserve"> </w:t>
      </w:r>
    </w:p>
    <w:p w14:paraId="66DBFDEA">
      <w:r>
        <w:t>The study is developed to answer the following questions.</w:t>
      </w:r>
    </w:p>
    <w:p w14:paraId="1F5B6857">
      <w:pPr>
        <w:pStyle w:val="44"/>
        <w:numPr>
          <w:ilvl w:val="0"/>
          <w:numId w:val="2"/>
        </w:numPr>
      </w:pPr>
      <w:r>
        <w:t>How do Google’s Search Layout Changes impact Skyscanner’s Web Traffic?</w:t>
      </w:r>
    </w:p>
    <w:p w14:paraId="10BEA527">
      <w:pPr>
        <w:pStyle w:val="44"/>
        <w:numPr>
          <w:ilvl w:val="0"/>
          <w:numId w:val="2"/>
        </w:numPr>
      </w:pPr>
      <w:r>
        <w:t>What are the Strategic Initiatives Skyscanner is Deploying to Reduce Dependence on Google?</w:t>
      </w:r>
    </w:p>
    <w:p w14:paraId="55D8C35E">
      <w:pPr>
        <w:pStyle w:val="44"/>
        <w:numPr>
          <w:ilvl w:val="0"/>
          <w:numId w:val="2"/>
        </w:numPr>
      </w:pPr>
      <w:r>
        <w:t>What is the Effectiveness of Regulatory Frameworks (like the EU's DMA) in Restoring Fair Competition?</w:t>
      </w:r>
    </w:p>
    <w:p w14:paraId="634700C5">
      <w:pPr>
        <w:pStyle w:val="3"/>
        <w:rPr>
          <w:rFonts w:cs="Times New Roman"/>
        </w:rPr>
      </w:pPr>
      <w:bookmarkStart w:id="16" w:name="_Toc234309340"/>
      <w:bookmarkStart w:id="17" w:name="_Toc238766681"/>
      <w:r>
        <w:rPr>
          <w:rFonts w:cs="Times New Roman"/>
        </w:rPr>
        <w:t>1.6 Relevancy of Research</w:t>
      </w:r>
      <w:bookmarkEnd w:id="16"/>
      <w:bookmarkEnd w:id="17"/>
      <w:r>
        <w:rPr>
          <w:rFonts w:cs="Times New Roman"/>
        </w:rPr>
        <w:t xml:space="preserve"> </w:t>
      </w:r>
    </w:p>
    <w:p w14:paraId="35F56A45">
      <w:r>
        <w:t xml:space="preserve">This study carries huge importance for the improvement of business, and the researcher focuses on including the latest information by considering the realistic issue. It is relevant to the practical challenges of various sectors, that is possible to understand using realistic examples. The research study is developed to enhance awareness among readers to develop strategic plans for attaining the most competitive benefits. In the contemporary age, some organisations hold the controlling power, while others face complications in surviving. The customers in the travel tech industry search for the best services for enhancing their experience and satisfaction. The readers will get clear ideas on how to increase web traffic and customer engagement by changing the search layout. The researcher shows how to take strategic initiatives to reduce dependence on competitive organisations and increase customer loyalty. It can be implemented in any sector for successful implication of a regulatory framework for fair competition. It is necessary to develop strategic plans focusing on relevant regulations like the EU’s DMA, for attaining sustainable competitive benefits. Moreover, the readers will get clear guidance for fostering innovation in the most challenging market to attain better results when the rivals hold the controlling power of the online search market. </w:t>
      </w:r>
    </w:p>
    <w:p w14:paraId="22FAB7B4">
      <w:pPr>
        <w:pStyle w:val="3"/>
        <w:rPr>
          <w:rFonts w:cs="Times New Roman"/>
        </w:rPr>
      </w:pPr>
      <w:bookmarkStart w:id="18" w:name="_Toc234309341"/>
      <w:bookmarkStart w:id="19" w:name="_Toc238766682"/>
      <w:r>
        <w:rPr>
          <w:rFonts w:cs="Times New Roman"/>
        </w:rPr>
        <w:t>1.7 Brief Research Methodology</w:t>
      </w:r>
      <w:bookmarkEnd w:id="18"/>
      <w:bookmarkEnd w:id="19"/>
      <w:r>
        <w:rPr>
          <w:rFonts w:cs="Times New Roman"/>
        </w:rPr>
        <w:t xml:space="preserve"> </w:t>
      </w:r>
    </w:p>
    <w:p w14:paraId="79985F46">
      <w:r>
        <w:t xml:space="preserve">The study is based on secondary source data for examining how the growing dominance of Google in the travel search market affects the competitive position of Skyscanner. The data are mainly collected from 4 sources: 1. antitrust and regulatory filings submitted to the UK CMA and under the EU DMA, 2. annual reports of the online travel industry, investor presentations, 3. Industry analyses from Phocuswright, Skift and PhocusWire, and 4. Relevant academic and regulatory literature. By using specific keywords, it is possible to collect the most relevant and authentic data to produce the best solution to the identified issues. The collected documents will be coded using three categories of themes: The Marginalization of Traditional Metasearch, Ecosystem Diversification and Moat-Building, and Regulatory Friction and Enforcement Gaps. These will be interpreted using PESTEL analysis, the Ansoff Growth Matrix, and the Resource-Based View (RBV). The qualitative method of data will be very supportive for better explanation of the market dynamics to increase the credibility of the research results. The researcher has also structured the literature review into three themes: 1. Evolution of digital platforms and gatekeepers, 2. Transition to digital ecosystem from travel metasearch, and 3. The effectiveness of regulatory interpretation for attaining the competitive benefits. By analysing these factors, it will be possible to understand the challenges Skyscanner faces from Google. Strategic recommendations are developed for Skyscanner to attain sustainable competitiveness, overcoming the challenge of Google.  </w:t>
      </w:r>
    </w:p>
    <w:p w14:paraId="7772C608">
      <w:pPr>
        <w:pStyle w:val="3"/>
        <w:rPr>
          <w:rFonts w:cs="Times New Roman"/>
        </w:rPr>
      </w:pPr>
      <w:bookmarkStart w:id="20" w:name="_Toc234309342"/>
      <w:bookmarkStart w:id="21" w:name="_Toc238766683"/>
      <w:r>
        <w:rPr>
          <w:rFonts w:cs="Times New Roman"/>
        </w:rPr>
        <w:t>1.8 Structure of Rest of Project</w:t>
      </w:r>
      <w:bookmarkEnd w:id="20"/>
      <w:bookmarkEnd w:id="21"/>
      <w:r>
        <w:rPr>
          <w:rFonts w:cs="Times New Roman"/>
        </w:rPr>
        <w:t xml:space="preserve"> </w:t>
      </w:r>
    </w:p>
    <w:p w14:paraId="46318DB8">
      <w:r>
        <w:t xml:space="preserve">The structure of the rest of the chapter is presented below. </w:t>
      </w:r>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5"/>
        <w:gridCol w:w="2453"/>
        <w:gridCol w:w="4472"/>
      </w:tblGrid>
      <w:tr w14:paraId="568D5B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5" w:type="dxa"/>
            <w:tcBorders>
              <w:top w:val="single" w:color="auto" w:sz="4" w:space="0"/>
              <w:left w:val="single" w:color="auto" w:sz="4" w:space="0"/>
              <w:bottom w:val="single" w:color="auto" w:sz="4" w:space="0"/>
              <w:right w:val="single" w:color="auto" w:sz="4" w:space="0"/>
            </w:tcBorders>
          </w:tcPr>
          <w:p w14:paraId="7616AFCC">
            <w:pPr>
              <w:spacing w:line="360" w:lineRule="auto"/>
              <w:rPr>
                <w:sz w:val="22"/>
                <w:szCs w:val="22"/>
              </w:rPr>
            </w:pPr>
            <w:r>
              <w:rPr>
                <w:sz w:val="22"/>
                <w:szCs w:val="22"/>
              </w:rPr>
              <w:t>Chapter 2</w:t>
            </w:r>
          </w:p>
        </w:tc>
        <w:tc>
          <w:tcPr>
            <w:tcW w:w="2453" w:type="dxa"/>
            <w:tcBorders>
              <w:top w:val="single" w:color="auto" w:sz="4" w:space="0"/>
              <w:left w:val="single" w:color="auto" w:sz="4" w:space="0"/>
              <w:bottom w:val="single" w:color="auto" w:sz="4" w:space="0"/>
              <w:right w:val="single" w:color="auto" w:sz="4" w:space="0"/>
            </w:tcBorders>
          </w:tcPr>
          <w:p w14:paraId="5F630AC9">
            <w:pPr>
              <w:spacing w:line="360" w:lineRule="auto"/>
              <w:rPr>
                <w:sz w:val="22"/>
                <w:szCs w:val="22"/>
              </w:rPr>
            </w:pPr>
            <w:r>
              <w:rPr>
                <w:sz w:val="22"/>
                <w:szCs w:val="22"/>
              </w:rPr>
              <w:t>The Literature Review</w:t>
            </w:r>
          </w:p>
        </w:tc>
        <w:tc>
          <w:tcPr>
            <w:tcW w:w="4472" w:type="dxa"/>
            <w:tcBorders>
              <w:top w:val="single" w:color="auto" w:sz="4" w:space="0"/>
              <w:left w:val="single" w:color="auto" w:sz="4" w:space="0"/>
              <w:bottom w:val="single" w:color="auto" w:sz="4" w:space="0"/>
              <w:right w:val="single" w:color="auto" w:sz="4" w:space="0"/>
            </w:tcBorders>
          </w:tcPr>
          <w:p w14:paraId="75A1AD96">
            <w:pPr>
              <w:spacing w:line="360" w:lineRule="auto"/>
              <w:rPr>
                <w:sz w:val="22"/>
                <w:szCs w:val="22"/>
              </w:rPr>
            </w:pPr>
            <w:r>
              <w:rPr>
                <w:sz w:val="22"/>
                <w:szCs w:val="22"/>
              </w:rPr>
              <w:t xml:space="preserve">This is a review the existing papers. It also includes a theoretical review of the existing theories related to this topic. </w:t>
            </w:r>
          </w:p>
        </w:tc>
      </w:tr>
      <w:tr w14:paraId="431739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5" w:type="dxa"/>
            <w:tcBorders>
              <w:top w:val="single" w:color="auto" w:sz="4" w:space="0"/>
              <w:left w:val="single" w:color="auto" w:sz="4" w:space="0"/>
              <w:bottom w:val="single" w:color="auto" w:sz="4" w:space="0"/>
              <w:right w:val="single" w:color="auto" w:sz="4" w:space="0"/>
            </w:tcBorders>
          </w:tcPr>
          <w:p w14:paraId="07F2F847">
            <w:pPr>
              <w:spacing w:line="360" w:lineRule="auto"/>
              <w:rPr>
                <w:sz w:val="22"/>
                <w:szCs w:val="22"/>
              </w:rPr>
            </w:pPr>
            <w:r>
              <w:rPr>
                <w:sz w:val="22"/>
                <w:szCs w:val="22"/>
              </w:rPr>
              <w:t>Chapter 3</w:t>
            </w:r>
          </w:p>
        </w:tc>
        <w:tc>
          <w:tcPr>
            <w:tcW w:w="2453" w:type="dxa"/>
            <w:tcBorders>
              <w:top w:val="single" w:color="auto" w:sz="4" w:space="0"/>
              <w:left w:val="single" w:color="auto" w:sz="4" w:space="0"/>
              <w:bottom w:val="single" w:color="auto" w:sz="4" w:space="0"/>
              <w:right w:val="single" w:color="auto" w:sz="4" w:space="0"/>
            </w:tcBorders>
          </w:tcPr>
          <w:p w14:paraId="0F2B7498">
            <w:pPr>
              <w:spacing w:line="360" w:lineRule="auto"/>
              <w:rPr>
                <w:sz w:val="22"/>
                <w:szCs w:val="22"/>
              </w:rPr>
            </w:pPr>
            <w:r>
              <w:rPr>
                <w:sz w:val="22"/>
                <w:szCs w:val="22"/>
              </w:rPr>
              <w:t>Research Methodology</w:t>
            </w:r>
          </w:p>
        </w:tc>
        <w:tc>
          <w:tcPr>
            <w:tcW w:w="4472" w:type="dxa"/>
            <w:tcBorders>
              <w:top w:val="single" w:color="auto" w:sz="4" w:space="0"/>
              <w:left w:val="single" w:color="auto" w:sz="4" w:space="0"/>
              <w:bottom w:val="single" w:color="auto" w:sz="4" w:space="0"/>
              <w:right w:val="single" w:color="auto" w:sz="4" w:space="0"/>
            </w:tcBorders>
          </w:tcPr>
          <w:p w14:paraId="1124928F">
            <w:pPr>
              <w:spacing w:line="360" w:lineRule="auto"/>
              <w:rPr>
                <w:sz w:val="22"/>
                <w:szCs w:val="22"/>
              </w:rPr>
            </w:pPr>
            <w:r>
              <w:rPr>
                <w:sz w:val="22"/>
                <w:szCs w:val="22"/>
              </w:rPr>
              <w:t xml:space="preserve">This chapter illustrates the data collection and analysis methods, along with research philosophy and approaches. </w:t>
            </w:r>
          </w:p>
        </w:tc>
      </w:tr>
      <w:tr w14:paraId="5F1900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5" w:type="dxa"/>
            <w:tcBorders>
              <w:top w:val="single" w:color="auto" w:sz="4" w:space="0"/>
              <w:left w:val="single" w:color="auto" w:sz="4" w:space="0"/>
              <w:bottom w:val="single" w:color="auto" w:sz="4" w:space="0"/>
              <w:right w:val="single" w:color="auto" w:sz="4" w:space="0"/>
            </w:tcBorders>
          </w:tcPr>
          <w:p w14:paraId="6CFD8E57">
            <w:pPr>
              <w:spacing w:line="360" w:lineRule="auto"/>
              <w:rPr>
                <w:sz w:val="22"/>
                <w:szCs w:val="22"/>
              </w:rPr>
            </w:pPr>
            <w:r>
              <w:rPr>
                <w:sz w:val="22"/>
                <w:szCs w:val="22"/>
              </w:rPr>
              <w:t>Chapter 4</w:t>
            </w:r>
          </w:p>
        </w:tc>
        <w:tc>
          <w:tcPr>
            <w:tcW w:w="2453" w:type="dxa"/>
            <w:tcBorders>
              <w:top w:val="single" w:color="auto" w:sz="4" w:space="0"/>
              <w:left w:val="single" w:color="auto" w:sz="4" w:space="0"/>
              <w:bottom w:val="single" w:color="auto" w:sz="4" w:space="0"/>
              <w:right w:val="single" w:color="auto" w:sz="4" w:space="0"/>
            </w:tcBorders>
          </w:tcPr>
          <w:p w14:paraId="564AA43A">
            <w:pPr>
              <w:spacing w:line="360" w:lineRule="auto"/>
              <w:rPr>
                <w:sz w:val="22"/>
                <w:szCs w:val="22"/>
              </w:rPr>
            </w:pPr>
            <w:r>
              <w:rPr>
                <w:sz w:val="22"/>
                <w:szCs w:val="22"/>
              </w:rPr>
              <w:t xml:space="preserve">Findings, Analysis and Discussion </w:t>
            </w:r>
          </w:p>
        </w:tc>
        <w:tc>
          <w:tcPr>
            <w:tcW w:w="4472" w:type="dxa"/>
            <w:tcBorders>
              <w:top w:val="single" w:color="auto" w:sz="4" w:space="0"/>
              <w:left w:val="single" w:color="auto" w:sz="4" w:space="0"/>
              <w:bottom w:val="single" w:color="auto" w:sz="4" w:space="0"/>
              <w:right w:val="single" w:color="auto" w:sz="4" w:space="0"/>
            </w:tcBorders>
          </w:tcPr>
          <w:p w14:paraId="088B3265">
            <w:pPr>
              <w:spacing w:line="360" w:lineRule="auto"/>
              <w:rPr>
                <w:sz w:val="22"/>
                <w:szCs w:val="22"/>
              </w:rPr>
            </w:pPr>
            <w:r>
              <w:rPr>
                <w:sz w:val="22"/>
                <w:szCs w:val="22"/>
              </w:rPr>
              <w:t xml:space="preserve">In this chapter, the findings are presented, analysed and critically discussed.  </w:t>
            </w:r>
          </w:p>
        </w:tc>
      </w:tr>
      <w:tr w14:paraId="2414A2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5" w:type="dxa"/>
            <w:tcBorders>
              <w:top w:val="single" w:color="auto" w:sz="4" w:space="0"/>
              <w:left w:val="single" w:color="auto" w:sz="4" w:space="0"/>
              <w:bottom w:val="single" w:color="auto" w:sz="4" w:space="0"/>
              <w:right w:val="single" w:color="auto" w:sz="4" w:space="0"/>
            </w:tcBorders>
          </w:tcPr>
          <w:p w14:paraId="5D3C6263">
            <w:pPr>
              <w:spacing w:line="360" w:lineRule="auto"/>
              <w:rPr>
                <w:sz w:val="22"/>
                <w:szCs w:val="22"/>
              </w:rPr>
            </w:pPr>
            <w:r>
              <w:rPr>
                <w:sz w:val="22"/>
                <w:szCs w:val="22"/>
              </w:rPr>
              <w:t>Chapter 5</w:t>
            </w:r>
          </w:p>
        </w:tc>
        <w:tc>
          <w:tcPr>
            <w:tcW w:w="2453" w:type="dxa"/>
            <w:tcBorders>
              <w:top w:val="single" w:color="auto" w:sz="4" w:space="0"/>
              <w:left w:val="single" w:color="auto" w:sz="4" w:space="0"/>
              <w:bottom w:val="single" w:color="auto" w:sz="4" w:space="0"/>
              <w:right w:val="single" w:color="auto" w:sz="4" w:space="0"/>
            </w:tcBorders>
          </w:tcPr>
          <w:p w14:paraId="709752DE">
            <w:pPr>
              <w:spacing w:line="360" w:lineRule="auto"/>
              <w:rPr>
                <w:sz w:val="22"/>
                <w:szCs w:val="22"/>
              </w:rPr>
            </w:pPr>
            <w:r>
              <w:rPr>
                <w:sz w:val="22"/>
                <w:szCs w:val="22"/>
              </w:rPr>
              <w:t>Conclusions and Recommendations</w:t>
            </w:r>
          </w:p>
        </w:tc>
        <w:tc>
          <w:tcPr>
            <w:tcW w:w="4472" w:type="dxa"/>
            <w:tcBorders>
              <w:top w:val="single" w:color="auto" w:sz="4" w:space="0"/>
              <w:left w:val="single" w:color="auto" w:sz="4" w:space="0"/>
              <w:bottom w:val="single" w:color="auto" w:sz="4" w:space="0"/>
              <w:right w:val="single" w:color="auto" w:sz="4" w:space="0"/>
            </w:tcBorders>
          </w:tcPr>
          <w:p w14:paraId="785305DB">
            <w:pPr>
              <w:keepNext/>
              <w:spacing w:line="360" w:lineRule="auto"/>
              <w:rPr>
                <w:sz w:val="22"/>
                <w:szCs w:val="22"/>
              </w:rPr>
            </w:pPr>
            <w:r>
              <w:rPr>
                <w:sz w:val="22"/>
                <w:szCs w:val="22"/>
              </w:rPr>
              <w:t xml:space="preserve">Based on the findings, conclusion is drawn and some recommendations are given.  </w:t>
            </w:r>
          </w:p>
        </w:tc>
      </w:tr>
    </w:tbl>
    <w:p w14:paraId="4D5B28AD">
      <w:pPr>
        <w:pStyle w:val="14"/>
        <w:jc w:val="center"/>
        <w:rPr>
          <w:rFonts w:cs="Times New Roman"/>
          <w:color w:val="auto"/>
        </w:rPr>
      </w:pPr>
      <w:bookmarkStart w:id="22" w:name="_Toc238763369"/>
      <w:bookmarkStart w:id="23" w:name="_Toc236998267"/>
      <w:r>
        <w:rPr>
          <w:color w:val="auto"/>
        </w:rPr>
        <w:t xml:space="preserve">Table </w:t>
      </w:r>
      <w:r>
        <w:rPr>
          <w:color w:val="auto"/>
        </w:rPr>
        <w:fldChar w:fldCharType="begin"/>
      </w:r>
      <w:r>
        <w:rPr>
          <w:color w:val="auto"/>
        </w:rPr>
        <w:instrText xml:space="preserve"> SEQ Table \* ARABIC </w:instrText>
      </w:r>
      <w:r>
        <w:rPr>
          <w:color w:val="auto"/>
        </w:rPr>
        <w:fldChar w:fldCharType="separate"/>
      </w:r>
      <w:r>
        <w:rPr>
          <w:color w:val="auto"/>
        </w:rPr>
        <w:t>1</w:t>
      </w:r>
      <w:r>
        <w:rPr>
          <w:color w:val="auto"/>
        </w:rPr>
        <w:fldChar w:fldCharType="end"/>
      </w:r>
      <w:r>
        <w:rPr>
          <w:color w:val="auto"/>
        </w:rPr>
        <w:t>: Structure of rest of the project</w:t>
      </w:r>
      <w:bookmarkEnd w:id="22"/>
    </w:p>
    <w:p w14:paraId="1A17AEFC">
      <w:pPr>
        <w:spacing w:after="160" w:line="278" w:lineRule="auto"/>
        <w:jc w:val="left"/>
        <w:rPr>
          <w:rFonts w:eastAsiaTheme="majorEastAsia"/>
          <w:b/>
          <w:sz w:val="32"/>
          <w:szCs w:val="40"/>
        </w:rPr>
      </w:pPr>
      <w:r>
        <w:br w:type="page"/>
      </w:r>
    </w:p>
    <w:p w14:paraId="2C2F523A">
      <w:pPr>
        <w:pStyle w:val="2"/>
        <w:rPr>
          <w:rFonts w:cs="Times New Roman"/>
        </w:rPr>
      </w:pPr>
      <w:bookmarkStart w:id="24" w:name="_Toc238766684"/>
      <w:r>
        <w:rPr>
          <w:rFonts w:cs="Times New Roman"/>
        </w:rPr>
        <w:t>Chapter 2: Literature Review</w:t>
      </w:r>
      <w:bookmarkEnd w:id="23"/>
      <w:bookmarkEnd w:id="24"/>
      <w:r>
        <w:rPr>
          <w:rFonts w:cs="Times New Roman"/>
        </w:rPr>
        <w:t xml:space="preserve"> </w:t>
      </w:r>
    </w:p>
    <w:p w14:paraId="2E72470D">
      <w:pPr>
        <w:pStyle w:val="3"/>
        <w:rPr>
          <w:rFonts w:cs="Times New Roman"/>
        </w:rPr>
      </w:pPr>
      <w:bookmarkStart w:id="25" w:name="_Toc236998268"/>
      <w:bookmarkStart w:id="26" w:name="_Toc238766685"/>
      <w:r>
        <w:rPr>
          <w:rFonts w:cs="Times New Roman"/>
        </w:rPr>
        <w:t>2.1 Introduction</w:t>
      </w:r>
      <w:bookmarkEnd w:id="25"/>
      <w:bookmarkEnd w:id="26"/>
      <w:r>
        <w:rPr>
          <w:rFonts w:cs="Times New Roman"/>
        </w:rPr>
        <w:t xml:space="preserve"> </w:t>
      </w:r>
    </w:p>
    <w:p w14:paraId="711C783D">
      <w:r>
        <w:t>In this chapter, the researcher reviewed some existing studies relevant to the objectives of the study. It was necessary to assess the existing evidence for getting depth knowledge about the effectiveness of search engine platforms in increasing consumer engagement and revenues. The researcher synthesises the previous studies to understand how the travel tech industry focuses on overcoming competitive challenges with strategic initiatives. By considering the situation, many organisations develop innovative plans for reducing dependence on the dominant search engine companies and survive in the most challenging market (</w:t>
      </w:r>
      <w:r>
        <w:rPr>
          <w:shd w:val="clear" w:color="auto" w:fill="FFFFFF"/>
        </w:rPr>
        <w:t>Balsiger et al., 2023)</w:t>
      </w:r>
      <w:r>
        <w:t xml:space="preserve">. </w:t>
      </w:r>
    </w:p>
    <w:p w14:paraId="6C3DB70A">
      <w:pPr>
        <w:pStyle w:val="3"/>
        <w:rPr>
          <w:rFonts w:cs="Times New Roman"/>
        </w:rPr>
      </w:pPr>
      <w:bookmarkStart w:id="27" w:name="_Toc236998269"/>
      <w:bookmarkStart w:id="28" w:name="_Toc238766686"/>
      <w:r>
        <w:rPr>
          <w:rFonts w:cs="Times New Roman"/>
        </w:rPr>
        <w:t>2.2 Search Layout Changes</w:t>
      </w:r>
      <w:bookmarkEnd w:id="27"/>
      <w:bookmarkEnd w:id="28"/>
      <w:r>
        <w:rPr>
          <w:rFonts w:cs="Times New Roman"/>
        </w:rPr>
        <w:t xml:space="preserve"> </w:t>
      </w:r>
    </w:p>
    <w:p w14:paraId="16A3F6A4">
      <w:r>
        <w:t>Search layout change means the modifications of the design, presentation and structure of information on a SERP (</w:t>
      </w:r>
      <w:r>
        <w:rPr>
          <w:shd w:val="clear" w:color="auto" w:fill="FFFFFF"/>
        </w:rPr>
        <w:t>Aamir et al., 2025)</w:t>
      </w:r>
      <w:r>
        <w:t>. Basically, a search engine displays a simple list of organic results with rankings, enabling users to make the best decision (</w:t>
      </w:r>
      <w:r>
        <w:rPr>
          <w:shd w:val="clear" w:color="auto" w:fill="FFFFFF"/>
        </w:rPr>
        <w:t>Lv et al., 2020)</w:t>
      </w:r>
      <w:r>
        <w:t xml:space="preserve">. Users collect AI summaries about any topic based on their query, which enables them to get clear ideas about any factor. </w:t>
      </w:r>
      <w:r>
        <w:rPr>
          <w:shd w:val="clear" w:color="auto" w:fill="FFFFFF"/>
        </w:rPr>
        <w:t xml:space="preserve">Foster et al. (2018) </w:t>
      </w:r>
      <w:r>
        <w:t xml:space="preserve">stated that search layout change refers to the process of enhancing service efficiency for saving the valuable time of the users and enable them to make the right decision in a short time based on the structure or design of data. </w:t>
      </w:r>
      <w:r>
        <w:rPr>
          <w:shd w:val="clear" w:color="auto" w:fill="FFFFFF"/>
        </w:rPr>
        <w:t xml:space="preserve">Femenia-Serra and Gretzel (2019) </w:t>
      </w:r>
      <w:r>
        <w:t xml:space="preserve">agreed with </w:t>
      </w:r>
      <w:r>
        <w:rPr>
          <w:shd w:val="clear" w:color="auto" w:fill="FFFFFF"/>
        </w:rPr>
        <w:t>Foster et al. (2018)</w:t>
      </w:r>
      <w:r>
        <w:t xml:space="preserve"> and added that it is the process of presenting information in a more structured way to attain more acceptance and trust from users and build a relationship between users and organisations. </w:t>
      </w:r>
      <w:r>
        <w:rPr>
          <w:shd w:val="clear" w:color="auto" w:fill="FFFFFF"/>
        </w:rPr>
        <w:t xml:space="preserve">Gursoy et al. (2022) </w:t>
      </w:r>
      <w:r>
        <w:t xml:space="preserve">did not agree with </w:t>
      </w:r>
      <w:r>
        <w:rPr>
          <w:shd w:val="clear" w:color="auto" w:fill="FFFFFF"/>
        </w:rPr>
        <w:t>Femenia-Serra and Gretzel (2019)</w:t>
      </w:r>
      <w:r>
        <w:t xml:space="preserve"> and said that changes in layout in search engine platforms are the process of meeting the expectations of the focus groups for increasing user engagement and getting the controlling power for, playing crucial roles in enhancing brand credibility. </w:t>
      </w:r>
    </w:p>
    <w:p w14:paraId="2B39BCBC">
      <w:r>
        <w:t>Information Foraging Theory of Pirolli and Card (1999) explores how users search for valuable information to make decisions in a short time and ensure accuracy. Search engine platforms continuously change the SERPs to reduce the search effort of users and provide answers faster. It is also necessary to improve navigation and increase user satisfaction (</w:t>
      </w:r>
      <w:r>
        <w:rPr>
          <w:shd w:val="clear" w:color="auto" w:fill="FFFFFF"/>
        </w:rPr>
        <w:t>Ana and Istudor, 2019)</w:t>
      </w:r>
      <w:r>
        <w:t xml:space="preserve">. It is also necessary to bring change in search engine layout for enhancing searching efficiency and improving user experience. </w:t>
      </w:r>
      <w:r>
        <w:rPr>
          <w:shd w:val="clear" w:color="auto" w:fill="FFFFFF"/>
        </w:rPr>
        <w:t xml:space="preserve">Femenia-Serra and Gretzel (2019) </w:t>
      </w:r>
      <w:r>
        <w:t xml:space="preserve">stated that the effectiveness of changing search engine layout enables organisations to get more users and revenues. </w:t>
      </w:r>
      <w:r>
        <w:rPr>
          <w:shd w:val="clear" w:color="auto" w:fill="FFFFFF"/>
        </w:rPr>
        <w:t xml:space="preserve">Haenlein et al. (2020) </w:t>
      </w:r>
      <w:r>
        <w:t xml:space="preserve">supported the systematic review of </w:t>
      </w:r>
      <w:r>
        <w:rPr>
          <w:shd w:val="clear" w:color="auto" w:fill="FFFFFF"/>
        </w:rPr>
        <w:t>Femenia-Serra and Gretzel (2019)</w:t>
      </w:r>
      <w:r>
        <w:t xml:space="preserve"> and added that, in the age of digital technology, people decide to use services from travel organisations based on the search engine information, where frequent layout changes are necessary for attracting new people and retaining existing for increasing brand credibility. </w:t>
      </w:r>
    </w:p>
    <w:p w14:paraId="610A32E4">
      <w:pPr>
        <w:pStyle w:val="4"/>
        <w:rPr>
          <w:rFonts w:cs="Times New Roman"/>
        </w:rPr>
      </w:pPr>
      <w:bookmarkStart w:id="29" w:name="_Toc238766687"/>
      <w:bookmarkStart w:id="30" w:name="_Toc236998270"/>
      <w:r>
        <w:rPr>
          <w:rFonts w:cs="Times New Roman"/>
        </w:rPr>
        <w:t>2.2.1 Necessity of Changing Search Layout</w:t>
      </w:r>
      <w:bookmarkEnd w:id="29"/>
      <w:bookmarkEnd w:id="30"/>
      <w:r>
        <w:rPr>
          <w:rFonts w:cs="Times New Roman"/>
        </w:rPr>
        <w:t xml:space="preserve"> </w:t>
      </w:r>
    </w:p>
    <w:p w14:paraId="5F4F3050">
      <w:r>
        <w:t>The search engine platforms need to consider the fast-changing behaviour of the users to increase brand reputation (</w:t>
      </w:r>
      <w:r>
        <w:rPr>
          <w:shd w:val="clear" w:color="auto" w:fill="FFFFFF"/>
        </w:rPr>
        <w:t>Guo et al., 2019)</w:t>
      </w:r>
      <w:r>
        <w:t>. The effectiveness in fostering innovation enables a platform to attain competitive benefits (</w:t>
      </w:r>
      <w:r>
        <w:rPr>
          <w:shd w:val="clear" w:color="auto" w:fill="FFFFFF"/>
        </w:rPr>
        <w:t>Foster et al., 2018)</w:t>
      </w:r>
      <w:r>
        <w:t xml:space="preserve">. It is a way to build a strong relationship with a massive number of users to produce higher profitability. </w:t>
      </w:r>
      <w:r>
        <w:rPr>
          <w:shd w:val="clear" w:color="auto" w:fill="FFFFFF"/>
        </w:rPr>
        <w:t xml:space="preserve">Hamilton et al. (2021) </w:t>
      </w:r>
      <w:r>
        <w:t xml:space="preserve">stated that changing the search layout is necessary for improving user experience by offering AI-summarized information faster and with greater accuracy, that enable the users to understand and decide faster. </w:t>
      </w:r>
      <w:r>
        <w:rPr>
          <w:shd w:val="clear" w:color="auto" w:fill="FFFFFF"/>
        </w:rPr>
        <w:t xml:space="preserve">Gursoy et al. (2022) </w:t>
      </w:r>
      <w:r>
        <w:t xml:space="preserve">strongly supported the evidence of </w:t>
      </w:r>
      <w:r>
        <w:rPr>
          <w:shd w:val="clear" w:color="auto" w:fill="FFFFFF"/>
        </w:rPr>
        <w:t>Hamilton et al. (2021)</w:t>
      </w:r>
      <w:r>
        <w:t xml:space="preserve"> and added that it is necessary to change the layout of the search engine to meet the changing behaviour of users, where users are focusing on identifying the necessary information in an easier approach, like using voice search, mobile devices, and conversational AI on the same platform instead of multiple sites. </w:t>
      </w:r>
      <w:r>
        <w:rPr>
          <w:shd w:val="clear" w:color="auto" w:fill="FFFFFF"/>
        </w:rPr>
        <w:t xml:space="preserve">Cameron and Rahman (2022) </w:t>
      </w:r>
      <w:r>
        <w:t xml:space="preserve">did not agree with the findings of </w:t>
      </w:r>
      <w:r>
        <w:rPr>
          <w:shd w:val="clear" w:color="auto" w:fill="FFFFFF"/>
        </w:rPr>
        <w:t>Gursoy et al. (2022)</w:t>
      </w:r>
      <w:r>
        <w:t xml:space="preserve">, and explored that the search engine companies need to bring change in layout over time by considering the improvement of technology and in recent times it is not possible to survive in the fast-changing market without the inclusion of advanced technology like AI, machine learning, etc. to make the task easier and faster for the users. </w:t>
      </w:r>
      <w:r>
        <w:rPr>
          <w:shd w:val="clear" w:color="auto" w:fill="FFFFFF"/>
        </w:rPr>
        <w:t xml:space="preserve">Zeqiri et al. (2025) </w:t>
      </w:r>
      <w:r>
        <w:t xml:space="preserve">presented a similar statement to </w:t>
      </w:r>
      <w:r>
        <w:rPr>
          <w:shd w:val="clear" w:color="auto" w:fill="FFFFFF"/>
        </w:rPr>
        <w:t>Cameron and Rahman (2022)</w:t>
      </w:r>
      <w:r>
        <w:t xml:space="preserve">, and further added that increasing the number of smartphone users influences the search engine platforms to bring changes in layouts for offering easier access to them and enhance their personalised experience. </w:t>
      </w:r>
    </w:p>
    <w:p w14:paraId="7BFD64F2">
      <w:r>
        <w:t>The increasing competition in the search engine platforms influences every company to bring changes in layout to increase user engagement and retention (</w:t>
      </w:r>
      <w:r>
        <w:rPr>
          <w:shd w:val="clear" w:color="auto" w:fill="FFFFFF"/>
        </w:rPr>
        <w:t>Cutolo and Kenney, 2021)</w:t>
      </w:r>
      <w:r>
        <w:t>. It is also necessary to improve search efficiency to gain more trust from users and make the brand more popular. Platform Ecosystem Theory suggests that digital platforms create value by connecting with various groups of users within a shared ecosystem. Consumers, developers, businesses and service providers can collect information through search engines, where travel companies get more benefits for growing and getting higher engagement from diverse groups of travellers. The platforms offer the information in a structured way, and the travel companies offer services to the consumers that also contribute to enhancing the value of the platform (</w:t>
      </w:r>
      <w:r>
        <w:rPr>
          <w:shd w:val="clear" w:color="auto" w:fill="FFFFFF"/>
        </w:rPr>
        <w:t>Basukie et al., 2020)</w:t>
      </w:r>
      <w:r>
        <w:t xml:space="preserve">. From the theory, it is possible to understand why it is necessary to change the layout frequently. </w:t>
      </w:r>
    </w:p>
    <w:p w14:paraId="431689BB">
      <w:pPr>
        <w:pStyle w:val="4"/>
        <w:rPr>
          <w:rFonts w:cs="Times New Roman"/>
        </w:rPr>
      </w:pPr>
      <w:bookmarkStart w:id="31" w:name="_Toc238766688"/>
      <w:bookmarkStart w:id="32" w:name="_Toc236998271"/>
      <w:r>
        <w:rPr>
          <w:rFonts w:cs="Times New Roman"/>
        </w:rPr>
        <w:t>2.2.2 Impact of Search Layout Changes on Web Traffic</w:t>
      </w:r>
      <w:bookmarkEnd w:id="31"/>
      <w:bookmarkEnd w:id="32"/>
      <w:r>
        <w:rPr>
          <w:rFonts w:cs="Times New Roman"/>
        </w:rPr>
        <w:t xml:space="preserve">   </w:t>
      </w:r>
    </w:p>
    <w:p w14:paraId="52AEA17A">
      <w:r>
        <w:t>Users are willing to attain different experiences, which need to be considered by the search engine platforms (</w:t>
      </w:r>
      <w:r>
        <w:rPr>
          <w:shd w:val="clear" w:color="auto" w:fill="FFFFFF"/>
        </w:rPr>
        <w:t>Doctorow and Giblin, 2022)</w:t>
      </w:r>
      <w:r>
        <w:t xml:space="preserve">. It reduces organic search visibility when SERP features increase the search visibility. For this reason, websites may receive fewer click impressions even though it provides organic ranking in unchanged mode. </w:t>
      </w:r>
      <w:r>
        <w:rPr>
          <w:shd w:val="clear" w:color="auto" w:fill="FFFFFF"/>
        </w:rPr>
        <w:t xml:space="preserve">Chamboko-Mpotaringa and Tichaawa (2021) </w:t>
      </w:r>
      <w:r>
        <w:t xml:space="preserve">stated that by changing the search layout, it is possible to offer all of the information on the same website through the process of zero-click search. The systematic review of </w:t>
      </w:r>
      <w:r>
        <w:rPr>
          <w:shd w:val="clear" w:color="auto" w:fill="FFFFFF"/>
        </w:rPr>
        <w:t>Lancieri and Sakowski (2021)</w:t>
      </w:r>
      <w:r>
        <w:t xml:space="preserve"> supported the statement of </w:t>
      </w:r>
      <w:r>
        <w:rPr>
          <w:shd w:val="clear" w:color="auto" w:fill="FFFFFF"/>
        </w:rPr>
        <w:t xml:space="preserve">Chamboko-Mpotaringa and Tichaawa (2021) </w:t>
      </w:r>
      <w:r>
        <w:t xml:space="preserve">that travellers are willing to collect all of the information, including flight and hotel information, prices, maps, destinations, reviews and other travel-related answers on the same platforms instead of visiting many others. </w:t>
      </w:r>
      <w:r>
        <w:rPr>
          <w:shd w:val="clear" w:color="auto" w:fill="FFFFFF"/>
        </w:rPr>
        <w:t xml:space="preserve">Hackl et al. (2022) </w:t>
      </w:r>
      <w:r>
        <w:t xml:space="preserve">agreed with </w:t>
      </w:r>
      <w:r>
        <w:rPr>
          <w:shd w:val="clear" w:color="auto" w:fill="FFFFFF"/>
        </w:rPr>
        <w:t>Lancieri and Sakowski (2021)</w:t>
      </w:r>
      <w:r>
        <w:t xml:space="preserve"> and said that changing the search layout might result in less visibility and traffic, where users might face complications in collecting sufficient information for their preferences. </w:t>
      </w:r>
      <w:r>
        <w:rPr>
          <w:shd w:val="clear" w:color="auto" w:fill="FFFFFF"/>
        </w:rPr>
        <w:t>Zheng et al. (2023)</w:t>
      </w:r>
      <w:r>
        <w:t xml:space="preserve"> further argued, along with </w:t>
      </w:r>
      <w:r>
        <w:rPr>
          <w:shd w:val="clear" w:color="auto" w:fill="FFFFFF"/>
        </w:rPr>
        <w:t>Hackl et al. (2022)</w:t>
      </w:r>
      <w:r>
        <w:t xml:space="preserve">, and said that the change in layout provides a different experience to users by changing the presentation style of the information and enabling them to get AI-generated recommendations for deciding faster and more effectively. </w:t>
      </w:r>
    </w:p>
    <w:p w14:paraId="1075974C">
      <w:r>
        <w:t xml:space="preserve">The Gatekeeping Theory explains that search engines can control the traffic of third-party websites. From the theory, it is also possible to understand how search engines can control the visibility of any brand and is also related to the disruption of information. </w:t>
      </w:r>
      <w:r>
        <w:rPr>
          <w:shd w:val="clear" w:color="auto" w:fill="FFFFFF"/>
        </w:rPr>
        <w:t xml:space="preserve">Akbar and Tracogna (2018) </w:t>
      </w:r>
      <w:r>
        <w:t xml:space="preserve">stated that changing the layout is a strategic approach to meeting the changing behaviour of the users that increases the web traffic. </w:t>
      </w:r>
      <w:r>
        <w:rPr>
          <w:shd w:val="clear" w:color="auto" w:fill="FFFFFF"/>
        </w:rPr>
        <w:t xml:space="preserve">Willie (2019) </w:t>
      </w:r>
      <w:r>
        <w:t xml:space="preserve">did not agree with </w:t>
      </w:r>
      <w:r>
        <w:rPr>
          <w:shd w:val="clear" w:color="auto" w:fill="FFFFFF"/>
        </w:rPr>
        <w:t>Akbar and Tracogna (2018)</w:t>
      </w:r>
      <w:r>
        <w:t xml:space="preserve"> and said that by changing the layout of the search engine, the platforms are taking control over the information and are focused on offering service at a premium price, for which the users are not showing more interest, and the organisations do not get more traffic. </w:t>
      </w:r>
    </w:p>
    <w:p w14:paraId="0A39E726">
      <w:pPr>
        <w:pStyle w:val="3"/>
        <w:rPr>
          <w:rFonts w:cs="Times New Roman"/>
        </w:rPr>
      </w:pPr>
      <w:bookmarkStart w:id="33" w:name="_Toc238766689"/>
      <w:bookmarkStart w:id="34" w:name="_Toc236998272"/>
      <w:r>
        <w:rPr>
          <w:rFonts w:cs="Times New Roman"/>
        </w:rPr>
        <w:t>2.3 Reducing Dependence on Specific Search Engine in Online Travel Industry</w:t>
      </w:r>
      <w:bookmarkEnd w:id="33"/>
      <w:bookmarkEnd w:id="34"/>
      <w:r>
        <w:rPr>
          <w:rFonts w:cs="Times New Roman"/>
        </w:rPr>
        <w:t xml:space="preserve"> </w:t>
      </w:r>
    </w:p>
    <w:p w14:paraId="6A655A8B">
      <w:r>
        <w:t xml:space="preserve">Most of the online travel organisations depend on a particular search engine platform for attaining the desired margin of web traffic. It is necessary to promote the brand through the search engine platforms for more customer acquisition and attaining competitive benefits. The dominant search engine platforms can play significant roles in increasing brand visibility, and this is the major reason for depending on the leading search engine platform. But this type of platform also promotes competitive travel agencies, which is a major factor to consider when deciding to depend on it. </w:t>
      </w:r>
      <w:r>
        <w:rPr>
          <w:shd w:val="clear" w:color="auto" w:fill="FFFFFF"/>
        </w:rPr>
        <w:t xml:space="preserve">Van Dijck et al. (2018) </w:t>
      </w:r>
      <w:r>
        <w:t xml:space="preserve">stated that, by considering the situation, sometimes producing alternative plans for attracting more customers instead of depending on any specific search engine is called a reduction of dependence on a specific platform. </w:t>
      </w:r>
      <w:r>
        <w:rPr>
          <w:shd w:val="clear" w:color="auto" w:fill="FFFFFF"/>
        </w:rPr>
        <w:t xml:space="preserve">Perren and Kozinets (2018) </w:t>
      </w:r>
      <w:r>
        <w:t xml:space="preserve">provided a different definition than </w:t>
      </w:r>
      <w:r>
        <w:rPr>
          <w:shd w:val="clear" w:color="auto" w:fill="FFFFFF"/>
        </w:rPr>
        <w:t>Van Dijck et al. (2018)</w:t>
      </w:r>
      <w:r>
        <w:t xml:space="preserve">, and said that it is the process of improving the strength of the travel agency to implement its own plans and processes for getting more consumers and increasing brand visibility to attain the long-term goals. </w:t>
      </w:r>
      <w:r>
        <w:rPr>
          <w:shd w:val="clear" w:color="auto" w:fill="FFFFFF"/>
        </w:rPr>
        <w:t xml:space="preserve">Capriello and Riboldazzi (2019) </w:t>
      </w:r>
      <w:r>
        <w:t xml:space="preserve">defined that travel organisations need to develop plans for customer acquisition from different platforms to overcome competitive challenges and hold a leading position in the most competitive global market. </w:t>
      </w:r>
    </w:p>
    <w:p w14:paraId="4D4F7A1C">
      <w:r>
        <w:t>With changes in algorithms and the redesign of SERP, travel organisations may face a massive challenge in interacting with the target groups (</w:t>
      </w:r>
      <w:r>
        <w:rPr>
          <w:shd w:val="clear" w:color="auto" w:fill="FFFFFF"/>
        </w:rPr>
        <w:t>Balsiger et al., 2023)</w:t>
      </w:r>
      <w:r>
        <w:t>. Besides, it can impact the ranking, which can be challenging for some specific travel agencies (</w:t>
      </w:r>
      <w:r>
        <w:rPr>
          <w:shd w:val="clear" w:color="auto" w:fill="FFFFFF"/>
        </w:rPr>
        <w:t>Aamir et al., 2025)</w:t>
      </w:r>
      <w:r>
        <w:t xml:space="preserve">. By considering these factors, some travel organisations produce alternative plans for growing continuously and attaining more customer engagement, which means a reduction of dependence on specific search engines. </w:t>
      </w:r>
      <w:r>
        <w:rPr>
          <w:shd w:val="clear" w:color="auto" w:fill="FFFFFF"/>
        </w:rPr>
        <w:t xml:space="preserve">Katsikari et al. (2020) </w:t>
      </w:r>
      <w:r>
        <w:t xml:space="preserve">stated that it is the process of enhancing organisational strengths to enhance business sustainability to attain the long-term goals. </w:t>
      </w:r>
      <w:r>
        <w:rPr>
          <w:shd w:val="clear" w:color="auto" w:fill="FFFFFF"/>
        </w:rPr>
        <w:t xml:space="preserve">Schor et al. (2020) </w:t>
      </w:r>
      <w:r>
        <w:t xml:space="preserve">supported the definition of </w:t>
      </w:r>
      <w:r>
        <w:rPr>
          <w:shd w:val="clear" w:color="auto" w:fill="FFFFFF"/>
        </w:rPr>
        <w:t>Katsikari et al. (2020)</w:t>
      </w:r>
      <w:r>
        <w:t xml:space="preserve"> and added that travel organisations reduce dependence on the search engine platforms by increasing the number of channels for customer acquisition and getting higher revenues. </w:t>
      </w:r>
    </w:p>
    <w:p w14:paraId="7D0C686C">
      <w:pPr>
        <w:pStyle w:val="4"/>
        <w:rPr>
          <w:rFonts w:cs="Times New Roman"/>
        </w:rPr>
      </w:pPr>
      <w:bookmarkStart w:id="35" w:name="_Toc238766690"/>
      <w:bookmarkStart w:id="36" w:name="_Toc236998273"/>
      <w:r>
        <w:rPr>
          <w:rFonts w:cs="Times New Roman"/>
        </w:rPr>
        <w:t>2.3.1 Process of Enhancing Competitive Power and Reducing Dependence</w:t>
      </w:r>
      <w:bookmarkEnd w:id="35"/>
      <w:bookmarkEnd w:id="36"/>
      <w:r>
        <w:rPr>
          <w:rFonts w:cs="Times New Roman"/>
        </w:rPr>
        <w:t xml:space="preserve"> </w:t>
      </w:r>
    </w:p>
    <w:p w14:paraId="600EF8C9">
      <w:r>
        <w:t>Online travel organisations need to develop plans for better customer management rather than depending on specific search engine platforms (</w:t>
      </w:r>
      <w:r>
        <w:rPr>
          <w:shd w:val="clear" w:color="auto" w:fill="FFFFFF"/>
        </w:rPr>
        <w:t>Lv et al., 2020)</w:t>
      </w:r>
      <w:r>
        <w:t>. It is necessary to have the stability to reach the targeted consumers and influence them to decide, avoiding alternatives (</w:t>
      </w:r>
      <w:r>
        <w:rPr>
          <w:shd w:val="clear" w:color="auto" w:fill="FFFFFF"/>
        </w:rPr>
        <w:t>Foster et al., 2018)</w:t>
      </w:r>
      <w:r>
        <w:t>. A structured process or strategy is required to implement for the identification of competitive power and reducing dependence. According to</w:t>
      </w:r>
      <w:r>
        <w:rPr>
          <w:shd w:val="clear" w:color="auto" w:fill="FFFFFF"/>
        </w:rPr>
        <w:t xml:space="preserve"> Femenia-Serra and Gretzel (2019)</w:t>
      </w:r>
      <w:r>
        <w:t xml:space="preserve">, for enhancing competitive strengths and reducing dependence on any specific platform, it is necessary ot identify the level or source of dependence. Online travel organisations can depend on other organisations for organic search traffic, paid search advertisements, customer acquisition, etc., which is important for generating higher revenues. </w:t>
      </w:r>
      <w:r>
        <w:rPr>
          <w:shd w:val="clear" w:color="auto" w:fill="FFFFFF"/>
        </w:rPr>
        <w:t xml:space="preserve">Ana and Istudor (2019) </w:t>
      </w:r>
      <w:r>
        <w:t xml:space="preserve">did not support the findings of </w:t>
      </w:r>
      <w:r>
        <w:rPr>
          <w:shd w:val="clear" w:color="auto" w:fill="FFFFFF"/>
        </w:rPr>
        <w:t>Femenia-Serra and Gretzel (2019)</w:t>
      </w:r>
      <w:r>
        <w:t xml:space="preserve">, and said that assessment of the associated risk with search engine dependence is very important for the development of plans for reducing dependence and attaining competitive benefits. </w:t>
      </w:r>
      <w:r>
        <w:rPr>
          <w:shd w:val="clear" w:color="auto" w:fill="FFFFFF"/>
        </w:rPr>
        <w:t xml:space="preserve">Gursoy et al. (2022) </w:t>
      </w:r>
      <w:r>
        <w:t xml:space="preserve">supported the statement of </w:t>
      </w:r>
      <w:r>
        <w:rPr>
          <w:shd w:val="clear" w:color="auto" w:fill="FFFFFF"/>
        </w:rPr>
        <w:t>Ana and Istudor (2019)</w:t>
      </w:r>
      <w:r>
        <w:t xml:space="preserve"> and added that the identification of risk factors enables a travel organisation to fix diverse channels for customer acquisition to increase website traffic and profitability. The enhancement of competitive power mainly depends on the effectiveness of organisations in developing plans for building strong relationships with customers and influencing them to decide to take services. </w:t>
      </w:r>
    </w:p>
    <w:p w14:paraId="396B131B">
      <w:pPr>
        <w:pStyle w:val="4"/>
        <w:rPr>
          <w:rFonts w:cs="Times New Roman"/>
        </w:rPr>
      </w:pPr>
      <w:bookmarkStart w:id="37" w:name="_Toc236998274"/>
      <w:bookmarkStart w:id="38" w:name="_Toc238766691"/>
      <w:r>
        <w:rPr>
          <w:rFonts w:cs="Times New Roman"/>
        </w:rPr>
        <w:t>2.3.2 Importance of Taking Strategic Initiatives for Reducing Dependence on a Search Engine</w:t>
      </w:r>
      <w:bookmarkEnd w:id="37"/>
      <w:bookmarkEnd w:id="38"/>
      <w:r>
        <w:rPr>
          <w:rFonts w:cs="Times New Roman"/>
        </w:rPr>
        <w:t xml:space="preserve"> </w:t>
      </w:r>
    </w:p>
    <w:p w14:paraId="5BC8D5B6">
      <w:r>
        <w:t>Online travel organisations should have the capability of changing their plans considering the situation for attracting more consumers (</w:t>
      </w:r>
      <w:r>
        <w:rPr>
          <w:shd w:val="clear" w:color="auto" w:fill="FFFFFF"/>
        </w:rPr>
        <w:t>Haenlein et al., 2020)</w:t>
      </w:r>
      <w:r>
        <w:t xml:space="preserve">. The evolution of digital technologies is increasing the dependence of travel organisations on search engine companies for massive business expansion and increasing revenues. </w:t>
      </w:r>
      <w:r>
        <w:rPr>
          <w:shd w:val="clear" w:color="auto" w:fill="FFFFFF"/>
        </w:rPr>
        <w:t xml:space="preserve">Femenia-Serra and Gretzel (2019) </w:t>
      </w:r>
      <w:r>
        <w:t xml:space="preserve">stated that the strategic initiatives of the travel organisation, instead of depending on the search engine platforms, contribute to the enhancement of the competitive power for attaining a better market position and generating higher revenues. </w:t>
      </w:r>
      <w:r>
        <w:rPr>
          <w:shd w:val="clear" w:color="auto" w:fill="FFFFFF"/>
        </w:rPr>
        <w:t xml:space="preserve">Guo et al. (2019) </w:t>
      </w:r>
      <w:r>
        <w:t xml:space="preserve">supported the explanation of </w:t>
      </w:r>
      <w:r>
        <w:rPr>
          <w:shd w:val="clear" w:color="auto" w:fill="FFFFFF"/>
        </w:rPr>
        <w:t>Femenia-Serra and Gretzel (2019)</w:t>
      </w:r>
      <w:r>
        <w:t xml:space="preserve">, and further added that it is a way of strengthening strategic autonomy for gaining greater control over customer interaction. It also contributes to increasing direct website traffic, developing mobile applications, enhancing brand awareness and developing loyalty programs to reduce the cost of promotion and increase customer engagement. </w:t>
      </w:r>
      <w:r>
        <w:rPr>
          <w:shd w:val="clear" w:color="auto" w:fill="FFFFFF"/>
        </w:rPr>
        <w:t xml:space="preserve">Hamilton et al. (2021) </w:t>
      </w:r>
      <w:r>
        <w:t xml:space="preserve">provided the opposite statement of </w:t>
      </w:r>
      <w:r>
        <w:rPr>
          <w:shd w:val="clear" w:color="auto" w:fill="FFFFFF"/>
        </w:rPr>
        <w:t>Guo et al. (2019)</w:t>
      </w:r>
      <w:r>
        <w:t xml:space="preserve"> and said that travel organisations should have plans for using diverse channels to increase web traffic and customer engagement instead of depending on any specific search engine for attaining the long-term goals of the brand. </w:t>
      </w:r>
    </w:p>
    <w:p w14:paraId="42BB9E54">
      <w:r>
        <w:t>The travel business can attract more customers through the improvement of competitive resilience (</w:t>
      </w:r>
      <w:r>
        <w:rPr>
          <w:shd w:val="clear" w:color="auto" w:fill="FFFFFF"/>
        </w:rPr>
        <w:t>Gursoy et al., 2022)</w:t>
      </w:r>
      <w:r>
        <w:t>. The strategic plans of using diverse platforms and implementing innovative plans can offer long-term benefits, which is not possible by adopting the services of any specific search engine. The Dynamic Capabilities Theory discusses that the capabilities of the firms influence the ability to bring change to the external environment to attain better outcomes. It means the travel organisations need to develop strategic plans for operating the tasks in a more standard way instead of following similar strategies for generating better results (</w:t>
      </w:r>
      <w:r>
        <w:rPr>
          <w:shd w:val="clear" w:color="auto" w:fill="FFFFFF"/>
        </w:rPr>
        <w:t>Foster et al., 2018)</w:t>
      </w:r>
      <w:r>
        <w:t xml:space="preserve">. By changing the process or strategy, it is possible to interact with more customers through online platforms that offer the chance of increasing web traffic and physical engagement. </w:t>
      </w:r>
      <w:r>
        <w:rPr>
          <w:shd w:val="clear" w:color="auto" w:fill="FFFFFF"/>
        </w:rPr>
        <w:t xml:space="preserve">Schor et al. (2020) </w:t>
      </w:r>
      <w:r>
        <w:t xml:space="preserve">stated that strategic initiatives play significant roles in reducing the limitations of a specific brand and offering the chance of reaching a larger number of consumers instead of using the services of a search engine company. </w:t>
      </w:r>
      <w:r>
        <w:rPr>
          <w:shd w:val="clear" w:color="auto" w:fill="FFFFFF"/>
        </w:rPr>
        <w:t xml:space="preserve">Cameron and Rahman (2022) </w:t>
      </w:r>
      <w:r>
        <w:t xml:space="preserve">supported the statement of </w:t>
      </w:r>
      <w:r>
        <w:rPr>
          <w:shd w:val="clear" w:color="auto" w:fill="FFFFFF"/>
        </w:rPr>
        <w:t>Schor et al. (2020)</w:t>
      </w:r>
      <w:r>
        <w:t xml:space="preserve"> and added that the development of strategic plans enables travel organisations to understand their strengths and limitations for fostering innovation and overcoming the competitive challenges in the online travel industry. </w:t>
      </w:r>
    </w:p>
    <w:p w14:paraId="32B5D5FB">
      <w:pPr>
        <w:pStyle w:val="4"/>
        <w:rPr>
          <w:rFonts w:cs="Times New Roman"/>
        </w:rPr>
      </w:pPr>
      <w:bookmarkStart w:id="39" w:name="_Toc236998275"/>
      <w:bookmarkStart w:id="40" w:name="_Toc238766692"/>
      <w:r>
        <w:rPr>
          <w:rFonts w:cs="Times New Roman"/>
        </w:rPr>
        <w:t>2.3.3 Benefits of Strategic Initiatives to Reduce Dependence on Any Search Engine Platform</w:t>
      </w:r>
      <w:bookmarkEnd w:id="39"/>
      <w:bookmarkEnd w:id="40"/>
      <w:r>
        <w:rPr>
          <w:rFonts w:cs="Times New Roman"/>
        </w:rPr>
        <w:t xml:space="preserve"> </w:t>
      </w:r>
    </w:p>
    <w:p w14:paraId="04DED362">
      <w:r>
        <w:t>Travel organisations in the digital age face massive challenges due to intensive competition and rapidly changing consumer behaviour (</w:t>
      </w:r>
      <w:r>
        <w:rPr>
          <w:shd w:val="clear" w:color="auto" w:fill="FFFFFF"/>
        </w:rPr>
        <w:t>Zeqiri et al., 2025)</w:t>
      </w:r>
      <w:r>
        <w:t xml:space="preserve">. It is also necessary to increase consumer engagement, which may not be possible by using the services of search engine platforms. </w:t>
      </w:r>
      <w:r>
        <w:rPr>
          <w:shd w:val="clear" w:color="auto" w:fill="FFFFFF"/>
        </w:rPr>
        <w:t xml:space="preserve">Van Dijck et al. (2018) </w:t>
      </w:r>
      <w:r>
        <w:t xml:space="preserve">stated that producing innovative plans instead of increasing dependence on specific search engine platforms helps travel organisations to avoid the potential of a sudden decline in web traffic. </w:t>
      </w:r>
      <w:r>
        <w:rPr>
          <w:shd w:val="clear" w:color="auto" w:fill="FFFFFF"/>
        </w:rPr>
        <w:t xml:space="preserve">Akbar and Tracogna (2018) </w:t>
      </w:r>
      <w:r>
        <w:t xml:space="preserve">did not support the statement of </w:t>
      </w:r>
      <w:r>
        <w:rPr>
          <w:shd w:val="clear" w:color="auto" w:fill="FFFFFF"/>
        </w:rPr>
        <w:t>Van Dijck et al. (2018)</w:t>
      </w:r>
      <w:r>
        <w:t xml:space="preserve">, and said that by implementing strategic plans or taking strategic initiatives, it is possible to strengthen the capabilities of a travel organisation to attain greater control over customer acquisition. Different channels, including the company website, mobile application, email, social media and partnership it possible to reach the targeted audiences for getting more customer engagement and reach in the long-term goals, which might not be possible by depending on a specific search engine platform. </w:t>
      </w:r>
    </w:p>
    <w:p w14:paraId="735FF7DE">
      <w:r>
        <w:t>Depending on any search engine platform can be challenging in the long term due to changes in the layout after a certain period (</w:t>
      </w:r>
      <w:r>
        <w:rPr>
          <w:shd w:val="clear" w:color="auto" w:fill="FFFFFF"/>
        </w:rPr>
        <w:t>Zheng et al., 2023)</w:t>
      </w:r>
      <w:r>
        <w:t xml:space="preserve">. Travel organisations are at higher risk of losing existing consumers due to changes in ranking over time through AI-summarized information. The customer lifetime value theory of Morgan and Hunt (1994) suggests that organisations should place more concern for developing a strategic plan for building strong relationships with customers and reaching long-term goals. </w:t>
      </w:r>
      <w:r>
        <w:rPr>
          <w:shd w:val="clear" w:color="auto" w:fill="FFFFFF"/>
        </w:rPr>
        <w:t xml:space="preserve">Katsikari et al. (2020) </w:t>
      </w:r>
      <w:r>
        <w:t xml:space="preserve">stated that travel organisations need to take every possible initiative to attain more customer engagement and strengthen relationships with existing customers who can contribute to massive brand promotion and enhance brand credibility. </w:t>
      </w:r>
      <w:r>
        <w:rPr>
          <w:shd w:val="clear" w:color="auto" w:fill="FFFFFF"/>
        </w:rPr>
        <w:t xml:space="preserve">Chamboko-Mpotaringa and Tichaawa (2021) </w:t>
      </w:r>
      <w:r>
        <w:t xml:space="preserve">supported the statement of </w:t>
      </w:r>
      <w:r>
        <w:rPr>
          <w:shd w:val="clear" w:color="auto" w:fill="FFFFFF"/>
        </w:rPr>
        <w:t>Katsikari et al. (2020)</w:t>
      </w:r>
      <w:r>
        <w:t xml:space="preserve">, and further added that reducing search dependence influences the travel organisation to produce innovative plans for managing diverse customers and understanding their changing demands to develop service quality for avoiding potential risks in attaining the desired goals.  </w:t>
      </w:r>
    </w:p>
    <w:p w14:paraId="43B4F25D">
      <w:pPr>
        <w:pStyle w:val="3"/>
        <w:rPr>
          <w:rFonts w:cs="Times New Roman"/>
        </w:rPr>
      </w:pPr>
      <w:bookmarkStart w:id="41" w:name="_Toc236998276"/>
      <w:bookmarkStart w:id="42" w:name="_Toc238766693"/>
      <w:r>
        <w:rPr>
          <w:rFonts w:cs="Times New Roman"/>
        </w:rPr>
        <w:t>2.4 Effectiveness of Regulatory Framework in Restoring Fair Competition</w:t>
      </w:r>
      <w:bookmarkEnd w:id="41"/>
      <w:bookmarkEnd w:id="42"/>
      <w:r>
        <w:rPr>
          <w:rFonts w:cs="Times New Roman"/>
        </w:rPr>
        <w:t xml:space="preserve"> </w:t>
      </w:r>
    </w:p>
    <w:p w14:paraId="0FC2B739">
      <w:r>
        <w:t>In the travel industry, the increasing dependence on digital platforms influences companies to pay more concern toward the regulatory framework (</w:t>
      </w:r>
      <w:r>
        <w:rPr>
          <w:shd w:val="clear" w:color="auto" w:fill="FFFFFF"/>
        </w:rPr>
        <w:t>Doctorow and Giblin, 2022)</w:t>
      </w:r>
      <w:r>
        <w:t>. It is necessary to follow the laws and regulations with more importance regarding market access, fair competition, and business expansion (</w:t>
      </w:r>
      <w:r>
        <w:rPr>
          <w:shd w:val="clear" w:color="auto" w:fill="FFFFFF"/>
        </w:rPr>
        <w:t>Lancieri and Sakowski, 2021)</w:t>
      </w:r>
      <w:r>
        <w:t>. Online travel agencies need to depend on search engine platforms to connect with more consumers and produce higher profitability (</w:t>
      </w:r>
      <w:r>
        <w:rPr>
          <w:shd w:val="clear" w:color="auto" w:fill="FFFFFF"/>
        </w:rPr>
        <w:t>Basukie et al., 2020)</w:t>
      </w:r>
      <w:r>
        <w:t xml:space="preserve">. But it is also a concerning matter that similar platforms may operate competing services, which can be the reason for conflicts in self-referencing, interests, visibility, etc., which can be highly challenging for specific travel organisations. A systematic review by </w:t>
      </w:r>
      <w:r>
        <w:rPr>
          <w:shd w:val="clear" w:color="auto" w:fill="FFFFFF"/>
        </w:rPr>
        <w:t>Perren and Kozinets (2018)</w:t>
      </w:r>
      <w:r>
        <w:t xml:space="preserve"> explores the regulatory framework and why the forces of the conventional market are not sufficient in a concentrated digital market, and the advantages of data, which is very significant in the travel industry, to enable travel organisations to produce the most effective plans for attaining better outcomes. </w:t>
      </w:r>
      <w:r>
        <w:rPr>
          <w:shd w:val="clear" w:color="auto" w:fill="FFFFFF"/>
        </w:rPr>
        <w:t xml:space="preserve">Capriello and Riboldazzi (2019) </w:t>
      </w:r>
      <w:r>
        <w:t xml:space="preserve">presented different evidence from </w:t>
      </w:r>
      <w:r>
        <w:rPr>
          <w:shd w:val="clear" w:color="auto" w:fill="FFFFFF"/>
        </w:rPr>
        <w:t>Perren and Kozinets (2018)</w:t>
      </w:r>
      <w:r>
        <w:t xml:space="preserve">, and said that regulation identifies obligations which can control access between the business and consumers. </w:t>
      </w:r>
      <w:r>
        <w:rPr>
          <w:shd w:val="clear" w:color="auto" w:fill="FFFFFF"/>
        </w:rPr>
        <w:t xml:space="preserve">Willie (2019) </w:t>
      </w:r>
      <w:r>
        <w:t xml:space="preserve">supported the explanation of </w:t>
      </w:r>
      <w:r>
        <w:rPr>
          <w:shd w:val="clear" w:color="auto" w:fill="FFFFFF"/>
        </w:rPr>
        <w:t xml:space="preserve">Capriello and Riboldazzi (2019) </w:t>
      </w:r>
      <w:r>
        <w:t xml:space="preserve">and added that it can prevent a company from giving preferential visibility to its own services over competitive organisations or other metasearch agencies. </w:t>
      </w:r>
      <w:r>
        <w:rPr>
          <w:shd w:val="clear" w:color="auto" w:fill="FFFFFF"/>
        </w:rPr>
        <w:t xml:space="preserve">Hackl et al. (2022) </w:t>
      </w:r>
      <w:r>
        <w:t xml:space="preserve">provided a different explanation than </w:t>
      </w:r>
      <w:r>
        <w:rPr>
          <w:shd w:val="clear" w:color="auto" w:fill="FFFFFF"/>
        </w:rPr>
        <w:t>Willie (2019)</w:t>
      </w:r>
      <w:r>
        <w:t xml:space="preserve"> and highlighted that it is very effective for improving transparency and ranked the service in fairness to increase competition in the travel industry. </w:t>
      </w:r>
    </w:p>
    <w:p w14:paraId="3BFBCC97">
      <w:r>
        <w:t>The regulatory framework plays a crucial role in changing traffic distribution through changes in visibility, traffic and impressions (</w:t>
      </w:r>
      <w:r>
        <w:rPr>
          <w:shd w:val="clear" w:color="auto" w:fill="FFFFFF"/>
        </w:rPr>
        <w:t>Cutolo and Kenney, 2021)</w:t>
      </w:r>
      <w:r>
        <w:t>. It also reduces the dependence on the dominant platforms, enabling every platform to survive by overcoming the challenge systematically. The network effects suggests that the inclusion of more users and businesses increases the value of any platform. It means that the effectiveness of presenting information by search engine platforms attracts users to collect information to decide faster and more effectively, that increase value of the platform. Regulators may introduce roles for the improvement of competition, but it also offers various advantages of having millions of users (</w:t>
      </w:r>
      <w:r>
        <w:rPr>
          <w:shd w:val="clear" w:color="auto" w:fill="FFFFFF"/>
        </w:rPr>
        <w:t>Marsden and Podszun, 2020)</w:t>
      </w:r>
      <w:r>
        <w:t>. Businesses get access to a massive number of users on the platforms based on their familiarity. For a systematic approach, the platforms can collect mass data for improving the plans and change the layout, which also contributes to increasing fair competitiveness (</w:t>
      </w:r>
      <w:r>
        <w:rPr>
          <w:shd w:val="clear" w:color="auto" w:fill="FFFFFF"/>
        </w:rPr>
        <w:t>Chopra and Khan, 2020)</w:t>
      </w:r>
      <w:r>
        <w:t xml:space="preserve">. </w:t>
      </w:r>
    </w:p>
    <w:p w14:paraId="45E49040">
      <w:pPr>
        <w:pStyle w:val="4"/>
        <w:rPr>
          <w:rFonts w:cs="Times New Roman"/>
        </w:rPr>
      </w:pPr>
      <w:bookmarkStart w:id="43" w:name="_Toc236998277"/>
      <w:bookmarkStart w:id="44" w:name="_Toc238766694"/>
      <w:r>
        <w:rPr>
          <w:rFonts w:cs="Times New Roman"/>
        </w:rPr>
        <w:t>2.4.1 Process of Maintaining Regulatory Framework to Gain Competitive Benefits</w:t>
      </w:r>
      <w:bookmarkEnd w:id="43"/>
      <w:bookmarkEnd w:id="44"/>
      <w:r>
        <w:rPr>
          <w:rFonts w:cs="Times New Roman"/>
        </w:rPr>
        <w:t xml:space="preserve"> </w:t>
      </w:r>
    </w:p>
    <w:p w14:paraId="6C7EC775">
      <w:r>
        <w:t>Online search engine organisations need to maintain a regulatory framework to gain more trust from users (</w:t>
      </w:r>
      <w:r>
        <w:rPr>
          <w:shd w:val="clear" w:color="auto" w:fill="FFFFFF"/>
        </w:rPr>
        <w:t>Fajar, 2020)</w:t>
      </w:r>
      <w:r>
        <w:t>. It is necessary to improve the plans and processes based on the regulatory framework that offers the chance of fair competitiveness (</w:t>
      </w:r>
      <w:r>
        <w:rPr>
          <w:shd w:val="clear" w:color="auto" w:fill="FFFFFF"/>
        </w:rPr>
        <w:t>Van Cleynenbreugel, 2019)</w:t>
      </w:r>
      <w:r>
        <w:t xml:space="preserve">. A strong structure needs to be developed to maintain a regulatory framework for overcoming the competitive challenge and attaining the leading position in the most competitive market. </w:t>
      </w:r>
      <w:r>
        <w:rPr>
          <w:shd w:val="clear" w:color="auto" w:fill="FFFFFF"/>
        </w:rPr>
        <w:t xml:space="preserve">De Stefano and Aloisi (2018) </w:t>
      </w:r>
      <w:r>
        <w:t xml:space="preserve">stated that identifying the gatekeepers and market power to understand the market risk is the way to gain competitive benefits. </w:t>
      </w:r>
      <w:r>
        <w:rPr>
          <w:shd w:val="clear" w:color="auto" w:fill="FFFFFF"/>
        </w:rPr>
        <w:t xml:space="preserve">Ghaffar et al. (2020) </w:t>
      </w:r>
      <w:r>
        <w:t xml:space="preserve">provided a similar statement to </w:t>
      </w:r>
      <w:r>
        <w:rPr>
          <w:shd w:val="clear" w:color="auto" w:fill="FFFFFF"/>
        </w:rPr>
        <w:t>De Stefano and Aloisi (2018)</w:t>
      </w:r>
      <w:r>
        <w:t xml:space="preserve">, and added that in the digital market, travel organisations need to consider numerous factors, including network effect, market scale, data advantages, dependence on other businesses, user reach, etc., for producing plans for offering better services and getting competitive benefits. </w:t>
      </w:r>
      <w:r>
        <w:rPr>
          <w:shd w:val="clear" w:color="auto" w:fill="FFFFFF"/>
        </w:rPr>
        <w:t xml:space="preserve">Nilsson et al. (2021) </w:t>
      </w:r>
      <w:r>
        <w:t xml:space="preserve">opposed to </w:t>
      </w:r>
      <w:r>
        <w:rPr>
          <w:shd w:val="clear" w:color="auto" w:fill="FFFFFF"/>
        </w:rPr>
        <w:t>Ghaffar et al. (2020),</w:t>
      </w:r>
      <w:r>
        <w:t xml:space="preserve"> said that maintaining a regulatory framework means establishing clear regulatory obligations for operating the task in a standard way and growing continuously to attain a better market position. These may address access to data, maintaining transparency, self-referencing, consumer choice and discriminatory ranking. They also added that, to make the regulations more effective, it is necessary to examine the structures of search results, analyse the ranking practices, focus on the changes in traffic, analysing policies and algorithms of the platforms to ensure that all of the tasks are operated by following the relevant rules and legislatures. </w:t>
      </w:r>
    </w:p>
    <w:p w14:paraId="56B6B609">
      <w:r>
        <w:t>The Regulatory Governance Theory explains that search engine platforms are required to comply with regulations strictly as an ongoing governing approach to generate better results. Through a one-time intervention, it is not possible to bring the necessary change at the earliest time to overcome the competitive challenges. It is necessary to design regulations appropriately to get clear ideas about the problem of the market and establish appropriate rules for addressing them (</w:t>
      </w:r>
      <w:r>
        <w:rPr>
          <w:shd w:val="clear" w:color="auto" w:fill="FFFFFF"/>
        </w:rPr>
        <w:t>Criscuolo et al., 2022)</w:t>
      </w:r>
      <w:r>
        <w:t xml:space="preserve">. It also enables the platforms to get positive behaviour from users by giving equal opportunities to everyone to compare the travel services of diverse companies. The platforms also favour their own services, that effect on the traffic and changes visibility. </w:t>
      </w:r>
    </w:p>
    <w:p w14:paraId="3A724BB7">
      <w:pPr>
        <w:pStyle w:val="4"/>
        <w:rPr>
          <w:rFonts w:cs="Times New Roman"/>
        </w:rPr>
      </w:pPr>
      <w:bookmarkStart w:id="45" w:name="_Toc236998278"/>
      <w:bookmarkStart w:id="46" w:name="_Toc238766695"/>
      <w:r>
        <w:rPr>
          <w:rFonts w:cs="Times New Roman"/>
        </w:rPr>
        <w:t>2.4.2 Benefits of Fair Competition in the Travel Industry</w:t>
      </w:r>
      <w:bookmarkEnd w:id="45"/>
      <w:bookmarkEnd w:id="46"/>
      <w:r>
        <w:rPr>
          <w:rFonts w:cs="Times New Roman"/>
        </w:rPr>
        <w:t xml:space="preserve"> </w:t>
      </w:r>
    </w:p>
    <w:p w14:paraId="4DCF7A28">
      <w:r>
        <w:t>Fair competition enables the travel industry to get more consumer engagement and increase sales (</w:t>
      </w:r>
      <w:r>
        <w:rPr>
          <w:shd w:val="clear" w:color="auto" w:fill="FFFFFF"/>
        </w:rPr>
        <w:t>Wibowo et al., 2025)</w:t>
      </w:r>
      <w:r>
        <w:t>. It allows consumers to compare a wider range of airlines, OTAs, hotels, metasearch services, travel packages and tour operators. It is very important for the digital travel market because consumers can compare many alternatives before deciding to book any specific service (</w:t>
      </w:r>
      <w:r>
        <w:rPr>
          <w:shd w:val="clear" w:color="auto" w:fill="FFFFFF"/>
        </w:rPr>
        <w:t>Löfqvist et al., 2023)</w:t>
      </w:r>
      <w:r>
        <w:t xml:space="preserve">. It also influences travel businesses to set competitive price for attaining more customer engagement, avoiding alternatives. </w:t>
      </w:r>
      <w:r>
        <w:rPr>
          <w:shd w:val="clear" w:color="auto" w:fill="FFFFFF"/>
        </w:rPr>
        <w:t xml:space="preserve">Foster et al. (2018) </w:t>
      </w:r>
      <w:r>
        <w:t xml:space="preserve">explored that in the most competitive market, travel organisations need to give more importance to developing standard pricing for fair competitiveness and overcoming the market challenges. The systematic review of </w:t>
      </w:r>
      <w:r>
        <w:rPr>
          <w:shd w:val="clear" w:color="auto" w:fill="FFFFFF"/>
        </w:rPr>
        <w:t>Femenia-Serra and Gretzel (2019)</w:t>
      </w:r>
      <w:r>
        <w:t xml:space="preserve"> provided different evidence from </w:t>
      </w:r>
      <w:r>
        <w:rPr>
          <w:shd w:val="clear" w:color="auto" w:fill="FFFFFF"/>
        </w:rPr>
        <w:t>Foster et al. (2018)</w:t>
      </w:r>
      <w:r>
        <w:t xml:space="preserve"> and said that fair competition encourages the travel business to get unique recognition by offering the most effective customer services and personalised recommendations. </w:t>
      </w:r>
      <w:r>
        <w:rPr>
          <w:shd w:val="clear" w:color="auto" w:fill="FFFFFF"/>
        </w:rPr>
        <w:t xml:space="preserve">Lv et al. (2020) </w:t>
      </w:r>
      <w:r>
        <w:t>provided supportive statements like</w:t>
      </w:r>
      <w:r>
        <w:rPr>
          <w:shd w:val="clear" w:color="auto" w:fill="FFFFFF"/>
        </w:rPr>
        <w:t xml:space="preserve"> Femenia-Serra and Gretzel (2019)</w:t>
      </w:r>
      <w:r>
        <w:t xml:space="preserve">, and added that for fair competition, the travel business felt pressure to foster innovation by developing new products or services to generate better results and attain better results. </w:t>
      </w:r>
    </w:p>
    <w:p w14:paraId="2B8E1FBB">
      <w:r>
        <w:t>Online travel organisations are influenced to invest in using AI, personalised recommendations, developing mobile applications, dynamic pricing and improving the booking system. An environment of fair competition offers massive opportunity for the smaller travel businesses to survive and attain desired profitability (</w:t>
      </w:r>
      <w:r>
        <w:rPr>
          <w:shd w:val="clear" w:color="auto" w:fill="FFFFFF"/>
        </w:rPr>
        <w:t>Gursoy et al., 2022)</w:t>
      </w:r>
      <w:r>
        <w:t>. The smaller companies can compete with larger organisations with specialised travel products in niche destinations and can offer personalised services by including innovative technologies. The contestable market theory discusses the importance of reducing barriers or complications that prevent firm to enter in the market and create challenges for established businesses. Small businesses in the travel industry can assess when plans develop for protecting the existing business and create obstacles to entering any established market (</w:t>
      </w:r>
      <w:r>
        <w:rPr>
          <w:shd w:val="clear" w:color="auto" w:fill="FFFFFF"/>
        </w:rPr>
        <w:t>Femenia-Serra and Gretzel, 2019)</w:t>
      </w:r>
      <w:r>
        <w:t>. Fair competition supports every travel business in getting the desired number of customers to grow and produce higher revenues (</w:t>
      </w:r>
      <w:r>
        <w:rPr>
          <w:shd w:val="clear" w:color="auto" w:fill="FFFFFF"/>
        </w:rPr>
        <w:t>Cameron and Rahman, 2022)</w:t>
      </w:r>
      <w:r>
        <w:t xml:space="preserve">. </w:t>
      </w:r>
    </w:p>
    <w:p w14:paraId="0664228D">
      <w:pPr>
        <w:pStyle w:val="3"/>
        <w:rPr>
          <w:rFonts w:cs="Times New Roman"/>
        </w:rPr>
      </w:pPr>
      <w:bookmarkStart w:id="47" w:name="_Toc238766696"/>
      <w:bookmarkStart w:id="48" w:name="_Toc236998279"/>
      <w:r>
        <w:rPr>
          <w:rFonts w:cs="Times New Roman"/>
        </w:rPr>
        <w:t>2.5 Theoretical Framework</w:t>
      </w:r>
      <w:bookmarkEnd w:id="47"/>
      <w:bookmarkEnd w:id="48"/>
      <w:r>
        <w:rPr>
          <w:rFonts w:cs="Times New Roman"/>
        </w:rPr>
        <w:t xml:space="preserve"> </w:t>
      </w:r>
    </w:p>
    <w:p w14:paraId="4A8E37FD">
      <w:pPr>
        <w:rPr>
          <w:b/>
        </w:rPr>
      </w:pPr>
      <w:r>
        <w:rPr>
          <w:b/>
        </w:rPr>
        <w:t xml:space="preserve">2.5.1 Ansoff Growth Matrix Theory </w:t>
      </w:r>
    </w:p>
    <w:p w14:paraId="4D06CAAA">
      <w:r>
        <w:t>This theory was developed by Igor Ansoff to explore the process of achieving organisational growth in four specific dimensions. Market penetration is the process of increasing sales in the existing market by overcoming the market challenge with the existing products or services. Market development involves entering new markets with existing services by developing strategic plans or taking new initiatives to overcome the challenges of a search engine platform that holds the leading position in the digital platform (</w:t>
      </w:r>
      <w:r>
        <w:rPr>
          <w:shd w:val="clear" w:color="auto" w:fill="FFFFFF"/>
        </w:rPr>
        <w:t>Aamir et al., 2025)</w:t>
      </w:r>
      <w:r>
        <w:t>. Product or service development is the process of creating new products or fostering innovation to attract more customers by overcoming competitive challenges. Diversification is also very important for getting more customer engagement in diverse groups to generate higher sales (</w:t>
      </w:r>
      <w:r>
        <w:rPr>
          <w:shd w:val="clear" w:color="auto" w:fill="FFFFFF"/>
        </w:rPr>
        <w:t>Guo et al., 2019)</w:t>
      </w:r>
      <w:r>
        <w:t>. The theory suggests that strategic initiatives are required to get more consumer engagement and trust, which can be very supportive for enhancing brand credibility. By changing the search layouts, travel organisations get different types of visibility and web traffic (</w:t>
      </w:r>
      <w:r>
        <w:rPr>
          <w:shd w:val="clear" w:color="auto" w:fill="FFFFFF"/>
        </w:rPr>
        <w:t>Foster et al., 2018)</w:t>
      </w:r>
      <w:r>
        <w:t>. Some organisations most of the time depend on specific search engines to get more customer engagement. Travel organisations produce effective plans for reducing dependence on search engines and identify alternative processes for maintaining competitive power (</w:t>
      </w:r>
      <w:r>
        <w:rPr>
          <w:shd w:val="clear" w:color="auto" w:fill="FFFFFF"/>
        </w:rPr>
        <w:t>Gursoy et al., 2022)</w:t>
      </w:r>
      <w:r>
        <w:t xml:space="preserve">. Travel organisations should emphasise following the regulatory framework to conduct business operations appropriately for fair competition. </w:t>
      </w:r>
    </w:p>
    <w:p w14:paraId="1899A8DD">
      <w:pPr>
        <w:pStyle w:val="4"/>
      </w:pPr>
      <w:bookmarkStart w:id="49" w:name="_Toc238766697"/>
      <w:r>
        <w:t>2.5.2 Resource-Based View (RBV) Theory</w:t>
      </w:r>
      <w:bookmarkEnd w:id="49"/>
      <w:r>
        <w:t xml:space="preserve"> </w:t>
      </w:r>
    </w:p>
    <w:p w14:paraId="59EFD63D">
      <w:r>
        <w:t>Jay Barney and other scholars developed the theory that unique resources enhance the competitive power of organisations. Different resources, including financial, technological, human, and brand, increase organisational capabilities to attain the most competitive benefits. Travel tech organisations should have standard plans for utilising the resources effectively to avoid unnecessary costs and get more customer engagement (</w:t>
      </w:r>
      <w:r>
        <w:rPr>
          <w:shd w:val="clear" w:color="auto" w:fill="FFFFFF"/>
        </w:rPr>
        <w:t>Hamilton et al., 2021)</w:t>
      </w:r>
      <w:r>
        <w:t>. It is very supportive of meeting customers’ demand in any market to increase customer loyalty continuously. By ensuring the best use of valuable resources, it is possible to enhance brand reputation and business sustainability (</w:t>
      </w:r>
      <w:r>
        <w:rPr>
          <w:shd w:val="clear" w:color="auto" w:fill="FFFFFF"/>
        </w:rPr>
        <w:t>Schor et al., 2020)</w:t>
      </w:r>
      <w:r>
        <w:t>. It is necessary to recruit skilled and experienced employees to collect customer databases for personalised recommendations and to increase customer engagement (</w:t>
      </w:r>
      <w:r>
        <w:rPr>
          <w:shd w:val="clear" w:color="auto" w:fill="FFFFFF"/>
        </w:rPr>
        <w:t>Katsikari et al., 2020)</w:t>
      </w:r>
      <w:r>
        <w:t xml:space="preserve">. The travel organisations in the digital age need to use resources with strategic plans for enhancing strengths to obtain more consumer engagement and brand recognition. </w:t>
      </w:r>
    </w:p>
    <w:p w14:paraId="63BD6B39">
      <w:pPr>
        <w:pStyle w:val="4"/>
      </w:pPr>
      <w:bookmarkStart w:id="50" w:name="_Toc238766698"/>
      <w:r>
        <w:t>2.5.3 PESTEL Analysis</w:t>
      </w:r>
      <w:bookmarkEnd w:id="50"/>
    </w:p>
    <w:p w14:paraId="28EF923C">
      <w:r>
        <w:t>Valentinas et al. (2022) argue that the PESTEL framework is an essential theoretical resource to study the macro-environmental factors influencing digital travel platforms. This analysis looks at Political, Economic, Social, Technological, Environmental, and Legal factors. Political and Legal factors are of great importance in the circumstances of digital intermediaries. The Digital Markets Act (DMA) by the European Union is an important regulation intervention that has been discussed in the recent literature. Researchers however claim that these ex-ante rules tend to have performative enforcement.  Moreover, Technological factors drastically interfere with the market. Artificial intelligence is now applied in the search engines to offer direct answers. This development of interface generates zero-click searches, which do not rely on traditional metasearch sites. On the social front, contemporary consumers seek speedy and convenient information about travelling. Travel behaviours are becoming redefined by environmental, sustainability issues. Using the PESTEL framework, this paper can be able to effectively analyze the harsh external forces that are compelling Skyscanner to modify its survival strategies.</w:t>
      </w:r>
    </w:p>
    <w:p w14:paraId="60FAC597">
      <w:pPr>
        <w:pStyle w:val="3"/>
        <w:rPr>
          <w:rFonts w:cs="Times New Roman"/>
        </w:rPr>
      </w:pPr>
      <w:bookmarkStart w:id="51" w:name="_Toc236998281"/>
      <w:bookmarkStart w:id="52" w:name="_Toc238766699"/>
      <w:r>
        <w:rPr>
          <w:rFonts w:cs="Times New Roman"/>
        </w:rPr>
        <w:t>2.6 Literature Gaps</w:t>
      </w:r>
      <w:bookmarkEnd w:id="51"/>
      <w:bookmarkEnd w:id="52"/>
      <w:r>
        <w:rPr>
          <w:rFonts w:cs="Times New Roman"/>
        </w:rPr>
        <w:t xml:space="preserve"> </w:t>
      </w:r>
    </w:p>
    <w:p w14:paraId="0F7B0D1F">
      <w:r>
        <w:t xml:space="preserve">The researcher evaluated many relevant studies to collect detailed information about the process of survival by overcoming various challenges of any specific search engine platform. From the existing studies, it was possible to collect numerous pieces of information for understanding the process of enhancing competitive power in the search engine market. Limited industry-specific information about the process of layout changes was not enough to understand the factors and bring necessary change for reducing dependence on a specific search engine platform. The previous studies provided limited information about the process of increasing web traffic.  Besides, insufficient information about the strategic approaches to avoid search dependence on any specific search engine platform influences research on the topic for understanding how digital travel organisations can attain higher competitive benefits. The existing studies examined the limitations of travel organisations depending on any specific search engine and gaining competitive power separately. Overall, the existing literature is not enough for understanding how a travel organisation can overcome the challenge of a reputed travel search market. So, the researcher will conduct this study in a more structured way, including the most relevant data to fill the identified gaps. </w:t>
      </w:r>
    </w:p>
    <w:p w14:paraId="7EB31AE0">
      <w:pPr>
        <w:pStyle w:val="3"/>
        <w:rPr>
          <w:rFonts w:cs="Times New Roman"/>
        </w:rPr>
      </w:pPr>
      <w:bookmarkStart w:id="53" w:name="_Toc236998282"/>
      <w:bookmarkStart w:id="54" w:name="_Toc238766700"/>
      <w:r>
        <w:rPr>
          <w:rFonts w:cs="Times New Roman"/>
        </w:rPr>
        <w:t>2.7 Summary</w:t>
      </w:r>
      <w:bookmarkEnd w:id="53"/>
      <w:bookmarkEnd w:id="54"/>
      <w:r>
        <w:rPr>
          <w:rFonts w:cs="Times New Roman"/>
        </w:rPr>
        <w:t xml:space="preserve"> </w:t>
      </w:r>
    </w:p>
    <w:p w14:paraId="381B018E">
      <w:r>
        <w:t xml:space="preserve">The online travel industry faces massive challenge for the reason of digital transformation, where some specific search engine platforms hold the controlling power in customer engagement and sales generation. By reviewing different relevant studies, it is possible to understand the process by which search engine platforms take various initiatives to gain higher customer engagement and support travel organisations to grow and reach in the targets. By changing layouts, search engine organisations try to enhance customer trust and play significant roles in enabling any organisation to generate higher sales. The search engine platforms focus on offering all of the necessary information to decide about the travel service on the same platforms for reducing complication of the consumers and gain more acceptance from users. Some travel organisations attain higher benefits, while some organisations face huge complications in surviving. The travel organisations with higher dependence on the search engine platforms may face various complications in the long term. So, it is necessary to take strategic initiatives to overcome such complications in the long term and increase customer engagement to become successful. </w:t>
      </w:r>
    </w:p>
    <w:p w14:paraId="7F1779ED">
      <w:pPr>
        <w:rPr>
          <w:rFonts w:eastAsiaTheme="majorEastAsia"/>
          <w:b/>
          <w:sz w:val="32"/>
          <w:szCs w:val="40"/>
        </w:rPr>
      </w:pPr>
      <w:r>
        <w:br w:type="page"/>
      </w:r>
    </w:p>
    <w:p w14:paraId="42AD7507">
      <w:pPr>
        <w:pStyle w:val="2"/>
        <w:rPr>
          <w:rFonts w:cs="Times New Roman"/>
        </w:rPr>
      </w:pPr>
      <w:bookmarkStart w:id="55" w:name="_Toc236998283"/>
      <w:bookmarkStart w:id="56" w:name="_Toc238766701"/>
      <w:r>
        <w:rPr>
          <w:rFonts w:cs="Times New Roman"/>
        </w:rPr>
        <w:t>Chapter 3: Methodology</w:t>
      </w:r>
      <w:bookmarkEnd w:id="55"/>
      <w:bookmarkEnd w:id="56"/>
      <w:r>
        <w:rPr>
          <w:rFonts w:cs="Times New Roman"/>
        </w:rPr>
        <w:t xml:space="preserve"> </w:t>
      </w:r>
    </w:p>
    <w:p w14:paraId="136F782B">
      <w:pPr>
        <w:pStyle w:val="3"/>
        <w:rPr>
          <w:rFonts w:cs="Times New Roman"/>
        </w:rPr>
      </w:pPr>
      <w:bookmarkStart w:id="57" w:name="_Toc238766702"/>
      <w:bookmarkStart w:id="58" w:name="_Toc236998284"/>
      <w:r>
        <w:rPr>
          <w:rFonts w:cs="Times New Roman"/>
        </w:rPr>
        <w:t>3.1 Introduction</w:t>
      </w:r>
      <w:bookmarkEnd w:id="57"/>
      <w:bookmarkEnd w:id="58"/>
      <w:r>
        <w:rPr>
          <w:rFonts w:cs="Times New Roman"/>
        </w:rPr>
        <w:t xml:space="preserve"> </w:t>
      </w:r>
    </w:p>
    <w:p w14:paraId="3661CF4E">
      <w:r>
        <w:t>The aims of the chapter are to establish a standard methodological alignment to collect, organise, interpret, and present the data for analysing how Skyscanner can survive by overcoming challenges from Google in the search market. Effective methodological alignment allows the researcher to generate the best results by collecting and analysing data properly (Bell</w:t>
      </w:r>
      <w:r>
        <w:rPr>
          <w:shd w:val="clear" w:color="auto" w:fill="FFFFFF"/>
        </w:rPr>
        <w:t xml:space="preserve"> et al., </w:t>
      </w:r>
      <w:r>
        <w:t xml:space="preserve">2019). By following the Saunders onion model, the researcher was able to fix structured methodological approaches to develop this study and accomplish the aim and objectives within the fixed time. The researcher collected data from secondary sources and developed structured plans for collecting more realistic and authentic data to achieve the objectives. By comparing and contrasting various alternatives, it was possible to develop this study with a higher structure to produce a better solution to the identified issue. </w:t>
      </w:r>
    </w:p>
    <w:p w14:paraId="737E2F0D">
      <w:pPr>
        <w:keepNext/>
        <w:jc w:val="center"/>
      </w:pPr>
      <w:r>
        <w:drawing>
          <wp:inline distT="0" distB="0" distL="0" distR="0">
            <wp:extent cx="3721100" cy="29889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3"/>
                    <a:stretch>
                      <a:fillRect/>
                    </a:stretch>
                  </pic:blipFill>
                  <pic:spPr>
                    <a:xfrm>
                      <a:off x="0" y="0"/>
                      <a:ext cx="3734526" cy="2999874"/>
                    </a:xfrm>
                    <a:prstGeom prst="rect">
                      <a:avLst/>
                    </a:prstGeom>
                  </pic:spPr>
                </pic:pic>
              </a:graphicData>
            </a:graphic>
          </wp:inline>
        </w:drawing>
      </w:r>
    </w:p>
    <w:p w14:paraId="615ABA53">
      <w:pPr>
        <w:pStyle w:val="14"/>
        <w:jc w:val="center"/>
        <w:rPr>
          <w:rFonts w:cs="Times New Roman"/>
          <w:color w:val="auto"/>
        </w:rPr>
      </w:pPr>
      <w:bookmarkStart w:id="59" w:name="_Toc238763368"/>
      <w:r>
        <w:rPr>
          <w:rFonts w:cs="Times New Roman"/>
          <w:color w:val="auto"/>
        </w:rPr>
        <w:t xml:space="preserve">Figure </w:t>
      </w:r>
      <w:r>
        <w:rPr>
          <w:rFonts w:cs="Times New Roman"/>
          <w:color w:val="auto"/>
        </w:rPr>
        <w:fldChar w:fldCharType="begin"/>
      </w:r>
      <w:r>
        <w:rPr>
          <w:rFonts w:cs="Times New Roman"/>
          <w:color w:val="auto"/>
        </w:rPr>
        <w:instrText xml:space="preserve"> SEQ Figure \* ARABIC </w:instrText>
      </w:r>
      <w:r>
        <w:rPr>
          <w:rFonts w:cs="Times New Roman"/>
          <w:color w:val="auto"/>
        </w:rPr>
        <w:fldChar w:fldCharType="separate"/>
      </w:r>
      <w:r>
        <w:rPr>
          <w:rFonts w:cs="Times New Roman"/>
          <w:color w:val="auto"/>
        </w:rPr>
        <w:t>1</w:t>
      </w:r>
      <w:r>
        <w:rPr>
          <w:rFonts w:cs="Times New Roman"/>
          <w:color w:val="auto"/>
        </w:rPr>
        <w:fldChar w:fldCharType="end"/>
      </w:r>
      <w:r>
        <w:rPr>
          <w:rFonts w:cs="Times New Roman"/>
          <w:color w:val="auto"/>
        </w:rPr>
        <w:t>: Research onion model. Source: (Saunders et al., 2015)</w:t>
      </w:r>
      <w:bookmarkEnd w:id="59"/>
    </w:p>
    <w:p w14:paraId="2B812DDA">
      <w:pPr>
        <w:pStyle w:val="3"/>
        <w:rPr>
          <w:rFonts w:cs="Times New Roman"/>
        </w:rPr>
      </w:pPr>
      <w:bookmarkStart w:id="60" w:name="_Toc238766703"/>
      <w:bookmarkStart w:id="61" w:name="_Toc236998285"/>
      <w:r>
        <w:rPr>
          <w:rFonts w:cs="Times New Roman"/>
        </w:rPr>
        <w:t>3.2 Research Philosophies and Assumptions</w:t>
      </w:r>
      <w:bookmarkEnd w:id="60"/>
      <w:bookmarkEnd w:id="61"/>
      <w:r>
        <w:rPr>
          <w:rFonts w:cs="Times New Roman"/>
        </w:rPr>
        <w:t xml:space="preserve"> </w:t>
      </w:r>
    </w:p>
    <w:p w14:paraId="15C8C35D">
      <w:r>
        <w:t>Research philosophy can be defined as the system of beliefs that guides the researcher to understand the nature of reality and knowledge and the methods through which knowledge can be generated (Bordens and Abbott, 2015). It enables researchers to select the research strategy, method of data collection and analysis process. The effectiveness of selecting the best philosophical approach allows the researcher to maintain consistency throughout the study by developing standard methodological alignment. Bryman and Bell (2015) stated that research philosophy should align with the aim and objectives of the research study to generate the knowledge accordingly and increase its credibility.</w:t>
      </w:r>
    </w:p>
    <w:p w14:paraId="51FB7EFB">
      <w:r>
        <w:t xml:space="preserve">In business and management research, several philosophies are used, including positivism, interpretivism and pragmatism (Peterson and Poli, 2014). Every philosophical approach has specific characteristics, and the researcher needs to assess the nature of the problem of the research study to choose the best alternatives. By considering the importance of this research issue, the researcher adopted interpretivism philosophy; it was possible to develop this study in a more structured way to generate the best conclusion. Rather than focusing on universal laws, interpretivism aims to understand how organisations or individuals interpret any specific situation within their social and business perspectives (Duck, 2018). It is also appropriate for the study developed with qualitative data to interpret complex organisational factors through detailed and documentary evidence. This study was developed to analyse how Skyscanner can survive by overcoming the challenges of the Google search engine, which holds the controlling power in the market, where the researcher was required to include qualitative data to provide depth and clear ideas about the topic. Positivism and pragmatism were not appropriate for this study due to various limitations that might introduce different complications to analyse the qualitative data effectively. </w:t>
      </w:r>
    </w:p>
    <w:p w14:paraId="384345DD">
      <w:r>
        <w:t>Positivism mainly focused on testing hypotheses and identifying causal relationships to produce generalizable findings through quantitative methods (Easterby-Smith</w:t>
      </w:r>
      <w:r>
        <w:rPr>
          <w:shd w:val="clear" w:color="auto" w:fill="FFFFFF"/>
        </w:rPr>
        <w:t xml:space="preserve"> et al., </w:t>
      </w:r>
      <w:r>
        <w:t xml:space="preserve">2015). In studies developed with numerical data, this philosophy is appropriate, which enables the researcher to analyse measurable factors like financial performance, customer satisfaction ratio, or sales growth within the organisations. Pragmatism focuses on the mixed approach of quantitative and qualitative data from different sources. It is a flexible approach that allows the researcher to focus on multiple sources instead of being restricted to a single source. Even though having various advantages, the researcher is required to avoid this approach, as their study has developed with a single method of qualitative data. </w:t>
      </w:r>
    </w:p>
    <w:p w14:paraId="07DC1198">
      <w:r>
        <w:t xml:space="preserve">By comparing these philosophies, it is possible to understand the reason for adopting interpretivism in this study. The researcher collected the necessary data from secondary sources using a qualitative method. Secondary sources allowed the researcher to analyse much published literature, company reports, and governmental data. This has allowed the researcher to identify the recurring themes across multiple published sources to present the information in a structured way. </w:t>
      </w:r>
    </w:p>
    <w:p w14:paraId="209BB3AF">
      <w:pPr>
        <w:pStyle w:val="3"/>
        <w:rPr>
          <w:rFonts w:cs="Times New Roman"/>
        </w:rPr>
      </w:pPr>
      <w:bookmarkStart w:id="62" w:name="_Toc238766704"/>
      <w:bookmarkStart w:id="63" w:name="_Toc236998286"/>
      <w:r>
        <w:rPr>
          <w:rFonts w:cs="Times New Roman"/>
        </w:rPr>
        <w:t>3.3 Research Design</w:t>
      </w:r>
      <w:bookmarkEnd w:id="62"/>
      <w:bookmarkEnd w:id="63"/>
      <w:r>
        <w:rPr>
          <w:rFonts w:cs="Times New Roman"/>
        </w:rPr>
        <w:t xml:space="preserve"> </w:t>
      </w:r>
    </w:p>
    <w:p w14:paraId="104914A6">
      <w:r>
        <w:t xml:space="preserve">The researchers are required to prepare standard plans or framework or blueprints for collecting data from the sources and analysing them in a standard way for better presentation, which is called research design </w:t>
      </w:r>
      <w:r>
        <w:rPr>
          <w:shd w:val="clear" w:color="auto" w:fill="FFFFFF"/>
        </w:rPr>
        <w:t>(Igwenagu, 2016)</w:t>
      </w:r>
      <w:r>
        <w:t xml:space="preserve">. It provides a systematic structure for developing the research, maintaining consistency and transparency. An effective research design enhances researchers’ capability to identify the best data sources to accomplish the aim and objectives. This study was developed focusing on a very important topic; it was required to fix the most effective research design for collecting data appropriately to produce the best results. </w:t>
      </w:r>
    </w:p>
    <w:p w14:paraId="5EA9D023">
      <w:r>
        <w:t xml:space="preserve">In academic studies, data is collected from either primary or secondary sources (Vartanian, 2011). Sometimes the researchers decide to collect data from mixed sources for critical analysis and producing more authentic and credible results </w:t>
      </w:r>
      <w:r>
        <w:rPr>
          <w:shd w:val="clear" w:color="auto" w:fill="FFFFFF"/>
        </w:rPr>
        <w:t>(Saunders et al., 2015)</w:t>
      </w:r>
      <w:r>
        <w:t xml:space="preserve">. Considering the overall situation in the study, the study was developed based on secondary source data, which was collected by analysing existing studies. The researcher collected the peer reviewed journals articles, annual reports of the company, industry reports, and government publications to increase the credibility of the study outcomes. Secondary sources offer free accessibility and a variety of data to produce more credible and realistic results </w:t>
      </w:r>
      <w:r>
        <w:rPr>
          <w:shd w:val="clear" w:color="auto" w:fill="FFFFFF"/>
        </w:rPr>
        <w:t>(Igwenagu, 2016)</w:t>
      </w:r>
      <w:r>
        <w:t xml:space="preserve">. From the published sources, the researcher collected UK CMA documents, EU Commission documents, the relevant regulatory framework of Skyscanner, strategic approaches of Google’s search engine, etc., for critical analysis and to collect the most authentic information. The data were possible to collect by focusing on objectivity, and it did not require spending more time collecting mass data to generate the most credible results. </w:t>
      </w:r>
    </w:p>
    <w:p w14:paraId="33A2B285">
      <w:r>
        <w:t>The secondary sources allowed the researcher to complete the study with a strict schedule without facing any complications. It was possible to collect the necessary data by analysing their accuracy and credibility for selecting the secondary sources. The researcher obtained sufficient qualitative evidence in the secondary sources to analyse how Skyscanner can survive even though Google hold the leading position in the search market. By comparing the findings of different databases, the researcher was able to include the most authentic and credible data to increase the credibility of the research outcomes. By using some specific keywords, it was possible to collect more specific and authentic data to produce better results. The researcher used Boolean operators (AND, OR) to get more relevant data from the published sources, and the keywords are presented here-</w:t>
      </w:r>
    </w:p>
    <w:p w14:paraId="03A77010">
      <w:pPr>
        <w:pStyle w:val="44"/>
        <w:numPr>
          <w:ilvl w:val="0"/>
          <w:numId w:val="3"/>
        </w:numPr>
      </w:pPr>
      <w:r>
        <w:t>"Skyscanner" AND "Competition and Markets Authority" AND "Google"</w:t>
      </w:r>
    </w:p>
    <w:p w14:paraId="4982BDD3">
      <w:pPr>
        <w:pStyle w:val="44"/>
        <w:numPr>
          <w:ilvl w:val="0"/>
          <w:numId w:val="3"/>
        </w:numPr>
      </w:pPr>
      <w:r>
        <w:t>"Digital Markets Act" AND "Google Travel" AND "metasearch"</w:t>
      </w:r>
    </w:p>
    <w:p w14:paraId="37B92158">
      <w:pPr>
        <w:pStyle w:val="44"/>
        <w:numPr>
          <w:ilvl w:val="0"/>
          <w:numId w:val="3"/>
        </w:numPr>
      </w:pPr>
      <w:r>
        <w:t>"Trip.com Group" annual report "Skyscanner" traffic</w:t>
      </w:r>
    </w:p>
    <w:p w14:paraId="5440F0B4">
      <w:pPr>
        <w:pStyle w:val="44"/>
        <w:numPr>
          <w:ilvl w:val="0"/>
          <w:numId w:val="3"/>
        </w:numPr>
      </w:pPr>
      <w:r>
        <w:t>"Google Flights" AND "search engine result page" AND "disintermediation"</w:t>
      </w:r>
    </w:p>
    <w:p w14:paraId="5A5F0B05">
      <w:pPr>
        <w:pStyle w:val="44"/>
        <w:numPr>
          <w:ilvl w:val="0"/>
          <w:numId w:val="3"/>
        </w:numPr>
      </w:pPr>
      <w:r>
        <w:t>"Skift" AND "Skyscanner" AND "Google dominance"</w:t>
      </w:r>
    </w:p>
    <w:p w14:paraId="0B36B2A9">
      <w:pPr>
        <w:pStyle w:val="3"/>
        <w:rPr>
          <w:rFonts w:cs="Times New Roman"/>
        </w:rPr>
      </w:pPr>
      <w:bookmarkStart w:id="64" w:name="_Toc236998287"/>
      <w:bookmarkStart w:id="65" w:name="_Toc238766705"/>
      <w:r>
        <w:rPr>
          <w:rFonts w:cs="Times New Roman"/>
        </w:rPr>
        <w:t>3.4 Research Approaches</w:t>
      </w:r>
      <w:bookmarkEnd w:id="64"/>
      <w:bookmarkEnd w:id="65"/>
      <w:r>
        <w:rPr>
          <w:rFonts w:cs="Times New Roman"/>
        </w:rPr>
        <w:t xml:space="preserve"> </w:t>
      </w:r>
    </w:p>
    <w:p w14:paraId="4C70A9D4">
      <w:r>
        <w:t xml:space="preserve">A research approach can be defined as the logical process of developing a research study for accomplishing specific objectives (Zikmund et al., 2013). It provides clear and specific ideas for conducting the research and testing existing theories or developing a new theoretical framework. By selecting the most effective research approach, it is possible to maintain consistency in conducting the research study in a more structured way. The researchers need to choose the best approaches for producing meaningful and authentic findings to accomplish the fixed objectives (Neuman, 2009). </w:t>
      </w:r>
    </w:p>
    <w:p w14:paraId="192FF8D8">
      <w:r>
        <w:t xml:space="preserve">Deductive and inductive are the widely used methodological approaches in business and management research. For having difference in features and characteristics between these two approaches, it is necessary to identify the suitability of the best process to avoid further challenges </w:t>
      </w:r>
      <w:r>
        <w:rPr>
          <w:shd w:val="clear" w:color="auto" w:fill="FFFFFF"/>
        </w:rPr>
        <w:t>(Osborne, 2008)</w:t>
      </w:r>
      <w:r>
        <w:t xml:space="preserve">. The study was developed with the qualitative data that was collected from secondary sources, for which the inductive approach was appropriate for this study. By adopting the inductive approach, the researcher was able to develop relevant themes and patterns to present the information in a more structured way. This approach is suitable where researchers are required to generate new insight instead of testing existing theories. It allowed the researcher to provide in-depth information about Google’s search position, web traffic of Skyscanner, SERP visibility, Google Flights, regulatory concerns, customer acquisitions, etc., to increase the credibility of the research outcomes. </w:t>
      </w:r>
    </w:p>
    <w:p w14:paraId="606A2D3D">
      <w:r>
        <w:t xml:space="preserve">The deductive approach begins with existing theories and collects empirical evidence for analysing whether the proposed theories are supported or rejected </w:t>
      </w:r>
      <w:r>
        <w:rPr>
          <w:shd w:val="clear" w:color="auto" w:fill="FFFFFF"/>
        </w:rPr>
        <w:t>(Pandey and Pandey, 2015)</w:t>
      </w:r>
      <w:r>
        <w:t xml:space="preserve">. It allows the researcher to collect quantitative data for statistical analysis and determine the causal relationship between the variables. This approach is commonly associated with the positivist philosophy that suggests knowledge can be developed based on objectivity. Although the deductive approach offers the chance of testing hypothesis more structured and standard way, it is not suitable for this study, for focusing on statistical analysis to present the relationship between the variables. </w:t>
      </w:r>
    </w:p>
    <w:p w14:paraId="645674E5">
      <w:pPr>
        <w:pStyle w:val="3"/>
        <w:rPr>
          <w:rFonts w:cs="Times New Roman"/>
        </w:rPr>
      </w:pPr>
      <w:bookmarkStart w:id="66" w:name="_Toc238766706"/>
      <w:bookmarkStart w:id="67" w:name="_Toc236998288"/>
      <w:r>
        <w:rPr>
          <w:rFonts w:cs="Times New Roman"/>
        </w:rPr>
        <w:t>3.5 Data Collection Method</w:t>
      </w:r>
      <w:bookmarkEnd w:id="66"/>
      <w:bookmarkEnd w:id="67"/>
    </w:p>
    <w:p w14:paraId="63CF5912">
      <w:r>
        <w:t xml:space="preserve">The method of data collection refers to the systematic process of gathering information or evidence from the relevant sources to answer the research questions and achieve the fixed goals </w:t>
      </w:r>
      <w:r>
        <w:rPr>
          <w:shd w:val="clear" w:color="auto" w:fill="FFFFFF"/>
        </w:rPr>
        <w:t>(Saunders et al., 2015)</w:t>
      </w:r>
      <w:r>
        <w:t xml:space="preserve">. </w:t>
      </w:r>
    </w:p>
    <w:p w14:paraId="2498E640">
      <w:r>
        <w:t xml:space="preserve">This study collected the necessary data only from the secondary sources. The researcher collected the necessary data using the qualitative method to accomplish the desired objectives. It was very effective in providing in-depth insight for a better understanding of the readers (Peterson and Poli, 2014). By collecting qualitative data, it was possible to explore the effectiveness of Skyscanner in developing strategic plans for reducing its dependence on the Google Search engine. By adopting a qualitative method, it is possible to collect data by assessing authenticity and credibility. In secondary sources, various literature and books offer the opportunity to collect mass data to generate the best solution to the identified issues. A range of credible databases enables the researcher to collect more specific and authentic data by focusing on objectivity to make the study more structured and credible. The researcher was able to provide in-depth and contextual evidence about the benefits of digital transformation, which might not be possible with the quantitative method. </w:t>
      </w:r>
    </w:p>
    <w:p w14:paraId="7C8201EC">
      <w:r>
        <w:t>The qualitative method allowed the researcher to provide supportive explanations about the topic to attain more trust and acceptance from the readers. For collecting secondary source data, the researcher was able to compare various evidence to finalise the most relevant data to input in the study. The researcher applied the most standard data collection strategy to identify and select the data more effectively. It is necessary to fix the data collection strategy by considering the data sources, and sometimes it is also necessary to consider the data method (Ryan et al., 2017). The researcher applied a desk strategy for collecting data from secondary sources with higher relevance and authenticity. It offers the chance of identifying the most relevant data from different databases easily and quickly (Easterby-Smith</w:t>
      </w:r>
      <w:r>
        <w:rPr>
          <w:shd w:val="clear" w:color="auto" w:fill="FFFFFF"/>
        </w:rPr>
        <w:t xml:space="preserve"> et al., </w:t>
      </w:r>
      <w:r>
        <w:t xml:space="preserve">2015). The researcher identified the most relevant and authentic data from the published sources for collecting the necessary data and accomplishing the objectives. The desk strategy allowed the researcher to collect a large amount of data without spending much time on critical analysis and ensuring the higher credibility and accuracy of the findings. </w:t>
      </w:r>
    </w:p>
    <w:p w14:paraId="2290C7AD">
      <w:pPr>
        <w:pStyle w:val="3"/>
        <w:rPr>
          <w:rFonts w:cs="Times New Roman"/>
        </w:rPr>
      </w:pPr>
      <w:bookmarkStart w:id="68" w:name="_Toc236998289"/>
      <w:bookmarkStart w:id="69" w:name="_Toc238766707"/>
      <w:r>
        <w:rPr>
          <w:rFonts w:cs="Times New Roman"/>
        </w:rPr>
        <w:t>3.6 Data Analysis</w:t>
      </w:r>
      <w:bookmarkEnd w:id="68"/>
      <w:bookmarkEnd w:id="69"/>
      <w:r>
        <w:rPr>
          <w:rFonts w:cs="Times New Roman"/>
        </w:rPr>
        <w:t xml:space="preserve"> </w:t>
      </w:r>
    </w:p>
    <w:p w14:paraId="274904F3">
      <w:r>
        <w:t xml:space="preserve">The structured approach of organising, examining, interpreting, and presenting the data for the development of meaningful patterns (Roberts and Perez, 2013). The main purpose of data analysis is to transform the raw data into useful knowledge by identifying recurring themes and trends to answer all of the research questions. To determine the most effective data analysis technique, the researchers need to consider the data sources and methods. </w:t>
      </w:r>
    </w:p>
    <w:p w14:paraId="7EE8852E">
      <w:r>
        <w:t xml:space="preserve">The qualitative analysis technique allows the identification of relevant patterns and trends from non-numerical data (Shrader-Frechette, 2013). To analyse the qualitative data, this study applied thematic content analysis.  It is also very effective for analysing qualitative data in a more effective and standard way. It enables the researcher to explore the organisational issues clearly rather than relying on a statistical approach. Among different qualitative analytical processes, thematic analysis and grounded theory, it is necessary to select the best one for analysing the data in a standard approach (Schostak, 2015). The data from secondary sources were analysed using the thematic analysis technique for the identification of recurring themes and the relationship between the variables by assessing the data in the existing studies. The process of thematic analysis technique was developed based on the theory of Braun and Clarke. It is a six-stage framework, which is: familiarisation with the data, generating initial codes, generating themes, reviewing themes, defining and naming themes and producing the report. At the initial stage the researcher read the database and records twice a time for the identification of meaningful segments and concise codes. After that, the researcher generated broader patterns from the group-related codes and checked their accuracy for defining the meaning and boundaries of the themes. Finally, the researcher presented the analysed evidence and interpretation in chapter four. The researcher developed themes in a structured way by adopting six-stage analysis procedures. At the beginning stage, the researcher read all of the selected documents and recorded the results of initial observations. A detailed process of qualitative coding through thematic analysis based on Braun and Clarke is provided in the table 2. </w:t>
      </w:r>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46"/>
        <w:gridCol w:w="1843"/>
        <w:gridCol w:w="3783"/>
        <w:gridCol w:w="2158"/>
      </w:tblGrid>
      <w:tr w14:paraId="35C6BB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tcPr>
          <w:p w14:paraId="4144F0E1">
            <w:pPr>
              <w:rPr>
                <w:sz w:val="22"/>
                <w:szCs w:val="22"/>
              </w:rPr>
            </w:pPr>
            <w:r>
              <w:rPr>
                <w:sz w:val="22"/>
                <w:szCs w:val="22"/>
              </w:rPr>
              <w:t xml:space="preserve">Stage </w:t>
            </w:r>
          </w:p>
        </w:tc>
        <w:tc>
          <w:tcPr>
            <w:tcW w:w="1843" w:type="dxa"/>
          </w:tcPr>
          <w:p w14:paraId="0CD9D031">
            <w:pPr>
              <w:rPr>
                <w:sz w:val="22"/>
                <w:szCs w:val="22"/>
              </w:rPr>
            </w:pPr>
            <w:r>
              <w:rPr>
                <w:sz w:val="22"/>
                <w:szCs w:val="22"/>
              </w:rPr>
              <w:t xml:space="preserve">Activity </w:t>
            </w:r>
          </w:p>
        </w:tc>
        <w:tc>
          <w:tcPr>
            <w:tcW w:w="3783" w:type="dxa"/>
          </w:tcPr>
          <w:p w14:paraId="1B14A339">
            <w:pPr>
              <w:rPr>
                <w:sz w:val="22"/>
                <w:szCs w:val="22"/>
              </w:rPr>
            </w:pPr>
            <w:r>
              <w:rPr>
                <w:sz w:val="22"/>
                <w:szCs w:val="22"/>
              </w:rPr>
              <w:t>What happened</w:t>
            </w:r>
          </w:p>
        </w:tc>
        <w:tc>
          <w:tcPr>
            <w:tcW w:w="2158" w:type="dxa"/>
          </w:tcPr>
          <w:p w14:paraId="01C676C3">
            <w:pPr>
              <w:rPr>
                <w:sz w:val="22"/>
                <w:szCs w:val="22"/>
              </w:rPr>
            </w:pPr>
            <w:r>
              <w:rPr>
                <w:sz w:val="22"/>
                <w:szCs w:val="22"/>
              </w:rPr>
              <w:t xml:space="preserve">Outcomes </w:t>
            </w:r>
          </w:p>
        </w:tc>
      </w:tr>
      <w:tr w14:paraId="1D2CE0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tcPr>
          <w:p w14:paraId="65532AD1">
            <w:pPr>
              <w:rPr>
                <w:sz w:val="22"/>
                <w:szCs w:val="22"/>
              </w:rPr>
            </w:pPr>
            <w:r>
              <w:rPr>
                <w:sz w:val="22"/>
                <w:szCs w:val="22"/>
              </w:rPr>
              <w:t>1</w:t>
            </w:r>
          </w:p>
        </w:tc>
        <w:tc>
          <w:tcPr>
            <w:tcW w:w="1843" w:type="dxa"/>
          </w:tcPr>
          <w:p w14:paraId="429E854B">
            <w:pPr>
              <w:rPr>
                <w:sz w:val="22"/>
                <w:szCs w:val="22"/>
              </w:rPr>
            </w:pPr>
            <w:r>
              <w:rPr>
                <w:sz w:val="22"/>
                <w:szCs w:val="22"/>
              </w:rPr>
              <w:t>Familiarisation</w:t>
            </w:r>
          </w:p>
        </w:tc>
        <w:tc>
          <w:tcPr>
            <w:tcW w:w="3783" w:type="dxa"/>
          </w:tcPr>
          <w:p w14:paraId="2F3A41A6">
            <w:pPr>
              <w:rPr>
                <w:sz w:val="22"/>
                <w:szCs w:val="22"/>
              </w:rPr>
            </w:pPr>
            <w:r>
              <w:rPr>
                <w:sz w:val="22"/>
                <w:szCs w:val="22"/>
              </w:rPr>
              <w:t>Identified and shortlisted Skyscanner’s documents, industry reports, regulatory materials and other relevant published information.</w:t>
            </w:r>
          </w:p>
          <w:p w14:paraId="566C6144">
            <w:pPr>
              <w:rPr>
                <w:sz w:val="22"/>
                <w:szCs w:val="22"/>
              </w:rPr>
            </w:pPr>
            <w:r>
              <w:rPr>
                <w:sz w:val="22"/>
                <w:szCs w:val="22"/>
              </w:rPr>
              <w:t xml:space="preserve">Read the findings repeatedly to record initial data </w:t>
            </w:r>
          </w:p>
        </w:tc>
        <w:tc>
          <w:tcPr>
            <w:tcW w:w="2158" w:type="dxa"/>
          </w:tcPr>
          <w:p w14:paraId="16DC516F">
            <w:pPr>
              <w:rPr>
                <w:sz w:val="22"/>
                <w:szCs w:val="22"/>
              </w:rPr>
            </w:pPr>
            <w:r>
              <w:rPr>
                <w:sz w:val="22"/>
                <w:szCs w:val="22"/>
              </w:rPr>
              <w:t xml:space="preserve">Final documentary dataset and Familiarisation notes </w:t>
            </w:r>
          </w:p>
        </w:tc>
      </w:tr>
      <w:tr w14:paraId="476109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tcPr>
          <w:p w14:paraId="5D9DF194">
            <w:pPr>
              <w:rPr>
                <w:sz w:val="22"/>
                <w:szCs w:val="22"/>
              </w:rPr>
            </w:pPr>
            <w:r>
              <w:rPr>
                <w:sz w:val="22"/>
                <w:szCs w:val="22"/>
              </w:rPr>
              <w:t>2</w:t>
            </w:r>
          </w:p>
        </w:tc>
        <w:tc>
          <w:tcPr>
            <w:tcW w:w="1843" w:type="dxa"/>
          </w:tcPr>
          <w:p w14:paraId="0F499415">
            <w:pPr>
              <w:rPr>
                <w:sz w:val="22"/>
                <w:szCs w:val="22"/>
              </w:rPr>
            </w:pPr>
            <w:r>
              <w:rPr>
                <w:sz w:val="22"/>
                <w:szCs w:val="22"/>
              </w:rPr>
              <w:t>Initial coding</w:t>
            </w:r>
          </w:p>
        </w:tc>
        <w:tc>
          <w:tcPr>
            <w:tcW w:w="3783" w:type="dxa"/>
          </w:tcPr>
          <w:p w14:paraId="14C2B0E4">
            <w:pPr>
              <w:rPr>
                <w:sz w:val="22"/>
                <w:szCs w:val="22"/>
              </w:rPr>
            </w:pPr>
            <w:r>
              <w:rPr>
                <w:sz w:val="22"/>
                <w:szCs w:val="22"/>
              </w:rPr>
              <w:t>Highlight relevant paragraphs or sentences and prepare descriptive codes</w:t>
            </w:r>
          </w:p>
        </w:tc>
        <w:tc>
          <w:tcPr>
            <w:tcW w:w="2158" w:type="dxa"/>
          </w:tcPr>
          <w:p w14:paraId="0C08C458">
            <w:pPr>
              <w:rPr>
                <w:sz w:val="22"/>
                <w:szCs w:val="22"/>
              </w:rPr>
            </w:pPr>
            <w:r>
              <w:rPr>
                <w:sz w:val="22"/>
                <w:szCs w:val="22"/>
              </w:rPr>
              <w:t xml:space="preserve">Initial codes </w:t>
            </w:r>
          </w:p>
        </w:tc>
      </w:tr>
      <w:tr w14:paraId="535603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tcPr>
          <w:p w14:paraId="70AB1AA8">
            <w:pPr>
              <w:rPr>
                <w:sz w:val="22"/>
                <w:szCs w:val="22"/>
              </w:rPr>
            </w:pPr>
            <w:r>
              <w:rPr>
                <w:sz w:val="22"/>
                <w:szCs w:val="22"/>
              </w:rPr>
              <w:t>3</w:t>
            </w:r>
          </w:p>
        </w:tc>
        <w:tc>
          <w:tcPr>
            <w:tcW w:w="1843" w:type="dxa"/>
          </w:tcPr>
          <w:p w14:paraId="6F2A8827">
            <w:pPr>
              <w:rPr>
                <w:sz w:val="22"/>
                <w:szCs w:val="22"/>
              </w:rPr>
            </w:pPr>
            <w:r>
              <w:rPr>
                <w:sz w:val="22"/>
                <w:szCs w:val="22"/>
              </w:rPr>
              <w:t>Search for themes</w:t>
            </w:r>
          </w:p>
        </w:tc>
        <w:tc>
          <w:tcPr>
            <w:tcW w:w="3783" w:type="dxa"/>
          </w:tcPr>
          <w:p w14:paraId="4DB63A60">
            <w:pPr>
              <w:rPr>
                <w:sz w:val="22"/>
                <w:szCs w:val="22"/>
              </w:rPr>
            </w:pPr>
            <w:r>
              <w:rPr>
                <w:sz w:val="22"/>
                <w:szCs w:val="22"/>
              </w:rPr>
              <w:t xml:space="preserve">Prepare broader patterns </w:t>
            </w:r>
          </w:p>
        </w:tc>
        <w:tc>
          <w:tcPr>
            <w:tcW w:w="2158" w:type="dxa"/>
          </w:tcPr>
          <w:p w14:paraId="62EA589A">
            <w:pPr>
              <w:rPr>
                <w:sz w:val="22"/>
                <w:szCs w:val="22"/>
              </w:rPr>
            </w:pPr>
            <w:r>
              <w:rPr>
                <w:sz w:val="22"/>
                <w:szCs w:val="22"/>
              </w:rPr>
              <w:t xml:space="preserve">Candidate themes </w:t>
            </w:r>
          </w:p>
        </w:tc>
      </w:tr>
      <w:tr w14:paraId="64725C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tcPr>
          <w:p w14:paraId="25C10F20">
            <w:pPr>
              <w:rPr>
                <w:sz w:val="22"/>
                <w:szCs w:val="22"/>
              </w:rPr>
            </w:pPr>
            <w:r>
              <w:rPr>
                <w:sz w:val="22"/>
                <w:szCs w:val="22"/>
              </w:rPr>
              <w:t>4</w:t>
            </w:r>
          </w:p>
        </w:tc>
        <w:tc>
          <w:tcPr>
            <w:tcW w:w="1843" w:type="dxa"/>
          </w:tcPr>
          <w:p w14:paraId="7A6E17F0">
            <w:pPr>
              <w:rPr>
                <w:sz w:val="22"/>
                <w:szCs w:val="22"/>
              </w:rPr>
            </w:pPr>
            <w:r>
              <w:rPr>
                <w:sz w:val="22"/>
                <w:szCs w:val="22"/>
              </w:rPr>
              <w:t xml:space="preserve">Review themes </w:t>
            </w:r>
          </w:p>
        </w:tc>
        <w:tc>
          <w:tcPr>
            <w:tcW w:w="3783" w:type="dxa"/>
          </w:tcPr>
          <w:p w14:paraId="6C993FCE">
            <w:pPr>
              <w:rPr>
                <w:sz w:val="22"/>
                <w:szCs w:val="22"/>
              </w:rPr>
            </w:pPr>
            <w:r>
              <w:rPr>
                <w:sz w:val="22"/>
                <w:szCs w:val="22"/>
              </w:rPr>
              <w:t xml:space="preserve">Test the identified themes </w:t>
            </w:r>
          </w:p>
        </w:tc>
        <w:tc>
          <w:tcPr>
            <w:tcW w:w="2158" w:type="dxa"/>
          </w:tcPr>
          <w:p w14:paraId="4E31B826">
            <w:pPr>
              <w:rPr>
                <w:sz w:val="22"/>
                <w:szCs w:val="22"/>
              </w:rPr>
            </w:pPr>
            <w:r>
              <w:rPr>
                <w:sz w:val="22"/>
                <w:szCs w:val="22"/>
              </w:rPr>
              <w:t xml:space="preserve">Refine themes </w:t>
            </w:r>
          </w:p>
        </w:tc>
      </w:tr>
      <w:tr w14:paraId="553C49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tcPr>
          <w:p w14:paraId="12518F08">
            <w:pPr>
              <w:rPr>
                <w:sz w:val="22"/>
                <w:szCs w:val="22"/>
              </w:rPr>
            </w:pPr>
            <w:r>
              <w:rPr>
                <w:sz w:val="22"/>
                <w:szCs w:val="22"/>
              </w:rPr>
              <w:t>5</w:t>
            </w:r>
          </w:p>
        </w:tc>
        <w:tc>
          <w:tcPr>
            <w:tcW w:w="1843" w:type="dxa"/>
          </w:tcPr>
          <w:p w14:paraId="5DE8E4EB">
            <w:pPr>
              <w:rPr>
                <w:sz w:val="22"/>
                <w:szCs w:val="22"/>
              </w:rPr>
            </w:pPr>
            <w:r>
              <w:rPr>
                <w:sz w:val="22"/>
                <w:szCs w:val="22"/>
              </w:rPr>
              <w:t xml:space="preserve">Define and name themes </w:t>
            </w:r>
          </w:p>
        </w:tc>
        <w:tc>
          <w:tcPr>
            <w:tcW w:w="3783" w:type="dxa"/>
          </w:tcPr>
          <w:p w14:paraId="4AA3025B">
            <w:pPr>
              <w:rPr>
                <w:sz w:val="22"/>
                <w:szCs w:val="22"/>
              </w:rPr>
            </w:pPr>
            <w:r>
              <w:rPr>
                <w:sz w:val="22"/>
                <w:szCs w:val="22"/>
              </w:rPr>
              <w:t xml:space="preserve">Fix the meaning and boundaries of the focused themes </w:t>
            </w:r>
          </w:p>
        </w:tc>
        <w:tc>
          <w:tcPr>
            <w:tcW w:w="2158" w:type="dxa"/>
          </w:tcPr>
          <w:p w14:paraId="6A9E47FB">
            <w:pPr>
              <w:rPr>
                <w:sz w:val="22"/>
                <w:szCs w:val="22"/>
              </w:rPr>
            </w:pPr>
            <w:r>
              <w:rPr>
                <w:sz w:val="22"/>
                <w:szCs w:val="22"/>
              </w:rPr>
              <w:t xml:space="preserve">Final themes </w:t>
            </w:r>
          </w:p>
        </w:tc>
      </w:tr>
      <w:tr w14:paraId="2A3CD5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46" w:type="dxa"/>
          </w:tcPr>
          <w:p w14:paraId="78D38058">
            <w:pPr>
              <w:rPr>
                <w:sz w:val="22"/>
                <w:szCs w:val="22"/>
              </w:rPr>
            </w:pPr>
            <w:r>
              <w:rPr>
                <w:sz w:val="22"/>
                <w:szCs w:val="22"/>
              </w:rPr>
              <w:t>6</w:t>
            </w:r>
          </w:p>
        </w:tc>
        <w:tc>
          <w:tcPr>
            <w:tcW w:w="1843" w:type="dxa"/>
          </w:tcPr>
          <w:p w14:paraId="64EF9858">
            <w:pPr>
              <w:rPr>
                <w:sz w:val="22"/>
                <w:szCs w:val="22"/>
              </w:rPr>
            </w:pPr>
            <w:r>
              <w:rPr>
                <w:sz w:val="22"/>
                <w:szCs w:val="22"/>
              </w:rPr>
              <w:t xml:space="preserve">Produce report </w:t>
            </w:r>
          </w:p>
        </w:tc>
        <w:tc>
          <w:tcPr>
            <w:tcW w:w="3783" w:type="dxa"/>
          </w:tcPr>
          <w:p w14:paraId="56B442DB">
            <w:pPr>
              <w:rPr>
                <w:sz w:val="22"/>
                <w:szCs w:val="22"/>
              </w:rPr>
            </w:pPr>
            <w:r>
              <w:rPr>
                <w:sz w:val="22"/>
                <w:szCs w:val="22"/>
              </w:rPr>
              <w:t xml:space="preserve">Present and interpret the codes, themes and relevant documents </w:t>
            </w:r>
          </w:p>
        </w:tc>
        <w:tc>
          <w:tcPr>
            <w:tcW w:w="2158" w:type="dxa"/>
          </w:tcPr>
          <w:p w14:paraId="5C75B20F">
            <w:pPr>
              <w:keepNext/>
              <w:rPr>
                <w:sz w:val="22"/>
                <w:szCs w:val="22"/>
              </w:rPr>
            </w:pPr>
            <w:r>
              <w:rPr>
                <w:sz w:val="22"/>
                <w:szCs w:val="22"/>
              </w:rPr>
              <w:t>Findings of chapter four</w:t>
            </w:r>
          </w:p>
        </w:tc>
      </w:tr>
    </w:tbl>
    <w:p w14:paraId="591C832B">
      <w:pPr>
        <w:pStyle w:val="14"/>
        <w:jc w:val="center"/>
        <w:rPr>
          <w:color w:val="auto"/>
          <w:sz w:val="20"/>
        </w:rPr>
      </w:pPr>
      <w:bookmarkStart w:id="70" w:name="_Toc238763370"/>
      <w:r>
        <w:rPr>
          <w:color w:val="auto"/>
          <w:sz w:val="20"/>
        </w:rPr>
        <w:t xml:space="preserve">Table </w:t>
      </w:r>
      <w:r>
        <w:rPr>
          <w:color w:val="auto"/>
          <w:sz w:val="20"/>
        </w:rPr>
        <w:fldChar w:fldCharType="begin"/>
      </w:r>
      <w:r>
        <w:rPr>
          <w:color w:val="auto"/>
          <w:sz w:val="20"/>
        </w:rPr>
        <w:instrText xml:space="preserve"> SEQ Table \* ARABIC </w:instrText>
      </w:r>
      <w:r>
        <w:rPr>
          <w:color w:val="auto"/>
          <w:sz w:val="20"/>
        </w:rPr>
        <w:fldChar w:fldCharType="separate"/>
      </w:r>
      <w:r>
        <w:rPr>
          <w:color w:val="auto"/>
          <w:sz w:val="20"/>
        </w:rPr>
        <w:t>2</w:t>
      </w:r>
      <w:r>
        <w:rPr>
          <w:color w:val="auto"/>
          <w:sz w:val="20"/>
        </w:rPr>
        <w:fldChar w:fldCharType="end"/>
      </w:r>
      <w:r>
        <w:rPr>
          <w:color w:val="auto"/>
          <w:sz w:val="20"/>
        </w:rPr>
        <w:t>: Process for Thematic Analysis</w:t>
      </w:r>
      <w:bookmarkEnd w:id="70"/>
    </w:p>
    <w:p w14:paraId="374FB498">
      <w:r>
        <w:t xml:space="preserve">The researcher prepared initial codes like SERP_DISPLACEMENT, APP_FIRST_ECOSYSTEM, and EX_ANTE_INFLEXIBILITY, etc. by analysing the existing studies, which were then used for building themes. The thematic analysis was effective for developing standard theories and develop evidence based conclusion (Duck, 2018). For analysing the data systematically, it was possible to include the most reliable and authentic studies.  </w:t>
      </w:r>
    </w:p>
    <w:p w14:paraId="07D00EA7">
      <w:r>
        <w:t xml:space="preserve">The researcher was able to validate the data to make the outcomes more credible and authentic for the implications of the most effective analysis technique. The data published within the last ten years were included after critical analysis to make the results more trusted by the audience. By cross-checking every finding with different databases, it was possible to include substantial textual evidence about the roles of Google’s search engine platforms suppress skyscanner’s brand visibility. The researcher focused on maintaining higher quality by including credible data, maintaining transparency and using a consistent coding framework.  </w:t>
      </w:r>
    </w:p>
    <w:p w14:paraId="53CED191">
      <w:pPr>
        <w:pStyle w:val="3"/>
        <w:rPr>
          <w:rFonts w:cs="Times New Roman"/>
        </w:rPr>
      </w:pPr>
      <w:bookmarkStart w:id="71" w:name="_Toc236998290"/>
      <w:bookmarkStart w:id="72" w:name="_Toc238766708"/>
      <w:r>
        <w:rPr>
          <w:rFonts w:cs="Times New Roman"/>
        </w:rPr>
        <w:t>3.7 Ethical Factors</w:t>
      </w:r>
      <w:bookmarkEnd w:id="71"/>
      <w:bookmarkEnd w:id="72"/>
      <w:r>
        <w:rPr>
          <w:rFonts w:cs="Times New Roman"/>
        </w:rPr>
        <w:t xml:space="preserve"> </w:t>
      </w:r>
    </w:p>
    <w:p w14:paraId="404A8AA8">
      <w:r>
        <w:t xml:space="preserve">Research ethics refers to the moral principles that impact the process of developing a research study with honesty and integrity (Neuman, 2009). To ensure the research's credibility, transparency and respect for intellectual property rights, it is necessary to emphasise ethical considerations. It allows the researchers to protect the integrity of the research strategy by promoting fairness, accountability and objectivity </w:t>
      </w:r>
      <w:r>
        <w:rPr>
          <w:shd w:val="clear" w:color="auto" w:fill="FFFFFF"/>
        </w:rPr>
        <w:t>(Osborne, 2008)</w:t>
      </w:r>
      <w:r>
        <w:t xml:space="preserve">. Though this study was developed based on secondary source data and did not include any participants, the researcher provided more concern toward the ethical guidance to avoid any inconsistency and produce the results fairly. The researcher recognised the ethical principles for ensuring that the study was developed by meeting the academic standard. </w:t>
      </w:r>
    </w:p>
    <w:p w14:paraId="06B626DA">
      <w:r>
        <w:t xml:space="preserve">Before collecting any data, the researcher assessed the quality, authenticity and credibility of the data to avoid relevant challenges in producing the most credible results. To maintain academic integrity, all of the data were collected from authoritative and reputable published sources </w:t>
      </w:r>
      <w:r>
        <w:rPr>
          <w:shd w:val="clear" w:color="auto" w:fill="FFFFFF"/>
        </w:rPr>
        <w:t>(Pandey and Pandey, 2015)</w:t>
      </w:r>
      <w:r>
        <w:t xml:space="preserve">. The findings were presented in a standard way after being well paraphrased to ensure that they captured the actual meaning, and it was also an important part of the researcher's intention to avoid plagiarism. Proper citations and references were used to give full credit to the sources and to make the data sources clearer. The researcher accurately acknowledged every source and maintained transparency to gain more acceptance of the study results. The researcher stored the findings, focusing on confidentiality and data privacy. The researcher's personal computer of the researcher was used for storing all of the findings, with a strong password, which was destroyed permanently after generating the best conclusion. Backup copies of the findings were also maintained to avoid any unexpected accidents and to conduct the study without facing any major complications. Ethical guidance provided by the university enabled the researcher to maintain academic standards during the period of developing the research study. As the researcher did not recruit any participants, it was not required to obtain formal informed consent.  The researcher's ability to avoid plagiarism, use credible sources and ensure accurate interpretation of the findings, focusing on objectivity, made it possible to increase the credibility of the outcomes. The ethical practice also contributes to including the most reliable and transparent data for a balanced and trustworthy assessment of Skyscanner's strategic approach to overcome the challenge of Google. </w:t>
      </w:r>
    </w:p>
    <w:p w14:paraId="14FD282E">
      <w:pPr>
        <w:pStyle w:val="3"/>
        <w:rPr>
          <w:rFonts w:cs="Times New Roman"/>
        </w:rPr>
      </w:pPr>
      <w:bookmarkStart w:id="73" w:name="_Toc238766709"/>
      <w:bookmarkStart w:id="74" w:name="_Toc236998291"/>
      <w:r>
        <w:rPr>
          <w:rFonts w:cs="Times New Roman"/>
        </w:rPr>
        <w:t>3.8 Summary</w:t>
      </w:r>
      <w:bookmarkEnd w:id="73"/>
      <w:bookmarkEnd w:id="74"/>
      <w:r>
        <w:rPr>
          <w:rFonts w:cs="Times New Roman"/>
        </w:rPr>
        <w:t xml:space="preserve"> </w:t>
      </w:r>
    </w:p>
    <w:p w14:paraId="4EFB1BEA">
      <w:r>
        <w:t xml:space="preserve">This chapter has presented the adopted research methodology for analysing how Skyscanner manage customers by mitigating the challenge of Google. The research methodology was carefully aligned with the research aim and objective to ensure a credible, systematic and transparent research process to produce the most credible results. The adoption of the research onion model allowed the researcher to fix the most effective methodological approach for producing an in-depth understanding and for generating better results and improving its brand credibility. Interpretivist philosophy and an inductive approach allowed the researcher to provide contextual insight rather than statistical analysis. With data from secondary sources, emphasising ethical standards and transparency, it was possible to address the research questions and achieve the fixed objectives. </w:t>
      </w:r>
    </w:p>
    <w:p w14:paraId="126ACA7C">
      <w:pPr>
        <w:spacing w:after="160" w:line="278" w:lineRule="auto"/>
        <w:jc w:val="left"/>
        <w:rPr>
          <w:rFonts w:eastAsiaTheme="majorEastAsia"/>
          <w:b/>
          <w:sz w:val="32"/>
          <w:szCs w:val="40"/>
        </w:rPr>
      </w:pPr>
      <w:r>
        <w:br w:type="page"/>
      </w:r>
    </w:p>
    <w:p w14:paraId="4E206F4E">
      <w:pPr>
        <w:pStyle w:val="2"/>
      </w:pPr>
      <w:bookmarkStart w:id="75" w:name="_Toc238766710"/>
      <w:r>
        <w:t>Chapter 4: Findings and Discussion</w:t>
      </w:r>
      <w:bookmarkEnd w:id="75"/>
    </w:p>
    <w:p w14:paraId="4D5AD9A7">
      <w:pPr>
        <w:pStyle w:val="3"/>
      </w:pPr>
      <w:bookmarkStart w:id="76" w:name="_Toc238766711"/>
      <w:r>
        <w:t>4.1 Introduction</w:t>
      </w:r>
      <w:bookmarkEnd w:id="76"/>
    </w:p>
    <w:p w14:paraId="315CBF19">
      <w:r>
        <w:t>This chapter shows the results, discussion and analysis of the research. The main objective is to find out how Skyscanner can survive in an online travel industry that is dominated by Google. There are three main objectives in the study. First, it assesses how the changes the search layout at Google affect the web traffic of Skyscanner. Then, it outlines strategic efforts that Skyscanner implements in order to minimize reliance on Google. It evaluates how regulatory frameworks, which are the Digital Markets Act (DMA) of the EU, can be used to restore fair competition.</w:t>
      </w:r>
    </w:p>
    <w:p w14:paraId="4E1BFD58">
      <w:pPr>
        <w:spacing w:after="160" w:line="360" w:lineRule="auto"/>
      </w:pPr>
      <w:r>
        <w:t>The researcher collected qualitative secondary information in the form of antitrust filings, corporate reports and scholarly articles. This data was processed with the help of the thematic analysis framework created by Braun and Clarke. In Section 4.2, the chapter continues with presenting findings. Section 4.3 then gives a more detailed analysis of the themes. These findings are discussed in section 4.4 with reference to the relevant strategic theories. The chapter is summarised in section 4.5.</w:t>
      </w:r>
    </w:p>
    <w:p w14:paraId="22D2FBF3">
      <w:pPr>
        <w:pStyle w:val="3"/>
      </w:pPr>
      <w:bookmarkStart w:id="77" w:name="_Toc238766712"/>
      <w:r>
        <w:t>4.2 Presentation of the Findings</w:t>
      </w:r>
      <w:bookmarkEnd w:id="77"/>
    </w:p>
    <w:p w14:paraId="13187119">
      <w:pPr>
        <w:spacing w:after="160" w:line="360" w:lineRule="auto"/>
      </w:pPr>
      <w:r>
        <w:t>The section shows the information gathered through the secondary sources. After reading the data, initial codes were identified. These codes included particular activities, market changes, and regulatory reactions. Three key themes were formed after classifying the codes that were related. The thematic coding table 3 shows this process. It connects the raw data with the codes and the final synthesized themes.</w:t>
      </w:r>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50"/>
        <w:gridCol w:w="1800"/>
        <w:gridCol w:w="3812"/>
        <w:gridCol w:w="1694"/>
      </w:tblGrid>
      <w:tr w14:paraId="392381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BB77B10">
            <w:pPr>
              <w:spacing w:after="160" w:line="360" w:lineRule="auto"/>
              <w:rPr>
                <w:sz w:val="22"/>
                <w:szCs w:val="22"/>
              </w:rPr>
            </w:pPr>
            <w:r>
              <w:rPr>
                <w:rFonts w:eastAsiaTheme="majorEastAsia"/>
                <w:b/>
                <w:bCs/>
                <w:sz w:val="22"/>
                <w:szCs w:val="22"/>
              </w:rPr>
              <w:t>References</w:t>
            </w:r>
          </w:p>
        </w:tc>
        <w:tc>
          <w:tcPr>
            <w:tcW w:w="2623" w:type="dxa"/>
          </w:tcPr>
          <w:p w14:paraId="38F8EA62">
            <w:pPr>
              <w:spacing w:after="160" w:line="360" w:lineRule="auto"/>
              <w:rPr>
                <w:sz w:val="22"/>
                <w:szCs w:val="22"/>
              </w:rPr>
            </w:pPr>
            <w:r>
              <w:rPr>
                <w:rFonts w:eastAsiaTheme="majorEastAsia"/>
                <w:b/>
                <w:bCs/>
                <w:sz w:val="22"/>
                <w:szCs w:val="22"/>
              </w:rPr>
              <w:t>Quotes</w:t>
            </w:r>
          </w:p>
        </w:tc>
        <w:tc>
          <w:tcPr>
            <w:tcW w:w="2844" w:type="dxa"/>
          </w:tcPr>
          <w:p w14:paraId="404475B6">
            <w:pPr>
              <w:spacing w:after="160" w:line="360" w:lineRule="auto"/>
              <w:rPr>
                <w:sz w:val="22"/>
                <w:szCs w:val="22"/>
              </w:rPr>
            </w:pPr>
            <w:r>
              <w:rPr>
                <w:rFonts w:eastAsiaTheme="majorEastAsia"/>
                <w:b/>
                <w:bCs/>
                <w:sz w:val="22"/>
                <w:szCs w:val="22"/>
              </w:rPr>
              <w:t>Initial Codes</w:t>
            </w:r>
          </w:p>
        </w:tc>
        <w:tc>
          <w:tcPr>
            <w:tcW w:w="0" w:type="auto"/>
          </w:tcPr>
          <w:p w14:paraId="1D64A53B">
            <w:pPr>
              <w:spacing w:after="160" w:line="360" w:lineRule="auto"/>
              <w:rPr>
                <w:sz w:val="22"/>
                <w:szCs w:val="22"/>
              </w:rPr>
            </w:pPr>
            <w:r>
              <w:rPr>
                <w:rFonts w:eastAsiaTheme="majorEastAsia"/>
                <w:b/>
                <w:bCs/>
                <w:sz w:val="22"/>
                <w:szCs w:val="22"/>
              </w:rPr>
              <w:t>Synthesized Theme</w:t>
            </w:r>
          </w:p>
        </w:tc>
      </w:tr>
      <w:tr w14:paraId="37E9C0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2246202">
            <w:pPr>
              <w:spacing w:after="160" w:line="360" w:lineRule="auto"/>
              <w:rPr>
                <w:sz w:val="22"/>
                <w:szCs w:val="22"/>
              </w:rPr>
            </w:pPr>
            <w:r>
              <w:rPr>
                <w:b/>
                <w:bCs/>
                <w:sz w:val="22"/>
                <w:szCs w:val="22"/>
              </w:rPr>
              <w:t>Quirós (2025)</w:t>
            </w:r>
            <w:r>
              <w:rPr>
                <w:sz w:val="22"/>
                <w:szCs w:val="22"/>
              </w:rPr>
              <w:t xml:space="preserve">; </w:t>
            </w:r>
          </w:p>
          <w:p w14:paraId="68D0A3F1">
            <w:pPr>
              <w:spacing w:after="160" w:line="360" w:lineRule="auto"/>
              <w:rPr>
                <w:sz w:val="22"/>
                <w:szCs w:val="22"/>
              </w:rPr>
            </w:pPr>
            <w:r>
              <w:rPr>
                <w:b/>
                <w:bCs/>
                <w:sz w:val="22"/>
                <w:szCs w:val="22"/>
              </w:rPr>
              <w:t>Calzada et al. (2026)</w:t>
            </w:r>
            <w:r>
              <w:rPr>
                <w:sz w:val="22"/>
                <w:szCs w:val="22"/>
              </w:rPr>
              <w:t xml:space="preserve">; </w:t>
            </w:r>
          </w:p>
          <w:p w14:paraId="272E3DC0">
            <w:pPr>
              <w:spacing w:after="160" w:line="360" w:lineRule="auto"/>
              <w:rPr>
                <w:sz w:val="22"/>
                <w:szCs w:val="22"/>
              </w:rPr>
            </w:pPr>
            <w:r>
              <w:rPr>
                <w:sz w:val="22"/>
                <w:szCs w:val="22"/>
              </w:rPr>
              <w:br w:type="textWrapping"/>
            </w:r>
          </w:p>
          <w:p w14:paraId="3403C97D">
            <w:pPr>
              <w:spacing w:after="160" w:line="360" w:lineRule="auto"/>
              <w:rPr>
                <w:sz w:val="22"/>
                <w:szCs w:val="22"/>
              </w:rPr>
            </w:pPr>
            <w:r>
              <w:rPr>
                <w:b/>
                <w:bCs/>
                <w:sz w:val="22"/>
                <w:szCs w:val="22"/>
              </w:rPr>
              <w:t>Oliveira &amp; Lopes (2023)</w:t>
            </w:r>
          </w:p>
          <w:p w14:paraId="105598FB">
            <w:pPr>
              <w:spacing w:after="160" w:line="360" w:lineRule="auto"/>
              <w:rPr>
                <w:sz w:val="22"/>
                <w:szCs w:val="22"/>
              </w:rPr>
            </w:pPr>
          </w:p>
          <w:p w14:paraId="3EDA7D1F">
            <w:pPr>
              <w:spacing w:after="160" w:line="360" w:lineRule="auto"/>
              <w:rPr>
                <w:sz w:val="22"/>
                <w:szCs w:val="22"/>
              </w:rPr>
            </w:pPr>
          </w:p>
        </w:tc>
        <w:tc>
          <w:tcPr>
            <w:tcW w:w="2623" w:type="dxa"/>
          </w:tcPr>
          <w:p w14:paraId="5EFEE0FB">
            <w:pPr>
              <w:spacing w:after="160" w:line="360" w:lineRule="auto"/>
              <w:rPr>
                <w:sz w:val="22"/>
                <w:szCs w:val="22"/>
              </w:rPr>
            </w:pPr>
            <w:r>
              <w:rPr>
                <w:sz w:val="22"/>
                <w:szCs w:val="22"/>
              </w:rPr>
              <w:t xml:space="preserve">"Leading platforms such as Skyscanner or Booking.com did not benefit with the creation of the new 'Flight Sites' module and the elimination of the 'Google Flights' module." </w:t>
            </w:r>
          </w:p>
          <w:p w14:paraId="7309EB66">
            <w:pPr>
              <w:spacing w:after="160" w:line="360" w:lineRule="auto"/>
              <w:rPr>
                <w:sz w:val="22"/>
                <w:szCs w:val="22"/>
              </w:rPr>
            </w:pPr>
            <w:r>
              <w:rPr>
                <w:sz w:val="22"/>
                <w:szCs w:val="22"/>
              </w:rPr>
              <w:t xml:space="preserve">"Features that provide direct answers improve user engagement on SERP... This cannibalizes clicks and might mean that users get satisfied without clicking on search results, which was defined... as 'good abandonment'." </w:t>
            </w:r>
          </w:p>
        </w:tc>
        <w:tc>
          <w:tcPr>
            <w:tcW w:w="2844" w:type="dxa"/>
          </w:tcPr>
          <w:p w14:paraId="5E98AFAC">
            <w:pPr>
              <w:spacing w:after="160" w:line="360" w:lineRule="auto"/>
              <w:rPr>
                <w:sz w:val="22"/>
                <w:szCs w:val="22"/>
              </w:rPr>
            </w:pPr>
            <w:r>
              <w:rPr>
                <w:rFonts w:eastAsiaTheme="majorEastAsia"/>
                <w:sz w:val="22"/>
                <w:szCs w:val="22"/>
              </w:rPr>
              <w:t>SERP_DISPLACEMENT</w:t>
            </w:r>
          </w:p>
          <w:p w14:paraId="229850FF">
            <w:pPr>
              <w:spacing w:after="160" w:line="360" w:lineRule="auto"/>
              <w:rPr>
                <w:sz w:val="22"/>
                <w:szCs w:val="22"/>
              </w:rPr>
            </w:pPr>
            <w:r>
              <w:rPr>
                <w:rFonts w:eastAsiaTheme="majorEastAsia"/>
                <w:sz w:val="22"/>
                <w:szCs w:val="22"/>
              </w:rPr>
              <w:t>ZERO_CLICK_SEARCH</w:t>
            </w:r>
          </w:p>
          <w:p w14:paraId="4868159C">
            <w:pPr>
              <w:spacing w:after="160" w:line="360" w:lineRule="auto"/>
              <w:rPr>
                <w:sz w:val="22"/>
                <w:szCs w:val="22"/>
              </w:rPr>
            </w:pPr>
            <w:r>
              <w:rPr>
                <w:rFonts w:eastAsiaTheme="majorEastAsia"/>
                <w:sz w:val="22"/>
                <w:szCs w:val="22"/>
              </w:rPr>
              <w:t>TRAFFIC_DECAY</w:t>
            </w:r>
          </w:p>
          <w:p w14:paraId="5C11ECBE">
            <w:pPr>
              <w:spacing w:after="160" w:line="360" w:lineRule="auto"/>
              <w:rPr>
                <w:sz w:val="22"/>
                <w:szCs w:val="22"/>
              </w:rPr>
            </w:pPr>
          </w:p>
        </w:tc>
        <w:tc>
          <w:tcPr>
            <w:tcW w:w="0" w:type="auto"/>
          </w:tcPr>
          <w:p w14:paraId="36B42485">
            <w:pPr>
              <w:spacing w:after="160" w:line="360" w:lineRule="auto"/>
              <w:rPr>
                <w:sz w:val="22"/>
                <w:szCs w:val="22"/>
              </w:rPr>
            </w:pPr>
            <w:r>
              <w:rPr>
                <w:b/>
                <w:bCs/>
                <w:sz w:val="22"/>
                <w:szCs w:val="22"/>
              </w:rPr>
              <w:t>Theme 1: The Marginalization of Traditional Metasearch</w:t>
            </w:r>
          </w:p>
        </w:tc>
      </w:tr>
      <w:tr w14:paraId="2BF045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D8DEBCC">
            <w:pPr>
              <w:spacing w:after="160" w:line="360" w:lineRule="auto"/>
              <w:rPr>
                <w:sz w:val="22"/>
                <w:szCs w:val="22"/>
              </w:rPr>
            </w:pPr>
            <w:r>
              <w:rPr>
                <w:b/>
                <w:bCs/>
                <w:sz w:val="22"/>
                <w:szCs w:val="22"/>
              </w:rPr>
              <w:t>Kostagiolas et al. (2021)</w:t>
            </w:r>
            <w:r>
              <w:rPr>
                <w:sz w:val="22"/>
                <w:szCs w:val="22"/>
              </w:rPr>
              <w:t xml:space="preserve">; </w:t>
            </w:r>
          </w:p>
          <w:p w14:paraId="689BB884">
            <w:pPr>
              <w:spacing w:after="160" w:line="360" w:lineRule="auto"/>
              <w:rPr>
                <w:sz w:val="22"/>
                <w:szCs w:val="22"/>
              </w:rPr>
            </w:pPr>
            <w:r>
              <w:rPr>
                <w:sz w:val="22"/>
                <w:szCs w:val="22"/>
              </w:rPr>
              <w:br w:type="textWrapping"/>
            </w:r>
          </w:p>
          <w:p w14:paraId="39027DC4">
            <w:pPr>
              <w:spacing w:after="160" w:line="360" w:lineRule="auto"/>
              <w:rPr>
                <w:sz w:val="22"/>
                <w:szCs w:val="22"/>
              </w:rPr>
            </w:pPr>
            <w:r>
              <w:rPr>
                <w:b/>
                <w:bCs/>
                <w:sz w:val="22"/>
                <w:szCs w:val="22"/>
              </w:rPr>
              <w:t>James &amp; Preecharush (2019)</w:t>
            </w:r>
            <w:r>
              <w:rPr>
                <w:sz w:val="22"/>
                <w:szCs w:val="22"/>
              </w:rPr>
              <w:t xml:space="preserve">; </w:t>
            </w:r>
          </w:p>
          <w:p w14:paraId="2F9F8B91">
            <w:pPr>
              <w:spacing w:after="160" w:line="360" w:lineRule="auto"/>
              <w:rPr>
                <w:sz w:val="22"/>
                <w:szCs w:val="22"/>
              </w:rPr>
            </w:pPr>
            <w:r>
              <w:rPr>
                <w:sz w:val="22"/>
                <w:szCs w:val="22"/>
              </w:rPr>
              <w:br w:type="textWrapping"/>
            </w:r>
          </w:p>
          <w:p w14:paraId="16B9F878">
            <w:pPr>
              <w:spacing w:after="160" w:line="360" w:lineRule="auto"/>
              <w:rPr>
                <w:sz w:val="22"/>
                <w:szCs w:val="22"/>
              </w:rPr>
            </w:pPr>
            <w:r>
              <w:rPr>
                <w:b/>
                <w:bCs/>
                <w:sz w:val="22"/>
                <w:szCs w:val="22"/>
              </w:rPr>
              <w:t>Nhu (2012)</w:t>
            </w:r>
          </w:p>
          <w:p w14:paraId="777DCF4F">
            <w:pPr>
              <w:spacing w:after="160" w:line="360" w:lineRule="auto"/>
              <w:rPr>
                <w:sz w:val="22"/>
                <w:szCs w:val="22"/>
              </w:rPr>
            </w:pPr>
          </w:p>
          <w:p w14:paraId="308700FC">
            <w:pPr>
              <w:spacing w:after="160" w:line="360" w:lineRule="auto"/>
              <w:rPr>
                <w:sz w:val="22"/>
                <w:szCs w:val="22"/>
              </w:rPr>
            </w:pPr>
          </w:p>
        </w:tc>
        <w:tc>
          <w:tcPr>
            <w:tcW w:w="2623" w:type="dxa"/>
          </w:tcPr>
          <w:p w14:paraId="463DA3FB">
            <w:pPr>
              <w:spacing w:after="160" w:line="360" w:lineRule="auto"/>
              <w:rPr>
                <w:sz w:val="22"/>
                <w:szCs w:val="22"/>
              </w:rPr>
            </w:pPr>
            <w:r>
              <w:rPr>
                <w:sz w:val="22"/>
                <w:szCs w:val="22"/>
              </w:rPr>
              <w:t xml:space="preserve">"The level of publishers visibility in search engines apparently is a strong predictor for information searching habits... Google search engine takes a leading role as many readers tend to follow the hierarchy appeared on the page." </w:t>
            </w:r>
          </w:p>
          <w:p w14:paraId="45C8A542">
            <w:pPr>
              <w:spacing w:after="160" w:line="360" w:lineRule="auto"/>
              <w:rPr>
                <w:sz w:val="22"/>
                <w:szCs w:val="22"/>
              </w:rPr>
            </w:pPr>
            <w:r>
              <w:rPr>
                <w:sz w:val="22"/>
                <w:szCs w:val="22"/>
              </w:rPr>
              <w:t xml:space="preserve">"The metasearch platforms act as an intermediary between airlines and travellers by offering the chance of comparing prices and service quality." </w:t>
            </w:r>
          </w:p>
          <w:p w14:paraId="3D789CFC">
            <w:pPr>
              <w:spacing w:after="160" w:line="360" w:lineRule="auto"/>
              <w:rPr>
                <w:sz w:val="22"/>
                <w:szCs w:val="22"/>
              </w:rPr>
            </w:pPr>
            <w:r>
              <w:rPr>
                <w:sz w:val="22"/>
                <w:szCs w:val="22"/>
              </w:rPr>
              <w:t xml:space="preserve">"Couch Surfers rely heavily on information technologies especially internet to plan and make decision... consumers are heavily rely on information technology in a sophisticated way." </w:t>
            </w:r>
          </w:p>
        </w:tc>
        <w:tc>
          <w:tcPr>
            <w:tcW w:w="2844" w:type="dxa"/>
          </w:tcPr>
          <w:p w14:paraId="572B3860">
            <w:pPr>
              <w:spacing w:after="160" w:line="360" w:lineRule="auto"/>
              <w:rPr>
                <w:sz w:val="22"/>
                <w:szCs w:val="22"/>
              </w:rPr>
            </w:pPr>
            <w:r>
              <w:rPr>
                <w:rFonts w:eastAsiaTheme="majorEastAsia"/>
                <w:sz w:val="22"/>
                <w:szCs w:val="22"/>
              </w:rPr>
              <w:t>GATEKEEPER_BIAS</w:t>
            </w:r>
          </w:p>
          <w:p w14:paraId="301EA9FF">
            <w:pPr>
              <w:spacing w:after="160" w:line="360" w:lineRule="auto"/>
              <w:rPr>
                <w:sz w:val="22"/>
                <w:szCs w:val="22"/>
              </w:rPr>
            </w:pPr>
            <w:r>
              <w:rPr>
                <w:rFonts w:eastAsiaTheme="majorEastAsia"/>
                <w:sz w:val="22"/>
                <w:szCs w:val="22"/>
              </w:rPr>
              <w:t>METASEARCH_DEPENDENCE</w:t>
            </w:r>
          </w:p>
          <w:p w14:paraId="236C5D6D">
            <w:pPr>
              <w:spacing w:after="160" w:line="360" w:lineRule="auto"/>
              <w:rPr>
                <w:sz w:val="22"/>
                <w:szCs w:val="22"/>
              </w:rPr>
            </w:pPr>
            <w:r>
              <w:rPr>
                <w:rFonts w:eastAsiaTheme="majorEastAsia"/>
                <w:sz w:val="22"/>
                <w:szCs w:val="22"/>
              </w:rPr>
              <w:t>USER_HABIT_SHIFT</w:t>
            </w:r>
          </w:p>
          <w:p w14:paraId="0F48E482">
            <w:pPr>
              <w:spacing w:after="160" w:line="360" w:lineRule="auto"/>
              <w:rPr>
                <w:sz w:val="22"/>
                <w:szCs w:val="22"/>
              </w:rPr>
            </w:pPr>
          </w:p>
        </w:tc>
        <w:tc>
          <w:tcPr>
            <w:tcW w:w="0" w:type="auto"/>
          </w:tcPr>
          <w:p w14:paraId="7A7314C2">
            <w:pPr>
              <w:spacing w:after="160" w:line="360" w:lineRule="auto"/>
              <w:rPr>
                <w:sz w:val="22"/>
                <w:szCs w:val="22"/>
              </w:rPr>
            </w:pPr>
            <w:r>
              <w:rPr>
                <w:b/>
                <w:bCs/>
                <w:sz w:val="22"/>
                <w:szCs w:val="22"/>
              </w:rPr>
              <w:t>Theme 1: The Marginalization of Traditional Metasearch</w:t>
            </w:r>
          </w:p>
        </w:tc>
      </w:tr>
      <w:tr w14:paraId="3424A3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BB63FED">
            <w:pPr>
              <w:spacing w:after="160" w:line="360" w:lineRule="auto"/>
              <w:rPr>
                <w:sz w:val="22"/>
                <w:szCs w:val="22"/>
              </w:rPr>
            </w:pPr>
            <w:r>
              <w:rPr>
                <w:b/>
                <w:bCs/>
                <w:sz w:val="22"/>
                <w:szCs w:val="22"/>
              </w:rPr>
              <w:t>Gallego &amp; Font (2020)</w:t>
            </w:r>
            <w:r>
              <w:rPr>
                <w:sz w:val="22"/>
                <w:szCs w:val="22"/>
              </w:rPr>
              <w:t xml:space="preserve">; </w:t>
            </w:r>
          </w:p>
          <w:p w14:paraId="59BF49DA">
            <w:pPr>
              <w:spacing w:after="160" w:line="360" w:lineRule="auto"/>
              <w:rPr>
                <w:sz w:val="22"/>
                <w:szCs w:val="22"/>
              </w:rPr>
            </w:pPr>
            <w:r>
              <w:rPr>
                <w:sz w:val="22"/>
                <w:szCs w:val="22"/>
              </w:rPr>
              <w:br w:type="textWrapping"/>
            </w:r>
          </w:p>
          <w:p w14:paraId="1A811979">
            <w:pPr>
              <w:spacing w:after="160" w:line="360" w:lineRule="auto"/>
              <w:rPr>
                <w:sz w:val="22"/>
                <w:szCs w:val="22"/>
              </w:rPr>
            </w:pPr>
            <w:r>
              <w:rPr>
                <w:b/>
                <w:bCs/>
                <w:sz w:val="22"/>
                <w:szCs w:val="22"/>
              </w:rPr>
              <w:t>Triana et al. (2026)</w:t>
            </w:r>
            <w:r>
              <w:rPr>
                <w:sz w:val="22"/>
                <w:szCs w:val="22"/>
              </w:rPr>
              <w:t xml:space="preserve">; </w:t>
            </w:r>
          </w:p>
          <w:p w14:paraId="65BAF24C">
            <w:pPr>
              <w:spacing w:after="160" w:line="360" w:lineRule="auto"/>
              <w:rPr>
                <w:sz w:val="22"/>
                <w:szCs w:val="22"/>
              </w:rPr>
            </w:pPr>
            <w:r>
              <w:rPr>
                <w:sz w:val="22"/>
                <w:szCs w:val="22"/>
              </w:rPr>
              <w:br w:type="textWrapping"/>
            </w:r>
          </w:p>
          <w:p w14:paraId="4FEE486B">
            <w:pPr>
              <w:spacing w:after="160" w:line="360" w:lineRule="auto"/>
              <w:rPr>
                <w:sz w:val="22"/>
                <w:szCs w:val="22"/>
              </w:rPr>
            </w:pPr>
            <w:r>
              <w:rPr>
                <w:b/>
                <w:bCs/>
                <w:sz w:val="22"/>
                <w:szCs w:val="22"/>
              </w:rPr>
              <w:t>Rocque et al. (2021)</w:t>
            </w:r>
          </w:p>
          <w:p w14:paraId="035CFF8D">
            <w:pPr>
              <w:spacing w:after="160" w:line="360" w:lineRule="auto"/>
              <w:rPr>
                <w:sz w:val="22"/>
                <w:szCs w:val="22"/>
              </w:rPr>
            </w:pPr>
          </w:p>
          <w:p w14:paraId="21C46D10">
            <w:pPr>
              <w:spacing w:after="160" w:line="360" w:lineRule="auto"/>
              <w:rPr>
                <w:sz w:val="22"/>
                <w:szCs w:val="22"/>
              </w:rPr>
            </w:pPr>
          </w:p>
        </w:tc>
        <w:tc>
          <w:tcPr>
            <w:tcW w:w="2623" w:type="dxa"/>
          </w:tcPr>
          <w:p w14:paraId="0798B211">
            <w:pPr>
              <w:spacing w:after="160" w:line="360" w:lineRule="auto"/>
              <w:rPr>
                <w:sz w:val="22"/>
                <w:szCs w:val="22"/>
              </w:rPr>
            </w:pPr>
            <w:r>
              <w:rPr>
                <w:sz w:val="22"/>
                <w:szCs w:val="22"/>
              </w:rPr>
              <w:t xml:space="preserve">"Before booking a flight, travellers look for the best options, focusing on attributes (itinerary, schedules, fares, etc.) that maximise the precision of their purchase decision..." </w:t>
            </w:r>
          </w:p>
          <w:p w14:paraId="07F3F2F2">
            <w:pPr>
              <w:spacing w:after="160" w:line="360" w:lineRule="auto"/>
              <w:rPr>
                <w:sz w:val="22"/>
                <w:szCs w:val="22"/>
              </w:rPr>
            </w:pPr>
            <w:r>
              <w:rPr>
                <w:sz w:val="22"/>
                <w:szCs w:val="22"/>
              </w:rPr>
              <w:t xml:space="preserve">"Sentiment analysis is used as a reference in organizational policy-making, service improvement, or as business evaluation material." </w:t>
            </w:r>
          </w:p>
          <w:p w14:paraId="34BBED4E">
            <w:pPr>
              <w:spacing w:after="160" w:line="360" w:lineRule="auto"/>
              <w:rPr>
                <w:sz w:val="22"/>
                <w:szCs w:val="22"/>
              </w:rPr>
            </w:pPr>
            <w:r>
              <w:rPr>
                <w:sz w:val="22"/>
                <w:szCs w:val="22"/>
              </w:rPr>
              <w:t xml:space="preserve">"The environmental consequences of climate change... are impacting human health and lives... and are having a disproportionate and unequal impact on populations." </w:t>
            </w:r>
          </w:p>
        </w:tc>
        <w:tc>
          <w:tcPr>
            <w:tcW w:w="2844" w:type="dxa"/>
          </w:tcPr>
          <w:p w14:paraId="288B9670">
            <w:pPr>
              <w:spacing w:after="160" w:line="360" w:lineRule="auto"/>
              <w:rPr>
                <w:sz w:val="22"/>
                <w:szCs w:val="22"/>
              </w:rPr>
            </w:pPr>
            <w:r>
              <w:rPr>
                <w:rFonts w:eastAsiaTheme="majorEastAsia"/>
                <w:sz w:val="22"/>
                <w:szCs w:val="22"/>
              </w:rPr>
              <w:t>DATA_GRANULARITY</w:t>
            </w:r>
          </w:p>
          <w:p w14:paraId="0E171D02">
            <w:pPr>
              <w:spacing w:after="160" w:line="360" w:lineRule="auto"/>
              <w:rPr>
                <w:sz w:val="22"/>
                <w:szCs w:val="22"/>
              </w:rPr>
            </w:pPr>
            <w:r>
              <w:rPr>
                <w:rFonts w:eastAsiaTheme="majorEastAsia"/>
                <w:sz w:val="22"/>
                <w:szCs w:val="22"/>
              </w:rPr>
              <w:t>SENTIMENT_ANALYSIS</w:t>
            </w:r>
          </w:p>
          <w:p w14:paraId="27C092CC">
            <w:pPr>
              <w:spacing w:after="160" w:line="360" w:lineRule="auto"/>
              <w:rPr>
                <w:sz w:val="22"/>
                <w:szCs w:val="22"/>
              </w:rPr>
            </w:pPr>
            <w:r>
              <w:rPr>
                <w:rFonts w:eastAsiaTheme="majorEastAsia"/>
                <w:sz w:val="22"/>
                <w:szCs w:val="22"/>
              </w:rPr>
              <w:t>EXTERNAL_VOLATILITY</w:t>
            </w:r>
          </w:p>
          <w:p w14:paraId="21CC5103">
            <w:pPr>
              <w:spacing w:after="160" w:line="360" w:lineRule="auto"/>
              <w:rPr>
                <w:sz w:val="22"/>
                <w:szCs w:val="22"/>
              </w:rPr>
            </w:pPr>
          </w:p>
        </w:tc>
        <w:tc>
          <w:tcPr>
            <w:tcW w:w="0" w:type="auto"/>
          </w:tcPr>
          <w:p w14:paraId="364C9CB5">
            <w:pPr>
              <w:spacing w:after="160" w:line="360" w:lineRule="auto"/>
              <w:rPr>
                <w:sz w:val="22"/>
                <w:szCs w:val="22"/>
              </w:rPr>
            </w:pPr>
            <w:r>
              <w:rPr>
                <w:b/>
                <w:bCs/>
                <w:sz w:val="22"/>
                <w:szCs w:val="22"/>
              </w:rPr>
              <w:t>Theme 1: The Marginalization of Traditional Metasearch</w:t>
            </w:r>
          </w:p>
        </w:tc>
      </w:tr>
      <w:tr w14:paraId="75A88B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CA3ED61">
            <w:pPr>
              <w:spacing w:after="160" w:line="360" w:lineRule="auto"/>
              <w:rPr>
                <w:sz w:val="22"/>
                <w:szCs w:val="22"/>
              </w:rPr>
            </w:pPr>
            <w:r>
              <w:rPr>
                <w:b/>
                <w:bCs/>
                <w:sz w:val="22"/>
                <w:szCs w:val="22"/>
              </w:rPr>
              <w:t>Trip.com Group (2026)</w:t>
            </w:r>
            <w:r>
              <w:rPr>
                <w:sz w:val="22"/>
                <w:szCs w:val="22"/>
              </w:rPr>
              <w:t xml:space="preserve">; </w:t>
            </w:r>
          </w:p>
          <w:p w14:paraId="37D69E2C">
            <w:pPr>
              <w:spacing w:after="160" w:line="360" w:lineRule="auto"/>
              <w:rPr>
                <w:sz w:val="22"/>
                <w:szCs w:val="22"/>
              </w:rPr>
            </w:pPr>
            <w:r>
              <w:rPr>
                <w:sz w:val="22"/>
                <w:szCs w:val="22"/>
              </w:rPr>
              <w:br w:type="textWrapping"/>
            </w:r>
          </w:p>
          <w:p w14:paraId="3F7EC23F">
            <w:pPr>
              <w:spacing w:after="160" w:line="360" w:lineRule="auto"/>
              <w:rPr>
                <w:sz w:val="22"/>
                <w:szCs w:val="22"/>
              </w:rPr>
            </w:pPr>
            <w:r>
              <w:rPr>
                <w:b/>
                <w:bCs/>
                <w:sz w:val="22"/>
                <w:szCs w:val="22"/>
              </w:rPr>
              <w:t>Prosviryakova et al. (2024)</w:t>
            </w:r>
            <w:r>
              <w:rPr>
                <w:sz w:val="22"/>
                <w:szCs w:val="22"/>
              </w:rPr>
              <w:t xml:space="preserve">; </w:t>
            </w:r>
          </w:p>
          <w:p w14:paraId="7CEEB091">
            <w:pPr>
              <w:spacing w:after="160" w:line="360" w:lineRule="auto"/>
              <w:rPr>
                <w:sz w:val="22"/>
                <w:szCs w:val="22"/>
              </w:rPr>
            </w:pPr>
            <w:r>
              <w:rPr>
                <w:sz w:val="22"/>
                <w:szCs w:val="22"/>
              </w:rPr>
              <w:br w:type="textWrapping"/>
            </w:r>
          </w:p>
          <w:p w14:paraId="6BF8A807">
            <w:pPr>
              <w:spacing w:after="160" w:line="360" w:lineRule="auto"/>
              <w:rPr>
                <w:sz w:val="22"/>
                <w:szCs w:val="22"/>
              </w:rPr>
            </w:pPr>
            <w:r>
              <w:rPr>
                <w:b/>
                <w:bCs/>
                <w:sz w:val="22"/>
                <w:szCs w:val="22"/>
              </w:rPr>
              <w:t>Mahajan (2026)</w:t>
            </w:r>
          </w:p>
          <w:p w14:paraId="3D531066">
            <w:pPr>
              <w:spacing w:after="160" w:line="360" w:lineRule="auto"/>
              <w:rPr>
                <w:sz w:val="22"/>
                <w:szCs w:val="22"/>
              </w:rPr>
            </w:pPr>
          </w:p>
          <w:p w14:paraId="36A8FCA3">
            <w:pPr>
              <w:spacing w:after="160" w:line="360" w:lineRule="auto"/>
              <w:rPr>
                <w:sz w:val="22"/>
                <w:szCs w:val="22"/>
              </w:rPr>
            </w:pPr>
          </w:p>
        </w:tc>
        <w:tc>
          <w:tcPr>
            <w:tcW w:w="2623" w:type="dxa"/>
          </w:tcPr>
          <w:p w14:paraId="0BF0BC0E">
            <w:pPr>
              <w:spacing w:after="160" w:line="360" w:lineRule="auto"/>
              <w:rPr>
                <w:sz w:val="22"/>
                <w:szCs w:val="22"/>
              </w:rPr>
            </w:pPr>
            <w:r>
              <w:rPr>
                <w:sz w:val="22"/>
                <w:szCs w:val="22"/>
              </w:rPr>
              <w:t xml:space="preserve">"Our online channels consist of our mobile applications, other mobile access channels, and websites... For the year ended December 31, 2025, over 90% of our total transaction orders were executed through our mobile channels." </w:t>
            </w:r>
          </w:p>
          <w:p w14:paraId="2D6B1976">
            <w:pPr>
              <w:spacing w:after="160" w:line="360" w:lineRule="auto"/>
              <w:rPr>
                <w:sz w:val="22"/>
                <w:szCs w:val="22"/>
              </w:rPr>
            </w:pPr>
            <w:r>
              <w:rPr>
                <w:sz w:val="22"/>
                <w:szCs w:val="22"/>
              </w:rPr>
              <w:t xml:space="preserve">"Internal research shows that more than 51% of Skyscanner users have not yet chosen their next destination... destination recommendation models are used by 8 Skyscanner frontends and handle 960 million recommendation requests to 110 million Skyscanner users from 180 countries every month." </w:t>
            </w:r>
          </w:p>
          <w:p w14:paraId="00BC9C70">
            <w:pPr>
              <w:spacing w:after="160" w:line="360" w:lineRule="auto"/>
              <w:rPr>
                <w:sz w:val="22"/>
                <w:szCs w:val="22"/>
              </w:rPr>
            </w:pPr>
            <w:r>
              <w:rPr>
                <w:sz w:val="22"/>
                <w:szCs w:val="22"/>
              </w:rPr>
              <w:t xml:space="preserve">"Skyscanner generates revenue through multiple channels... focusing on programmatic SEO by using millions of highly specific travel pages for capturing searches." </w:t>
            </w:r>
          </w:p>
        </w:tc>
        <w:tc>
          <w:tcPr>
            <w:tcW w:w="2844" w:type="dxa"/>
          </w:tcPr>
          <w:p w14:paraId="5ECA1C9F">
            <w:pPr>
              <w:spacing w:after="160" w:line="360" w:lineRule="auto"/>
              <w:rPr>
                <w:sz w:val="22"/>
                <w:szCs w:val="22"/>
              </w:rPr>
            </w:pPr>
            <w:r>
              <w:rPr>
                <w:rFonts w:eastAsiaTheme="majorEastAsia"/>
                <w:sz w:val="22"/>
                <w:szCs w:val="22"/>
              </w:rPr>
              <w:t>APP_FIRST_ECOSYSTEM</w:t>
            </w:r>
          </w:p>
          <w:p w14:paraId="0AB8F8DA">
            <w:pPr>
              <w:spacing w:after="160" w:line="360" w:lineRule="auto"/>
              <w:rPr>
                <w:sz w:val="22"/>
                <w:szCs w:val="22"/>
              </w:rPr>
            </w:pPr>
            <w:r>
              <w:rPr>
                <w:rFonts w:eastAsiaTheme="majorEastAsia"/>
                <w:sz w:val="22"/>
                <w:szCs w:val="22"/>
              </w:rPr>
              <w:t>AI_CENTRALIZATION</w:t>
            </w:r>
          </w:p>
          <w:p w14:paraId="752F7026">
            <w:pPr>
              <w:spacing w:after="160" w:line="360" w:lineRule="auto"/>
              <w:rPr>
                <w:sz w:val="22"/>
                <w:szCs w:val="22"/>
              </w:rPr>
            </w:pPr>
            <w:r>
              <w:rPr>
                <w:rFonts w:eastAsiaTheme="majorEastAsia"/>
                <w:sz w:val="22"/>
                <w:szCs w:val="22"/>
              </w:rPr>
              <w:t>PROGRAMMATIC_SEO</w:t>
            </w:r>
          </w:p>
          <w:p w14:paraId="37EE6169">
            <w:pPr>
              <w:spacing w:after="160" w:line="360" w:lineRule="auto"/>
              <w:rPr>
                <w:sz w:val="22"/>
                <w:szCs w:val="22"/>
              </w:rPr>
            </w:pPr>
          </w:p>
        </w:tc>
        <w:tc>
          <w:tcPr>
            <w:tcW w:w="0" w:type="auto"/>
          </w:tcPr>
          <w:p w14:paraId="4F1BB982">
            <w:pPr>
              <w:spacing w:after="160" w:line="360" w:lineRule="auto"/>
              <w:rPr>
                <w:sz w:val="22"/>
                <w:szCs w:val="22"/>
              </w:rPr>
            </w:pPr>
            <w:r>
              <w:rPr>
                <w:b/>
                <w:bCs/>
                <w:sz w:val="22"/>
                <w:szCs w:val="22"/>
              </w:rPr>
              <w:t>Theme 2: Ecosystem Diversification and Moat-Building</w:t>
            </w:r>
          </w:p>
        </w:tc>
      </w:tr>
      <w:tr w14:paraId="607A26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DF09DE8">
            <w:pPr>
              <w:spacing w:after="160" w:line="360" w:lineRule="auto"/>
              <w:rPr>
                <w:sz w:val="22"/>
                <w:szCs w:val="22"/>
              </w:rPr>
            </w:pPr>
            <w:r>
              <w:rPr>
                <w:b/>
                <w:bCs/>
                <w:sz w:val="22"/>
                <w:szCs w:val="22"/>
              </w:rPr>
              <w:t>Marion &amp; Fixson (2021)</w:t>
            </w:r>
            <w:r>
              <w:rPr>
                <w:sz w:val="22"/>
                <w:szCs w:val="22"/>
              </w:rPr>
              <w:t xml:space="preserve">; </w:t>
            </w:r>
          </w:p>
          <w:p w14:paraId="72E6B5A7">
            <w:pPr>
              <w:spacing w:after="160" w:line="360" w:lineRule="auto"/>
              <w:rPr>
                <w:sz w:val="22"/>
                <w:szCs w:val="22"/>
              </w:rPr>
            </w:pPr>
            <w:r>
              <w:rPr>
                <w:sz w:val="22"/>
                <w:szCs w:val="22"/>
              </w:rPr>
              <w:br w:type="textWrapping"/>
            </w:r>
          </w:p>
          <w:p w14:paraId="17D3C8D9">
            <w:pPr>
              <w:spacing w:after="160" w:line="360" w:lineRule="auto"/>
              <w:rPr>
                <w:sz w:val="22"/>
                <w:szCs w:val="22"/>
              </w:rPr>
            </w:pPr>
            <w:r>
              <w:rPr>
                <w:b/>
                <w:bCs/>
                <w:sz w:val="22"/>
                <w:szCs w:val="22"/>
              </w:rPr>
              <w:t>Gursoy et al. (2022)</w:t>
            </w:r>
            <w:r>
              <w:rPr>
                <w:sz w:val="22"/>
                <w:szCs w:val="22"/>
              </w:rPr>
              <w:t xml:space="preserve">; </w:t>
            </w:r>
          </w:p>
          <w:p w14:paraId="32CCE601">
            <w:pPr>
              <w:spacing w:after="160" w:line="360" w:lineRule="auto"/>
              <w:rPr>
                <w:sz w:val="22"/>
                <w:szCs w:val="22"/>
              </w:rPr>
            </w:pPr>
            <w:r>
              <w:rPr>
                <w:sz w:val="22"/>
                <w:szCs w:val="22"/>
              </w:rPr>
              <w:br w:type="textWrapping"/>
            </w:r>
          </w:p>
          <w:p w14:paraId="79A07E8A">
            <w:pPr>
              <w:spacing w:after="160" w:line="360" w:lineRule="auto"/>
              <w:rPr>
                <w:sz w:val="22"/>
                <w:szCs w:val="22"/>
              </w:rPr>
            </w:pPr>
            <w:r>
              <w:rPr>
                <w:b/>
                <w:bCs/>
                <w:sz w:val="22"/>
                <w:szCs w:val="22"/>
              </w:rPr>
              <w:t>Lin &amp; Huang (2021)</w:t>
            </w:r>
          </w:p>
          <w:p w14:paraId="1D236D98">
            <w:pPr>
              <w:spacing w:after="160" w:line="360" w:lineRule="auto"/>
              <w:rPr>
                <w:sz w:val="22"/>
                <w:szCs w:val="22"/>
              </w:rPr>
            </w:pPr>
          </w:p>
          <w:p w14:paraId="733024A0">
            <w:pPr>
              <w:spacing w:after="160" w:line="360" w:lineRule="auto"/>
              <w:rPr>
                <w:sz w:val="22"/>
                <w:szCs w:val="22"/>
              </w:rPr>
            </w:pPr>
          </w:p>
        </w:tc>
        <w:tc>
          <w:tcPr>
            <w:tcW w:w="2623" w:type="dxa"/>
          </w:tcPr>
          <w:p w14:paraId="18FA081C">
            <w:pPr>
              <w:spacing w:after="160" w:line="360" w:lineRule="auto"/>
              <w:rPr>
                <w:sz w:val="22"/>
                <w:szCs w:val="22"/>
              </w:rPr>
            </w:pPr>
            <w:r>
              <w:rPr>
                <w:sz w:val="22"/>
                <w:szCs w:val="22"/>
              </w:rPr>
              <w:t xml:space="preserve">"Digital tools have a far broader reaching impact... they lead to rearrangement of the entire innovation processes, enable new configurations of people, teams, and firms..." </w:t>
            </w:r>
          </w:p>
          <w:p w14:paraId="4B15E8EC">
            <w:pPr>
              <w:spacing w:after="160" w:line="360" w:lineRule="auto"/>
              <w:rPr>
                <w:sz w:val="22"/>
                <w:szCs w:val="22"/>
              </w:rPr>
            </w:pPr>
            <w:r>
              <w:rPr>
                <w:sz w:val="22"/>
                <w:szCs w:val="22"/>
              </w:rPr>
              <w:t xml:space="preserve">"By transferring control of consumer-experience co-creation from service providers to consumers and thereby democratizing the service co-creation process, the metaverse will disrupt hospitality and tourism experiences..." </w:t>
            </w:r>
          </w:p>
          <w:p w14:paraId="22957BE7">
            <w:pPr>
              <w:spacing w:after="160" w:line="360" w:lineRule="auto"/>
              <w:rPr>
                <w:sz w:val="22"/>
                <w:szCs w:val="22"/>
              </w:rPr>
            </w:pPr>
            <w:r>
              <w:rPr>
                <w:sz w:val="22"/>
                <w:szCs w:val="22"/>
              </w:rPr>
              <w:t xml:space="preserve">"A learning culture provides the capacity to effectively integrate employees, and it also provides structure so that an organization can move forward via continuous learning and change." </w:t>
            </w:r>
          </w:p>
        </w:tc>
        <w:tc>
          <w:tcPr>
            <w:tcW w:w="2844" w:type="dxa"/>
          </w:tcPr>
          <w:p w14:paraId="5BBF2269">
            <w:pPr>
              <w:spacing w:after="160" w:line="360" w:lineRule="auto"/>
              <w:rPr>
                <w:sz w:val="22"/>
                <w:szCs w:val="22"/>
              </w:rPr>
            </w:pPr>
            <w:r>
              <w:rPr>
                <w:rFonts w:eastAsiaTheme="majorEastAsia"/>
                <w:sz w:val="22"/>
                <w:szCs w:val="22"/>
              </w:rPr>
              <w:t>INNOVATION_RESTRUCTURING</w:t>
            </w:r>
          </w:p>
          <w:p w14:paraId="4E97F9A6">
            <w:pPr>
              <w:spacing w:after="160" w:line="360" w:lineRule="auto"/>
              <w:rPr>
                <w:sz w:val="22"/>
                <w:szCs w:val="22"/>
              </w:rPr>
            </w:pPr>
            <w:r>
              <w:rPr>
                <w:rFonts w:eastAsiaTheme="majorEastAsia"/>
                <w:sz w:val="22"/>
                <w:szCs w:val="22"/>
              </w:rPr>
              <w:t>VIRTUAL_EXPERIENCES</w:t>
            </w:r>
          </w:p>
          <w:p w14:paraId="37513789">
            <w:pPr>
              <w:spacing w:after="160" w:line="360" w:lineRule="auto"/>
              <w:rPr>
                <w:sz w:val="22"/>
                <w:szCs w:val="22"/>
              </w:rPr>
            </w:pPr>
            <w:r>
              <w:rPr>
                <w:rFonts w:eastAsiaTheme="majorEastAsia"/>
                <w:sz w:val="22"/>
                <w:szCs w:val="22"/>
              </w:rPr>
              <w:t>ORGANIZATIONAL_LEARNING</w:t>
            </w:r>
          </w:p>
          <w:p w14:paraId="41CC61A1">
            <w:pPr>
              <w:spacing w:after="160" w:line="360" w:lineRule="auto"/>
              <w:rPr>
                <w:sz w:val="22"/>
                <w:szCs w:val="22"/>
              </w:rPr>
            </w:pPr>
          </w:p>
        </w:tc>
        <w:tc>
          <w:tcPr>
            <w:tcW w:w="0" w:type="auto"/>
          </w:tcPr>
          <w:p w14:paraId="58CA35AD">
            <w:pPr>
              <w:spacing w:after="160" w:line="360" w:lineRule="auto"/>
              <w:rPr>
                <w:sz w:val="22"/>
                <w:szCs w:val="22"/>
              </w:rPr>
            </w:pPr>
            <w:r>
              <w:rPr>
                <w:b/>
                <w:bCs/>
                <w:sz w:val="22"/>
                <w:szCs w:val="22"/>
              </w:rPr>
              <w:t>Theme 2: Ecosystem Diversification and Moat-Building</w:t>
            </w:r>
          </w:p>
        </w:tc>
      </w:tr>
      <w:tr w14:paraId="2EB50E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911E83B">
            <w:pPr>
              <w:spacing w:after="160" w:line="360" w:lineRule="auto"/>
              <w:rPr>
                <w:sz w:val="22"/>
                <w:szCs w:val="22"/>
              </w:rPr>
            </w:pPr>
            <w:r>
              <w:rPr>
                <w:b/>
                <w:bCs/>
                <w:sz w:val="22"/>
                <w:szCs w:val="22"/>
              </w:rPr>
              <w:t>Wrigg (2025)</w:t>
            </w:r>
            <w:r>
              <w:rPr>
                <w:sz w:val="22"/>
                <w:szCs w:val="22"/>
              </w:rPr>
              <w:t xml:space="preserve">; </w:t>
            </w:r>
          </w:p>
          <w:p w14:paraId="4F070BC8">
            <w:pPr>
              <w:spacing w:after="160" w:line="360" w:lineRule="auto"/>
              <w:rPr>
                <w:sz w:val="22"/>
                <w:szCs w:val="22"/>
              </w:rPr>
            </w:pPr>
            <w:r>
              <w:rPr>
                <w:sz w:val="22"/>
                <w:szCs w:val="22"/>
              </w:rPr>
              <w:br w:type="textWrapping"/>
            </w:r>
          </w:p>
          <w:p w14:paraId="5C5BC428">
            <w:pPr>
              <w:spacing w:after="160" w:line="360" w:lineRule="auto"/>
              <w:rPr>
                <w:sz w:val="22"/>
                <w:szCs w:val="22"/>
              </w:rPr>
            </w:pPr>
            <w:r>
              <w:rPr>
                <w:b/>
                <w:bCs/>
                <w:sz w:val="22"/>
                <w:szCs w:val="22"/>
              </w:rPr>
              <w:t>Gomez (20</w:t>
            </w:r>
            <w:r>
              <w:rPr>
                <w:rFonts w:eastAsiaTheme="majorEastAsia"/>
                <w:b/>
                <w:bCs/>
                <w:sz w:val="22"/>
                <w:szCs w:val="22"/>
              </w:rPr>
              <w:t>25)</w:t>
            </w:r>
            <w:r>
              <w:rPr>
                <w:rFonts w:eastAsiaTheme="majorEastAsia"/>
                <w:sz w:val="22"/>
                <w:szCs w:val="22"/>
              </w:rPr>
              <w:t>;</w:t>
            </w:r>
            <w:r>
              <w:rPr>
                <w:sz w:val="22"/>
                <w:szCs w:val="22"/>
              </w:rPr>
              <w:t xml:space="preserve"> </w:t>
            </w:r>
          </w:p>
          <w:p w14:paraId="47811DD4">
            <w:pPr>
              <w:spacing w:after="160" w:line="360" w:lineRule="auto"/>
              <w:rPr>
                <w:sz w:val="22"/>
                <w:szCs w:val="22"/>
              </w:rPr>
            </w:pPr>
            <w:r>
              <w:rPr>
                <w:sz w:val="22"/>
                <w:szCs w:val="22"/>
              </w:rPr>
              <w:br w:type="textWrapping"/>
            </w:r>
          </w:p>
          <w:p w14:paraId="3F622C0D">
            <w:pPr>
              <w:spacing w:after="160" w:line="360" w:lineRule="auto"/>
              <w:rPr>
                <w:sz w:val="22"/>
                <w:szCs w:val="22"/>
              </w:rPr>
            </w:pPr>
            <w:r>
              <w:rPr>
                <w:rFonts w:eastAsiaTheme="majorEastAsia"/>
                <w:b/>
                <w:bCs/>
                <w:sz w:val="22"/>
                <w:szCs w:val="22"/>
              </w:rPr>
              <w:t>Lohawala &amp; Wen (2024)</w:t>
            </w:r>
            <w:r>
              <w:rPr>
                <w:rFonts w:eastAsiaTheme="majorEastAsia"/>
                <w:sz w:val="22"/>
                <w:szCs w:val="22"/>
              </w:rPr>
              <w:t>;</w:t>
            </w:r>
            <w:r>
              <w:rPr>
                <w:sz w:val="22"/>
                <w:szCs w:val="22"/>
              </w:rPr>
              <w:t xml:space="preserve"> </w:t>
            </w:r>
          </w:p>
          <w:p w14:paraId="3440C6FD">
            <w:pPr>
              <w:spacing w:after="160" w:line="360" w:lineRule="auto"/>
              <w:rPr>
                <w:sz w:val="22"/>
                <w:szCs w:val="22"/>
              </w:rPr>
            </w:pPr>
            <w:r>
              <w:rPr>
                <w:sz w:val="22"/>
                <w:szCs w:val="22"/>
              </w:rPr>
              <w:br w:type="textWrapping"/>
            </w:r>
          </w:p>
          <w:p w14:paraId="341EB0B4">
            <w:pPr>
              <w:spacing w:after="160" w:line="360" w:lineRule="auto"/>
              <w:rPr>
                <w:sz w:val="22"/>
                <w:szCs w:val="22"/>
              </w:rPr>
            </w:pPr>
            <w:r>
              <w:rPr>
                <w:rFonts w:eastAsiaTheme="majorEastAsia"/>
                <w:b/>
                <w:bCs/>
                <w:sz w:val="22"/>
                <w:szCs w:val="22"/>
              </w:rPr>
              <w:t>Löfqvist et al. (2023)</w:t>
            </w:r>
            <w:r>
              <w:rPr>
                <w:sz w:val="22"/>
                <w:szCs w:val="22"/>
              </w:rPr>
              <w:t xml:space="preserve"> </w:t>
            </w:r>
          </w:p>
          <w:p w14:paraId="186DA63C">
            <w:pPr>
              <w:spacing w:after="160" w:line="360" w:lineRule="auto"/>
              <w:rPr>
                <w:sz w:val="22"/>
                <w:szCs w:val="22"/>
              </w:rPr>
            </w:pPr>
          </w:p>
          <w:p w14:paraId="418F1228">
            <w:pPr>
              <w:spacing w:after="160" w:line="360" w:lineRule="auto"/>
              <w:rPr>
                <w:sz w:val="22"/>
                <w:szCs w:val="22"/>
              </w:rPr>
            </w:pPr>
          </w:p>
        </w:tc>
        <w:tc>
          <w:tcPr>
            <w:tcW w:w="2623" w:type="dxa"/>
          </w:tcPr>
          <w:p w14:paraId="28B85183">
            <w:pPr>
              <w:spacing w:after="160" w:line="360" w:lineRule="auto"/>
              <w:rPr>
                <w:sz w:val="22"/>
                <w:szCs w:val="22"/>
              </w:rPr>
            </w:pPr>
            <w:r>
              <w:rPr>
                <w:sz w:val="22"/>
                <w:szCs w:val="22"/>
              </w:rPr>
              <w:t xml:space="preserve">"Drawing on qualitative methods, this thesis proposes four key recommendations: customizing the travel experience, reinventing loyalty programs, embracing technology for automation and reducing dependence on individual markets." </w:t>
            </w:r>
          </w:p>
          <w:p w14:paraId="421BE548">
            <w:pPr>
              <w:spacing w:after="160" w:line="360" w:lineRule="auto"/>
              <w:rPr>
                <w:sz w:val="22"/>
                <w:szCs w:val="22"/>
              </w:rPr>
            </w:pPr>
            <w:r>
              <w:rPr>
                <w:sz w:val="22"/>
                <w:szCs w:val="22"/>
              </w:rPr>
              <w:t xml:space="preserve">"Another key challenge is enabling passengers to select flights with lower emissions... Platforms such as Skyscanner, Google, and Kayak have recently started doing so." </w:t>
            </w:r>
          </w:p>
          <w:p w14:paraId="4337DB11">
            <w:pPr>
              <w:spacing w:after="160" w:line="360" w:lineRule="auto"/>
              <w:rPr>
                <w:sz w:val="22"/>
                <w:szCs w:val="22"/>
              </w:rPr>
            </w:pPr>
            <w:r>
              <w:rPr>
                <w:sz w:val="22"/>
                <w:szCs w:val="22"/>
              </w:rPr>
              <w:t xml:space="preserve">"Projects that align with local people's preferences and are implemented through inclusive governance are more likely to </w:t>
            </w:r>
            <w:r>
              <w:rPr>
                <w:rFonts w:eastAsiaTheme="majorEastAsia"/>
                <w:sz w:val="22"/>
                <w:szCs w:val="22"/>
              </w:rPr>
              <w:t>lead to improved social, ecological, and environmental outcomes."</w:t>
            </w:r>
            <w:r>
              <w:rPr>
                <w:sz w:val="22"/>
                <w:szCs w:val="22"/>
              </w:rPr>
              <w:t xml:space="preserve"> </w:t>
            </w:r>
          </w:p>
          <w:p w14:paraId="50DBE1D5">
            <w:pPr>
              <w:spacing w:after="160" w:line="360" w:lineRule="auto"/>
              <w:rPr>
                <w:sz w:val="22"/>
                <w:szCs w:val="22"/>
              </w:rPr>
            </w:pPr>
          </w:p>
        </w:tc>
        <w:tc>
          <w:tcPr>
            <w:tcW w:w="2844" w:type="dxa"/>
          </w:tcPr>
          <w:p w14:paraId="1E738D3C">
            <w:pPr>
              <w:spacing w:after="160" w:line="360" w:lineRule="auto"/>
              <w:rPr>
                <w:sz w:val="22"/>
                <w:szCs w:val="22"/>
              </w:rPr>
            </w:pPr>
            <w:r>
              <w:rPr>
                <w:sz w:val="22"/>
                <w:szCs w:val="22"/>
              </w:rPr>
              <w:t xml:space="preserve">LOYALTY_REINVENTION </w:t>
            </w:r>
          </w:p>
          <w:p w14:paraId="51FDFD01">
            <w:pPr>
              <w:spacing w:after="160" w:line="360" w:lineRule="auto"/>
              <w:rPr>
                <w:sz w:val="22"/>
                <w:szCs w:val="22"/>
              </w:rPr>
            </w:pPr>
            <w:r>
              <w:rPr>
                <w:rFonts w:eastAsiaTheme="majorEastAsia"/>
                <w:sz w:val="22"/>
                <w:szCs w:val="22"/>
              </w:rPr>
              <w:t>SUSTAINABILITY_PARTNERSHIPS</w:t>
            </w:r>
            <w:r>
              <w:rPr>
                <w:sz w:val="22"/>
                <w:szCs w:val="22"/>
              </w:rPr>
              <w:t xml:space="preserve"> </w:t>
            </w:r>
          </w:p>
          <w:p w14:paraId="17DFF0C6">
            <w:pPr>
              <w:spacing w:after="160" w:line="360" w:lineRule="auto"/>
              <w:rPr>
                <w:sz w:val="22"/>
                <w:szCs w:val="22"/>
              </w:rPr>
            </w:pPr>
            <w:r>
              <w:rPr>
                <w:sz w:val="22"/>
                <w:szCs w:val="22"/>
              </w:rPr>
              <w:t xml:space="preserve">STAKEHOLDER_ALIGNMENT </w:t>
            </w:r>
          </w:p>
          <w:p w14:paraId="05249481">
            <w:pPr>
              <w:spacing w:after="160" w:line="360" w:lineRule="auto"/>
              <w:rPr>
                <w:sz w:val="22"/>
                <w:szCs w:val="22"/>
              </w:rPr>
            </w:pPr>
          </w:p>
        </w:tc>
        <w:tc>
          <w:tcPr>
            <w:tcW w:w="0" w:type="auto"/>
          </w:tcPr>
          <w:p w14:paraId="6761D1A8">
            <w:pPr>
              <w:spacing w:after="160" w:line="360" w:lineRule="auto"/>
              <w:rPr>
                <w:sz w:val="22"/>
                <w:szCs w:val="22"/>
              </w:rPr>
            </w:pPr>
            <w:r>
              <w:rPr>
                <w:b/>
                <w:bCs/>
                <w:sz w:val="22"/>
                <w:szCs w:val="22"/>
              </w:rPr>
              <w:t>Theme 2: Ecosystem Diversification and Moat-Building</w:t>
            </w:r>
          </w:p>
        </w:tc>
      </w:tr>
      <w:tr w14:paraId="09E664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2EA966B">
            <w:pPr>
              <w:spacing w:after="160" w:line="360" w:lineRule="auto"/>
              <w:rPr>
                <w:sz w:val="22"/>
                <w:szCs w:val="22"/>
              </w:rPr>
            </w:pPr>
            <w:r>
              <w:rPr>
                <w:b/>
                <w:bCs/>
                <w:sz w:val="22"/>
                <w:szCs w:val="22"/>
              </w:rPr>
              <w:t>European Commission (2025)</w:t>
            </w:r>
            <w:r>
              <w:rPr>
                <w:sz w:val="22"/>
                <w:szCs w:val="22"/>
              </w:rPr>
              <w:t xml:space="preserve">; </w:t>
            </w:r>
          </w:p>
          <w:p w14:paraId="2C996FB3">
            <w:pPr>
              <w:spacing w:after="160" w:line="360" w:lineRule="auto"/>
              <w:rPr>
                <w:sz w:val="22"/>
                <w:szCs w:val="22"/>
              </w:rPr>
            </w:pPr>
            <w:r>
              <w:rPr>
                <w:sz w:val="22"/>
                <w:szCs w:val="22"/>
              </w:rPr>
              <w:br w:type="textWrapping"/>
            </w:r>
          </w:p>
          <w:p w14:paraId="155EDE00">
            <w:pPr>
              <w:spacing w:after="160" w:line="360" w:lineRule="auto"/>
              <w:rPr>
                <w:sz w:val="22"/>
                <w:szCs w:val="22"/>
              </w:rPr>
            </w:pPr>
            <w:r>
              <w:rPr>
                <w:b/>
                <w:bCs/>
                <w:sz w:val="22"/>
                <w:szCs w:val="22"/>
              </w:rPr>
              <w:t>Boscheck (2024)</w:t>
            </w:r>
            <w:r>
              <w:rPr>
                <w:sz w:val="22"/>
                <w:szCs w:val="22"/>
              </w:rPr>
              <w:t xml:space="preserve">; </w:t>
            </w:r>
          </w:p>
          <w:p w14:paraId="737773C6">
            <w:pPr>
              <w:spacing w:after="160" w:line="360" w:lineRule="auto"/>
              <w:rPr>
                <w:sz w:val="22"/>
                <w:szCs w:val="22"/>
              </w:rPr>
            </w:pPr>
            <w:r>
              <w:rPr>
                <w:sz w:val="22"/>
                <w:szCs w:val="22"/>
              </w:rPr>
              <w:br w:type="textWrapping"/>
            </w:r>
          </w:p>
          <w:p w14:paraId="48A16199">
            <w:pPr>
              <w:spacing w:after="160" w:line="360" w:lineRule="auto"/>
              <w:rPr>
                <w:sz w:val="22"/>
                <w:szCs w:val="22"/>
              </w:rPr>
            </w:pPr>
            <w:r>
              <w:rPr>
                <w:b/>
                <w:bCs/>
                <w:sz w:val="22"/>
                <w:szCs w:val="22"/>
              </w:rPr>
              <w:t>Akman (2021)</w:t>
            </w:r>
          </w:p>
          <w:p w14:paraId="722A0F5C">
            <w:pPr>
              <w:spacing w:after="160" w:line="360" w:lineRule="auto"/>
              <w:rPr>
                <w:sz w:val="22"/>
                <w:szCs w:val="22"/>
              </w:rPr>
            </w:pPr>
          </w:p>
          <w:p w14:paraId="529C2206">
            <w:pPr>
              <w:spacing w:after="160" w:line="360" w:lineRule="auto"/>
              <w:rPr>
                <w:sz w:val="22"/>
                <w:szCs w:val="22"/>
              </w:rPr>
            </w:pPr>
          </w:p>
        </w:tc>
        <w:tc>
          <w:tcPr>
            <w:tcW w:w="2623" w:type="dxa"/>
          </w:tcPr>
          <w:p w14:paraId="4AD225B5">
            <w:pPr>
              <w:spacing w:after="160" w:line="360" w:lineRule="auto"/>
              <w:rPr>
                <w:sz w:val="22"/>
                <w:szCs w:val="22"/>
              </w:rPr>
            </w:pPr>
            <w:r>
              <w:rPr>
                <w:sz w:val="22"/>
                <w:szCs w:val="22"/>
              </w:rPr>
              <w:t xml:space="preserve">"The Commission opened proceedings against Alphabet on 25 March 2024 because of concerns that the gatekeeper is preferencing its own vertical search or content services over similar rivals..." </w:t>
            </w:r>
          </w:p>
          <w:p w14:paraId="7AFD6F4F">
            <w:pPr>
              <w:spacing w:after="160" w:line="360" w:lineRule="auto"/>
              <w:rPr>
                <w:sz w:val="22"/>
                <w:szCs w:val="22"/>
              </w:rPr>
            </w:pPr>
            <w:r>
              <w:rPr>
                <w:sz w:val="22"/>
                <w:szCs w:val="22"/>
              </w:rPr>
              <w:t xml:space="preserve">"The DMA amounts to an intentional distraction of global market leaders... the DMA does not permit any effect-based economic assessments." </w:t>
            </w:r>
          </w:p>
          <w:p w14:paraId="67A432BE">
            <w:pPr>
              <w:spacing w:after="160" w:line="360" w:lineRule="auto"/>
              <w:rPr>
                <w:sz w:val="22"/>
                <w:szCs w:val="22"/>
              </w:rPr>
            </w:pPr>
            <w:r>
              <w:rPr>
                <w:sz w:val="22"/>
                <w:szCs w:val="22"/>
              </w:rPr>
              <w:t xml:space="preserve">"The DMA is intended to complement the EU and Member State competition rules... addressing unfair practices by gatekeepers that either fall outside the existing EU competition rules, or that cannot be as effectively addressed..." </w:t>
            </w:r>
          </w:p>
        </w:tc>
        <w:tc>
          <w:tcPr>
            <w:tcW w:w="2844" w:type="dxa"/>
          </w:tcPr>
          <w:p w14:paraId="213B8568">
            <w:pPr>
              <w:spacing w:after="160" w:line="360" w:lineRule="auto"/>
              <w:rPr>
                <w:sz w:val="22"/>
                <w:szCs w:val="22"/>
              </w:rPr>
            </w:pPr>
            <w:r>
              <w:rPr>
                <w:rFonts w:eastAsiaTheme="majorEastAsia"/>
                <w:sz w:val="22"/>
                <w:szCs w:val="22"/>
              </w:rPr>
              <w:t>ARTICLE_6_5_BREACH</w:t>
            </w:r>
          </w:p>
          <w:p w14:paraId="0379AD38">
            <w:pPr>
              <w:spacing w:after="160" w:line="360" w:lineRule="auto"/>
              <w:rPr>
                <w:sz w:val="22"/>
                <w:szCs w:val="22"/>
              </w:rPr>
            </w:pPr>
            <w:r>
              <w:rPr>
                <w:rFonts w:eastAsiaTheme="majorEastAsia"/>
                <w:sz w:val="22"/>
                <w:szCs w:val="22"/>
              </w:rPr>
              <w:t>EX_ANTE_INFLEXIBILITY</w:t>
            </w:r>
          </w:p>
          <w:p w14:paraId="6DF6E6ED">
            <w:pPr>
              <w:spacing w:after="160" w:line="360" w:lineRule="auto"/>
              <w:rPr>
                <w:sz w:val="22"/>
                <w:szCs w:val="22"/>
              </w:rPr>
            </w:pPr>
            <w:r>
              <w:rPr>
                <w:rFonts w:eastAsiaTheme="majorEastAsia"/>
                <w:sz w:val="22"/>
                <w:szCs w:val="22"/>
              </w:rPr>
              <w:t>COMPLEMENTARY_REGULATION</w:t>
            </w:r>
          </w:p>
          <w:p w14:paraId="34060B08">
            <w:pPr>
              <w:spacing w:after="160" w:line="360" w:lineRule="auto"/>
              <w:rPr>
                <w:sz w:val="22"/>
                <w:szCs w:val="22"/>
              </w:rPr>
            </w:pPr>
          </w:p>
        </w:tc>
        <w:tc>
          <w:tcPr>
            <w:tcW w:w="0" w:type="auto"/>
          </w:tcPr>
          <w:p w14:paraId="66E21256">
            <w:pPr>
              <w:spacing w:after="160" w:line="360" w:lineRule="auto"/>
              <w:rPr>
                <w:sz w:val="22"/>
                <w:szCs w:val="22"/>
              </w:rPr>
            </w:pPr>
            <w:r>
              <w:rPr>
                <w:b/>
                <w:bCs/>
                <w:sz w:val="22"/>
                <w:szCs w:val="22"/>
              </w:rPr>
              <w:t>Theme 3: Regulatory Friction and Enforcement Gaps</w:t>
            </w:r>
          </w:p>
        </w:tc>
      </w:tr>
      <w:tr w14:paraId="2CBFA9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6B12F37">
            <w:pPr>
              <w:spacing w:after="160" w:line="360" w:lineRule="auto"/>
              <w:rPr>
                <w:sz w:val="22"/>
                <w:szCs w:val="22"/>
              </w:rPr>
            </w:pPr>
            <w:r>
              <w:rPr>
                <w:b/>
                <w:bCs/>
                <w:sz w:val="22"/>
                <w:szCs w:val="22"/>
              </w:rPr>
              <w:t>Jussila &amp; Oezocak (2025)</w:t>
            </w:r>
            <w:r>
              <w:rPr>
                <w:sz w:val="22"/>
                <w:szCs w:val="22"/>
              </w:rPr>
              <w:t xml:space="preserve">; </w:t>
            </w:r>
          </w:p>
          <w:p w14:paraId="366D402D">
            <w:pPr>
              <w:spacing w:after="160" w:line="360" w:lineRule="auto"/>
              <w:rPr>
                <w:sz w:val="22"/>
                <w:szCs w:val="22"/>
              </w:rPr>
            </w:pPr>
            <w:r>
              <w:rPr>
                <w:sz w:val="22"/>
                <w:szCs w:val="22"/>
              </w:rPr>
              <w:br w:type="textWrapping"/>
            </w:r>
          </w:p>
          <w:p w14:paraId="1843C71B">
            <w:pPr>
              <w:spacing w:after="160" w:line="360" w:lineRule="auto"/>
              <w:rPr>
                <w:sz w:val="22"/>
                <w:szCs w:val="22"/>
              </w:rPr>
            </w:pPr>
            <w:r>
              <w:rPr>
                <w:b/>
                <w:bCs/>
                <w:sz w:val="22"/>
                <w:szCs w:val="22"/>
              </w:rPr>
              <w:t>Ribera Martínez (2023)</w:t>
            </w:r>
            <w:r>
              <w:rPr>
                <w:sz w:val="22"/>
                <w:szCs w:val="22"/>
              </w:rPr>
              <w:t xml:space="preserve">; </w:t>
            </w:r>
          </w:p>
          <w:p w14:paraId="7B3A1898">
            <w:pPr>
              <w:spacing w:after="160" w:line="360" w:lineRule="auto"/>
              <w:rPr>
                <w:sz w:val="22"/>
                <w:szCs w:val="22"/>
              </w:rPr>
            </w:pPr>
            <w:r>
              <w:rPr>
                <w:sz w:val="22"/>
                <w:szCs w:val="22"/>
              </w:rPr>
              <w:br w:type="textWrapping"/>
            </w:r>
          </w:p>
          <w:p w14:paraId="7ECE6B7D">
            <w:pPr>
              <w:spacing w:after="160" w:line="360" w:lineRule="auto"/>
              <w:rPr>
                <w:sz w:val="22"/>
                <w:szCs w:val="22"/>
              </w:rPr>
            </w:pPr>
            <w:r>
              <w:rPr>
                <w:b/>
                <w:bCs/>
                <w:sz w:val="22"/>
                <w:szCs w:val="22"/>
              </w:rPr>
              <w:t>Pehlivanli (2025)</w:t>
            </w:r>
          </w:p>
          <w:p w14:paraId="4FFE8662">
            <w:pPr>
              <w:spacing w:after="160" w:line="360" w:lineRule="auto"/>
              <w:rPr>
                <w:sz w:val="22"/>
                <w:szCs w:val="22"/>
              </w:rPr>
            </w:pPr>
          </w:p>
          <w:p w14:paraId="72762DB2">
            <w:pPr>
              <w:spacing w:after="160" w:line="360" w:lineRule="auto"/>
              <w:rPr>
                <w:sz w:val="22"/>
                <w:szCs w:val="22"/>
              </w:rPr>
            </w:pPr>
          </w:p>
        </w:tc>
        <w:tc>
          <w:tcPr>
            <w:tcW w:w="2623" w:type="dxa"/>
          </w:tcPr>
          <w:p w14:paraId="3AC40C89">
            <w:pPr>
              <w:spacing w:after="160" w:line="360" w:lineRule="auto"/>
              <w:rPr>
                <w:sz w:val="22"/>
                <w:szCs w:val="22"/>
              </w:rPr>
            </w:pPr>
            <w:r>
              <w:rPr>
                <w:sz w:val="22"/>
                <w:szCs w:val="22"/>
              </w:rPr>
              <w:t xml:space="preserve">"While the frameworks are complementary in principle, tensions remain in their practical implementation. The DMA's centralised enforcement under the Commission and the vagueness of key concepts... pose challenges..." </w:t>
            </w:r>
          </w:p>
          <w:p w14:paraId="0E21BBD0">
            <w:pPr>
              <w:spacing w:after="160" w:line="360" w:lineRule="auto"/>
              <w:rPr>
                <w:sz w:val="22"/>
                <w:szCs w:val="22"/>
              </w:rPr>
            </w:pPr>
            <w:r>
              <w:rPr>
                <w:sz w:val="22"/>
                <w:szCs w:val="22"/>
              </w:rPr>
              <w:t xml:space="preserve">"Rocking the contestability and fairness foundations: Multi-Level Governance and trust relations for futureproofing the DMA's effectiveness." </w:t>
            </w:r>
          </w:p>
          <w:p w14:paraId="3F2EDE73">
            <w:pPr>
              <w:spacing w:after="160" w:line="360" w:lineRule="auto"/>
              <w:rPr>
                <w:sz w:val="22"/>
                <w:szCs w:val="22"/>
              </w:rPr>
            </w:pPr>
            <w:r>
              <w:rPr>
                <w:sz w:val="22"/>
                <w:szCs w:val="22"/>
              </w:rPr>
              <w:t xml:space="preserve">"By embedding fairness within a proportionality assessment, this approach maintains analytical consistency with established EU competition law while expanding the evidentiary channels through which harm can be identified..." </w:t>
            </w:r>
          </w:p>
        </w:tc>
        <w:tc>
          <w:tcPr>
            <w:tcW w:w="2844" w:type="dxa"/>
          </w:tcPr>
          <w:p w14:paraId="0418AAFC">
            <w:pPr>
              <w:spacing w:after="160" w:line="360" w:lineRule="auto"/>
              <w:rPr>
                <w:sz w:val="22"/>
                <w:szCs w:val="22"/>
              </w:rPr>
            </w:pPr>
            <w:r>
              <w:rPr>
                <w:rFonts w:eastAsiaTheme="majorEastAsia"/>
                <w:sz w:val="22"/>
                <w:szCs w:val="22"/>
              </w:rPr>
              <w:t>INSTITUTIONAL_CENTRALIZATION</w:t>
            </w:r>
          </w:p>
          <w:p w14:paraId="41644AC8">
            <w:pPr>
              <w:spacing w:after="160" w:line="360" w:lineRule="auto"/>
              <w:rPr>
                <w:sz w:val="22"/>
                <w:szCs w:val="22"/>
              </w:rPr>
            </w:pPr>
            <w:r>
              <w:rPr>
                <w:rFonts w:eastAsiaTheme="majorEastAsia"/>
                <w:sz w:val="22"/>
                <w:szCs w:val="22"/>
              </w:rPr>
              <w:t>CONTESTABILITY_DEFICIT</w:t>
            </w:r>
          </w:p>
          <w:p w14:paraId="3F95AE34">
            <w:pPr>
              <w:spacing w:after="160" w:line="360" w:lineRule="auto"/>
              <w:rPr>
                <w:sz w:val="22"/>
                <w:szCs w:val="22"/>
              </w:rPr>
            </w:pPr>
            <w:r>
              <w:rPr>
                <w:rFonts w:eastAsiaTheme="majorEastAsia"/>
                <w:sz w:val="22"/>
                <w:szCs w:val="22"/>
              </w:rPr>
              <w:t>FUNCTIONAL_FAIRNESS</w:t>
            </w:r>
          </w:p>
          <w:p w14:paraId="6C48C8AB">
            <w:pPr>
              <w:spacing w:after="160" w:line="360" w:lineRule="auto"/>
              <w:rPr>
                <w:sz w:val="22"/>
                <w:szCs w:val="22"/>
              </w:rPr>
            </w:pPr>
          </w:p>
        </w:tc>
        <w:tc>
          <w:tcPr>
            <w:tcW w:w="0" w:type="auto"/>
          </w:tcPr>
          <w:p w14:paraId="3F4748C6">
            <w:pPr>
              <w:spacing w:after="160" w:line="360" w:lineRule="auto"/>
              <w:rPr>
                <w:sz w:val="22"/>
                <w:szCs w:val="22"/>
              </w:rPr>
            </w:pPr>
            <w:r>
              <w:rPr>
                <w:b/>
                <w:bCs/>
                <w:sz w:val="22"/>
                <w:szCs w:val="22"/>
              </w:rPr>
              <w:t>Theme 3: Regulatory Friction and Enforcement Gaps</w:t>
            </w:r>
          </w:p>
        </w:tc>
      </w:tr>
      <w:tr w14:paraId="5C5AD7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FC7F841">
            <w:pPr>
              <w:spacing w:after="160" w:line="360" w:lineRule="auto"/>
              <w:rPr>
                <w:sz w:val="22"/>
                <w:szCs w:val="22"/>
              </w:rPr>
            </w:pPr>
            <w:r>
              <w:rPr>
                <w:b/>
                <w:bCs/>
                <w:sz w:val="22"/>
                <w:szCs w:val="22"/>
              </w:rPr>
              <w:t>Sandle (2025)</w:t>
            </w:r>
            <w:r>
              <w:rPr>
                <w:sz w:val="22"/>
                <w:szCs w:val="22"/>
              </w:rPr>
              <w:t xml:space="preserve">; </w:t>
            </w:r>
          </w:p>
          <w:p w14:paraId="458BC854">
            <w:pPr>
              <w:spacing w:after="160" w:line="360" w:lineRule="auto"/>
              <w:rPr>
                <w:sz w:val="22"/>
                <w:szCs w:val="22"/>
              </w:rPr>
            </w:pPr>
            <w:r>
              <w:rPr>
                <w:sz w:val="22"/>
                <w:szCs w:val="22"/>
              </w:rPr>
              <w:br w:type="textWrapping"/>
            </w:r>
          </w:p>
          <w:p w14:paraId="1E911BE1">
            <w:pPr>
              <w:spacing w:after="160" w:line="360" w:lineRule="auto"/>
              <w:rPr>
                <w:sz w:val="22"/>
                <w:szCs w:val="22"/>
              </w:rPr>
            </w:pPr>
            <w:r>
              <w:rPr>
                <w:b/>
                <w:bCs/>
                <w:sz w:val="22"/>
                <w:szCs w:val="22"/>
              </w:rPr>
              <w:t>Nilsson et al. (2021)</w:t>
            </w:r>
          </w:p>
          <w:p w14:paraId="3FE746A7">
            <w:pPr>
              <w:spacing w:after="160" w:line="360" w:lineRule="auto"/>
              <w:rPr>
                <w:sz w:val="22"/>
                <w:szCs w:val="22"/>
              </w:rPr>
            </w:pPr>
          </w:p>
          <w:p w14:paraId="268E4C30">
            <w:pPr>
              <w:spacing w:after="160" w:line="360" w:lineRule="auto"/>
              <w:rPr>
                <w:sz w:val="22"/>
                <w:szCs w:val="22"/>
              </w:rPr>
            </w:pPr>
          </w:p>
        </w:tc>
        <w:tc>
          <w:tcPr>
            <w:tcW w:w="2623" w:type="dxa"/>
          </w:tcPr>
          <w:p w14:paraId="3C0D86E8">
            <w:pPr>
              <w:spacing w:after="160" w:line="360" w:lineRule="auto"/>
              <w:rPr>
                <w:sz w:val="22"/>
                <w:szCs w:val="22"/>
              </w:rPr>
            </w:pPr>
            <w:r>
              <w:rPr>
                <w:sz w:val="22"/>
                <w:szCs w:val="22"/>
              </w:rPr>
              <w:t xml:space="preserve">"Everyone has been at the search rodeo for years... What the CMA is doing is purely performative... the DMCC Act has arrived three years too late and is becoming a bit of an albatross around its neck." </w:t>
            </w:r>
          </w:p>
          <w:p w14:paraId="6DFD5855">
            <w:pPr>
              <w:spacing w:after="160" w:line="360" w:lineRule="auto"/>
              <w:rPr>
                <w:sz w:val="22"/>
                <w:szCs w:val="22"/>
              </w:rPr>
            </w:pPr>
            <w:r>
              <w:rPr>
                <w:sz w:val="22"/>
                <w:szCs w:val="22"/>
              </w:rPr>
              <w:t xml:space="preserve">"A major shift is needed, from contemporary industrial policy that mainly protects industry to policy strategies that transform the industry... building capacity for governance and change..." </w:t>
            </w:r>
          </w:p>
        </w:tc>
        <w:tc>
          <w:tcPr>
            <w:tcW w:w="2844" w:type="dxa"/>
          </w:tcPr>
          <w:p w14:paraId="2B329DDB">
            <w:pPr>
              <w:spacing w:after="160" w:line="360" w:lineRule="auto"/>
              <w:rPr>
                <w:sz w:val="22"/>
                <w:szCs w:val="22"/>
              </w:rPr>
            </w:pPr>
            <w:r>
              <w:rPr>
                <w:rFonts w:eastAsiaTheme="majorEastAsia"/>
                <w:sz w:val="22"/>
                <w:szCs w:val="22"/>
              </w:rPr>
              <w:t>PERFORMATIVE_ENFORCEMENT</w:t>
            </w:r>
          </w:p>
          <w:p w14:paraId="4FDEA077">
            <w:pPr>
              <w:spacing w:after="160" w:line="360" w:lineRule="auto"/>
              <w:rPr>
                <w:sz w:val="22"/>
                <w:szCs w:val="22"/>
              </w:rPr>
            </w:pPr>
            <w:r>
              <w:rPr>
                <w:rFonts w:eastAsiaTheme="majorEastAsia"/>
                <w:sz w:val="22"/>
                <w:szCs w:val="22"/>
              </w:rPr>
              <w:t>POLITICAL_BLUNTING</w:t>
            </w:r>
          </w:p>
          <w:p w14:paraId="2ABEE121">
            <w:pPr>
              <w:spacing w:after="160" w:line="360" w:lineRule="auto"/>
              <w:rPr>
                <w:sz w:val="22"/>
                <w:szCs w:val="22"/>
              </w:rPr>
            </w:pPr>
            <w:r>
              <w:rPr>
                <w:rFonts w:eastAsiaTheme="majorEastAsia"/>
                <w:sz w:val="22"/>
                <w:szCs w:val="22"/>
              </w:rPr>
              <w:t>GOVERNANCE_CAPACITY</w:t>
            </w:r>
          </w:p>
          <w:p w14:paraId="77CF780A">
            <w:pPr>
              <w:spacing w:after="160" w:line="360" w:lineRule="auto"/>
              <w:rPr>
                <w:sz w:val="22"/>
                <w:szCs w:val="22"/>
              </w:rPr>
            </w:pPr>
          </w:p>
        </w:tc>
        <w:tc>
          <w:tcPr>
            <w:tcW w:w="0" w:type="auto"/>
          </w:tcPr>
          <w:p w14:paraId="6D3D1BA7">
            <w:pPr>
              <w:keepNext/>
              <w:spacing w:after="160" w:line="360" w:lineRule="auto"/>
              <w:rPr>
                <w:sz w:val="22"/>
                <w:szCs w:val="22"/>
              </w:rPr>
            </w:pPr>
            <w:r>
              <w:rPr>
                <w:b/>
                <w:bCs/>
                <w:sz w:val="22"/>
                <w:szCs w:val="22"/>
              </w:rPr>
              <w:t>Theme 3: Regulatory Friction and Enforcement Gaps</w:t>
            </w:r>
          </w:p>
        </w:tc>
      </w:tr>
    </w:tbl>
    <w:p w14:paraId="241C1A24">
      <w:pPr>
        <w:pStyle w:val="14"/>
        <w:jc w:val="center"/>
        <w:rPr>
          <w:b/>
          <w:bCs/>
          <w:color w:val="auto"/>
        </w:rPr>
      </w:pPr>
      <w:bookmarkStart w:id="78" w:name="_Toc238763371"/>
      <w:r>
        <w:rPr>
          <w:color w:val="auto"/>
        </w:rPr>
        <w:t xml:space="preserve">Table </w:t>
      </w:r>
      <w:r>
        <w:rPr>
          <w:color w:val="auto"/>
        </w:rPr>
        <w:fldChar w:fldCharType="begin"/>
      </w:r>
      <w:r>
        <w:rPr>
          <w:color w:val="auto"/>
        </w:rPr>
        <w:instrText xml:space="preserve"> SEQ Table \* ARABIC </w:instrText>
      </w:r>
      <w:r>
        <w:rPr>
          <w:color w:val="auto"/>
        </w:rPr>
        <w:fldChar w:fldCharType="separate"/>
      </w:r>
      <w:r>
        <w:rPr>
          <w:color w:val="auto"/>
        </w:rPr>
        <w:t>3</w:t>
      </w:r>
      <w:r>
        <w:rPr>
          <w:color w:val="auto"/>
        </w:rPr>
        <w:fldChar w:fldCharType="end"/>
      </w:r>
      <w:r>
        <w:rPr>
          <w:color w:val="auto"/>
        </w:rPr>
        <w:t>: Thematic coding</w:t>
      </w:r>
      <w:bookmarkEnd w:id="78"/>
    </w:p>
    <w:p w14:paraId="652390C5">
      <w:pPr>
        <w:pStyle w:val="4"/>
      </w:pPr>
      <w:bookmarkStart w:id="79" w:name="_Toc238766713"/>
      <w:r>
        <w:t>Theme 1: The Marginalization of Traditional Metasearch</w:t>
      </w:r>
      <w:bookmarkEnd w:id="79"/>
    </w:p>
    <w:p w14:paraId="2075D087">
      <w:pPr>
        <w:spacing w:after="160" w:line="360" w:lineRule="auto"/>
      </w:pPr>
      <w:r>
        <w:t xml:space="preserve">The theme was created by combining the codes that describe the implications of the interface changes in Google to independent travel platforms. The research conducted by Quirós (2025) and Calzada et al. (2026) revealed that comparison sites such as Skyscanner did not gain advantages of the new layout modules. This finding was coded as SERP_DISPLACEMENT. Further, Oliveira and Lopes (2023) demonstrated that clicks are cannibalized by direct answers in the search results. This produced the code ZERO_CLICK_SEARCH. Kostagiolas et al. (2021) emphasized the dominant position of Google in terms of anticipating search behavior, which resulted in the GATEKEEPER_BIAS code. Moreover, the intermediary functions of metasearch platforms were defined by James and Preecharush (2019), and Nhu (2012) pointed to the rates of the dependence of tourists on internet searches. These results formed codes such as METASEARCH_DEPENDENCE and USER_HABIT_SHIFT. Lastly, this sector is greatly affected by external shocks. Gallego and Font (2020) emphasized the necessity of big data, whereas Triana et al. (2026) emphasized sentiment analysis to assess business. Rocque et al. (2021) demonstrated how volatility in the market was caused by external factors such as climate change. By grouping these codes, Theme 1 was generated.  </w:t>
      </w:r>
    </w:p>
    <w:p w14:paraId="62CD814A">
      <w:pPr>
        <w:pStyle w:val="4"/>
      </w:pPr>
      <w:bookmarkStart w:id="80" w:name="_Toc238766714"/>
      <w:r>
        <w:t>Theme 2: Ecosystem Diversification and Moat-Building</w:t>
      </w:r>
      <w:bookmarkEnd w:id="80"/>
    </w:p>
    <w:p w14:paraId="00E5E135">
      <w:pPr>
        <w:spacing w:after="160" w:line="360" w:lineRule="auto"/>
      </w:pPr>
      <w:r>
        <w:t xml:space="preserve">The theme was based on codes describing defensive strategies of Skyscanner. Trip.com (2026) reported that over 90% of their transactions happen on mobile channels. The discovery resulted in the APP_FIRST_ECOSYSTEM code. Prosviryakova et al. (2024) have discovered that half of the Skyscanner clients are uncertain about their destination, which necessitates centralized recommendation models. This created the AI_CENTRALIZATION code. Mahajan (2026) has talked about revenue diversification using programmatic SEO, which was coded as PROGRAMMATIC_SEO. Furthermore, Marion and Fixson (2021) discovered that digital tools reorganize whole innovations. Gursoy et al. (2022) emphasized virtual experiences in hospitality, and Lin and Huang (2021) demonstrated how learning cultures incorporate employees. The codes generated out of these findings were INNOVATION_RESTRUCTURING and VIRTUAL_EXPERIENCES. Moreover, Wrigg (2025) and Gomez (2025) suggested tailoring the travel experience and redesigning loyalty programs. Lohawala and Wen (2024) talked about the dilemma of sustainable decisions, and Lofqvist et al. (2023) talked about the need to make its projects match local tastes. These findings generated the LOYALTY_REINVENTION and SUSTAINABILITY_PARTNERSHIPS codes. Combining these codes, Theme 2 demonstrates how businesses create alternative ecosystems to survive. </w:t>
      </w:r>
    </w:p>
    <w:p w14:paraId="0DFD6242">
      <w:pPr>
        <w:pStyle w:val="4"/>
      </w:pPr>
      <w:bookmarkStart w:id="81" w:name="_Toc238766715"/>
      <w:r>
        <w:t>Theme 3: Regulatory Friction and Enforcement Gaps</w:t>
      </w:r>
      <w:bookmarkEnd w:id="81"/>
    </w:p>
    <w:p w14:paraId="4CAF33B3">
      <w:pPr>
        <w:spacing w:after="160" w:line="360" w:lineRule="auto"/>
      </w:pPr>
      <w:r>
        <w:t xml:space="preserve">This theme was formulated based on codes concerning the legal and political situation. The European Commission (2025) discovered that there were concerns regarding the favoring of Alphabet services. This generated the ARTICLE_6_5_BREACH code. Boscheck (2024) put forward the argument that the DMA is based on top-down rules and does not include any effect-based assessment, resulting in the EX_ANTE_INFLEXIBILITY code. Akman (2021) discovered that the DMA is intended to supplement competition regulations. This was coded as COMPLEMENTARY_REGULATION. According to Jussila and Oezocak (2025), however, the vagueness of key concepts is a challenge to legal certainty. Ribera Martínez (2023) and Pehlivanli (2025) talked about the principles of fairness and contestability. The results produced these codes: INSTITUTIONAL_CENTRALIZATION as well as FUNCTIONAL-FAIRNESS. Lastly, Sandle (2025) discovered that the activities of the CMA are mostly just performative, resulting in the code of PERFORMATIVE_ENFORCEMENT. Nilsson et al. (2021) emphasized that there is the necessity to build capacity in governance. By merging these codes, Theme 3 was generated to show the ongoing gaps and friction in applying digital regulations.  </w:t>
      </w:r>
    </w:p>
    <w:p w14:paraId="785F486E">
      <w:pPr>
        <w:pStyle w:val="3"/>
      </w:pPr>
      <w:bookmarkStart w:id="82" w:name="_Toc238766716"/>
      <w:r>
        <w:t>4.3 Analysis of the Findings</w:t>
      </w:r>
      <w:bookmarkEnd w:id="82"/>
    </w:p>
    <w:p w14:paraId="7A6AA9C8">
      <w:pPr>
        <w:pStyle w:val="4"/>
      </w:pPr>
      <w:bookmarkStart w:id="83" w:name="_Toc238766717"/>
      <w:r>
        <w:t>4.3.1 Theme 1: The Marginalization of Traditional Metasearch</w:t>
      </w:r>
      <w:bookmarkEnd w:id="83"/>
    </w:p>
    <w:p w14:paraId="69004761">
      <w:pPr>
        <w:spacing w:after="160" w:line="360" w:lineRule="auto"/>
      </w:pPr>
      <w:r>
        <w:t>Table 4 summarizes the sub-themes, definitions, and related literature of the theme 1.</w:t>
      </w:r>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22"/>
        <w:gridCol w:w="4429"/>
        <w:gridCol w:w="2005"/>
      </w:tblGrid>
      <w:tr w14:paraId="07B460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ABF3977">
            <w:pPr>
              <w:spacing w:after="160" w:line="360" w:lineRule="auto"/>
              <w:rPr>
                <w:sz w:val="22"/>
                <w:szCs w:val="22"/>
              </w:rPr>
            </w:pPr>
            <w:r>
              <w:rPr>
                <w:rFonts w:eastAsiaTheme="majorEastAsia"/>
                <w:b/>
                <w:bCs/>
                <w:sz w:val="22"/>
                <w:szCs w:val="22"/>
              </w:rPr>
              <w:t>Sub-Theme</w:t>
            </w:r>
          </w:p>
        </w:tc>
        <w:tc>
          <w:tcPr>
            <w:tcW w:w="0" w:type="auto"/>
          </w:tcPr>
          <w:p w14:paraId="250C7348">
            <w:pPr>
              <w:spacing w:after="160" w:line="360" w:lineRule="auto"/>
              <w:rPr>
                <w:sz w:val="22"/>
                <w:szCs w:val="22"/>
              </w:rPr>
            </w:pPr>
            <w:r>
              <w:rPr>
                <w:rFonts w:eastAsiaTheme="majorEastAsia"/>
                <w:b/>
                <w:bCs/>
                <w:sz w:val="22"/>
                <w:szCs w:val="22"/>
              </w:rPr>
              <w:t>Definition</w:t>
            </w:r>
          </w:p>
        </w:tc>
        <w:tc>
          <w:tcPr>
            <w:tcW w:w="0" w:type="auto"/>
          </w:tcPr>
          <w:p w14:paraId="69AF5DF5">
            <w:pPr>
              <w:spacing w:after="160" w:line="360" w:lineRule="auto"/>
              <w:rPr>
                <w:sz w:val="22"/>
                <w:szCs w:val="22"/>
              </w:rPr>
            </w:pPr>
            <w:r>
              <w:rPr>
                <w:rFonts w:eastAsiaTheme="majorEastAsia"/>
                <w:b/>
                <w:bCs/>
                <w:sz w:val="22"/>
                <w:szCs w:val="22"/>
              </w:rPr>
              <w:t>Sources</w:t>
            </w:r>
          </w:p>
        </w:tc>
      </w:tr>
      <w:tr w14:paraId="274410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DF2D91D">
            <w:pPr>
              <w:spacing w:after="160" w:line="360" w:lineRule="auto"/>
              <w:rPr>
                <w:sz w:val="22"/>
                <w:szCs w:val="22"/>
              </w:rPr>
            </w:pPr>
            <w:r>
              <w:rPr>
                <w:b/>
                <w:bCs/>
                <w:sz w:val="22"/>
                <w:szCs w:val="22"/>
              </w:rPr>
              <w:t>SERP Real Estate Displacement and Zero-Click Information Extraction</w:t>
            </w:r>
          </w:p>
        </w:tc>
        <w:tc>
          <w:tcPr>
            <w:tcW w:w="0" w:type="auto"/>
          </w:tcPr>
          <w:p w14:paraId="5880074C">
            <w:pPr>
              <w:spacing w:after="160" w:line="360" w:lineRule="auto"/>
              <w:rPr>
                <w:sz w:val="22"/>
                <w:szCs w:val="22"/>
              </w:rPr>
            </w:pPr>
            <w:r>
              <w:rPr>
                <w:sz w:val="22"/>
                <w:szCs w:val="22"/>
              </w:rPr>
              <w:t>The visual and algorithmic restructuring of search engine results pages through interactive modules, rich widgets, and AI overviews that satisfy user search intent directly on Google, reducing click-through traffic to external metasearch engines.</w:t>
            </w:r>
          </w:p>
        </w:tc>
        <w:tc>
          <w:tcPr>
            <w:tcW w:w="0" w:type="auto"/>
          </w:tcPr>
          <w:p w14:paraId="42A4DFAD">
            <w:pPr>
              <w:spacing w:after="160" w:line="360" w:lineRule="auto"/>
              <w:rPr>
                <w:sz w:val="22"/>
                <w:szCs w:val="22"/>
              </w:rPr>
            </w:pPr>
            <w:r>
              <w:rPr>
                <w:sz w:val="22"/>
                <w:szCs w:val="22"/>
              </w:rPr>
              <w:t xml:space="preserve">Quirós (2025); Calzada et al. (2026); Oliveira &amp; Lopes (2023) </w:t>
            </w:r>
          </w:p>
          <w:p w14:paraId="4A25CD5C">
            <w:pPr>
              <w:spacing w:after="160" w:line="360" w:lineRule="auto"/>
              <w:rPr>
                <w:sz w:val="22"/>
                <w:szCs w:val="22"/>
              </w:rPr>
            </w:pPr>
          </w:p>
        </w:tc>
      </w:tr>
      <w:tr w14:paraId="2314CB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9311CB3">
            <w:pPr>
              <w:spacing w:after="160" w:line="360" w:lineRule="auto"/>
              <w:rPr>
                <w:sz w:val="22"/>
                <w:szCs w:val="22"/>
              </w:rPr>
            </w:pPr>
            <w:r>
              <w:rPr>
                <w:b/>
                <w:bCs/>
                <w:sz w:val="22"/>
                <w:szCs w:val="22"/>
              </w:rPr>
              <w:t>Gatekeeper Structural Power and Supply-Side Intermediation Pressures</w:t>
            </w:r>
          </w:p>
        </w:tc>
        <w:tc>
          <w:tcPr>
            <w:tcW w:w="0" w:type="auto"/>
          </w:tcPr>
          <w:p w14:paraId="6C2705F9">
            <w:pPr>
              <w:spacing w:after="160" w:line="360" w:lineRule="auto"/>
              <w:rPr>
                <w:sz w:val="22"/>
                <w:szCs w:val="22"/>
              </w:rPr>
            </w:pPr>
            <w:r>
              <w:rPr>
                <w:sz w:val="22"/>
                <w:szCs w:val="22"/>
              </w:rPr>
              <w:t>The leverage of search engine dominance by a primary gateway operating both as core digital infrastructure and a competing vertical provider, disrupting the traditional aggregator business model.</w:t>
            </w:r>
          </w:p>
        </w:tc>
        <w:tc>
          <w:tcPr>
            <w:tcW w:w="0" w:type="auto"/>
          </w:tcPr>
          <w:p w14:paraId="301D008B">
            <w:pPr>
              <w:spacing w:after="160" w:line="360" w:lineRule="auto"/>
              <w:rPr>
                <w:sz w:val="22"/>
                <w:szCs w:val="22"/>
              </w:rPr>
            </w:pPr>
            <w:r>
              <w:rPr>
                <w:sz w:val="22"/>
                <w:szCs w:val="22"/>
              </w:rPr>
              <w:t xml:space="preserve">Kostagiolas et al. (2021); James &amp; Preecharush (2019); Nhu (2012) </w:t>
            </w:r>
          </w:p>
          <w:p w14:paraId="63AA9B4D">
            <w:pPr>
              <w:spacing w:after="160" w:line="360" w:lineRule="auto"/>
              <w:rPr>
                <w:sz w:val="22"/>
                <w:szCs w:val="22"/>
              </w:rPr>
            </w:pPr>
          </w:p>
        </w:tc>
      </w:tr>
      <w:tr w14:paraId="6DC81B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FD9DC2B">
            <w:pPr>
              <w:spacing w:after="160" w:line="360" w:lineRule="auto"/>
              <w:rPr>
                <w:sz w:val="22"/>
                <w:szCs w:val="22"/>
              </w:rPr>
            </w:pPr>
            <w:r>
              <w:rPr>
                <w:b/>
                <w:bCs/>
                <w:sz w:val="22"/>
                <w:szCs w:val="22"/>
              </w:rPr>
              <w:t>Market Demand Volatility and Asymmetric Information Flows</w:t>
            </w:r>
          </w:p>
        </w:tc>
        <w:tc>
          <w:tcPr>
            <w:tcW w:w="0" w:type="auto"/>
          </w:tcPr>
          <w:p w14:paraId="13E03FC8">
            <w:pPr>
              <w:spacing w:after="160" w:line="360" w:lineRule="auto"/>
              <w:rPr>
                <w:sz w:val="22"/>
                <w:szCs w:val="22"/>
              </w:rPr>
            </w:pPr>
            <w:r>
              <w:rPr>
                <w:sz w:val="22"/>
                <w:szCs w:val="22"/>
              </w:rPr>
              <w:t>Fluctuations in traffic distribution caused by external industry shocks and shifts in consumer booking sentiments, which disadvantage travel intermediaries dependent on third-party traffic channels.</w:t>
            </w:r>
          </w:p>
        </w:tc>
        <w:tc>
          <w:tcPr>
            <w:tcW w:w="0" w:type="auto"/>
          </w:tcPr>
          <w:p w14:paraId="1CFB8D56">
            <w:pPr>
              <w:spacing w:after="160" w:line="360" w:lineRule="auto"/>
              <w:rPr>
                <w:sz w:val="22"/>
                <w:szCs w:val="22"/>
              </w:rPr>
            </w:pPr>
            <w:r>
              <w:rPr>
                <w:sz w:val="22"/>
                <w:szCs w:val="22"/>
              </w:rPr>
              <w:t xml:space="preserve">Gallego &amp; Font (2020); Triana et al. (2026); Rocque et al. (2021) </w:t>
            </w:r>
          </w:p>
          <w:p w14:paraId="7969E020">
            <w:pPr>
              <w:keepNext/>
              <w:spacing w:after="160" w:line="360" w:lineRule="auto"/>
              <w:rPr>
                <w:sz w:val="22"/>
                <w:szCs w:val="22"/>
              </w:rPr>
            </w:pPr>
          </w:p>
        </w:tc>
      </w:tr>
    </w:tbl>
    <w:p w14:paraId="30C81279">
      <w:pPr>
        <w:pStyle w:val="14"/>
        <w:jc w:val="center"/>
        <w:rPr>
          <w:b/>
          <w:bCs/>
          <w:color w:val="auto"/>
        </w:rPr>
      </w:pPr>
      <w:bookmarkStart w:id="84" w:name="_Toc238763372"/>
      <w:r>
        <w:rPr>
          <w:color w:val="auto"/>
        </w:rPr>
        <w:t xml:space="preserve">Table </w:t>
      </w:r>
      <w:r>
        <w:rPr>
          <w:color w:val="auto"/>
        </w:rPr>
        <w:fldChar w:fldCharType="begin"/>
      </w:r>
      <w:r>
        <w:rPr>
          <w:color w:val="auto"/>
        </w:rPr>
        <w:instrText xml:space="preserve"> SEQ Table \* ARABIC </w:instrText>
      </w:r>
      <w:r>
        <w:rPr>
          <w:color w:val="auto"/>
        </w:rPr>
        <w:fldChar w:fldCharType="separate"/>
      </w:r>
      <w:r>
        <w:rPr>
          <w:color w:val="auto"/>
        </w:rPr>
        <w:t>4</w:t>
      </w:r>
      <w:r>
        <w:rPr>
          <w:color w:val="auto"/>
        </w:rPr>
        <w:fldChar w:fldCharType="end"/>
      </w:r>
      <w:r>
        <w:rPr>
          <w:color w:val="auto"/>
        </w:rPr>
        <w:t>: Sub-themes for Theme 1 (The Marginalization of Traditional Metasearch)</w:t>
      </w:r>
      <w:bookmarkEnd w:id="84"/>
    </w:p>
    <w:p w14:paraId="0679868D">
      <w:pPr>
        <w:pStyle w:val="5"/>
      </w:pPr>
      <w:r>
        <w:t>Sub-theme 1: SERP Real Estate Displacement and Zero-Click Information Extraction</w:t>
      </w:r>
    </w:p>
    <w:p w14:paraId="7F2B737C">
      <w:r>
        <w:t>Empirical data indicate that the top-of-funnel discovery process in travel aggregators has radically changed due to structural changes in Google Search Engine Results Page (SERP). Previously, the independent metasearch platforms used organic search indexing as a means to lure potential travellers. However, the introduction of proprietary widgets has taken up the main visual space on search screens.</w:t>
      </w:r>
    </w:p>
    <w:p w14:paraId="40FA58F4">
      <w:r>
        <w:t xml:space="preserve">The technological aspect of the PESTEL framework can be used to critically review this change in operations. With a shift in search technology, where simple directory indexing is replaced by generative answer engines, the very value proposition of metasearch discovery is captured within the search engine itself. Oliveira and Lopes (2023) indicate that with archaeological search interfaces, modern SERP features provide direct answers that keep the user on the host platform. The development of this interface makes consumers less motivated to scroll to organic links. Thus, it creates a consumer satisfaction pattern that avoids external websites altogether. </w:t>
      </w:r>
    </w:p>
    <w:p w14:paraId="5F335AAF">
      <w:pPr>
        <w:spacing w:after="160" w:line="360" w:lineRule="auto"/>
      </w:pPr>
      <w:r>
        <w:t xml:space="preserve">Empirical econometric data in the works of Quirós (2025) and Calzada et al. (2026) confirm this technological disruption. Their Difference-in-Differences tests reveal that despite regulatory interventions that required Google Flights to change how it was displayed in Europe, no statistically significant increase in the organic search traffic of large travel comparison websites was found. Rather, the visual presentation is modified to push organic discovery more towards low-cost airline and smaller regional airlines. This redistribution means that the consumer attention flow is determined through the interface design at Google. As a result, conventional metasearch engines experience the los of click-through rate. Although Skyscanner has a strong ranking in the key words, Google place its tools at the top. </w:t>
      </w:r>
    </w:p>
    <w:p w14:paraId="502AE7CE">
      <w:pPr>
        <w:pStyle w:val="5"/>
      </w:pPr>
      <w:r>
        <w:t>Sub-theme 2: Gatekeeper Structural Power and Supply-Side Intermediation Pressures</w:t>
      </w:r>
    </w:p>
    <w:p w14:paraId="190BA9D2">
      <w:r>
        <w:t>The digital gatekeeper role of Google poses structural mediation problems to independent travel platforms. Metasearch aggregators play the role of information bridges in the digital travel value chain. They collect the fares of different suppliers so that the consumers could compare the prices and quality of services. Nonetheless, this business model demands consistent and equal access to search traffic.</w:t>
      </w:r>
    </w:p>
    <w:p w14:paraId="6F7EAAEA">
      <w:r>
        <w:t xml:space="preserve">Kostagiolas et al. (2021) investigate how information visibility in Google functions as a conclusive predictor of user habit development in information business. Their findings reveal that users always use the visual hierarchy, created by the interface of Google, instead of trying other ways of discovery. This dynamic enables Google, when used in the travel industry, to be a distribution gateway and at the same time a direct competitor. James and Preecharush (2019) note that travel metasearch platforms rely solely on their capacity to pool flight options effectively. Nevertheless, the traditional intermediary role is impaired as the search provider incorporates vertical flight comparison tools as parts of search results. </w:t>
      </w:r>
    </w:p>
    <w:p w14:paraId="696FB3BD">
      <w:pPr>
        <w:spacing w:after="160" w:line="360" w:lineRule="auto"/>
      </w:pPr>
      <w:r>
        <w:t xml:space="preserve">Digital consumer habits support this pressure of gatekeeping. According to Nhu (2012), contemporary online travellers are very technologically literate. But their search patterns are speed and convenience oriented. Customers require real-time access to route information and a comparison between prices without having to shop across different sites. Since Google incorporates the flight schedules and the price filters right at the search point, it is able to get high-intent users before they go to the third-party aggregators. By doing so, Skyscanner is more susceptible to being a referral channel in open-webs, where the search gateway takes the consumer interaction in the first stage of the booking process.  </w:t>
      </w:r>
    </w:p>
    <w:p w14:paraId="7D4F46AD">
      <w:pPr>
        <w:pStyle w:val="5"/>
      </w:pPr>
      <w:r>
        <w:t>Sub-theme 3: Market Demand Volatility and Asymmetric Information Flows</w:t>
      </w:r>
    </w:p>
    <w:p w14:paraId="65576610">
      <w:r>
        <w:t xml:space="preserve">Besides the algorithmic displacement, travel search intermediaries are also confronting harsh challenges due to external market volatility and changes in consumer sentiment. The travel industry is extremely susceptible of macroeconomic shocks, health crises and ecological disturbances online. Search engines that monetise the top-of-funnel traffic are able to change their approach more quickly than referral-dependent aggregators, when the demand to travel changes unpredictably. </w:t>
      </w:r>
    </w:p>
    <w:p w14:paraId="64F36088">
      <w:r>
        <w:t xml:space="preserve">Gallego and Font (2020) demonstrate that in the face of market disruption, real-time granularity is needed to monitor passenger searches and booking choices. Their study shows that unforeseen crises cause broad gaps between the original intention of traveling and the ultimate booking decisions. Without a direct customer relationships, the cost of customer acquisition costs more in these volatile environments. Triana et al. (2026) explore the user sentiment in the digital travel applications and discover that the user satisfaction is greatly reliant on the smooth running of the interface, clarity of the prices, and the certainty of the booking. The consumer trust of third-party tools may decrease quickly when search engines change ranking settings or add friction in between. </w:t>
      </w:r>
    </w:p>
    <w:p w14:paraId="67CB30BF">
      <w:pPr>
        <w:spacing w:after="160" w:line="360" w:lineRule="auto"/>
      </w:pPr>
      <w:r>
        <w:t>Moreover, Rocque et al. (2021) note that the global environmental uncertainties and regulatory pressures are shaping the consumer travel trends. Such macro-environmental forces necessitate digital travel sites to be constantly accurate while providing information. Nevertheless, since independent metasearch platforms are based on third-party referral fees, instantaneous disturbances in search engine traffic distribution pose a direct threat to their income.</w:t>
      </w:r>
    </w:p>
    <w:p w14:paraId="791A0C70">
      <w:pPr>
        <w:pStyle w:val="4"/>
      </w:pPr>
      <w:bookmarkStart w:id="85" w:name="_Toc238766718"/>
      <w:r>
        <w:t>4.3.2 Theme 2: Ecosystem Diversification and Moat-Building</w:t>
      </w:r>
      <w:bookmarkEnd w:id="85"/>
    </w:p>
    <w:p w14:paraId="775C2AF5">
      <w:pPr>
        <w:spacing w:after="160" w:line="360" w:lineRule="auto"/>
      </w:pPr>
      <w:r>
        <w:t>Table 5 demonstrates the sub-themes, definitions, and sources that reflect the strategic defense mechanisms of Skyscanner.</w:t>
      </w:r>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91"/>
        <w:gridCol w:w="3817"/>
        <w:gridCol w:w="2448"/>
      </w:tblGrid>
      <w:tr w14:paraId="1B10B7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5E8E607">
            <w:pPr>
              <w:spacing w:after="160" w:line="360" w:lineRule="auto"/>
              <w:rPr>
                <w:sz w:val="22"/>
                <w:szCs w:val="22"/>
              </w:rPr>
            </w:pPr>
            <w:r>
              <w:rPr>
                <w:rFonts w:eastAsiaTheme="majorEastAsia"/>
                <w:b/>
                <w:bCs/>
                <w:sz w:val="22"/>
                <w:szCs w:val="22"/>
              </w:rPr>
              <w:t>Sub-Theme</w:t>
            </w:r>
          </w:p>
        </w:tc>
        <w:tc>
          <w:tcPr>
            <w:tcW w:w="0" w:type="auto"/>
          </w:tcPr>
          <w:p w14:paraId="72CD591B">
            <w:pPr>
              <w:spacing w:after="160" w:line="360" w:lineRule="auto"/>
              <w:rPr>
                <w:sz w:val="22"/>
                <w:szCs w:val="22"/>
              </w:rPr>
            </w:pPr>
            <w:r>
              <w:rPr>
                <w:rFonts w:eastAsiaTheme="majorEastAsia"/>
                <w:b/>
                <w:bCs/>
                <w:sz w:val="22"/>
                <w:szCs w:val="22"/>
              </w:rPr>
              <w:t>Definition</w:t>
            </w:r>
          </w:p>
        </w:tc>
        <w:tc>
          <w:tcPr>
            <w:tcW w:w="0" w:type="auto"/>
          </w:tcPr>
          <w:p w14:paraId="4AE05459">
            <w:pPr>
              <w:spacing w:after="160" w:line="360" w:lineRule="auto"/>
              <w:rPr>
                <w:sz w:val="22"/>
                <w:szCs w:val="22"/>
              </w:rPr>
            </w:pPr>
            <w:r>
              <w:rPr>
                <w:rFonts w:eastAsiaTheme="majorEastAsia"/>
                <w:b/>
                <w:bCs/>
                <w:sz w:val="22"/>
                <w:szCs w:val="22"/>
              </w:rPr>
              <w:t>Sources</w:t>
            </w:r>
          </w:p>
        </w:tc>
      </w:tr>
      <w:tr w14:paraId="537E0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B66C772">
            <w:pPr>
              <w:spacing w:after="160" w:line="360" w:lineRule="auto"/>
              <w:rPr>
                <w:sz w:val="22"/>
                <w:szCs w:val="22"/>
              </w:rPr>
            </w:pPr>
            <w:r>
              <w:rPr>
                <w:b/>
                <w:bCs/>
                <w:sz w:val="22"/>
                <w:szCs w:val="22"/>
              </w:rPr>
              <w:t>App-First Ecosystem Architecture and Direct-to-Consumer Retention</w:t>
            </w:r>
          </w:p>
        </w:tc>
        <w:tc>
          <w:tcPr>
            <w:tcW w:w="0" w:type="auto"/>
          </w:tcPr>
          <w:p w14:paraId="60FE5A2C">
            <w:pPr>
              <w:spacing w:after="160" w:line="360" w:lineRule="auto"/>
              <w:rPr>
                <w:sz w:val="22"/>
                <w:szCs w:val="22"/>
              </w:rPr>
            </w:pPr>
            <w:r>
              <w:rPr>
                <w:sz w:val="22"/>
                <w:szCs w:val="22"/>
              </w:rPr>
              <w:t>The strategic reallocation of capital toward native mobile platforms, push notifications, and closed-loop booking funnels to build direct consumer engagement and bypass web search gatekeepers.</w:t>
            </w:r>
          </w:p>
        </w:tc>
        <w:tc>
          <w:tcPr>
            <w:tcW w:w="0" w:type="auto"/>
          </w:tcPr>
          <w:p w14:paraId="18D62A45">
            <w:pPr>
              <w:spacing w:after="160" w:line="360" w:lineRule="auto"/>
              <w:rPr>
                <w:sz w:val="22"/>
                <w:szCs w:val="22"/>
              </w:rPr>
            </w:pPr>
            <w:r>
              <w:rPr>
                <w:sz w:val="22"/>
                <w:szCs w:val="22"/>
              </w:rPr>
              <w:t xml:space="preserve">Trip.com Group (2026); Mahajan (2026); Prosviryakova et al. (2024) </w:t>
            </w:r>
          </w:p>
          <w:p w14:paraId="6B205C33">
            <w:pPr>
              <w:spacing w:after="160" w:line="360" w:lineRule="auto"/>
              <w:rPr>
                <w:sz w:val="22"/>
                <w:szCs w:val="22"/>
              </w:rPr>
            </w:pPr>
          </w:p>
        </w:tc>
      </w:tr>
      <w:tr w14:paraId="6AF709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4E4B83C">
            <w:pPr>
              <w:spacing w:after="160" w:line="360" w:lineRule="auto"/>
              <w:rPr>
                <w:sz w:val="22"/>
                <w:szCs w:val="22"/>
              </w:rPr>
            </w:pPr>
            <w:r>
              <w:rPr>
                <w:b/>
                <w:bCs/>
                <w:sz w:val="22"/>
                <w:szCs w:val="22"/>
              </w:rPr>
              <w:t>Centralized AI Recommendation Infrastructure and Machine Learning Assets</w:t>
            </w:r>
          </w:p>
        </w:tc>
        <w:tc>
          <w:tcPr>
            <w:tcW w:w="0" w:type="auto"/>
          </w:tcPr>
          <w:p w14:paraId="757CAC90">
            <w:pPr>
              <w:spacing w:after="160" w:line="360" w:lineRule="auto"/>
              <w:rPr>
                <w:sz w:val="22"/>
                <w:szCs w:val="22"/>
              </w:rPr>
            </w:pPr>
            <w:r>
              <w:rPr>
                <w:sz w:val="22"/>
                <w:szCs w:val="22"/>
              </w:rPr>
              <w:t>The development and deployment of unified machine learning models, real-time feature stores, and automated recommendation pipelines that enhance product discovery and deliver dynamic travel planning.</w:t>
            </w:r>
          </w:p>
        </w:tc>
        <w:tc>
          <w:tcPr>
            <w:tcW w:w="0" w:type="auto"/>
          </w:tcPr>
          <w:p w14:paraId="4AF4F730">
            <w:pPr>
              <w:spacing w:after="160" w:line="360" w:lineRule="auto"/>
              <w:rPr>
                <w:sz w:val="22"/>
                <w:szCs w:val="22"/>
              </w:rPr>
            </w:pPr>
            <w:r>
              <w:rPr>
                <w:sz w:val="22"/>
                <w:szCs w:val="22"/>
              </w:rPr>
              <w:t xml:space="preserve">Prosviryakova et al. (2024); Marion &amp; Fixson (2021); Gursoy et al. (2022) </w:t>
            </w:r>
          </w:p>
          <w:p w14:paraId="32BBD56A">
            <w:pPr>
              <w:spacing w:after="160" w:line="360" w:lineRule="auto"/>
              <w:rPr>
                <w:sz w:val="22"/>
                <w:szCs w:val="22"/>
              </w:rPr>
            </w:pPr>
          </w:p>
        </w:tc>
      </w:tr>
      <w:tr w14:paraId="69D204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22E3389">
            <w:pPr>
              <w:spacing w:after="160" w:line="360" w:lineRule="auto"/>
              <w:rPr>
                <w:sz w:val="22"/>
                <w:szCs w:val="22"/>
              </w:rPr>
            </w:pPr>
            <w:r>
              <w:rPr>
                <w:b/>
                <w:bCs/>
                <w:sz w:val="22"/>
                <w:szCs w:val="22"/>
              </w:rPr>
              <w:t>Value Chain Repositioning, Loyalty Engineering, and B2B Diversification</w:t>
            </w:r>
          </w:p>
        </w:tc>
        <w:tc>
          <w:tcPr>
            <w:tcW w:w="0" w:type="auto"/>
          </w:tcPr>
          <w:p w14:paraId="617BDC05">
            <w:pPr>
              <w:spacing w:after="160" w:line="360" w:lineRule="auto"/>
              <w:rPr>
                <w:sz w:val="22"/>
                <w:szCs w:val="22"/>
              </w:rPr>
            </w:pPr>
            <w:r>
              <w:rPr>
                <w:sz w:val="22"/>
                <w:szCs w:val="22"/>
              </w:rPr>
              <w:t>The expansion of high-margin B2B data licensing, restructured loyalty programs, and cross-sector sustainability initiatives to insulate the business from consumer referral volatility.</w:t>
            </w:r>
          </w:p>
        </w:tc>
        <w:tc>
          <w:tcPr>
            <w:tcW w:w="0" w:type="auto"/>
          </w:tcPr>
          <w:p w14:paraId="67B49012">
            <w:pPr>
              <w:spacing w:after="160" w:line="360" w:lineRule="auto"/>
              <w:rPr>
                <w:sz w:val="22"/>
                <w:szCs w:val="22"/>
              </w:rPr>
            </w:pPr>
            <w:r>
              <w:rPr>
                <w:sz w:val="22"/>
                <w:szCs w:val="22"/>
              </w:rPr>
              <w:t xml:space="preserve">Wrigg (2025); Gomez (2025); Lohawala &amp; Wen (2024); Löfqvist et al. (2023); Lin &amp; Huang (2021) </w:t>
            </w:r>
          </w:p>
          <w:p w14:paraId="1507DDBB">
            <w:pPr>
              <w:keepNext/>
              <w:spacing w:after="160" w:line="360" w:lineRule="auto"/>
              <w:rPr>
                <w:sz w:val="22"/>
                <w:szCs w:val="22"/>
              </w:rPr>
            </w:pPr>
          </w:p>
        </w:tc>
      </w:tr>
    </w:tbl>
    <w:p w14:paraId="3906A411">
      <w:pPr>
        <w:pStyle w:val="14"/>
        <w:jc w:val="center"/>
        <w:rPr>
          <w:b/>
          <w:bCs/>
          <w:color w:val="auto"/>
        </w:rPr>
      </w:pPr>
      <w:bookmarkStart w:id="86" w:name="_Toc238763373"/>
      <w:r>
        <w:rPr>
          <w:color w:val="auto"/>
        </w:rPr>
        <w:t xml:space="preserve">Table </w:t>
      </w:r>
      <w:r>
        <w:rPr>
          <w:color w:val="auto"/>
        </w:rPr>
        <w:fldChar w:fldCharType="begin"/>
      </w:r>
      <w:r>
        <w:rPr>
          <w:color w:val="auto"/>
        </w:rPr>
        <w:instrText xml:space="preserve"> SEQ Table \* ARABIC </w:instrText>
      </w:r>
      <w:r>
        <w:rPr>
          <w:color w:val="auto"/>
        </w:rPr>
        <w:fldChar w:fldCharType="separate"/>
      </w:r>
      <w:r>
        <w:rPr>
          <w:color w:val="auto"/>
        </w:rPr>
        <w:t>5</w:t>
      </w:r>
      <w:r>
        <w:rPr>
          <w:color w:val="auto"/>
        </w:rPr>
        <w:fldChar w:fldCharType="end"/>
      </w:r>
      <w:r>
        <w:rPr>
          <w:color w:val="auto"/>
        </w:rPr>
        <w:t>: Sub-themes for Theme 2 (Ecosystem Diversification and Moat-Building)</w:t>
      </w:r>
      <w:bookmarkEnd w:id="86"/>
    </w:p>
    <w:p w14:paraId="4ED0F525">
      <w:pPr>
        <w:pStyle w:val="5"/>
      </w:pPr>
      <w:r>
        <w:t>Sub-theme 1: App-First Ecosystem Architecture and Direct-to-Consumer Retention</w:t>
      </w:r>
    </w:p>
    <w:p w14:paraId="41596588">
      <w:r>
        <w:t>Skyscanner and its parent company, Trip.com Group, have made a significant strategic move to mobile channels to protect against displacement by search engines. The main goal of this strategy is to shift the user acquisition funnel out of the Google search browser experience and a native application ecosystem owned by the company.</w:t>
      </w:r>
    </w:p>
    <w:p w14:paraId="1D98EB20">
      <w:r>
        <w:t xml:space="preserve">This strategic shift is very much in line with the market penetration strategy of the Ansoff Growth Matrix. Promoting the installation of apps and making the current travelers use them on a regular basis, Skyscanner aims to gain market share among current customer groups without incurring the recurrent costs of search acquisition. According to Trip.com Group (2026), more than 90 percent of its total transaction orders are made via mobile channels. This large volume of mobile transactions show that it is possible to move the habits of users to closed-loop mobile applications. </w:t>
      </w:r>
    </w:p>
    <w:p w14:paraId="0E80E080">
      <w:pPr>
        <w:spacing w:after="160" w:line="360" w:lineRule="auto"/>
      </w:pPr>
      <w:r>
        <w:t xml:space="preserve">As Mahajan (2026) notes, Skyscanner complements this mobile transition with the high-tech programmatic search engine optimization (SEO). The platform generates millions of route-specific landing pages that are automated. This is meant to intercept the complex and long-tail search queries. Nevertheless, the main defense in the long-term is direct adoption of applications. By downloading the native mobile app, Skyscanner gains an unmediated channel of communication via push notifications and price alerts. Such direct-to-consumer relationship removes the possibility of interception of the search engines. It lowers the customer acquisition expenses and creates long lasting brand equity that is not reliant on rank algorithms of search engines. </w:t>
      </w:r>
    </w:p>
    <w:p w14:paraId="013158FC">
      <w:pPr>
        <w:pStyle w:val="5"/>
      </w:pPr>
      <w:r>
        <w:t>Sub-theme 2: Centralized AI Recommendation Infrastructure and Machine Learning Assets</w:t>
      </w:r>
    </w:p>
    <w:p w14:paraId="5D2F5DCA">
      <w:r>
        <w:t>One of the key pillars of the defensive strategy of Skyscanner is that it has invested in its own artificial intelligence and machine learning infrastructure. Instead of being a fixed price comparison site, Skyscanner has turned its online platform into a smart recommendation product.</w:t>
      </w:r>
    </w:p>
    <w:p w14:paraId="7D2DE898">
      <w:r>
        <w:t xml:space="preserve">The Resource-Based View (RBV) can be severely analyzed in this technological change. The RBV principles suggest that sustainable competitive advantage is a result of valuable, rare, inimitable and organizationally embedded resources. The main machine learning pipeline of Skyscanner is an example of such a strategic asset. According to Prosviryakova et al. (2024), Skyscanner has transitioned its architecture in which frontend recommendation scripts were isolated to a centralized Destination Recommendations Service linked to a single search engine. Their empirical statistics show that half of the Skyscanner users do not have a destination in mind when they go to the site. Thus they are very sensitive to algorithmic suggestions. After the implementation of this centralized architecture, Skyscanner was able to recommend 960 million monthly requests with 110 million users worldwide.  </w:t>
      </w:r>
    </w:p>
    <w:p w14:paraId="65410F32">
      <w:pPr>
        <w:spacing w:after="160" w:line="360" w:lineRule="auto"/>
      </w:pPr>
      <w:r>
        <w:t xml:space="preserve">Marion and Fixson (2021) examine the greater effect of the digital tools on the development of new products, indicating that the modern technology demands organisations to reorganize their internal processes of innovation. Centralizing its recommendation models has allowed Skyscanner to reduce redundant engineering work, as well as speed up its experimentation process. As digital consumer demands shift, Gursoy et al. (2022) note that platforms need to deliver dynamic, tailored experiences to sustain user interest. Skyscanner can do this through real-time contextual intent capturing feature stores which match travelers with personalised itineraries. This technical advantage is not easily imitated by a generic search engine. As a result, this can increase the retention rate of customers. </w:t>
      </w:r>
    </w:p>
    <w:p w14:paraId="0BF0D44C">
      <w:pPr>
        <w:pStyle w:val="5"/>
      </w:pPr>
      <w:r>
        <w:t>Sub-theme 3: Value Chain Repositioning, Loyalty Engineering, and B2B Diversification</w:t>
      </w:r>
    </w:p>
    <w:p w14:paraId="310D2700">
      <w:r>
        <w:t xml:space="preserve">In addition to upgrades in technology, Skyscanner has diversified its model of revenue to reduce the risks of consumer flight referral. The old metasearch models are dependent on airlines and online travel agencies commissions based on cost-per-Click. Nevertheless, disintermediation of suppliers and the unpredictable nature of referral rates required the platform to spread its revenues. </w:t>
      </w:r>
    </w:p>
    <w:p w14:paraId="609DF819">
      <w:r>
        <w:t xml:space="preserve">This product diversification is an indication of the product development quadrant of the Ansoff Matrix. Skyscanner has come up with new digital products, including B2B data analytics packages and direct booking integrations, to provide value to business partners. According to Wrigg (2025) and Gomez (2025), players in the airline industry need to optimise their business models by personalising customer journeys and re-inventing loyalty programs to stay financially resilient. Skyscanner reflects these approaches of airlines by incorporating in platform checkout systems that enable users to make bookings within the application itself. This guarantees an increased transaction margin. </w:t>
      </w:r>
    </w:p>
    <w:p w14:paraId="2743D3C4">
      <w:pPr>
        <w:spacing w:after="160" w:line="360" w:lineRule="auto"/>
      </w:pPr>
      <w:r>
        <w:t xml:space="preserve">Additionally, Skyscanner has also ventured into industry data licensing and sustainability benchmarking. Lohawala and Wen (2024) report on the increasing significance of standardized emissions modeling in flight discovery, including efforts such as the Travalyst coalition. Skyscanner is a founding member there. Skyscanner builds trust as an industry authority by creating open aviation sustainability models. As observed by Lofqvist et al. (2023) governance efforts are effective when they resonate with the societal interests and priorities of the broader stakeholder groups. Moreover, Lin and Huang (2021) show that organizations that possess strong learning cultures attain improved structural adaptation and employee performance in strategic changes. Skyscanner utilises these in-house strengths to establish B2B data relationships with airports and tourism boards so that its revenue-generating ability is not exclusively reliant on the consumer search traffic on Google. </w:t>
      </w:r>
    </w:p>
    <w:p w14:paraId="701FC344">
      <w:pPr>
        <w:pStyle w:val="4"/>
      </w:pPr>
      <w:bookmarkStart w:id="87" w:name="_Toc238766719"/>
      <w:r>
        <w:t>4.3.3 Theme 3: Regulatory Friction and Enforcement Gaps</w:t>
      </w:r>
      <w:bookmarkEnd w:id="87"/>
    </w:p>
    <w:p w14:paraId="0D930955">
      <w:pPr>
        <w:spacing w:after="160" w:line="360" w:lineRule="auto"/>
      </w:pPr>
      <w:r>
        <w:t>Table 6 provides information on the sub-themes, definitions, and scholarly sources that study digital competition rules and antitrust policing.</w:t>
      </w:r>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00"/>
        <w:gridCol w:w="3780"/>
        <w:gridCol w:w="2476"/>
      </w:tblGrid>
      <w:tr w14:paraId="1314B7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CD9BEA5">
            <w:pPr>
              <w:spacing w:after="160" w:line="360" w:lineRule="auto"/>
              <w:rPr>
                <w:sz w:val="22"/>
                <w:szCs w:val="22"/>
              </w:rPr>
            </w:pPr>
            <w:r>
              <w:rPr>
                <w:rFonts w:eastAsiaTheme="majorEastAsia"/>
                <w:b/>
                <w:bCs/>
                <w:sz w:val="22"/>
                <w:szCs w:val="22"/>
              </w:rPr>
              <w:t>Sub-Theme</w:t>
            </w:r>
          </w:p>
        </w:tc>
        <w:tc>
          <w:tcPr>
            <w:tcW w:w="0" w:type="auto"/>
          </w:tcPr>
          <w:p w14:paraId="2873A5B2">
            <w:pPr>
              <w:spacing w:after="160" w:line="360" w:lineRule="auto"/>
              <w:rPr>
                <w:sz w:val="22"/>
                <w:szCs w:val="22"/>
              </w:rPr>
            </w:pPr>
            <w:r>
              <w:rPr>
                <w:rFonts w:eastAsiaTheme="majorEastAsia"/>
                <w:b/>
                <w:bCs/>
                <w:sz w:val="22"/>
                <w:szCs w:val="22"/>
              </w:rPr>
              <w:t>Definition</w:t>
            </w:r>
          </w:p>
        </w:tc>
        <w:tc>
          <w:tcPr>
            <w:tcW w:w="0" w:type="auto"/>
          </w:tcPr>
          <w:p w14:paraId="77A86AC3">
            <w:pPr>
              <w:spacing w:after="160" w:line="360" w:lineRule="auto"/>
              <w:rPr>
                <w:sz w:val="22"/>
                <w:szCs w:val="22"/>
              </w:rPr>
            </w:pPr>
            <w:r>
              <w:rPr>
                <w:rFonts w:eastAsiaTheme="majorEastAsia"/>
                <w:b/>
                <w:bCs/>
                <w:sz w:val="22"/>
                <w:szCs w:val="22"/>
              </w:rPr>
              <w:t>Sources</w:t>
            </w:r>
          </w:p>
        </w:tc>
      </w:tr>
      <w:tr w14:paraId="629CE9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CD14CC0">
            <w:pPr>
              <w:spacing w:after="160" w:line="360" w:lineRule="auto"/>
              <w:rPr>
                <w:sz w:val="22"/>
                <w:szCs w:val="22"/>
              </w:rPr>
            </w:pPr>
            <w:r>
              <w:rPr>
                <w:b/>
                <w:bCs/>
                <w:sz w:val="22"/>
                <w:szCs w:val="22"/>
              </w:rPr>
              <w:t>Ex-Ante Structural Inflexibility versus Algorithmic Self-Preferencing Loopholes</w:t>
            </w:r>
          </w:p>
        </w:tc>
        <w:tc>
          <w:tcPr>
            <w:tcW w:w="0" w:type="auto"/>
          </w:tcPr>
          <w:p w14:paraId="247A16A7">
            <w:pPr>
              <w:spacing w:after="160" w:line="360" w:lineRule="auto"/>
              <w:rPr>
                <w:sz w:val="22"/>
                <w:szCs w:val="22"/>
              </w:rPr>
            </w:pPr>
            <w:r>
              <w:rPr>
                <w:sz w:val="22"/>
                <w:szCs w:val="22"/>
              </w:rPr>
              <w:t>The practical friction between rigid, rule-based ex-ante regulations (such as the EU DMA) and gatekeeper compliance designs that maintain competitive search advantages without triggering formal violations.</w:t>
            </w:r>
          </w:p>
        </w:tc>
        <w:tc>
          <w:tcPr>
            <w:tcW w:w="0" w:type="auto"/>
          </w:tcPr>
          <w:p w14:paraId="7AC3C148">
            <w:pPr>
              <w:spacing w:after="160" w:line="360" w:lineRule="auto"/>
              <w:rPr>
                <w:sz w:val="22"/>
                <w:szCs w:val="22"/>
              </w:rPr>
            </w:pPr>
            <w:r>
              <w:rPr>
                <w:sz w:val="22"/>
                <w:szCs w:val="22"/>
              </w:rPr>
              <w:t xml:space="preserve">European Commission (2025); Boscheck (2024); Akman (2021) </w:t>
            </w:r>
          </w:p>
          <w:p w14:paraId="42DAE556">
            <w:pPr>
              <w:spacing w:after="160" w:line="360" w:lineRule="auto"/>
              <w:rPr>
                <w:sz w:val="22"/>
                <w:szCs w:val="22"/>
              </w:rPr>
            </w:pPr>
          </w:p>
        </w:tc>
      </w:tr>
      <w:tr w14:paraId="16CA1C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8B9F510">
            <w:pPr>
              <w:spacing w:after="160" w:line="360" w:lineRule="auto"/>
              <w:rPr>
                <w:sz w:val="22"/>
                <w:szCs w:val="22"/>
              </w:rPr>
            </w:pPr>
            <w:r>
              <w:rPr>
                <w:b/>
                <w:bCs/>
                <w:sz w:val="22"/>
                <w:szCs w:val="22"/>
              </w:rPr>
              <w:t>Institutional Centralization, Performative Remedies, and National Regulatory Divergence</w:t>
            </w:r>
          </w:p>
        </w:tc>
        <w:tc>
          <w:tcPr>
            <w:tcW w:w="0" w:type="auto"/>
          </w:tcPr>
          <w:p w14:paraId="50FB2AEC">
            <w:pPr>
              <w:spacing w:after="160" w:line="360" w:lineRule="auto"/>
              <w:rPr>
                <w:sz w:val="22"/>
                <w:szCs w:val="22"/>
              </w:rPr>
            </w:pPr>
            <w:r>
              <w:rPr>
                <w:sz w:val="22"/>
                <w:szCs w:val="22"/>
              </w:rPr>
              <w:t>The operational challenges and political constraints within antitrust bodies that lead to delayed or superficial enforcement, leaving digital market contestability largely unrealized.</w:t>
            </w:r>
          </w:p>
        </w:tc>
        <w:tc>
          <w:tcPr>
            <w:tcW w:w="0" w:type="auto"/>
          </w:tcPr>
          <w:p w14:paraId="4EAA7DD8">
            <w:pPr>
              <w:spacing w:after="160" w:line="360" w:lineRule="auto"/>
              <w:rPr>
                <w:sz w:val="22"/>
                <w:szCs w:val="22"/>
              </w:rPr>
            </w:pPr>
            <w:r>
              <w:rPr>
                <w:sz w:val="22"/>
                <w:szCs w:val="22"/>
              </w:rPr>
              <w:t xml:space="preserve">Jussila &amp; Oezocak (2025); Sandle (2025); Pehlivanli (2025); Ribera Martínez (2023); Nilsson et al. (2021) </w:t>
            </w:r>
          </w:p>
          <w:p w14:paraId="7DAAA6B3">
            <w:pPr>
              <w:keepNext/>
              <w:spacing w:after="160" w:line="360" w:lineRule="auto"/>
              <w:rPr>
                <w:sz w:val="22"/>
                <w:szCs w:val="22"/>
              </w:rPr>
            </w:pPr>
          </w:p>
        </w:tc>
      </w:tr>
    </w:tbl>
    <w:p w14:paraId="62A34F2D">
      <w:pPr>
        <w:pStyle w:val="14"/>
        <w:jc w:val="center"/>
        <w:rPr>
          <w:b/>
          <w:bCs/>
          <w:color w:val="auto"/>
        </w:rPr>
      </w:pPr>
      <w:bookmarkStart w:id="88" w:name="_Toc238763374"/>
      <w:r>
        <w:rPr>
          <w:color w:val="auto"/>
        </w:rPr>
        <w:t xml:space="preserve">Table </w:t>
      </w:r>
      <w:r>
        <w:rPr>
          <w:color w:val="auto"/>
        </w:rPr>
        <w:fldChar w:fldCharType="begin"/>
      </w:r>
      <w:r>
        <w:rPr>
          <w:color w:val="auto"/>
        </w:rPr>
        <w:instrText xml:space="preserve"> SEQ Table \* ARABIC </w:instrText>
      </w:r>
      <w:r>
        <w:rPr>
          <w:color w:val="auto"/>
        </w:rPr>
        <w:fldChar w:fldCharType="separate"/>
      </w:r>
      <w:r>
        <w:rPr>
          <w:color w:val="auto"/>
        </w:rPr>
        <w:t>6</w:t>
      </w:r>
      <w:r>
        <w:rPr>
          <w:color w:val="auto"/>
        </w:rPr>
        <w:fldChar w:fldCharType="end"/>
      </w:r>
      <w:r>
        <w:rPr>
          <w:color w:val="auto"/>
        </w:rPr>
        <w:t>: Sub-themes for Theme 3 (Regulatory Friction and Enforcement Gaps)</w:t>
      </w:r>
      <w:bookmarkEnd w:id="88"/>
    </w:p>
    <w:p w14:paraId="2E21687C">
      <w:pPr>
        <w:pStyle w:val="5"/>
      </w:pPr>
      <w:r>
        <w:t>Sub-theme 1: Ex-Ante Structural Inflexibility versus Algorithmic Self-Preferencing Loopholes</w:t>
      </w:r>
    </w:p>
    <w:p w14:paraId="52B22F8B">
      <w:r>
        <w:t>One of the biggest initiatives of policymakers to overcome the power of gatekeepers is the establishment of ex-ante digital market regulations. The Digital Markets Act (DMA) of the European Union presents certain requirements under Article 6(5) which forbids gatekeepers such as Alphabet to provide any special treatment to their own tools.</w:t>
      </w:r>
    </w:p>
    <w:p w14:paraId="18D6C0D0">
      <w:r>
        <w:t xml:space="preserve">This regulatory relationship can be measured in terms of the political and legal aspects of the PESTEL framework. Although one of the objectives of ex-ante rules is to deter anti-competitive behavior, the qualitative evidence shows that there exist severe conflicts between legal observance and fairness in the market. In 2025, the European Commission (2025) officially launched non-compliance action against Alphabet as a result of ongoing concerns of self-preferencing within its search construction. Nevertheless, as Boscheck (2024) critically points out, the DMA is based on top-down per-se rules that determine gatekeepers based on their size and do not consider effects-based economic analyses. This fixed regulatory structure provides gatekeepers with space to implement compliance strategies that are satisfactory under formal legal rules, but do not re-establish the actual market contestability. </w:t>
      </w:r>
    </w:p>
    <w:p w14:paraId="01AFB2D3">
      <w:pPr>
        <w:spacing w:after="160" w:line="360" w:lineRule="auto"/>
      </w:pPr>
      <w:r>
        <w:t xml:space="preserve"> Akman (2021) critically examines this regulatory framework, observing that despite the intention of the DMA to supplement the already existing competition law, the general prohibitions are unable to consider business models specific to platforms. Google also adhered to the DMA in the air travel industry by eliminating the integrated Google Flights box in Europe and adding individual carousels called Airline Options and Flight Sites. Nonetheless, empirical evidence shows that the redesign mainly repackaged traffic to send it to airline websites instead of returning the traffic to independent metasearch engines such as Skyscanner. The ex-ante therefore has failed to offset the structural search advantage of Google.</w:t>
      </w:r>
    </w:p>
    <w:p w14:paraId="4C6BF22A">
      <w:pPr>
        <w:pStyle w:val="5"/>
      </w:pPr>
      <w:r>
        <w:t>Sub-theme 2: Institutional Centralization, Performative Remedies, and National Regulatory Divergence</w:t>
      </w:r>
    </w:p>
    <w:p w14:paraId="643600DC">
      <w:pPr>
        <w:spacing w:after="160" w:line="360" w:lineRule="auto"/>
      </w:pPr>
      <w:r>
        <w:t>Institutionalistic bottlenecks and political influences also limit the efficacy of antitrust enforcement of digital markets. Conventional competition law in Article 102 TFEU has been too slow to respond to fast-paced digital ecosystems, but centralised enforcement of the DMA presents new institutional issues.</w:t>
      </w:r>
    </w:p>
    <w:p w14:paraId="06CBF355">
      <w:r>
        <w:t xml:space="preserve">Jussila and Oezocak (2025) emphasize that although the DMA establishes a lean enforcement framework, centralized power in the hands of European Commission restricts the ability of national competition authorities to monitor locally. Additionally, the most important statutory terms like fairness and contestability are not clearly outlined in the law. Therefore, they pose a point of uncertainty in the implementation process. According to Ribera Martinez (2023) and Pehlivanli (2025), fairness must be applied as an analytical tool of competition law instead of a conceptualized one. In the absence of quantifiable standards of compliance, regulatory interventions may turn into a mere procedural game that does not change the power structure of markets. </w:t>
      </w:r>
    </w:p>
    <w:p w14:paraId="5942BD93">
      <w:pPr>
        <w:spacing w:after="160" w:line="360" w:lineRule="auto"/>
      </w:pPr>
      <w:r>
        <w:t xml:space="preserve">The lack of this enforcement is observed in the antitrust environment in the United Kingdom. Sandle (2025) reports that the change in political priorities with a focus on economic development has dulled regulatory efforts of the UK Competition and Markets Authority (CMA). Legal scholars refer to current regulatory initiatives on Google Search as being performative in that the government does not have the political goodwill to impose structural remedies. Moreover, Nilsson et al. (2021) underline the importance of the comprehensive governance capacity and policy directionality to transform the complex, incumbent-dominated industries. Without a multi-level enforcement mechanism, digital gatekeepers have adequate operational flexibility to sustain their fundamental market benefits. This means that Skyscanner cannot trust antitrust laws to guarantee its survival, and this fact supports the need of internal diversification initiatives. </w:t>
      </w:r>
    </w:p>
    <w:p w14:paraId="706F84FE">
      <w:pPr>
        <w:pStyle w:val="3"/>
      </w:pPr>
      <w:bookmarkStart w:id="89" w:name="_Toc238766720"/>
      <w:r>
        <w:t>4.4 Discussion of Results</w:t>
      </w:r>
      <w:bookmarkEnd w:id="89"/>
    </w:p>
    <w:p w14:paraId="014E0741">
      <w:pPr>
        <w:spacing w:after="160" w:line="360" w:lineRule="auto"/>
      </w:pPr>
      <w:r>
        <w:t>In this section, the findings of the study are discussed concerning the research objectives and questions that were set. It also incorporates the theoretical frameworks and the reviewed literature in Chapter 2 to make a critical analysis of the position of Skyscanner in the market.</w:t>
      </w:r>
    </w:p>
    <w:p w14:paraId="2978E935">
      <w:pPr>
        <w:pStyle w:val="4"/>
      </w:pPr>
      <w:bookmarkStart w:id="90" w:name="_Toc238766721"/>
      <w:r>
        <w:t>4.4.1 Objective 1: The Marginalization of Traditional Metasearch</w:t>
      </w:r>
      <w:bookmarkEnd w:id="90"/>
    </w:p>
    <w:p w14:paraId="1E97709F">
      <w:pPr>
        <w:spacing w:after="160" w:line="360" w:lineRule="auto"/>
      </w:pPr>
      <w:r>
        <w:t xml:space="preserve">The initial research question was aimed at testing how the changes in search layout by Google affect the web traffic of Skyscanner. The results affirm that the structural changes in the search engine result page have significantly marginalized the traditional metasearch platforms. Quirós (2025) and Calzada et al. (2026) present the unambiguous fact that major websites like Skyscanner did not gain because of the elimination of the Google Flights module in the European Economic Area. Rather, the organic traffic was directed towards direct airline websites. Furthermore, as Oliveira and Lopes (2023) clarify, the contemporary search interfaces offer direct responses in form of interactive widgets. This user interface fulfils the intent of the user instantly, which means the consumer feels good to abandon the search page without clicking other search links. This proves that the gatekeeping power of Google directly cannibalizes organic click-through rates. Thus, the first research question was addressed by showing that the visibility and traffic of independent travel aggregators decrease systematically with alterations in search layout. </w:t>
      </w:r>
    </w:p>
    <w:p w14:paraId="32C844FD">
      <w:pPr>
        <w:pStyle w:val="4"/>
      </w:pPr>
      <w:bookmarkStart w:id="91" w:name="_Toc238766722"/>
      <w:r>
        <w:t>4.4.2 Objective 2: Ecosystem Diversification and Moat-Building</w:t>
      </w:r>
      <w:bookmarkEnd w:id="91"/>
    </w:p>
    <w:p w14:paraId="480B691A">
      <w:pPr>
        <w:spacing w:after="160" w:line="360" w:lineRule="auto"/>
      </w:pPr>
      <w:r>
        <w:t xml:space="preserve">The second research question was to determine the strategic measures that Skyscanner is undertaking to lessen its reliance on Google. The empirical results show a conscious change in operation towards non-reliance on open-web search. According to Trip.com Group (2026), more than 90 percent of its total transaction orders are currently processed using mobile mediums. This signals a colossal shift towards an app-first ecosystem. Moreover, as Prosviryakova et al. (2024) observe, Skyscanner employs centralized artificial intelligence frameworks to make customized suggestions to indecisive travellers. These internal reorganizations affirm that Skyscanner endures by engaging users directly and providing dynamic and data-driven travel inspiration. As a result, the second research question is addressed by determining the app-first migration, programmatic search engine optimization, and artificial intelligence centralization as the main defence mechanisms in Skyscanner.  </w:t>
      </w:r>
    </w:p>
    <w:p w14:paraId="78CBDBB4">
      <w:pPr>
        <w:pStyle w:val="4"/>
      </w:pPr>
      <w:bookmarkStart w:id="92" w:name="_Toc238766723"/>
      <w:r>
        <w:t>4.4.3 Objective 3: Regulatory Friction and Enforcement Gaps</w:t>
      </w:r>
      <w:bookmarkEnd w:id="92"/>
    </w:p>
    <w:p w14:paraId="3FB87509">
      <w:pPr>
        <w:spacing w:after="160" w:line="360" w:lineRule="auto"/>
      </w:pPr>
      <w:r>
        <w:t xml:space="preserve">The third research question was the measurement of the success of regulatory frameworks, including the Digital Markets Act, to restore fair competition. The results show that there is a big discrepancy between the intent of the law and market reality. The reports of European Commission (2025) indicate that there are still concerns about the issue of algorithmic self-preferencing. Nonetheless, Boscheck (2024) believes that the Digital Markets Act is based on inflexible, top-down regulations without adequate, effect-based evaluations of the economy. Moreover, Jussila and Oezocak (2025) emphasize that ambiguous legal terms present critical enforcement doubts. Sandle (2025) also shows that in many cases, national regulatory measures are muted by political forces, leading to performative interventions. Thus, the third research question is resolved by concluding that the intervention of the government does not succeed in breaking the structural advantages of Google at the moment. Therefore, the independent platforms have to depend on their strategic resilience instead of regulatory bailout.  </w:t>
      </w:r>
    </w:p>
    <w:p w14:paraId="226EC2CC">
      <w:pPr>
        <w:pStyle w:val="4"/>
      </w:pPr>
      <w:bookmarkStart w:id="93" w:name="_Toc238766724"/>
      <w:r>
        <w:t>4.4.4 Synthesis with Theoretical Frameworks</w:t>
      </w:r>
      <w:bookmarkEnd w:id="93"/>
    </w:p>
    <w:p w14:paraId="0E33CE80">
      <w:pPr>
        <w:spacing w:after="160" w:line="360" w:lineRule="auto"/>
      </w:pPr>
      <w:r>
        <w:t>The empirical evidence can be critically analysed in terms of existing strategic management theories and macro-environmental models.</w:t>
      </w:r>
    </w:p>
    <w:p w14:paraId="7485B56D">
      <w:pPr>
        <w:pStyle w:val="5"/>
      </w:pPr>
      <w:r>
        <w:t>4.4.4.1 The Ansoff Growth Matrix</w:t>
      </w:r>
    </w:p>
    <w:p w14:paraId="488E07E4">
      <w:pPr>
        <w:spacing w:after="160" w:line="360" w:lineRule="auto"/>
      </w:pPr>
      <w:r>
        <w:t xml:space="preserve">The strategic initiatives of Skyscanner fit directly onto the Ansoff Growth Matrix. Market penetration is the selling of the existing product to the existing markets in order to gain more market share. Skyscanner implements this approach by encouraging its current clientele to install its own mobile app. The company direct traffic by keeping the users in a closed-loop mobile environment, which eliminates the need to acquire users through search engines again and again. Product development refers to the development of new features to the existing market segments. Skyscanner implements this approach through the use of advanced artificial intelligence architecture and by being a member of the Travalyst sustainability coalition. Such innovations complement the fundamental fare comparison and provide consumers with unique incentives to use Skyscanner, instead of generic search results.  </w:t>
      </w:r>
    </w:p>
    <w:p w14:paraId="0BD181E2">
      <w:pPr>
        <w:pStyle w:val="5"/>
      </w:pPr>
      <w:r>
        <w:t>4.4.4.2 The Resource-Based View (RBV)</w:t>
      </w:r>
    </w:p>
    <w:p w14:paraId="7F707C96">
      <w:pPr>
        <w:spacing w:after="160" w:line="360" w:lineRule="auto"/>
      </w:pPr>
      <w:r>
        <w:t>Resource-Based View holds that sustainable competitive advantage comes from internal resources that are valuable, unique, imitable, and structured to produce value. The table 7 demonstrates the alignment of proprietary assets of Skyscanner with this theoretical framework.</w:t>
      </w:r>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62"/>
        <w:gridCol w:w="2419"/>
        <w:gridCol w:w="5075"/>
      </w:tblGrid>
      <w:tr w14:paraId="29DFDD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9687D42">
            <w:pPr>
              <w:spacing w:after="160" w:line="360" w:lineRule="auto"/>
              <w:rPr>
                <w:sz w:val="22"/>
                <w:szCs w:val="22"/>
              </w:rPr>
            </w:pPr>
            <w:r>
              <w:rPr>
                <w:rFonts w:eastAsiaTheme="majorEastAsia"/>
                <w:b/>
                <w:bCs/>
                <w:sz w:val="22"/>
                <w:szCs w:val="22"/>
              </w:rPr>
              <w:t>RBV Dimension</w:t>
            </w:r>
          </w:p>
        </w:tc>
        <w:tc>
          <w:tcPr>
            <w:tcW w:w="0" w:type="auto"/>
          </w:tcPr>
          <w:p w14:paraId="5899FCB4">
            <w:pPr>
              <w:spacing w:after="160" w:line="360" w:lineRule="auto"/>
              <w:rPr>
                <w:sz w:val="22"/>
                <w:szCs w:val="22"/>
              </w:rPr>
            </w:pPr>
            <w:r>
              <w:rPr>
                <w:rFonts w:eastAsiaTheme="majorEastAsia"/>
                <w:b/>
                <w:bCs/>
                <w:sz w:val="22"/>
                <w:szCs w:val="22"/>
              </w:rPr>
              <w:t>Skyscanner's Strategic Resource</w:t>
            </w:r>
          </w:p>
        </w:tc>
        <w:tc>
          <w:tcPr>
            <w:tcW w:w="0" w:type="auto"/>
          </w:tcPr>
          <w:p w14:paraId="26807A48">
            <w:pPr>
              <w:spacing w:after="160" w:line="360" w:lineRule="auto"/>
              <w:rPr>
                <w:sz w:val="22"/>
                <w:szCs w:val="22"/>
              </w:rPr>
            </w:pPr>
            <w:r>
              <w:rPr>
                <w:rFonts w:eastAsiaTheme="majorEastAsia"/>
                <w:b/>
                <w:bCs/>
                <w:sz w:val="22"/>
                <w:szCs w:val="22"/>
              </w:rPr>
              <w:t>Competitive Function against Google</w:t>
            </w:r>
          </w:p>
        </w:tc>
      </w:tr>
      <w:tr w14:paraId="1571CB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C3E33BB">
            <w:pPr>
              <w:spacing w:after="160" w:line="360" w:lineRule="auto"/>
              <w:rPr>
                <w:sz w:val="22"/>
                <w:szCs w:val="22"/>
              </w:rPr>
            </w:pPr>
            <w:r>
              <w:rPr>
                <w:b/>
                <w:bCs/>
                <w:sz w:val="22"/>
                <w:szCs w:val="22"/>
              </w:rPr>
              <w:t>Valuable</w:t>
            </w:r>
          </w:p>
        </w:tc>
        <w:tc>
          <w:tcPr>
            <w:tcW w:w="0" w:type="auto"/>
          </w:tcPr>
          <w:p w14:paraId="495348F3">
            <w:pPr>
              <w:spacing w:after="160" w:line="360" w:lineRule="auto"/>
              <w:rPr>
                <w:sz w:val="22"/>
                <w:szCs w:val="22"/>
              </w:rPr>
            </w:pPr>
            <w:r>
              <w:rPr>
                <w:sz w:val="22"/>
                <w:szCs w:val="22"/>
              </w:rPr>
              <w:t xml:space="preserve">Centralised AI Recommendation Engine </w:t>
            </w:r>
          </w:p>
        </w:tc>
        <w:tc>
          <w:tcPr>
            <w:tcW w:w="0" w:type="auto"/>
          </w:tcPr>
          <w:p w14:paraId="1B227F13">
            <w:pPr>
              <w:spacing w:after="160" w:line="360" w:lineRule="auto"/>
              <w:rPr>
                <w:sz w:val="22"/>
                <w:szCs w:val="22"/>
              </w:rPr>
            </w:pPr>
            <w:r>
              <w:rPr>
                <w:sz w:val="22"/>
                <w:szCs w:val="22"/>
              </w:rPr>
              <w:t xml:space="preserve">Delivers content to hundreds of millions of monthly requests, pairing undecided travelers with high-conversion destinations according to contextual intent. </w:t>
            </w:r>
          </w:p>
        </w:tc>
      </w:tr>
      <w:tr w14:paraId="6B1434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9A63CC4">
            <w:pPr>
              <w:spacing w:after="160" w:line="360" w:lineRule="auto"/>
              <w:rPr>
                <w:sz w:val="22"/>
                <w:szCs w:val="22"/>
              </w:rPr>
            </w:pPr>
            <w:r>
              <w:rPr>
                <w:b/>
                <w:bCs/>
                <w:sz w:val="22"/>
                <w:szCs w:val="22"/>
              </w:rPr>
              <w:t>Rare</w:t>
            </w:r>
          </w:p>
        </w:tc>
        <w:tc>
          <w:tcPr>
            <w:tcW w:w="0" w:type="auto"/>
          </w:tcPr>
          <w:p w14:paraId="09760B7D">
            <w:pPr>
              <w:spacing w:after="160" w:line="360" w:lineRule="auto"/>
              <w:rPr>
                <w:sz w:val="22"/>
                <w:szCs w:val="22"/>
              </w:rPr>
            </w:pPr>
            <w:r>
              <w:rPr>
                <w:sz w:val="22"/>
                <w:szCs w:val="22"/>
              </w:rPr>
              <w:t xml:space="preserve">Global Multi-Vertical Pricing Database </w:t>
            </w:r>
          </w:p>
        </w:tc>
        <w:tc>
          <w:tcPr>
            <w:tcW w:w="0" w:type="auto"/>
          </w:tcPr>
          <w:p w14:paraId="10A37D8D">
            <w:pPr>
              <w:spacing w:after="160" w:line="360" w:lineRule="auto"/>
              <w:rPr>
                <w:sz w:val="22"/>
                <w:szCs w:val="22"/>
              </w:rPr>
            </w:pPr>
            <w:r>
              <w:rPr>
                <w:sz w:val="22"/>
                <w:szCs w:val="22"/>
              </w:rPr>
              <w:t xml:space="preserve">Aggregates real-time, aggregate inventory on flights, hotels, and car rentals of hundreds of airline partners around the world at once. </w:t>
            </w:r>
          </w:p>
        </w:tc>
      </w:tr>
      <w:tr w14:paraId="14AEE2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11FDE42">
            <w:pPr>
              <w:spacing w:after="160" w:line="360" w:lineRule="auto"/>
              <w:rPr>
                <w:sz w:val="22"/>
                <w:szCs w:val="22"/>
              </w:rPr>
            </w:pPr>
            <w:r>
              <w:rPr>
                <w:b/>
                <w:bCs/>
                <w:sz w:val="22"/>
                <w:szCs w:val="22"/>
              </w:rPr>
              <w:t>Inimitable</w:t>
            </w:r>
          </w:p>
        </w:tc>
        <w:tc>
          <w:tcPr>
            <w:tcW w:w="0" w:type="auto"/>
          </w:tcPr>
          <w:p w14:paraId="3E9E3390">
            <w:pPr>
              <w:spacing w:after="160" w:line="360" w:lineRule="auto"/>
              <w:rPr>
                <w:sz w:val="22"/>
                <w:szCs w:val="22"/>
              </w:rPr>
            </w:pPr>
            <w:r>
              <w:rPr>
                <w:sz w:val="22"/>
                <w:szCs w:val="22"/>
              </w:rPr>
              <w:t xml:space="preserve">Proprietary Machine Learning Architectures </w:t>
            </w:r>
          </w:p>
        </w:tc>
        <w:tc>
          <w:tcPr>
            <w:tcW w:w="0" w:type="auto"/>
          </w:tcPr>
          <w:p w14:paraId="562CEDE2">
            <w:pPr>
              <w:spacing w:after="160" w:line="360" w:lineRule="auto"/>
              <w:rPr>
                <w:sz w:val="22"/>
                <w:szCs w:val="22"/>
              </w:rPr>
            </w:pPr>
            <w:r>
              <w:rPr>
                <w:sz w:val="22"/>
                <w:szCs w:val="22"/>
              </w:rPr>
              <w:t xml:space="preserve">Takes advantage of high algorithmic complexity and extensive historical booking data that can not be easily copied or reverse obtained by generic search engines. </w:t>
            </w:r>
          </w:p>
        </w:tc>
      </w:tr>
      <w:tr w14:paraId="37E6EB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4418051">
            <w:pPr>
              <w:spacing w:after="160" w:line="360" w:lineRule="auto"/>
              <w:rPr>
                <w:sz w:val="22"/>
                <w:szCs w:val="22"/>
              </w:rPr>
            </w:pPr>
            <w:r>
              <w:rPr>
                <w:b/>
                <w:bCs/>
                <w:sz w:val="22"/>
                <w:szCs w:val="22"/>
              </w:rPr>
              <w:t>Organised</w:t>
            </w:r>
          </w:p>
        </w:tc>
        <w:tc>
          <w:tcPr>
            <w:tcW w:w="0" w:type="auto"/>
          </w:tcPr>
          <w:p w14:paraId="2FE462F7">
            <w:pPr>
              <w:spacing w:after="160" w:line="360" w:lineRule="auto"/>
              <w:rPr>
                <w:sz w:val="22"/>
                <w:szCs w:val="22"/>
              </w:rPr>
            </w:pPr>
            <w:r>
              <w:rPr>
                <w:sz w:val="22"/>
                <w:szCs w:val="22"/>
              </w:rPr>
              <w:t xml:space="preserve">Agile Learning Culture &amp; B2B Licensing </w:t>
            </w:r>
          </w:p>
        </w:tc>
        <w:tc>
          <w:tcPr>
            <w:tcW w:w="0" w:type="auto"/>
          </w:tcPr>
          <w:p w14:paraId="67B578C4">
            <w:pPr>
              <w:spacing w:after="160" w:line="360" w:lineRule="auto"/>
              <w:rPr>
                <w:sz w:val="22"/>
                <w:szCs w:val="22"/>
              </w:rPr>
            </w:pPr>
            <w:r>
              <w:rPr>
                <w:sz w:val="22"/>
                <w:szCs w:val="22"/>
              </w:rPr>
              <w:t xml:space="preserve">Transforms technical knowledge into the high-margin income streams, including data packages to tourism authorities, via ongoing organizational change. </w:t>
            </w:r>
          </w:p>
        </w:tc>
      </w:tr>
    </w:tbl>
    <w:p w14:paraId="30EAD6C2">
      <w:pPr>
        <w:pStyle w:val="14"/>
        <w:jc w:val="center"/>
        <w:rPr>
          <w:color w:val="auto"/>
        </w:rPr>
      </w:pPr>
      <w:bookmarkStart w:id="94" w:name="_Toc238763375"/>
      <w:r>
        <w:rPr>
          <w:color w:val="auto"/>
        </w:rPr>
        <w:t xml:space="preserve">Table </w:t>
      </w:r>
      <w:r>
        <w:rPr>
          <w:color w:val="auto"/>
        </w:rPr>
        <w:fldChar w:fldCharType="begin"/>
      </w:r>
      <w:r>
        <w:rPr>
          <w:color w:val="auto"/>
        </w:rPr>
        <w:instrText xml:space="preserve"> SEQ Table \* ARABIC </w:instrText>
      </w:r>
      <w:r>
        <w:rPr>
          <w:color w:val="auto"/>
        </w:rPr>
        <w:fldChar w:fldCharType="separate"/>
      </w:r>
      <w:r>
        <w:rPr>
          <w:color w:val="auto"/>
        </w:rPr>
        <w:t>7</w:t>
      </w:r>
      <w:r>
        <w:rPr>
          <w:color w:val="auto"/>
        </w:rPr>
        <w:fldChar w:fldCharType="end"/>
      </w:r>
      <w:r>
        <w:rPr>
          <w:color w:val="auto"/>
        </w:rPr>
        <w:t>: Resource-Based View (RBV) Analysis of Skyscanner's Assets</w:t>
      </w:r>
      <w:bookmarkEnd w:id="94"/>
    </w:p>
    <w:p w14:paraId="3C3DA4B2">
      <w:pPr>
        <w:spacing w:after="160" w:line="360" w:lineRule="auto"/>
      </w:pPr>
      <w:r>
        <w:t xml:space="preserve">According to Marion and Fixson (2021), digital tools make organizations reorganize the internal innovation workflow. These deep-domain assets are difficult to copy by generic search engines. Thus, the core technological center at Skyscanner is a defensive strategy. Lin and Huang (2021) confirm this by pointing out that a good internal learning culture is efficient at integrating employees in times of continuous change.  </w:t>
      </w:r>
    </w:p>
    <w:p w14:paraId="23E420CD">
      <w:pPr>
        <w:pStyle w:val="5"/>
      </w:pPr>
      <w:r>
        <w:t>4.4.4.3 PESTEL Macro-Environmental Pressures</w:t>
      </w:r>
    </w:p>
    <w:p w14:paraId="01CB0DAD">
      <w:pPr>
        <w:spacing w:after="160" w:line="360" w:lineRule="auto"/>
      </w:pPr>
      <w:r>
        <w:t>These strategic changes can be assessed systematically through the PESTEL framework due to the macroeconomic forces triggering them. The table 8 extracts the essential technological, political, and legal aspects that influence digital travel search industry.</w:t>
      </w:r>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64"/>
        <w:gridCol w:w="3911"/>
        <w:gridCol w:w="3381"/>
      </w:tblGrid>
      <w:tr w14:paraId="24ADA6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5D857F9">
            <w:pPr>
              <w:spacing w:after="160" w:line="360" w:lineRule="auto"/>
              <w:rPr>
                <w:sz w:val="22"/>
                <w:szCs w:val="22"/>
              </w:rPr>
            </w:pPr>
            <w:r>
              <w:rPr>
                <w:rFonts w:eastAsiaTheme="majorEastAsia"/>
                <w:b/>
                <w:bCs/>
                <w:sz w:val="22"/>
                <w:szCs w:val="22"/>
              </w:rPr>
              <w:t>PESTEL Factor</w:t>
            </w:r>
          </w:p>
        </w:tc>
        <w:tc>
          <w:tcPr>
            <w:tcW w:w="0" w:type="auto"/>
          </w:tcPr>
          <w:p w14:paraId="37B3D928">
            <w:pPr>
              <w:spacing w:after="160" w:line="360" w:lineRule="auto"/>
              <w:rPr>
                <w:sz w:val="22"/>
                <w:szCs w:val="22"/>
              </w:rPr>
            </w:pPr>
            <w:r>
              <w:rPr>
                <w:rFonts w:eastAsiaTheme="majorEastAsia"/>
                <w:b/>
                <w:bCs/>
                <w:sz w:val="22"/>
                <w:szCs w:val="22"/>
              </w:rPr>
              <w:t>Market Pressure Description</w:t>
            </w:r>
          </w:p>
        </w:tc>
        <w:tc>
          <w:tcPr>
            <w:tcW w:w="0" w:type="auto"/>
          </w:tcPr>
          <w:p w14:paraId="099E9B04">
            <w:pPr>
              <w:spacing w:after="160" w:line="360" w:lineRule="auto"/>
              <w:rPr>
                <w:sz w:val="22"/>
                <w:szCs w:val="22"/>
              </w:rPr>
            </w:pPr>
            <w:r>
              <w:rPr>
                <w:rFonts w:eastAsiaTheme="majorEastAsia"/>
                <w:b/>
                <w:bCs/>
                <w:sz w:val="22"/>
                <w:szCs w:val="22"/>
              </w:rPr>
              <w:t>Strategic Implication for Skyscanner</w:t>
            </w:r>
          </w:p>
        </w:tc>
      </w:tr>
      <w:tr w14:paraId="784831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4E77841">
            <w:pPr>
              <w:spacing w:after="160" w:line="360" w:lineRule="auto"/>
              <w:rPr>
                <w:sz w:val="22"/>
                <w:szCs w:val="22"/>
              </w:rPr>
            </w:pPr>
            <w:r>
              <w:rPr>
                <w:b/>
                <w:bCs/>
                <w:sz w:val="22"/>
                <w:szCs w:val="22"/>
              </w:rPr>
              <w:t>Technological</w:t>
            </w:r>
          </w:p>
        </w:tc>
        <w:tc>
          <w:tcPr>
            <w:tcW w:w="0" w:type="auto"/>
          </w:tcPr>
          <w:p w14:paraId="2EFD14C7">
            <w:pPr>
              <w:spacing w:after="160" w:line="360" w:lineRule="auto"/>
              <w:rPr>
                <w:sz w:val="22"/>
                <w:szCs w:val="22"/>
              </w:rPr>
            </w:pPr>
            <w:r>
              <w:rPr>
                <w:sz w:val="22"/>
                <w:szCs w:val="22"/>
              </w:rPr>
              <w:t xml:space="preserve">Search engines are moving from link indexing to answer engines powered by AI. Zero-click functionality fulfills the query of the user on the search results page.  </w:t>
            </w:r>
          </w:p>
        </w:tc>
        <w:tc>
          <w:tcPr>
            <w:tcW w:w="0" w:type="auto"/>
          </w:tcPr>
          <w:p w14:paraId="3E12F4DA">
            <w:pPr>
              <w:spacing w:after="160" w:line="360" w:lineRule="auto"/>
              <w:rPr>
                <w:sz w:val="22"/>
                <w:szCs w:val="22"/>
              </w:rPr>
            </w:pPr>
            <w:r>
              <w:rPr>
                <w:sz w:val="22"/>
                <w:szCs w:val="22"/>
              </w:rPr>
              <w:t xml:space="preserve">Conventional organic click-through traffic is cannibalized, compelling the platform to shift to native app ecosystems and person-to-person interaction.  </w:t>
            </w:r>
          </w:p>
        </w:tc>
      </w:tr>
      <w:tr w14:paraId="6783B3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4AE40AF">
            <w:pPr>
              <w:spacing w:after="160" w:line="360" w:lineRule="auto"/>
              <w:rPr>
                <w:sz w:val="22"/>
                <w:szCs w:val="22"/>
              </w:rPr>
            </w:pPr>
            <w:r>
              <w:rPr>
                <w:b/>
                <w:bCs/>
                <w:sz w:val="22"/>
                <w:szCs w:val="22"/>
              </w:rPr>
              <w:t>Political &amp; Legal</w:t>
            </w:r>
          </w:p>
        </w:tc>
        <w:tc>
          <w:tcPr>
            <w:tcW w:w="0" w:type="auto"/>
          </w:tcPr>
          <w:p w14:paraId="2BF4390A">
            <w:pPr>
              <w:spacing w:after="160" w:line="360" w:lineRule="auto"/>
              <w:rPr>
                <w:sz w:val="22"/>
                <w:szCs w:val="22"/>
              </w:rPr>
            </w:pPr>
            <w:r>
              <w:rPr>
                <w:sz w:val="22"/>
                <w:szCs w:val="22"/>
              </w:rPr>
              <w:t xml:space="preserve">The Digital Markets Act involves ex-ante regulatory interventions by the European Union to avert self-preferencing. Nevertheless, formalistic compliance adjustments by gatekeepers bypass actual market fairness.  </w:t>
            </w:r>
          </w:p>
        </w:tc>
        <w:tc>
          <w:tcPr>
            <w:tcW w:w="0" w:type="auto"/>
          </w:tcPr>
          <w:p w14:paraId="533D08B4">
            <w:pPr>
              <w:spacing w:after="160" w:line="360" w:lineRule="auto"/>
              <w:rPr>
                <w:sz w:val="22"/>
                <w:szCs w:val="22"/>
              </w:rPr>
            </w:pPr>
            <w:r>
              <w:rPr>
                <w:sz w:val="22"/>
                <w:szCs w:val="22"/>
              </w:rPr>
              <w:t xml:space="preserve">Current regulatory solutions are performative and slow. Autonomous travel platforms cannot count on antitrust intervention and have to look to in-house strategic strength. </w:t>
            </w:r>
          </w:p>
        </w:tc>
      </w:tr>
    </w:tbl>
    <w:p w14:paraId="428D654C">
      <w:pPr>
        <w:pStyle w:val="14"/>
        <w:jc w:val="center"/>
        <w:rPr>
          <w:color w:val="auto"/>
        </w:rPr>
      </w:pPr>
      <w:bookmarkStart w:id="95" w:name="_Toc238763376"/>
      <w:r>
        <w:rPr>
          <w:color w:val="auto"/>
        </w:rPr>
        <w:t xml:space="preserve">Table </w:t>
      </w:r>
      <w:r>
        <w:rPr>
          <w:color w:val="auto"/>
        </w:rPr>
        <w:fldChar w:fldCharType="begin"/>
      </w:r>
      <w:r>
        <w:rPr>
          <w:color w:val="auto"/>
        </w:rPr>
        <w:instrText xml:space="preserve"> SEQ Table \* ARABIC </w:instrText>
      </w:r>
      <w:r>
        <w:rPr>
          <w:color w:val="auto"/>
        </w:rPr>
        <w:fldChar w:fldCharType="separate"/>
      </w:r>
      <w:r>
        <w:rPr>
          <w:color w:val="auto"/>
        </w:rPr>
        <w:t>8</w:t>
      </w:r>
      <w:r>
        <w:rPr>
          <w:color w:val="auto"/>
        </w:rPr>
        <w:fldChar w:fldCharType="end"/>
      </w:r>
      <w:r>
        <w:rPr>
          <w:color w:val="auto"/>
        </w:rPr>
        <w:t>: PESTEL Macro-Environmental Pressures Analysis</w:t>
      </w:r>
      <w:bookmarkEnd w:id="95"/>
    </w:p>
    <w:p w14:paraId="4573EC5A">
      <w:pPr>
        <w:spacing w:after="160" w:line="360" w:lineRule="auto"/>
      </w:pPr>
      <w:r>
        <w:t xml:space="preserve">The synthesis of these empirical results with the literature analyzed in Chapter 2 critically synthesizes the dynamics of digital platforms. Information Foraging Theory proposes that users reduce the effort they put into search. This theory is well supported by empirical data, since customers believe in straight forward responses given by Google interactive modules. It reduces their cognitive burden. On the other hand, the empirical results are the complete opposite of Platform Ecosystem Theory. Although the literature indicated that ecosystems promote mutual growth, the data indicate that there are extreme levels of structural imbalances where Google is a direct competitor, instead of being a neutral infrastructure provider. </w:t>
      </w:r>
    </w:p>
    <w:p w14:paraId="0B3F0713">
      <w:pPr>
        <w:pStyle w:val="3"/>
      </w:pPr>
      <w:bookmarkStart w:id="96" w:name="_Toc238766725"/>
      <w:r>
        <w:t>4.5 Summary</w:t>
      </w:r>
      <w:bookmarkEnd w:id="96"/>
    </w:p>
    <w:p w14:paraId="0BFF173B">
      <w:pPr>
        <w:spacing w:after="160" w:line="360" w:lineRule="auto"/>
      </w:pPr>
      <w:r>
        <w:t>This chapter has given the empirical results, an in-depth thematic analysis and analytical discussion of the study. Using the thematic analysis framework created by Braun and Clarke, the secondary data was assigned codes that were broken down into three general themes of SERP displacement, ecosystem diversification, and regulatory friction. The analysis revealed that although external regulatory frameworks provide minimal protection now, Skyscanner has already achieved its goals by implementing artificial intelligence, mobile applications, and resource-based competitive advantages to guarantee its independent survival.</w:t>
      </w:r>
    </w:p>
    <w:p w14:paraId="07C2D34B"/>
    <w:p w14:paraId="5830983F">
      <w:pPr>
        <w:spacing w:after="160" w:line="278" w:lineRule="auto"/>
        <w:jc w:val="left"/>
      </w:pPr>
      <w:r>
        <w:br w:type="page"/>
      </w:r>
    </w:p>
    <w:p w14:paraId="5B4D84F9">
      <w:pPr>
        <w:pStyle w:val="2"/>
        <w:rPr>
          <w:rFonts w:cs="Times New Roman"/>
        </w:rPr>
      </w:pPr>
      <w:bookmarkStart w:id="97" w:name="_Toc238766726"/>
      <w:bookmarkStart w:id="98" w:name="_Toc238398618"/>
      <w:r>
        <w:rPr>
          <w:rFonts w:cs="Times New Roman"/>
        </w:rPr>
        <w:t>Chapter 5: Conclusion and Recommendations</w:t>
      </w:r>
      <w:bookmarkEnd w:id="97"/>
      <w:r>
        <w:rPr>
          <w:rFonts w:cs="Times New Roman"/>
        </w:rPr>
        <w:t xml:space="preserve"> </w:t>
      </w:r>
    </w:p>
    <w:p w14:paraId="47F3275D">
      <w:pPr>
        <w:pStyle w:val="3"/>
        <w:rPr>
          <w:rFonts w:cs="Times New Roman"/>
        </w:rPr>
      </w:pPr>
      <w:bookmarkStart w:id="99" w:name="_Toc238766727"/>
      <w:r>
        <w:rPr>
          <w:rFonts w:cs="Times New Roman"/>
        </w:rPr>
        <w:t>5.1 Summary of Main Findings</w:t>
      </w:r>
      <w:bookmarkEnd w:id="99"/>
      <w:r>
        <w:rPr>
          <w:rFonts w:cs="Times New Roman"/>
        </w:rPr>
        <w:t xml:space="preserve"> </w:t>
      </w:r>
    </w:p>
    <w:p w14:paraId="70DC7997">
      <w:r>
        <w:t xml:space="preserve">The study aims to analyse how Skyscanner survive when Google control the travel search market. The travel tech industry experiences numerous challenges in managing diverse customers and generating higher sales. Skyscanner found that the reduction in customer engagement was responsible for Google's changing layout of Google, for which it identified the necessity of developing plans to overcome massive challenges in future. The data were collected from regulatory filings and submissions, EU Digital Markets Act documentation and industry report in qualitative method. Through thematic analysis, the researcher was able to present the information in a more structured way to achieve the objectives. Through content analysis of SERP visibility shifts, thematic coding of strategic pivots and policy evaluation and comparative critique, the researcher was able to accomplish all of the objectives. </w:t>
      </w:r>
    </w:p>
    <w:p w14:paraId="2400CFFF">
      <w:r>
        <w:t>The first objective found that, with the changing search layout of Google, Skyscanner experienced numerous challenges in customer acquisition.  Zero-click search, Google flight prominence, SERP displacement and AI-generated search features affect the relationship between search visibility and website traffic (</w:t>
      </w:r>
      <w:r>
        <w:rPr>
          <w:shd w:val="clear" w:color="auto" w:fill="FFFFFF"/>
        </w:rPr>
        <w:t>Kostagiolas et al., 2021)</w:t>
      </w:r>
      <w:r>
        <w:t xml:space="preserve">. For the specialised search opportunity, Google obtained higher customer engagement as users got various services on the same platform. Skyscanner found a reduction in web traffic and customer engagement due to changes in Google's layout of Google which also reduced its competitive power. So, the changing layouts directly impacted the web traffic of Skyscanner. </w:t>
      </w:r>
    </w:p>
    <w:p w14:paraId="0CF786EB">
      <w:r>
        <w:t>The second objective found that Skyscanner focused on reducing its dependence on Google by implementing various strategic plans. Mobile app development, building relationships with customers, adopting AI-based technology, adopting diverse channels for customer acquisition and loyalty programs were the strategies of Skyscanner to enhance brand visibility and credibility. Mobile app development was one of the most effective strategies to reach a massive number of customers at the earliest time, to share information faster and more effectively to build relationships (</w:t>
      </w:r>
      <w:r>
        <w:rPr>
          <w:shd w:val="clear" w:color="auto" w:fill="FFFFFF"/>
        </w:rPr>
        <w:t>Löfqvist et al., 2023)</w:t>
      </w:r>
      <w:r>
        <w:t xml:space="preserve">. It was also a very effective way to offer personalised services to customers to attain their trust and acceptance, to enhance its capability to attain a satisfactory number of customer engagements and reduce its dependence on Google. </w:t>
      </w:r>
    </w:p>
    <w:p w14:paraId="6746D150">
      <w:r>
        <w:t xml:space="preserve">The third objective established that existing regulatory systems have a high degree of enforcement shortcomings. The Digital Markets Act (DMA) by the European Union presents strict ex-ante regulations. But formalistic compliance adjustments often avoid the actual fairness of the market by gatekeepers. Moreover, the regulatory interventions of the countries tend to be performative and faded by political influences. Therefore, the efforts of the government today cannot break the structural benefits of Google. Skyscanner can not fully rely on external regulatory authorities. Rather, it has to make sure that they survive by their own strategic strength and diversification of internal resources. </w:t>
      </w:r>
    </w:p>
    <w:p w14:paraId="5639EBA2">
      <w:pPr>
        <w:pStyle w:val="3"/>
        <w:rPr>
          <w:rFonts w:cs="Times New Roman"/>
        </w:rPr>
      </w:pPr>
      <w:bookmarkStart w:id="100" w:name="_Toc238766728"/>
      <w:r>
        <w:rPr>
          <w:rFonts w:cs="Times New Roman"/>
        </w:rPr>
        <w:t>5.2 Conclusion Based on the Research Questions</w:t>
      </w:r>
      <w:bookmarkEnd w:id="100"/>
      <w:r>
        <w:rPr>
          <w:rFonts w:cs="Times New Roman"/>
        </w:rPr>
        <w:t xml:space="preserve"> </w:t>
      </w:r>
    </w:p>
    <w:p w14:paraId="14C08BC7">
      <w:r>
        <w:t>The first question was “How have Google’s search layout changes affected Skyscanner’s web traffic”, which has been answered through the findings. The findings indicated that for the changes of layout Google obtained more website traffic. The zero-click search strategy was effective for enhancing the credibility of Google search web (</w:t>
      </w:r>
      <w:r>
        <w:rPr>
          <w:shd w:val="clear" w:color="auto" w:fill="FFFFFF"/>
        </w:rPr>
        <w:t>Ribera Martínez, 2023)</w:t>
      </w:r>
      <w:r>
        <w:t xml:space="preserve">. But the changes in organic ranking after changing the layout introduced various challenges for Skyscanner, for which reason it failed to attain more web traffic to generate higher sales. </w:t>
      </w:r>
    </w:p>
    <w:p w14:paraId="7109D985">
      <w:r>
        <w:t>The second question was “what strategic initiatives is Skyscanner deploying for reducing its dependence on Google”, which was also answered in the study. The researcher analysed the findings of different trusted databases and found that an app-first ecosystem, expanding price alerts, strengthening direct customer relationships, and personalised services were very effective strategies that enabled Skyscanner to reduce dependence on Google. Besides, AI-based services and B2B partnerships were also very effective for increasing customer retention and reducing dependence on Google (</w:t>
      </w:r>
      <w:r>
        <w:rPr>
          <w:shd w:val="clear" w:color="auto" w:fill="FFFFFF"/>
        </w:rPr>
        <w:t>Van den Boom, 2023)</w:t>
      </w:r>
      <w:r>
        <w:t xml:space="preserve">. </w:t>
      </w:r>
    </w:p>
    <w:p w14:paraId="43D11762">
      <w:r>
        <w:t xml:space="preserve">The third question was “how effective are regulatory frameworks such as the DMA in restoring fair competition”, which was also possible to answer with a realistic example. The results indicate that existing regulatory systems cannot help to restore fair competition. Although the DMA is designed to avoid self-preferencing, ex-ante rules are too strict to enable dominant platforms to retain their structural advantages. Moreover, the centralisation of institutions and political pressures usually lead to performative enforcement. </w:t>
      </w:r>
    </w:p>
    <w:p w14:paraId="07117F52">
      <w:pPr>
        <w:pStyle w:val="3"/>
        <w:rPr>
          <w:rFonts w:cs="Times New Roman"/>
        </w:rPr>
      </w:pPr>
      <w:bookmarkStart w:id="101" w:name="_Toc238766729"/>
      <w:r>
        <w:rPr>
          <w:rFonts w:cs="Times New Roman"/>
        </w:rPr>
        <w:t>5.3 Recommendations</w:t>
      </w:r>
      <w:bookmarkEnd w:id="101"/>
      <w:r>
        <w:rPr>
          <w:rFonts w:cs="Times New Roman"/>
        </w:rPr>
        <w:t xml:space="preserve"> </w:t>
      </w:r>
    </w:p>
    <w:p w14:paraId="454E1B9F">
      <w:pPr>
        <w:pStyle w:val="4"/>
        <w:rPr>
          <w:rFonts w:cs="Times New Roman"/>
        </w:rPr>
      </w:pPr>
      <w:bookmarkStart w:id="102" w:name="_Toc238766730"/>
      <w:r>
        <w:rPr>
          <w:rFonts w:cs="Times New Roman"/>
        </w:rPr>
        <w:t>5.3.1 Practical Recommendations</w:t>
      </w:r>
      <w:bookmarkEnd w:id="102"/>
      <w:r>
        <w:rPr>
          <w:rFonts w:cs="Times New Roman"/>
        </w:rPr>
        <w:t xml:space="preserve"> </w:t>
      </w:r>
    </w:p>
    <w:p w14:paraId="2742DB68">
      <w:r>
        <w:t>Based on the findings, the researcher provided some specific recommendations for Skyscanner to reduce its dependence on Google and increase customer engagement, which are provided below.</w:t>
      </w:r>
    </w:p>
    <w:p w14:paraId="3B4D1CDA">
      <w:pPr>
        <w:pStyle w:val="44"/>
        <w:numPr>
          <w:ilvl w:val="0"/>
          <w:numId w:val="4"/>
        </w:numPr>
      </w:pPr>
      <w:r>
        <w:t>Skyscanner can strengthen the app ecosystem to increase customer acquisition and retention. By investing more in mobile development, it can gain more attention from the target group for managing the customers more effectively to generate higher sales and revenues (</w:t>
      </w:r>
      <w:r>
        <w:rPr>
          <w:shd w:val="clear" w:color="auto" w:fill="FFFFFF"/>
        </w:rPr>
        <w:t>Schor et al., 2020)</w:t>
      </w:r>
      <w:r>
        <w:t xml:space="preserve">. </w:t>
      </w:r>
    </w:p>
    <w:p w14:paraId="03997760">
      <w:pPr>
        <w:pStyle w:val="44"/>
        <w:numPr>
          <w:ilvl w:val="0"/>
          <w:numId w:val="4"/>
        </w:numPr>
      </w:pPr>
      <w:r>
        <w:t>It can reduce dependence on Google by using diverse channels for customer acquisition instead of relying on any single channel or platform. It is necessary to avoid the challenge of reduced customer engagement due to any issue, especially during the period of changing the layout of the Google search platform (</w:t>
      </w:r>
      <w:r>
        <w:rPr>
          <w:shd w:val="clear" w:color="auto" w:fill="FFFFFF"/>
        </w:rPr>
        <w:t>Schor et al., 2020)</w:t>
      </w:r>
      <w:r>
        <w:t xml:space="preserve">. </w:t>
      </w:r>
    </w:p>
    <w:p w14:paraId="0C83C191">
      <w:pPr>
        <w:pStyle w:val="44"/>
        <w:numPr>
          <w:ilvl w:val="0"/>
          <w:numId w:val="4"/>
        </w:numPr>
      </w:pPr>
      <w:r>
        <w:t>Skyscanner should emphasise increasing direct-to-consumer retention to grow continuously and generate higher sales and revenues. After interacting with the customer for the first time, it needs to try to build a strong relationship with them to influence them for repeated sales by creating customer accounts including all of the information (</w:t>
      </w:r>
      <w:r>
        <w:rPr>
          <w:shd w:val="clear" w:color="auto" w:fill="FFFFFF"/>
        </w:rPr>
        <w:t>Gursoy et al., 2022)</w:t>
      </w:r>
      <w:r>
        <w:t xml:space="preserve">. </w:t>
      </w:r>
    </w:p>
    <w:p w14:paraId="60866A64">
      <w:pPr>
        <w:pStyle w:val="4"/>
        <w:rPr>
          <w:rFonts w:cs="Times New Roman"/>
        </w:rPr>
      </w:pPr>
      <w:bookmarkStart w:id="103" w:name="_Toc238766731"/>
      <w:r>
        <w:rPr>
          <w:rFonts w:cs="Times New Roman"/>
        </w:rPr>
        <w:t>5.3.2 Theoretical Recommendations</w:t>
      </w:r>
      <w:bookmarkEnd w:id="103"/>
      <w:r>
        <w:rPr>
          <w:rFonts w:cs="Times New Roman"/>
        </w:rPr>
        <w:t xml:space="preserve"> </w:t>
      </w:r>
    </w:p>
    <w:p w14:paraId="7471F5A7">
      <w:r>
        <w:rPr>
          <w:b/>
        </w:rPr>
        <w:t xml:space="preserve">Combine the Resource-Based View (RBV) and Platform Dependence: </w:t>
      </w:r>
      <w:r>
        <w:t xml:space="preserve">The results show that platform dependence is degraded by strong internal resources. Skyscanner retained a competitive edge by using proprietary machine learning structures and all-inclusive pricing databases as a key resource. Theoretical models in the future ought to directly correlate SEO visibility with SERP displacement. This will assist researchers to realise that good organic rankings are not enough when the visual interface is influenced by the gatekeepers. </w:t>
      </w:r>
    </w:p>
    <w:p w14:paraId="5B9B62E2">
      <w:r>
        <w:rPr>
          <w:b/>
        </w:rPr>
        <w:t>Linkage between customer retention and platform dependence:</w:t>
      </w:r>
      <w:r>
        <w:t xml:space="preserve"> The findings show that reducing platform dependence increased the challenge for Skyscanner in customer acquisition and retention. The frequent changing of layouts of Google Travelodge required enhancing its strengths through app development, notifying customers, price alerts, organising loyalty programs and communicating directly. </w:t>
      </w:r>
    </w:p>
    <w:p w14:paraId="1F0C32C1">
      <w:r>
        <w:rPr>
          <w:b/>
        </w:rPr>
        <w:t>Develop strategic plans for digital regulation:</w:t>
      </w:r>
      <w:r>
        <w:t xml:space="preserve"> For expanding the business, travel tech organisations should pay more attention to the formal rules. Though it is not the only thing to assess the effectiveness of any organisation, it helps to survive in the most challenging market. By fulfilling regulatory compliance, it can be possible to bring about behavioural change to generate competitive outcomes. </w:t>
      </w:r>
    </w:p>
    <w:p w14:paraId="1FAC710C">
      <w:pPr>
        <w:pStyle w:val="3"/>
        <w:rPr>
          <w:rFonts w:cs="Times New Roman"/>
        </w:rPr>
      </w:pPr>
      <w:bookmarkStart w:id="104" w:name="_Toc238766732"/>
      <w:r>
        <w:rPr>
          <w:rFonts w:cs="Times New Roman"/>
        </w:rPr>
        <w:t>5.4 Limitations of Research</w:t>
      </w:r>
      <w:bookmarkEnd w:id="104"/>
      <w:r>
        <w:rPr>
          <w:rFonts w:cs="Times New Roman"/>
        </w:rPr>
        <w:t xml:space="preserve"> </w:t>
      </w:r>
    </w:p>
    <w:p w14:paraId="0AA12DAD">
      <w:r>
        <w:t xml:space="preserve">The researcher identified several limitations of the study, which created numerous obstacles in achieving the objectives within the fixed time. By considering the aim, objectives and time duration, the researcher decided to conduct this study based on secondary or published source data, including corporate information, industry reports, regulatory materials, academic literature, and publicly available industry evidence. Avoiding primary data introduced a challenge in capturing the most recent factors to attain more trust from the readers.  Moreover, this study only work with qualitative data, which cannot provide measurable outcome. </w:t>
      </w:r>
    </w:p>
    <w:p w14:paraId="3579905C">
      <w:pPr>
        <w:pStyle w:val="3"/>
        <w:rPr>
          <w:rFonts w:cs="Times New Roman"/>
        </w:rPr>
      </w:pPr>
      <w:bookmarkStart w:id="105" w:name="_Toc238766733"/>
      <w:r>
        <w:rPr>
          <w:rFonts w:cs="Times New Roman"/>
        </w:rPr>
        <w:t>5.5 Recommendations for Future Work</w:t>
      </w:r>
      <w:bookmarkEnd w:id="105"/>
      <w:r>
        <w:rPr>
          <w:rFonts w:cs="Times New Roman"/>
        </w:rPr>
        <w:t xml:space="preserve"> </w:t>
      </w:r>
    </w:p>
    <w:p w14:paraId="2B5A944A">
      <w:r>
        <w:t xml:space="preserve">In future research, the researcher will place more importance on ensuring the best methodological alignment to overcome the experienced issues. The researcher will adopt mixed method and longitudinal design to address these limitations and produce more credible results. In such kind of studies, quantitative analysis along with qualitative analysis would be very supportive for providing clear and sufficient information about the topic. The data will be collected from a wider range to analyse critically to make the best decision in a short time to ensure that the study is developed based on the schedule. In future research, the researcher will analyse the effectiveness of Skyscanner to develop strategies for engaging with the focus groups directly to build strong relationships and increase its web traffic. Particular attention will be given to its pricing strategy, maintaining the regulatory frame and organising loyalty programs to increase its overall strengths and reduce dependence on Google. The researcher will be able to use the acquired knowledge in future studies to ensure perfection and avoid any kind of issues for generating the most credible results. </w:t>
      </w:r>
    </w:p>
    <w:p w14:paraId="13A3D957">
      <w:pPr>
        <w:spacing w:after="160" w:line="278" w:lineRule="auto"/>
        <w:jc w:val="left"/>
        <w:rPr>
          <w:rFonts w:eastAsiaTheme="majorEastAsia"/>
          <w:b/>
          <w:sz w:val="32"/>
          <w:szCs w:val="40"/>
        </w:rPr>
      </w:pPr>
      <w:r>
        <w:br w:type="page"/>
      </w:r>
    </w:p>
    <w:p w14:paraId="271EB48A">
      <w:pPr>
        <w:pStyle w:val="2"/>
        <w:rPr>
          <w:rFonts w:cs="Times New Roman"/>
        </w:rPr>
      </w:pPr>
      <w:bookmarkStart w:id="106" w:name="_Toc238766734"/>
      <w:r>
        <w:rPr>
          <w:rFonts w:cs="Times New Roman"/>
        </w:rPr>
        <w:t>References</w:t>
      </w:r>
      <w:bookmarkEnd w:id="98"/>
      <w:bookmarkEnd w:id="106"/>
      <w:r>
        <w:rPr>
          <w:rFonts w:cs="Times New Roman"/>
        </w:rPr>
        <w:t xml:space="preserve"> </w:t>
      </w:r>
    </w:p>
    <w:p w14:paraId="502874B6">
      <w:pPr>
        <w:ind w:left="720" w:hanging="720"/>
        <w:rPr>
          <w:shd w:val="clear" w:color="auto" w:fill="FFFFFF"/>
        </w:rPr>
      </w:pPr>
      <w:r>
        <w:rPr>
          <w:shd w:val="clear" w:color="auto" w:fill="FFFFFF"/>
        </w:rPr>
        <w:t>Aamir, S., Atsan, N. and Khan, M.S. (2025). Going digital with multisided-platforms: Assessing the innovation adoption process from the perspectives of travel agents. </w:t>
      </w:r>
      <w:r>
        <w:rPr>
          <w:i/>
          <w:iCs/>
          <w:shd w:val="clear" w:color="auto" w:fill="FFFFFF"/>
        </w:rPr>
        <w:t>Tourism and Hospitality Research</w:t>
      </w:r>
      <w:r>
        <w:rPr>
          <w:shd w:val="clear" w:color="auto" w:fill="FFFFFF"/>
        </w:rPr>
        <w:t>, </w:t>
      </w:r>
      <w:r>
        <w:rPr>
          <w:i/>
          <w:iCs/>
          <w:shd w:val="clear" w:color="auto" w:fill="FFFFFF"/>
        </w:rPr>
        <w:t>25</w:t>
      </w:r>
      <w:r>
        <w:rPr>
          <w:shd w:val="clear" w:color="auto" w:fill="FFFFFF"/>
        </w:rPr>
        <w:t>(1), pp.72-89.</w:t>
      </w:r>
    </w:p>
    <w:p w14:paraId="3B12593D">
      <w:pPr>
        <w:ind w:left="720" w:hanging="720"/>
        <w:rPr>
          <w:shd w:val="clear" w:color="auto" w:fill="FFFFFF"/>
        </w:rPr>
      </w:pPr>
      <w:r>
        <w:rPr>
          <w:shd w:val="clear" w:color="auto" w:fill="FFFFFF"/>
        </w:rPr>
        <w:t>Akbar, Y.H. and Tracogna, A., (2018). The sharing economy and the future of the hotel industry: Transaction cost theory and platform economics. </w:t>
      </w:r>
      <w:r>
        <w:rPr>
          <w:i/>
          <w:iCs/>
          <w:shd w:val="clear" w:color="auto" w:fill="FFFFFF"/>
        </w:rPr>
        <w:t>International Journal of Hospitality Management</w:t>
      </w:r>
      <w:r>
        <w:rPr>
          <w:shd w:val="clear" w:color="auto" w:fill="FFFFFF"/>
        </w:rPr>
        <w:t>, </w:t>
      </w:r>
      <w:r>
        <w:rPr>
          <w:i/>
          <w:iCs/>
          <w:shd w:val="clear" w:color="auto" w:fill="FFFFFF"/>
        </w:rPr>
        <w:t>71</w:t>
      </w:r>
      <w:r>
        <w:rPr>
          <w:shd w:val="clear" w:color="auto" w:fill="FFFFFF"/>
        </w:rPr>
        <w:t>, pp.91-101.</w:t>
      </w:r>
    </w:p>
    <w:p w14:paraId="49F63AF2">
      <w:pPr>
        <w:ind w:left="720" w:hanging="720"/>
      </w:pPr>
      <w:r>
        <w:rPr>
          <w:bCs/>
        </w:rPr>
        <w:t>Akman, P.</w:t>
      </w:r>
      <w:r>
        <w:t xml:space="preserve"> (2021). </w:t>
      </w:r>
      <w:r>
        <w:rPr>
          <w:i/>
          <w:iCs/>
        </w:rPr>
        <w:t>Regulating competition in digital platform markets: a critical assessment of the framework and approach of the EU Digital Markets Act</w:t>
      </w:r>
      <w:r>
        <w:t xml:space="preserve">. </w:t>
      </w:r>
    </w:p>
    <w:p w14:paraId="06404230">
      <w:pPr>
        <w:ind w:left="720" w:hanging="720"/>
        <w:rPr>
          <w:shd w:val="clear" w:color="auto" w:fill="FFFFFF"/>
        </w:rPr>
      </w:pPr>
      <w:r>
        <w:rPr>
          <w:shd w:val="clear" w:color="auto" w:fill="FFFFFF"/>
        </w:rPr>
        <w:t>Alimonti, R., Neurohr, B. and Ralston, H., (2021). Digital markets and implications for competition policy: Evidence from recent economic analysis. In </w:t>
      </w:r>
      <w:r>
        <w:rPr>
          <w:i/>
          <w:iCs/>
          <w:shd w:val="clear" w:color="auto" w:fill="FFFFFF"/>
        </w:rPr>
        <w:t>Economic Analysis in EU Competition Policy</w:t>
      </w:r>
      <w:r>
        <w:rPr>
          <w:shd w:val="clear" w:color="auto" w:fill="FFFFFF"/>
        </w:rPr>
        <w:t> (pp. 112-145). Edward Elgar Publishing.</w:t>
      </w:r>
    </w:p>
    <w:p w14:paraId="6A37F0F8">
      <w:pPr>
        <w:ind w:left="720" w:hanging="720"/>
        <w:rPr>
          <w:shd w:val="clear" w:color="auto" w:fill="FFFFFF"/>
        </w:rPr>
      </w:pPr>
      <w:r>
        <w:rPr>
          <w:shd w:val="clear" w:color="auto" w:fill="FFFFFF"/>
        </w:rPr>
        <w:t>Ana, M.I. and Istudor, L.G., (2019). The role of social media and user-generated-content in millennials’ travel behavior. </w:t>
      </w:r>
      <w:r>
        <w:rPr>
          <w:i/>
          <w:iCs/>
          <w:shd w:val="clear" w:color="auto" w:fill="FFFFFF"/>
        </w:rPr>
        <w:t>Management dynamics in the knowledge economy</w:t>
      </w:r>
      <w:r>
        <w:rPr>
          <w:shd w:val="clear" w:color="auto" w:fill="FFFFFF"/>
        </w:rPr>
        <w:t>, </w:t>
      </w:r>
      <w:r>
        <w:rPr>
          <w:i/>
          <w:iCs/>
          <w:shd w:val="clear" w:color="auto" w:fill="FFFFFF"/>
        </w:rPr>
        <w:t>7</w:t>
      </w:r>
      <w:r>
        <w:rPr>
          <w:shd w:val="clear" w:color="auto" w:fill="FFFFFF"/>
        </w:rPr>
        <w:t>(1), pp.87-104.</w:t>
      </w:r>
    </w:p>
    <w:p w14:paraId="7F244982">
      <w:pPr>
        <w:ind w:left="720" w:hanging="720"/>
        <w:rPr>
          <w:shd w:val="clear" w:color="auto" w:fill="FFFFFF"/>
        </w:rPr>
      </w:pPr>
      <w:r>
        <w:rPr>
          <w:shd w:val="clear" w:color="auto" w:fill="FFFFFF"/>
        </w:rPr>
        <w:t>Balsiger, P., Jammet, T., Cianferoni, N. and Surdez, M., (2023). Coping with digital market re-organization: How the hotel industry strategically responds to digital platform power. </w:t>
      </w:r>
      <w:r>
        <w:rPr>
          <w:i/>
          <w:iCs/>
          <w:shd w:val="clear" w:color="auto" w:fill="FFFFFF"/>
        </w:rPr>
        <w:t>Competition &amp; Change</w:t>
      </w:r>
      <w:r>
        <w:rPr>
          <w:shd w:val="clear" w:color="auto" w:fill="FFFFFF"/>
        </w:rPr>
        <w:t>, </w:t>
      </w:r>
      <w:r>
        <w:rPr>
          <w:i/>
          <w:iCs/>
          <w:shd w:val="clear" w:color="auto" w:fill="FFFFFF"/>
        </w:rPr>
        <w:t>27</w:t>
      </w:r>
      <w:r>
        <w:rPr>
          <w:shd w:val="clear" w:color="auto" w:fill="FFFFFF"/>
        </w:rPr>
        <w:t xml:space="preserve">(1), pp.163-183. </w:t>
      </w:r>
    </w:p>
    <w:p w14:paraId="2E250440">
      <w:pPr>
        <w:ind w:left="720" w:hanging="720"/>
        <w:rPr>
          <w:shd w:val="clear" w:color="auto" w:fill="FFFFFF"/>
        </w:rPr>
      </w:pPr>
      <w:r>
        <w:rPr>
          <w:shd w:val="clear" w:color="auto" w:fill="FFFFFF"/>
        </w:rPr>
        <w:t>Basukie, J., Wang, Y. and Li, S., (2020). Big data governance and algorithmic management in sharing economy platforms: A case of ridesharing in emerging markets. </w:t>
      </w:r>
      <w:r>
        <w:rPr>
          <w:i/>
          <w:iCs/>
          <w:shd w:val="clear" w:color="auto" w:fill="FFFFFF"/>
        </w:rPr>
        <w:t>Technological Forecasting and Social Change</w:t>
      </w:r>
      <w:r>
        <w:rPr>
          <w:shd w:val="clear" w:color="auto" w:fill="FFFFFF"/>
        </w:rPr>
        <w:t>, </w:t>
      </w:r>
      <w:r>
        <w:rPr>
          <w:i/>
          <w:iCs/>
          <w:shd w:val="clear" w:color="auto" w:fill="FFFFFF"/>
        </w:rPr>
        <w:t>161</w:t>
      </w:r>
      <w:r>
        <w:rPr>
          <w:shd w:val="clear" w:color="auto" w:fill="FFFFFF"/>
        </w:rPr>
        <w:t>, p.120310.</w:t>
      </w:r>
    </w:p>
    <w:p w14:paraId="5D20E730">
      <w:pPr>
        <w:ind w:left="720" w:hanging="720"/>
        <w:rPr>
          <w:shd w:val="clear" w:color="auto" w:fill="FFFFFF"/>
        </w:rPr>
      </w:pPr>
      <w:r>
        <w:rPr>
          <w:shd w:val="clear" w:color="auto" w:fill="FFFFFF"/>
        </w:rPr>
        <w:t>Bell, E., Bryman, A. and Harley, B. (2019). Business Research Methods. 5th ed. Oxford: Oxford University Press.</w:t>
      </w:r>
    </w:p>
    <w:p w14:paraId="5251F168">
      <w:pPr>
        <w:ind w:left="720" w:hanging="720"/>
        <w:rPr>
          <w:shd w:val="clear" w:color="auto" w:fill="FFFFFF"/>
        </w:rPr>
      </w:pPr>
      <w:r>
        <w:rPr>
          <w:shd w:val="clear" w:color="auto" w:fill="FFFFFF"/>
        </w:rPr>
        <w:t>Bordens, K. and Abbott, B. (2015). Research Design and Methods: A Process Approach.</w:t>
      </w:r>
    </w:p>
    <w:p w14:paraId="2CA6FBDF">
      <w:pPr>
        <w:ind w:left="720" w:hanging="720"/>
      </w:pPr>
      <w:r>
        <w:t>Boscheck, R., 2024. The EU’s Digital Markets Act: regulatory reform, relapse or reversal?. </w:t>
      </w:r>
      <w:r>
        <w:rPr>
          <w:i/>
          <w:iCs/>
        </w:rPr>
        <w:t>Intereconomics</w:t>
      </w:r>
      <w:r>
        <w:t>, </w:t>
      </w:r>
      <w:r>
        <w:rPr>
          <w:i/>
          <w:iCs/>
        </w:rPr>
        <w:t>59</w:t>
      </w:r>
      <w:r>
        <w:t xml:space="preserve">(3), pp.154-159. </w:t>
      </w:r>
    </w:p>
    <w:p w14:paraId="1D1972BB">
      <w:pPr>
        <w:ind w:left="720" w:hanging="720"/>
        <w:rPr>
          <w:shd w:val="clear" w:color="auto" w:fill="FFFFFF"/>
        </w:rPr>
      </w:pPr>
      <w:r>
        <w:rPr>
          <w:shd w:val="clear" w:color="auto" w:fill="FFFFFF"/>
        </w:rPr>
        <w:t xml:space="preserve">Bryman, A., and Bell, E., (2015). Business Research Methods. 4th edition, Oxford University Press </w:t>
      </w:r>
    </w:p>
    <w:p w14:paraId="745325CE">
      <w:pPr>
        <w:ind w:left="720" w:hanging="720"/>
      </w:pPr>
      <w:r>
        <w:rPr>
          <w:bCs/>
        </w:rPr>
        <w:t>Calzada, J., Fageda, X. and Quirós, N.</w:t>
      </w:r>
      <w:r>
        <w:t xml:space="preserve"> (2026). </w:t>
      </w:r>
      <w:r>
        <w:rPr>
          <w:i/>
          <w:iCs/>
        </w:rPr>
        <w:t>Who benefits from Google’s SERP? The impact of the DMA on the Air Travel Market</w:t>
      </w:r>
      <w:r>
        <w:t xml:space="preserve">. </w:t>
      </w:r>
    </w:p>
    <w:p w14:paraId="34DE40AE">
      <w:pPr>
        <w:ind w:left="720" w:hanging="720"/>
        <w:rPr>
          <w:shd w:val="clear" w:color="auto" w:fill="FFFFFF"/>
        </w:rPr>
      </w:pPr>
      <w:r>
        <w:rPr>
          <w:shd w:val="clear" w:color="auto" w:fill="FFFFFF"/>
        </w:rPr>
        <w:t>Cameron, L.D. and Rahman, H., (2022). Expanding the locus of resistance: Understanding the co-constitution of control and resistance in the gig economy. </w:t>
      </w:r>
      <w:r>
        <w:rPr>
          <w:i/>
          <w:iCs/>
          <w:shd w:val="clear" w:color="auto" w:fill="FFFFFF"/>
        </w:rPr>
        <w:t>Organization Science</w:t>
      </w:r>
      <w:r>
        <w:rPr>
          <w:shd w:val="clear" w:color="auto" w:fill="FFFFFF"/>
        </w:rPr>
        <w:t>, </w:t>
      </w:r>
      <w:r>
        <w:rPr>
          <w:i/>
          <w:iCs/>
          <w:shd w:val="clear" w:color="auto" w:fill="FFFFFF"/>
        </w:rPr>
        <w:t>33</w:t>
      </w:r>
      <w:r>
        <w:rPr>
          <w:shd w:val="clear" w:color="auto" w:fill="FFFFFF"/>
        </w:rPr>
        <w:t>(1), pp.38-58.</w:t>
      </w:r>
    </w:p>
    <w:p w14:paraId="4D641BF7">
      <w:pPr>
        <w:ind w:left="720" w:hanging="720"/>
        <w:rPr>
          <w:shd w:val="clear" w:color="auto" w:fill="FFFFFF"/>
        </w:rPr>
      </w:pPr>
      <w:r>
        <w:rPr>
          <w:shd w:val="clear" w:color="auto" w:fill="FFFFFF"/>
        </w:rPr>
        <w:t>Capriello, A. and Riboldazzi, S. (2019). How can a travel agency network survive in the wake of digitalization? Evidence from the ROBINTUR case study. Current Issues in Tourism, 23(9), pp.1049–1052. doi:10.1080/13683500.2019.1590321.</w:t>
      </w:r>
    </w:p>
    <w:p w14:paraId="1491BAE2">
      <w:pPr>
        <w:ind w:left="720" w:hanging="720"/>
        <w:rPr>
          <w:shd w:val="clear" w:color="auto" w:fill="FFFFFF"/>
        </w:rPr>
      </w:pPr>
      <w:r>
        <w:rPr>
          <w:shd w:val="clear" w:color="auto" w:fill="FFFFFF"/>
        </w:rPr>
        <w:t>Carballa‐Smichowski, B., Duch‐Brown, N., Martens, B. and Gomez‐Losada, Á., (2026). Inter‐platform ecosystems. </w:t>
      </w:r>
      <w:r>
        <w:rPr>
          <w:i/>
          <w:iCs/>
          <w:shd w:val="clear" w:color="auto" w:fill="FFFFFF"/>
        </w:rPr>
        <w:t>Strategic Management Journal</w:t>
      </w:r>
      <w:r>
        <w:rPr>
          <w:shd w:val="clear" w:color="auto" w:fill="FFFFFF"/>
        </w:rPr>
        <w:t>.</w:t>
      </w:r>
    </w:p>
    <w:p w14:paraId="35BB3603">
      <w:pPr>
        <w:ind w:left="720" w:hanging="720"/>
        <w:rPr>
          <w:shd w:val="clear" w:color="auto" w:fill="FFFFFF"/>
        </w:rPr>
      </w:pPr>
      <w:r>
        <w:rPr>
          <w:shd w:val="clear" w:color="auto" w:fill="FFFFFF"/>
        </w:rPr>
        <w:t>Chamboko-Mpotaringa, M. and Tichaawa, T.M., (2021). Tourism digital marketing tools and views on future trends: A systematic review of literature.</w:t>
      </w:r>
    </w:p>
    <w:p w14:paraId="6A13D69F">
      <w:pPr>
        <w:ind w:left="720" w:hanging="720"/>
        <w:rPr>
          <w:shd w:val="clear" w:color="auto" w:fill="FFFFFF"/>
        </w:rPr>
      </w:pPr>
      <w:r>
        <w:rPr>
          <w:shd w:val="clear" w:color="auto" w:fill="FFFFFF"/>
        </w:rPr>
        <w:t>Chopra, R. and Khan, L.M., (2020). The case for" unfair methods of competition" rulemaking. </w:t>
      </w:r>
      <w:r>
        <w:rPr>
          <w:i/>
          <w:iCs/>
          <w:shd w:val="clear" w:color="auto" w:fill="FFFFFF"/>
        </w:rPr>
        <w:t>The University of Chicago Law Review</w:t>
      </w:r>
      <w:r>
        <w:rPr>
          <w:shd w:val="clear" w:color="auto" w:fill="FFFFFF"/>
        </w:rPr>
        <w:t>, </w:t>
      </w:r>
      <w:r>
        <w:rPr>
          <w:i/>
          <w:iCs/>
          <w:shd w:val="clear" w:color="auto" w:fill="FFFFFF"/>
        </w:rPr>
        <w:t>87</w:t>
      </w:r>
      <w:r>
        <w:rPr>
          <w:shd w:val="clear" w:color="auto" w:fill="FFFFFF"/>
        </w:rPr>
        <w:t>(2), pp.357-380.</w:t>
      </w:r>
    </w:p>
    <w:p w14:paraId="161D812F">
      <w:pPr>
        <w:ind w:left="720" w:hanging="720"/>
        <w:rPr>
          <w:shd w:val="clear" w:color="auto" w:fill="FFFFFF"/>
        </w:rPr>
      </w:pPr>
      <w:r>
        <w:rPr>
          <w:shd w:val="clear" w:color="auto" w:fill="FFFFFF"/>
        </w:rPr>
        <w:t>Criscuolo, C., Gonne, N., Kitazawa, K. and Lalanne, G., (2022). An industrial policy framework for OECD countries: Old debates, new perspectives. </w:t>
      </w:r>
      <w:r>
        <w:rPr>
          <w:i/>
          <w:iCs/>
          <w:shd w:val="clear" w:color="auto" w:fill="FFFFFF"/>
        </w:rPr>
        <w:t>OECD Science, Technology and Industry Policy Papers</w:t>
      </w:r>
      <w:r>
        <w:rPr>
          <w:shd w:val="clear" w:color="auto" w:fill="FFFFFF"/>
        </w:rPr>
        <w:t>.</w:t>
      </w:r>
    </w:p>
    <w:p w14:paraId="04F19F60">
      <w:pPr>
        <w:ind w:left="720" w:hanging="720"/>
        <w:rPr>
          <w:shd w:val="clear" w:color="auto" w:fill="FFFFFF"/>
        </w:rPr>
      </w:pPr>
      <w:r>
        <w:rPr>
          <w:shd w:val="clear" w:color="auto" w:fill="FFFFFF"/>
        </w:rPr>
        <w:t>Currie, A. and Dobson, J., (2025). </w:t>
      </w:r>
      <w:r>
        <w:rPr>
          <w:i/>
          <w:iCs/>
          <w:shd w:val="clear" w:color="auto" w:fill="FFFFFF"/>
        </w:rPr>
        <w:t>The Cloud Native Attitude: How the world’s best companies use the cloud to speed up, scale up and find product market fit</w:t>
      </w:r>
      <w:r>
        <w:rPr>
          <w:shd w:val="clear" w:color="auto" w:fill="FFFFFF"/>
        </w:rPr>
        <w:t>. SRA Books.</w:t>
      </w:r>
    </w:p>
    <w:p w14:paraId="447BDB4D">
      <w:pPr>
        <w:ind w:left="720" w:hanging="720"/>
        <w:rPr>
          <w:shd w:val="clear" w:color="auto" w:fill="FFFFFF"/>
        </w:rPr>
      </w:pPr>
      <w:r>
        <w:rPr>
          <w:shd w:val="clear" w:color="auto" w:fill="FFFFFF"/>
        </w:rPr>
        <w:t>Cutolo, D. and Kenney, M., (2021). Platform-dependent entrepreneurs: Power asymmetries, risks, and strategies in the platform economy. </w:t>
      </w:r>
      <w:r>
        <w:rPr>
          <w:i/>
          <w:iCs/>
          <w:shd w:val="clear" w:color="auto" w:fill="FFFFFF"/>
        </w:rPr>
        <w:t>Academy of management perspectives</w:t>
      </w:r>
      <w:r>
        <w:rPr>
          <w:shd w:val="clear" w:color="auto" w:fill="FFFFFF"/>
        </w:rPr>
        <w:t>, </w:t>
      </w:r>
      <w:r>
        <w:rPr>
          <w:i/>
          <w:iCs/>
          <w:shd w:val="clear" w:color="auto" w:fill="FFFFFF"/>
        </w:rPr>
        <w:t>35</w:t>
      </w:r>
      <w:r>
        <w:rPr>
          <w:shd w:val="clear" w:color="auto" w:fill="FFFFFF"/>
        </w:rPr>
        <w:t>(4), pp.584-605.</w:t>
      </w:r>
    </w:p>
    <w:p w14:paraId="5E98E001">
      <w:pPr>
        <w:ind w:left="720" w:hanging="720"/>
        <w:rPr>
          <w:shd w:val="clear" w:color="auto" w:fill="FFFFFF"/>
        </w:rPr>
      </w:pPr>
      <w:r>
        <w:rPr>
          <w:shd w:val="clear" w:color="auto" w:fill="FFFFFF"/>
        </w:rPr>
        <w:t>De Stefano, V. and Aloisi, A., (2018). European legal framework for'digital labour platforms'. </w:t>
      </w:r>
      <w:r>
        <w:rPr>
          <w:i/>
          <w:iCs/>
          <w:shd w:val="clear" w:color="auto" w:fill="FFFFFF"/>
        </w:rPr>
        <w:t>European Commission, Luxembourg</w:t>
      </w:r>
      <w:r>
        <w:rPr>
          <w:shd w:val="clear" w:color="auto" w:fill="FFFFFF"/>
        </w:rPr>
        <w:t>.</w:t>
      </w:r>
    </w:p>
    <w:p w14:paraId="29D667B2">
      <w:pPr>
        <w:ind w:left="720" w:hanging="720"/>
        <w:rPr>
          <w:shd w:val="clear" w:color="auto" w:fill="FFFFFF"/>
        </w:rPr>
      </w:pPr>
      <w:r>
        <w:rPr>
          <w:shd w:val="clear" w:color="auto" w:fill="FFFFFF"/>
        </w:rPr>
        <w:t>Dheemonth, K., Ujwal, P., Fernandes, R.J., Acharya, M., Shettar, R., Badiger, S.D., Tiwari, S., Rashmi, T.S. and Khaitan, P., (2024, May). Travel Assist: Resolution of Travel Queries using Advanced Natural Language Processing for India. In </w:t>
      </w:r>
      <w:r>
        <w:rPr>
          <w:i/>
          <w:iCs/>
          <w:shd w:val="clear" w:color="auto" w:fill="FFFFFF"/>
        </w:rPr>
        <w:t>2024 1st International Conference on Communications and Computer Science (InCCCS)</w:t>
      </w:r>
      <w:r>
        <w:rPr>
          <w:shd w:val="clear" w:color="auto" w:fill="FFFFFF"/>
        </w:rPr>
        <w:t> (pp. 1-5). IEEE.</w:t>
      </w:r>
    </w:p>
    <w:p w14:paraId="2154EFA2">
      <w:pPr>
        <w:ind w:left="720" w:hanging="720"/>
        <w:rPr>
          <w:shd w:val="clear" w:color="auto" w:fill="FFFFFF"/>
        </w:rPr>
      </w:pPr>
      <w:r>
        <w:rPr>
          <w:shd w:val="clear" w:color="auto" w:fill="FFFFFF"/>
        </w:rPr>
        <w:t>Doctorow, C. and Giblin, R., (2022). </w:t>
      </w:r>
      <w:r>
        <w:rPr>
          <w:i/>
          <w:iCs/>
          <w:shd w:val="clear" w:color="auto" w:fill="FFFFFF"/>
        </w:rPr>
        <w:t>Chokepoint capitalism: How big tech and big content captured creative labor markets and how We'll win them Back</w:t>
      </w:r>
      <w:r>
        <w:rPr>
          <w:shd w:val="clear" w:color="auto" w:fill="FFFFFF"/>
        </w:rPr>
        <w:t>. Beacon Press.</w:t>
      </w:r>
    </w:p>
    <w:p w14:paraId="5279D6C4">
      <w:pPr>
        <w:ind w:left="720" w:hanging="720"/>
        <w:rPr>
          <w:shd w:val="clear" w:color="auto" w:fill="FFFFFF"/>
        </w:rPr>
      </w:pPr>
      <w:r>
        <w:rPr>
          <w:shd w:val="clear" w:color="auto" w:fill="FFFFFF"/>
        </w:rPr>
        <w:t>Duck, R., (2018). Research Ethics. Routledge.</w:t>
      </w:r>
    </w:p>
    <w:p w14:paraId="273110E5">
      <w:pPr>
        <w:ind w:left="720" w:hanging="720"/>
        <w:rPr>
          <w:shd w:val="clear" w:color="auto" w:fill="FFFFFF"/>
        </w:rPr>
      </w:pPr>
      <w:r>
        <w:rPr>
          <w:shd w:val="clear" w:color="auto" w:fill="FFFFFF"/>
        </w:rPr>
        <w:t>Easterby-Smith, M., Thorpe, R., and Jackson, A., (2015). Management and Business Research.  5th edition, Sage Publications.</w:t>
      </w:r>
    </w:p>
    <w:p w14:paraId="2061E60E">
      <w:pPr>
        <w:ind w:left="720" w:hanging="720"/>
        <w:rPr>
          <w:shd w:val="clear" w:color="auto" w:fill="FFFFFF"/>
          <w:lang w:val="en-GB"/>
        </w:rPr>
      </w:pPr>
      <w:r>
        <w:rPr>
          <w:shd w:val="clear" w:color="auto" w:fill="FFFFFF"/>
          <w:lang w:val="en-GB"/>
        </w:rPr>
        <w:t xml:space="preserve">European Commission (2025). </w:t>
      </w:r>
      <w:r>
        <w:rPr>
          <w:i/>
          <w:iCs/>
          <w:shd w:val="clear" w:color="auto" w:fill="FFFFFF"/>
          <w:lang w:val="en-GB"/>
        </w:rPr>
        <w:t>REPORT FROM THE COMMISSION TO THE COUNCIL AND THE EUROPEAN PARLIAMENT</w:t>
      </w:r>
      <w:r>
        <w:rPr>
          <w:shd w:val="clear" w:color="auto" w:fill="FFFFFF"/>
          <w:lang w:val="en-GB"/>
        </w:rPr>
        <w:t>. [online] Available at: https://digital-markets-act.ec.europa.eu/document/download/8ed232e8-a674-4434-a13e-8712ea42b0f5_en?filename=DMA_annual_report_2024.pdf.</w:t>
      </w:r>
    </w:p>
    <w:p w14:paraId="66C357CA">
      <w:pPr>
        <w:ind w:left="720" w:hanging="720"/>
        <w:rPr>
          <w:shd w:val="clear" w:color="auto" w:fill="FFFFFF"/>
        </w:rPr>
      </w:pPr>
      <w:r>
        <w:rPr>
          <w:shd w:val="clear" w:color="auto" w:fill="FFFFFF"/>
        </w:rPr>
        <w:t>Fajar, M., (2020). Fair competition: The concept of regulation in the sharing economy. </w:t>
      </w:r>
      <w:r>
        <w:rPr>
          <w:i/>
          <w:iCs/>
          <w:shd w:val="clear" w:color="auto" w:fill="FFFFFF"/>
        </w:rPr>
        <w:t>The Journal of Asian Finance, Economics and Business</w:t>
      </w:r>
      <w:r>
        <w:rPr>
          <w:shd w:val="clear" w:color="auto" w:fill="FFFFFF"/>
        </w:rPr>
        <w:t>, </w:t>
      </w:r>
      <w:r>
        <w:rPr>
          <w:i/>
          <w:iCs/>
          <w:shd w:val="clear" w:color="auto" w:fill="FFFFFF"/>
        </w:rPr>
        <w:t>7</w:t>
      </w:r>
      <w:r>
        <w:rPr>
          <w:shd w:val="clear" w:color="auto" w:fill="FFFFFF"/>
        </w:rPr>
        <w:t>(11), pp.637-645.</w:t>
      </w:r>
    </w:p>
    <w:p w14:paraId="6F0BBCC4">
      <w:pPr>
        <w:ind w:left="720" w:hanging="720"/>
        <w:rPr>
          <w:shd w:val="clear" w:color="auto" w:fill="FFFFFF"/>
        </w:rPr>
      </w:pPr>
      <w:r>
        <w:rPr>
          <w:shd w:val="clear" w:color="auto" w:fill="FFFFFF"/>
        </w:rPr>
        <w:t>Femenia-Serra, F. and Gretzel, U., (2019, December). Influencer marketing for tourism destinations: Lessons from a mature destination. In </w:t>
      </w:r>
      <w:r>
        <w:rPr>
          <w:i/>
          <w:iCs/>
          <w:shd w:val="clear" w:color="auto" w:fill="FFFFFF"/>
        </w:rPr>
        <w:t>Information and Communication Technologies in Tourism 2020: Proceedings of the International Conference in Surrey, United Kingdom, January 08–10, 2020</w:t>
      </w:r>
      <w:r>
        <w:rPr>
          <w:shd w:val="clear" w:color="auto" w:fill="FFFFFF"/>
        </w:rPr>
        <w:t> (pp. 65-78). Cham: Springer International Publishing.</w:t>
      </w:r>
    </w:p>
    <w:p w14:paraId="3055A9FC">
      <w:pPr>
        <w:ind w:left="720" w:hanging="720"/>
        <w:rPr>
          <w:shd w:val="clear" w:color="auto" w:fill="FFFFFF"/>
        </w:rPr>
      </w:pPr>
      <w:r>
        <w:rPr>
          <w:shd w:val="clear" w:color="auto" w:fill="FFFFFF"/>
        </w:rPr>
        <w:t>Foster, C., Graham, M., Mann, L., Waema, T. and Friederici, N., (2018). Digital control in value chains: Challenges of connectivity for East African firms. </w:t>
      </w:r>
      <w:r>
        <w:rPr>
          <w:i/>
          <w:iCs/>
          <w:shd w:val="clear" w:color="auto" w:fill="FFFFFF"/>
        </w:rPr>
        <w:t>Economic Geography</w:t>
      </w:r>
      <w:r>
        <w:rPr>
          <w:shd w:val="clear" w:color="auto" w:fill="FFFFFF"/>
        </w:rPr>
        <w:t>, </w:t>
      </w:r>
      <w:r>
        <w:rPr>
          <w:i/>
          <w:iCs/>
          <w:shd w:val="clear" w:color="auto" w:fill="FFFFFF"/>
        </w:rPr>
        <w:t>94</w:t>
      </w:r>
      <w:r>
        <w:rPr>
          <w:shd w:val="clear" w:color="auto" w:fill="FFFFFF"/>
        </w:rPr>
        <w:t>(1), pp.68-86.</w:t>
      </w:r>
    </w:p>
    <w:p w14:paraId="6166E8E9">
      <w:pPr>
        <w:ind w:left="720" w:hanging="720"/>
      </w:pPr>
      <w:r>
        <w:rPr>
          <w:bCs/>
        </w:rPr>
        <w:t>Gallego, I. and Font, X.</w:t>
      </w:r>
      <w:r>
        <w:t xml:space="preserve"> (2020). Changes in air passenger demand as a result of the COVID-19 crisis: using Big Data to inform tourism policy. </w:t>
      </w:r>
      <w:r>
        <w:rPr>
          <w:i/>
          <w:iCs/>
        </w:rPr>
        <w:t>Journal of Sustainable Tourism</w:t>
      </w:r>
      <w:r>
        <w:t xml:space="preserve">, 29(9), pp. 1470–1489. </w:t>
      </w:r>
    </w:p>
    <w:p w14:paraId="44020D9C">
      <w:pPr>
        <w:ind w:left="720" w:hanging="720"/>
        <w:rPr>
          <w:shd w:val="clear" w:color="auto" w:fill="FFFFFF"/>
        </w:rPr>
      </w:pPr>
      <w:r>
        <w:rPr>
          <w:shd w:val="clear" w:color="auto" w:fill="FFFFFF"/>
        </w:rPr>
        <w:t>Ghaffar, S.H., Burman, M. and Braimah, N., (2020). Pathways to circular construction: An integrated management of construction and demolition waste for resource recovery. </w:t>
      </w:r>
      <w:r>
        <w:rPr>
          <w:i/>
          <w:iCs/>
          <w:shd w:val="clear" w:color="auto" w:fill="FFFFFF"/>
        </w:rPr>
        <w:t>Journal of cleaner production</w:t>
      </w:r>
      <w:r>
        <w:rPr>
          <w:shd w:val="clear" w:color="auto" w:fill="FFFFFF"/>
        </w:rPr>
        <w:t>, </w:t>
      </w:r>
      <w:r>
        <w:rPr>
          <w:i/>
          <w:iCs/>
          <w:shd w:val="clear" w:color="auto" w:fill="FFFFFF"/>
        </w:rPr>
        <w:t>244</w:t>
      </w:r>
      <w:r>
        <w:rPr>
          <w:shd w:val="clear" w:color="auto" w:fill="FFFFFF"/>
        </w:rPr>
        <w:t>, p.118710.</w:t>
      </w:r>
    </w:p>
    <w:p w14:paraId="1DD0E0C8">
      <w:pPr>
        <w:ind w:left="720" w:hanging="720"/>
        <w:rPr>
          <w:shd w:val="clear" w:color="auto" w:fill="FFFFFF"/>
        </w:rPr>
      </w:pPr>
      <w:r>
        <w:rPr>
          <w:shd w:val="clear" w:color="auto" w:fill="FFFFFF"/>
        </w:rPr>
        <w:t>Giachino, C., Bollani, L., Bonadonna, A. and Bertetti, M., (2021). Reinforcement learning for content's customization: a first step of experimentation in Skyscanner. </w:t>
      </w:r>
      <w:r>
        <w:rPr>
          <w:i/>
          <w:iCs/>
          <w:shd w:val="clear" w:color="auto" w:fill="FFFFFF"/>
        </w:rPr>
        <w:t>Industrial Management &amp; Data Systems</w:t>
      </w:r>
      <w:r>
        <w:rPr>
          <w:shd w:val="clear" w:color="auto" w:fill="FFFFFF"/>
        </w:rPr>
        <w:t>, </w:t>
      </w:r>
      <w:r>
        <w:rPr>
          <w:i/>
          <w:iCs/>
          <w:shd w:val="clear" w:color="auto" w:fill="FFFFFF"/>
        </w:rPr>
        <w:t>121</w:t>
      </w:r>
      <w:r>
        <w:rPr>
          <w:shd w:val="clear" w:color="auto" w:fill="FFFFFF"/>
        </w:rPr>
        <w:t>(6), pp.1417-1434.</w:t>
      </w:r>
    </w:p>
    <w:p w14:paraId="714C1A97">
      <w:pPr>
        <w:ind w:left="720" w:hanging="720"/>
      </w:pPr>
      <w:r>
        <w:rPr>
          <w:bCs/>
        </w:rPr>
        <w:t>Gomez, R.D.</w:t>
      </w:r>
      <w:r>
        <w:t xml:space="preserve"> (2025). </w:t>
      </w:r>
      <w:r>
        <w:rPr>
          <w:i/>
          <w:iCs/>
        </w:rPr>
        <w:t>Strategic Optimization of the European Full-Service Network Carrier Business Model: Analysis of Key Drivers Shaping the Airline Industry</w:t>
      </w:r>
      <w:r>
        <w:t xml:space="preserve">. Master's thesis, Universidade NOVA de Lisboa. </w:t>
      </w:r>
    </w:p>
    <w:p w14:paraId="0FA50D11">
      <w:pPr>
        <w:ind w:left="720" w:hanging="720"/>
        <w:rPr>
          <w:shd w:val="clear" w:color="auto" w:fill="FFFFFF"/>
        </w:rPr>
      </w:pPr>
      <w:r>
        <w:rPr>
          <w:shd w:val="clear" w:color="auto" w:fill="FFFFFF"/>
        </w:rPr>
        <w:t>Guo, Y., Li, X. and Zeng, X., (2019). Platform competition in the sharing economy: Understanding how ride-hailing services influence new car purchases. </w:t>
      </w:r>
      <w:r>
        <w:rPr>
          <w:i/>
          <w:iCs/>
          <w:shd w:val="clear" w:color="auto" w:fill="FFFFFF"/>
        </w:rPr>
        <w:t>Journal of Management Information Systems</w:t>
      </w:r>
      <w:r>
        <w:rPr>
          <w:shd w:val="clear" w:color="auto" w:fill="FFFFFF"/>
        </w:rPr>
        <w:t>, </w:t>
      </w:r>
      <w:r>
        <w:rPr>
          <w:i/>
          <w:iCs/>
          <w:shd w:val="clear" w:color="auto" w:fill="FFFFFF"/>
        </w:rPr>
        <w:t>36</w:t>
      </w:r>
      <w:r>
        <w:rPr>
          <w:shd w:val="clear" w:color="auto" w:fill="FFFFFF"/>
        </w:rPr>
        <w:t>(4), pp.1043-1070.</w:t>
      </w:r>
    </w:p>
    <w:p w14:paraId="49F3028B">
      <w:pPr>
        <w:ind w:left="720" w:hanging="720"/>
      </w:pPr>
      <w:r>
        <w:rPr>
          <w:bCs/>
        </w:rPr>
        <w:t>Gursoy, D., Malodia, S. and Dhir, A.</w:t>
      </w:r>
      <w:r>
        <w:t xml:space="preserve"> (2022). The metaverse in the hospitality and tourism industry: An overview of current trends and future research directions. </w:t>
      </w:r>
      <w:r>
        <w:rPr>
          <w:i/>
          <w:iCs/>
        </w:rPr>
        <w:t>Journal of Hospitality Marketing &amp; Management</w:t>
      </w:r>
      <w:r>
        <w:t xml:space="preserve">, 31(5), pp. 527–534. </w:t>
      </w:r>
    </w:p>
    <w:p w14:paraId="0AB55F46">
      <w:pPr>
        <w:ind w:left="720" w:hanging="720"/>
        <w:rPr>
          <w:shd w:val="clear" w:color="auto" w:fill="FFFFFF"/>
        </w:rPr>
      </w:pPr>
      <w:r>
        <w:rPr>
          <w:shd w:val="clear" w:color="auto" w:fill="FFFFFF"/>
        </w:rPr>
        <w:t>Hackl, C., Lueth, D. and Di Bartolo, T., (2022). </w:t>
      </w:r>
      <w:r>
        <w:rPr>
          <w:i/>
          <w:iCs/>
          <w:shd w:val="clear" w:color="auto" w:fill="FFFFFF"/>
        </w:rPr>
        <w:t>Navigating the metaverse: A guide to limitless possibilities in a Web 3.0 world</w:t>
      </w:r>
      <w:r>
        <w:rPr>
          <w:shd w:val="clear" w:color="auto" w:fill="FFFFFF"/>
        </w:rPr>
        <w:t>. John Wiley &amp; Sons.</w:t>
      </w:r>
    </w:p>
    <w:p w14:paraId="6B14AC8F">
      <w:pPr>
        <w:ind w:left="720" w:hanging="720"/>
        <w:rPr>
          <w:shd w:val="clear" w:color="auto" w:fill="FFFFFF"/>
        </w:rPr>
      </w:pPr>
      <w:r>
        <w:rPr>
          <w:shd w:val="clear" w:color="auto" w:fill="FFFFFF"/>
        </w:rPr>
        <w:t>Haenlein, M., Anadol, E., Farnsworth, T., Hugo, H., Hunichen, J. and Welte, D., (2020). Navigating the new era of influencer marketing: How to be successful on Instagram, TikTok, &amp; Co. </w:t>
      </w:r>
      <w:r>
        <w:rPr>
          <w:i/>
          <w:iCs/>
          <w:shd w:val="clear" w:color="auto" w:fill="FFFFFF"/>
        </w:rPr>
        <w:t>California management review</w:t>
      </w:r>
      <w:r>
        <w:rPr>
          <w:shd w:val="clear" w:color="auto" w:fill="FFFFFF"/>
        </w:rPr>
        <w:t>, </w:t>
      </w:r>
      <w:r>
        <w:rPr>
          <w:i/>
          <w:iCs/>
          <w:shd w:val="clear" w:color="auto" w:fill="FFFFFF"/>
        </w:rPr>
        <w:t>63</w:t>
      </w:r>
      <w:r>
        <w:rPr>
          <w:shd w:val="clear" w:color="auto" w:fill="FFFFFF"/>
        </w:rPr>
        <w:t>(1), pp.5-25.</w:t>
      </w:r>
    </w:p>
    <w:p w14:paraId="132CE9A1">
      <w:pPr>
        <w:ind w:left="720" w:hanging="720"/>
        <w:rPr>
          <w:shd w:val="clear" w:color="auto" w:fill="FFFFFF"/>
        </w:rPr>
      </w:pPr>
      <w:r>
        <w:rPr>
          <w:shd w:val="clear" w:color="auto" w:fill="FFFFFF"/>
        </w:rPr>
        <w:t>Hamilton, R., Ferraro, R., Haws, K.L. and Mukhopadhyay, A., (2021). Traveling with companions: The social customer journey. </w:t>
      </w:r>
      <w:r>
        <w:rPr>
          <w:i/>
          <w:iCs/>
          <w:shd w:val="clear" w:color="auto" w:fill="FFFFFF"/>
        </w:rPr>
        <w:t>Journal of Marketing</w:t>
      </w:r>
      <w:r>
        <w:rPr>
          <w:shd w:val="clear" w:color="auto" w:fill="FFFFFF"/>
        </w:rPr>
        <w:t>, </w:t>
      </w:r>
      <w:r>
        <w:rPr>
          <w:i/>
          <w:iCs/>
          <w:shd w:val="clear" w:color="auto" w:fill="FFFFFF"/>
        </w:rPr>
        <w:t>85</w:t>
      </w:r>
      <w:r>
        <w:rPr>
          <w:shd w:val="clear" w:color="auto" w:fill="FFFFFF"/>
        </w:rPr>
        <w:t>(1), pp.68-92.</w:t>
      </w:r>
    </w:p>
    <w:p w14:paraId="3D0B8CBF">
      <w:pPr>
        <w:ind w:left="720" w:hanging="720"/>
      </w:pPr>
      <w:r>
        <w:t>Igwenagu, C., (2016). Fundamentals of Research Methodology and Data Collection. LAP Lambert Academic Publishing.</w:t>
      </w:r>
    </w:p>
    <w:p w14:paraId="7F234B42">
      <w:pPr>
        <w:ind w:left="720" w:hanging="720"/>
      </w:pPr>
      <w:r>
        <w:t>James, G.A. and Preecharush, D., 2019. </w:t>
      </w:r>
      <w:r>
        <w:rPr>
          <w:i/>
          <w:iCs/>
        </w:rPr>
        <w:t>Marketing strategy for travel metasearch business in ASEAN: a comparative case study between Singapore and Thailand</w:t>
      </w:r>
      <w:r>
        <w:t> (Doctoral dissertation, Thammasat University).</w:t>
      </w:r>
    </w:p>
    <w:p w14:paraId="080B14F2">
      <w:pPr>
        <w:ind w:left="720" w:hanging="720"/>
      </w:pPr>
      <w:r>
        <w:rPr>
          <w:bCs/>
        </w:rPr>
        <w:t>Jussila, N. and Oezocak, A.U.</w:t>
      </w:r>
      <w:r>
        <w:t xml:space="preserve"> (2025). </w:t>
      </w:r>
      <w:r>
        <w:rPr>
          <w:i/>
          <w:iCs/>
        </w:rPr>
        <w:t>Regulating Digital Platforms: The Interplay Between EU Competition Law and the Digital Markets Act</w:t>
      </w:r>
      <w:r>
        <w:t xml:space="preserve">. </w:t>
      </w:r>
    </w:p>
    <w:p w14:paraId="2C2F4608">
      <w:pPr>
        <w:ind w:left="720" w:hanging="720"/>
        <w:rPr>
          <w:shd w:val="clear" w:color="auto" w:fill="FFFFFF"/>
        </w:rPr>
      </w:pPr>
      <w:r>
        <w:rPr>
          <w:shd w:val="clear" w:color="auto" w:fill="FFFFFF"/>
        </w:rPr>
        <w:t>Katsikari, C., Hatzithomas, L., Fotiadis, T. and Folinas, D., (2020). Push and pull travel motivation: Segmentation of the Greek market for social media marketing in tourism. </w:t>
      </w:r>
      <w:r>
        <w:rPr>
          <w:i/>
          <w:iCs/>
          <w:shd w:val="clear" w:color="auto" w:fill="FFFFFF"/>
        </w:rPr>
        <w:t>Sustainability</w:t>
      </w:r>
      <w:r>
        <w:rPr>
          <w:shd w:val="clear" w:color="auto" w:fill="FFFFFF"/>
        </w:rPr>
        <w:t>, </w:t>
      </w:r>
      <w:r>
        <w:rPr>
          <w:i/>
          <w:iCs/>
          <w:shd w:val="clear" w:color="auto" w:fill="FFFFFF"/>
        </w:rPr>
        <w:t>12</w:t>
      </w:r>
      <w:r>
        <w:rPr>
          <w:shd w:val="clear" w:color="auto" w:fill="FFFFFF"/>
        </w:rPr>
        <w:t>(11), p.4770.</w:t>
      </w:r>
    </w:p>
    <w:p w14:paraId="2C9E6AA3">
      <w:pPr>
        <w:ind w:left="720" w:hanging="720"/>
        <w:rPr>
          <w:shd w:val="clear" w:color="auto" w:fill="FFFFFF"/>
        </w:rPr>
      </w:pPr>
      <w:r>
        <w:rPr>
          <w:shd w:val="clear" w:color="auto" w:fill="FFFFFF"/>
        </w:rPr>
        <w:t>Kaur, S. and Thakur, B., (2026). Enhancing Travel Decision-Making with GoGlobe Trip Planner: A Comprehensive User Experience Analysis.</w:t>
      </w:r>
    </w:p>
    <w:p w14:paraId="546DBEDD">
      <w:pPr>
        <w:ind w:left="720" w:hanging="720"/>
      </w:pPr>
      <w:r>
        <w:rPr>
          <w:bCs/>
        </w:rPr>
        <w:t>Kostagiolas, P., Strzelecki, A., Banou, C. and Lavranos, C.</w:t>
      </w:r>
      <w:r>
        <w:t xml:space="preserve"> (2021). The impact of Google on discovering scholarly information: managing STM publishers’ visibility in Google. </w:t>
      </w:r>
      <w:r>
        <w:rPr>
          <w:i/>
          <w:iCs/>
        </w:rPr>
        <w:t>Collection and Curation</w:t>
      </w:r>
      <w:r>
        <w:t xml:space="preserve">, 40(1), pp. 1–8. </w:t>
      </w:r>
    </w:p>
    <w:p w14:paraId="11400159">
      <w:pPr>
        <w:ind w:left="720" w:hanging="720"/>
        <w:rPr>
          <w:shd w:val="clear" w:color="auto" w:fill="FFFFFF"/>
        </w:rPr>
      </w:pPr>
      <w:r>
        <w:rPr>
          <w:shd w:val="clear" w:color="auto" w:fill="FFFFFF"/>
        </w:rPr>
        <w:t>Lancieri, F. and Sakowski, P.M., (2021). Competition in digital markets: a review of expert reports. </w:t>
      </w:r>
      <w:r>
        <w:rPr>
          <w:i/>
          <w:iCs/>
          <w:shd w:val="clear" w:color="auto" w:fill="FFFFFF"/>
        </w:rPr>
        <w:t>Stan. JL Bus. &amp; Fin.</w:t>
      </w:r>
      <w:r>
        <w:rPr>
          <w:shd w:val="clear" w:color="auto" w:fill="FFFFFF"/>
        </w:rPr>
        <w:t>, </w:t>
      </w:r>
      <w:r>
        <w:rPr>
          <w:i/>
          <w:iCs/>
          <w:shd w:val="clear" w:color="auto" w:fill="FFFFFF"/>
        </w:rPr>
        <w:t>26</w:t>
      </w:r>
      <w:r>
        <w:rPr>
          <w:shd w:val="clear" w:color="auto" w:fill="FFFFFF"/>
        </w:rPr>
        <w:t>, p.65.</w:t>
      </w:r>
    </w:p>
    <w:p w14:paraId="5F807DBC">
      <w:pPr>
        <w:ind w:left="720" w:hanging="720"/>
      </w:pPr>
      <w:r>
        <w:rPr>
          <w:bCs/>
        </w:rPr>
        <w:t>Lin, C.Y. and Huang, C.K.</w:t>
      </w:r>
      <w:r>
        <w:t xml:space="preserve"> (2021). Employee turnover intentions and job performance from a planned change: the effects of an organizational learning culture and job satisfaction. </w:t>
      </w:r>
      <w:r>
        <w:rPr>
          <w:i/>
          <w:iCs/>
        </w:rPr>
        <w:t>International Journal of Manpower</w:t>
      </w:r>
      <w:r>
        <w:t xml:space="preserve">, 42(3), pp. 409–423. </w:t>
      </w:r>
    </w:p>
    <w:p w14:paraId="5F647D4C">
      <w:pPr>
        <w:ind w:left="720" w:hanging="720"/>
      </w:pPr>
      <w:r>
        <w:rPr>
          <w:bCs/>
        </w:rPr>
        <w:t>Löfqvist, S. et al.</w:t>
      </w:r>
      <w:r>
        <w:t xml:space="preserve"> (2023). How social considerations improve the equity and effectiveness of ecosystem restoration. </w:t>
      </w:r>
      <w:r>
        <w:rPr>
          <w:i/>
          <w:iCs/>
        </w:rPr>
        <w:t>BioScience</w:t>
      </w:r>
      <w:r>
        <w:t xml:space="preserve">, 73(2), pp. 134–148. </w:t>
      </w:r>
    </w:p>
    <w:p w14:paraId="2D27AAF2">
      <w:pPr>
        <w:ind w:left="720" w:hanging="720"/>
      </w:pPr>
      <w:r>
        <w:rPr>
          <w:bCs/>
        </w:rPr>
        <w:t>Lohawala, N. and Wen, Z.</w:t>
      </w:r>
      <w:r>
        <w:t xml:space="preserve"> (2024). </w:t>
      </w:r>
      <w:r>
        <w:rPr>
          <w:i/>
          <w:iCs/>
        </w:rPr>
        <w:t>Navigating sustainable skies: Challenges and strategies for greener aviation</w:t>
      </w:r>
      <w:r>
        <w:t xml:space="preserve">. Resources for the Future. </w:t>
      </w:r>
    </w:p>
    <w:p w14:paraId="65D5D3B0">
      <w:pPr>
        <w:ind w:left="720" w:hanging="720"/>
        <w:rPr>
          <w:shd w:val="clear" w:color="auto" w:fill="FFFFFF"/>
        </w:rPr>
      </w:pPr>
      <w:r>
        <w:rPr>
          <w:shd w:val="clear" w:color="auto" w:fill="FFFFFF"/>
        </w:rPr>
        <w:t>Lv, X., Li, N., Xu, X. and Yang, Y., (2020). Understanding the emergence and development of online travel agencies: a dynamic evaluation and simulation approach. </w:t>
      </w:r>
      <w:r>
        <w:rPr>
          <w:i/>
          <w:iCs/>
          <w:shd w:val="clear" w:color="auto" w:fill="FFFFFF"/>
        </w:rPr>
        <w:t>Internet Research</w:t>
      </w:r>
      <w:r>
        <w:rPr>
          <w:shd w:val="clear" w:color="auto" w:fill="FFFFFF"/>
        </w:rPr>
        <w:t>, </w:t>
      </w:r>
      <w:r>
        <w:rPr>
          <w:i/>
          <w:iCs/>
          <w:shd w:val="clear" w:color="auto" w:fill="FFFFFF"/>
        </w:rPr>
        <w:t>30</w:t>
      </w:r>
      <w:r>
        <w:rPr>
          <w:shd w:val="clear" w:color="auto" w:fill="FFFFFF"/>
        </w:rPr>
        <w:t>(6), pp.1783-1810.</w:t>
      </w:r>
    </w:p>
    <w:p w14:paraId="5726F59B">
      <w:pPr>
        <w:ind w:left="720" w:hanging="720"/>
        <w:rPr>
          <w:shd w:val="clear" w:color="auto" w:fill="FFFFFF"/>
        </w:rPr>
      </w:pPr>
      <w:r>
        <w:rPr>
          <w:shd w:val="clear" w:color="auto" w:fill="FFFFFF"/>
        </w:rPr>
        <w:t>Mahajan, P. (2026). Skyscanner case study business model, growth strategy, revenue and success story. [online] Business Model Hub. Available at: https://businessmodelhub.in/skyscanner-case-study/ [Accessed 24 Aug. 2026].</w:t>
      </w:r>
    </w:p>
    <w:p w14:paraId="0CA92004">
      <w:pPr>
        <w:ind w:left="720" w:hanging="720"/>
      </w:pPr>
      <w:r>
        <w:rPr>
          <w:bCs/>
        </w:rPr>
        <w:t>Marion, T.J. and Fixson, S.K.</w:t>
      </w:r>
      <w:r>
        <w:t xml:space="preserve"> (2021). The transformation of the innovation process: How digital tools are changing work, collaboration, and organizations in new product development. </w:t>
      </w:r>
      <w:r>
        <w:rPr>
          <w:i/>
          <w:iCs/>
        </w:rPr>
        <w:t>Journal of Product Innovation Management</w:t>
      </w:r>
      <w:r>
        <w:t xml:space="preserve">, 38(1), pp. 192–215. </w:t>
      </w:r>
    </w:p>
    <w:p w14:paraId="4F3DF1B9">
      <w:pPr>
        <w:ind w:left="720" w:hanging="720"/>
        <w:rPr>
          <w:shd w:val="clear" w:color="auto" w:fill="FFFFFF"/>
        </w:rPr>
      </w:pPr>
      <w:r>
        <w:rPr>
          <w:shd w:val="clear" w:color="auto" w:fill="FFFFFF"/>
        </w:rPr>
        <w:t>Marsden, P. and Podszun, R., (2020). Restoring balance to digital competition–sensible rules, effective enforcement. </w:t>
      </w:r>
      <w:r>
        <w:rPr>
          <w:i/>
          <w:iCs/>
          <w:shd w:val="clear" w:color="auto" w:fill="FFFFFF"/>
        </w:rPr>
        <w:t>Berlin: Konrad-Adenauer-Stiftung</w:t>
      </w:r>
      <w:r>
        <w:rPr>
          <w:shd w:val="clear" w:color="auto" w:fill="FFFFFF"/>
        </w:rPr>
        <w:t>.</w:t>
      </w:r>
    </w:p>
    <w:p w14:paraId="166F2FDC">
      <w:pPr>
        <w:ind w:left="720" w:hanging="720"/>
      </w:pPr>
      <w:r>
        <w:t>Morgan, R.M. and Hunt, S.D., 1994. The commitment-trust theory of relationship marketing. </w:t>
      </w:r>
      <w:r>
        <w:rPr>
          <w:i/>
          <w:iCs/>
        </w:rPr>
        <w:t>Journal of marketing</w:t>
      </w:r>
      <w:r>
        <w:t>, </w:t>
      </w:r>
      <w:r>
        <w:rPr>
          <w:i/>
          <w:iCs/>
        </w:rPr>
        <w:t>58</w:t>
      </w:r>
      <w:r>
        <w:t>(3), pp.20-38.</w:t>
      </w:r>
    </w:p>
    <w:p w14:paraId="428BC2BE">
      <w:pPr>
        <w:ind w:left="720" w:hanging="720"/>
        <w:rPr>
          <w:shd w:val="clear" w:color="auto" w:fill="FFFFFF"/>
        </w:rPr>
      </w:pPr>
      <w:r>
        <w:rPr>
          <w:shd w:val="clear" w:color="auto" w:fill="FFFFFF"/>
        </w:rPr>
        <w:t>Neubert, M., (2023). Market entry form choices of multi-sided platforms in the travel booking sector. </w:t>
      </w:r>
      <w:r>
        <w:rPr>
          <w:i/>
          <w:iCs/>
          <w:shd w:val="clear" w:color="auto" w:fill="FFFFFF"/>
        </w:rPr>
        <w:t>Neubert, M.(2023). Market Entry Form Choices of Multi-Sided Platforms in the Travel Booking Sector. International Journal of Business and Management</w:t>
      </w:r>
      <w:r>
        <w:rPr>
          <w:shd w:val="clear" w:color="auto" w:fill="FFFFFF"/>
        </w:rPr>
        <w:t>, </w:t>
      </w:r>
      <w:r>
        <w:rPr>
          <w:i/>
          <w:iCs/>
          <w:shd w:val="clear" w:color="auto" w:fill="FFFFFF"/>
        </w:rPr>
        <w:t>18</w:t>
      </w:r>
      <w:r>
        <w:rPr>
          <w:shd w:val="clear" w:color="auto" w:fill="FFFFFF"/>
        </w:rPr>
        <w:t>(6), pp.222-233.</w:t>
      </w:r>
    </w:p>
    <w:p w14:paraId="06BAD93B">
      <w:pPr>
        <w:ind w:left="720" w:hanging="720"/>
        <w:rPr>
          <w:shd w:val="clear" w:color="auto" w:fill="FFFFFF"/>
        </w:rPr>
      </w:pPr>
      <w:r>
        <w:rPr>
          <w:shd w:val="clear" w:color="auto" w:fill="FFFFFF"/>
        </w:rPr>
        <w:t>Neuman, W., (2009). Business Research Methods: Qualitative and Quantitative Approaches (6th ed.). Boston: Pearson Education International.</w:t>
      </w:r>
    </w:p>
    <w:p w14:paraId="492C569E">
      <w:pPr>
        <w:ind w:left="720" w:hanging="720"/>
      </w:pPr>
      <w:r>
        <w:t>Nhu, T., 2012. Online decision making-Couch Surfers and information technologies.</w:t>
      </w:r>
    </w:p>
    <w:p w14:paraId="4503CF5A">
      <w:pPr>
        <w:ind w:left="720" w:hanging="720"/>
        <w:rPr>
          <w:shd w:val="clear" w:color="auto" w:fill="FFFFFF"/>
        </w:rPr>
      </w:pPr>
      <w:r>
        <w:rPr>
          <w:shd w:val="clear" w:color="auto" w:fill="FFFFFF"/>
        </w:rPr>
        <w:t>Nilsson, L.J., Bauer, F., Åhman, M., Andersson, F.N., Bataille, C., de la Rue du Can, S., Ericsson, K., Hansen, T., Johansson, B., Lechtenböhmer, S. and van Sluisveld, M., (2021). An industrial policy framework for transforming energy and emissions intensive industries towards zero emissions. </w:t>
      </w:r>
      <w:r>
        <w:rPr>
          <w:i/>
          <w:iCs/>
          <w:shd w:val="clear" w:color="auto" w:fill="FFFFFF"/>
        </w:rPr>
        <w:t>Climate Policy</w:t>
      </w:r>
      <w:r>
        <w:rPr>
          <w:shd w:val="clear" w:color="auto" w:fill="FFFFFF"/>
        </w:rPr>
        <w:t>, </w:t>
      </w:r>
      <w:r>
        <w:rPr>
          <w:i/>
          <w:iCs/>
          <w:shd w:val="clear" w:color="auto" w:fill="FFFFFF"/>
        </w:rPr>
        <w:t>21</w:t>
      </w:r>
      <w:r>
        <w:rPr>
          <w:shd w:val="clear" w:color="auto" w:fill="FFFFFF"/>
        </w:rPr>
        <w:t>(8), pp.1053-1065.</w:t>
      </w:r>
    </w:p>
    <w:p w14:paraId="3E369560">
      <w:pPr>
        <w:ind w:left="720" w:hanging="720"/>
      </w:pPr>
      <w:r>
        <w:rPr>
          <w:bCs/>
        </w:rPr>
        <w:t>Oliveira, B. and Teixeira Lopes, C.</w:t>
      </w:r>
      <w:r>
        <w:t xml:space="preserve"> (2023). The evolution of web search user interfaces: an archaeological analysis of Google search engine result pages. In: </w:t>
      </w:r>
      <w:r>
        <w:rPr>
          <w:i/>
          <w:iCs/>
        </w:rPr>
        <w:t>Proceedings of the 2023 Conference on Human Information Interaction and Retrieval</w:t>
      </w:r>
      <w:r>
        <w:t xml:space="preserve">, pp. 55–68. </w:t>
      </w:r>
    </w:p>
    <w:p w14:paraId="4F0D4A02">
      <w:pPr>
        <w:ind w:left="720" w:hanging="720"/>
        <w:rPr>
          <w:shd w:val="clear" w:color="auto" w:fill="FFFFFF"/>
        </w:rPr>
      </w:pPr>
      <w:r>
        <w:rPr>
          <w:shd w:val="clear" w:color="auto" w:fill="FFFFFF"/>
        </w:rPr>
        <w:t>Osborne, J.W. ed., (2008). Best practices in quantitative methods. Sage.</w:t>
      </w:r>
    </w:p>
    <w:p w14:paraId="4BDD092A">
      <w:pPr>
        <w:ind w:left="720" w:hanging="720"/>
        <w:rPr>
          <w:shd w:val="clear" w:color="auto" w:fill="FFFFFF"/>
        </w:rPr>
      </w:pPr>
      <w:r>
        <w:rPr>
          <w:shd w:val="clear" w:color="auto" w:fill="FFFFFF"/>
        </w:rPr>
        <w:t>Pandey, P. and Pandey, M., (2015). Research methodology: Tools and techniques.</w:t>
      </w:r>
    </w:p>
    <w:p w14:paraId="79B5734F">
      <w:pPr>
        <w:ind w:left="720" w:hanging="720"/>
      </w:pPr>
      <w:r>
        <w:rPr>
          <w:bCs/>
        </w:rPr>
        <w:t>Pehlivanli, A.S.</w:t>
      </w:r>
      <w:r>
        <w:t xml:space="preserve"> (2025). </w:t>
      </w:r>
      <w:r>
        <w:rPr>
          <w:i/>
          <w:iCs/>
        </w:rPr>
        <w:t>From Consumer Welfare to Fairness: A Functional Framework for Controlling Digital Markets and Beyond Under EU Competition Law</w:t>
      </w:r>
      <w:r>
        <w:t xml:space="preserve">. Doctoral dissertation, Durham University. </w:t>
      </w:r>
    </w:p>
    <w:p w14:paraId="4115A2D9">
      <w:pPr>
        <w:ind w:left="720" w:hanging="720"/>
        <w:rPr>
          <w:shd w:val="clear" w:color="auto" w:fill="FFFFFF"/>
        </w:rPr>
      </w:pPr>
      <w:r>
        <w:rPr>
          <w:shd w:val="clear" w:color="auto" w:fill="FFFFFF"/>
        </w:rPr>
        <w:t>Perren, R. and Kozinets, R.V., (2018). Lateral exchange markets: How social platforms operate in a networked economy. </w:t>
      </w:r>
      <w:r>
        <w:rPr>
          <w:i/>
          <w:iCs/>
          <w:shd w:val="clear" w:color="auto" w:fill="FFFFFF"/>
        </w:rPr>
        <w:t>Journal of marketing</w:t>
      </w:r>
      <w:r>
        <w:rPr>
          <w:shd w:val="clear" w:color="auto" w:fill="FFFFFF"/>
        </w:rPr>
        <w:t>, </w:t>
      </w:r>
      <w:r>
        <w:rPr>
          <w:i/>
          <w:iCs/>
          <w:shd w:val="clear" w:color="auto" w:fill="FFFFFF"/>
        </w:rPr>
        <w:t>82</w:t>
      </w:r>
      <w:r>
        <w:rPr>
          <w:shd w:val="clear" w:color="auto" w:fill="FFFFFF"/>
        </w:rPr>
        <w:t>(1), pp.20-36.</w:t>
      </w:r>
    </w:p>
    <w:p w14:paraId="76153020">
      <w:pPr>
        <w:ind w:left="720" w:hanging="720"/>
        <w:rPr>
          <w:shd w:val="clear" w:color="auto" w:fill="FFFFFF"/>
        </w:rPr>
      </w:pPr>
      <w:r>
        <w:rPr>
          <w:shd w:val="clear" w:color="auto" w:fill="FFFFFF"/>
        </w:rPr>
        <w:t>Peterson, K. and Poli, R., (2014). New Research on The Philosophy of Nicolai Hartmann.</w:t>
      </w:r>
    </w:p>
    <w:p w14:paraId="25E43EE7">
      <w:pPr>
        <w:ind w:left="720" w:hanging="720"/>
      </w:pPr>
      <w:r>
        <w:t>Pirolli, P. and Card, S., 1999. Information foraging. </w:t>
      </w:r>
      <w:r>
        <w:rPr>
          <w:i/>
          <w:iCs/>
        </w:rPr>
        <w:t>Psychological review</w:t>
      </w:r>
      <w:r>
        <w:t>, </w:t>
      </w:r>
      <w:r>
        <w:rPr>
          <w:i/>
          <w:iCs/>
        </w:rPr>
        <w:t>106</w:t>
      </w:r>
      <w:r>
        <w:t>(4), p.643.</w:t>
      </w:r>
    </w:p>
    <w:p w14:paraId="404DE063">
      <w:pPr>
        <w:ind w:left="720" w:hanging="720"/>
      </w:pPr>
      <w:r>
        <w:t>Prosviryakova, M., Misra, G., Le Digabel, S., Villatoro, R. and RecTour2024, B., 2024. Journey to Centralizing Destination Recommendations. In </w:t>
      </w:r>
      <w:r>
        <w:rPr>
          <w:i/>
          <w:iCs/>
        </w:rPr>
        <w:t>RecTour@ RecSys</w:t>
      </w:r>
      <w:r>
        <w:t> (pp. 74-81).</w:t>
      </w:r>
    </w:p>
    <w:p w14:paraId="06A5FFD9">
      <w:pPr>
        <w:ind w:left="720" w:hanging="720"/>
        <w:rPr>
          <w:shd w:val="clear" w:color="auto" w:fill="FFFFFF"/>
        </w:rPr>
      </w:pPr>
      <w:r>
        <w:rPr>
          <w:shd w:val="clear" w:color="auto" w:fill="FFFFFF"/>
        </w:rPr>
        <w:t>Quirós, N., (2025). </w:t>
      </w:r>
      <w:r>
        <w:rPr>
          <w:i/>
          <w:iCs/>
          <w:shd w:val="clear" w:color="auto" w:fill="FFFFFF"/>
        </w:rPr>
        <w:t>Who benefits from Google’s SERP? The impact of the DMA on the Air Travel Market</w:t>
      </w:r>
      <w:r>
        <w:rPr>
          <w:shd w:val="clear" w:color="auto" w:fill="FFFFFF"/>
        </w:rPr>
        <w:t> (Doctoral dissertation, Master’s thesis. Universitat de Barcelona. URL: https://hdl. handle. net/2445/221701. treballs Finals del Master d’Economia, Facultat d’Economia i Empresa, Universitat de Barcelona. Tutor: Joan Calzada).</w:t>
      </w:r>
    </w:p>
    <w:p w14:paraId="2954DF0E">
      <w:pPr>
        <w:ind w:left="720" w:hanging="720"/>
        <w:rPr>
          <w:shd w:val="clear" w:color="auto" w:fill="FFFFFF"/>
        </w:rPr>
      </w:pPr>
      <w:r>
        <w:rPr>
          <w:shd w:val="clear" w:color="auto" w:fill="FFFFFF"/>
        </w:rPr>
        <w:t>Ribera Martínez, A., (2023). Rocking the Contestability and Fairness Foundations: Multi-Level Governance and Trust Relations for Futureproofing the DMA’s Effectiveness. In </w:t>
      </w:r>
      <w:r>
        <w:rPr>
          <w:i/>
          <w:iCs/>
          <w:shd w:val="clear" w:color="auto" w:fill="FFFFFF"/>
        </w:rPr>
        <w:t>European Yearbook of International Economic Law 2023</w:t>
      </w:r>
      <w:r>
        <w:rPr>
          <w:shd w:val="clear" w:color="auto" w:fill="FFFFFF"/>
        </w:rPr>
        <w:t> (pp. 309-343). Cham: Springer Nature Switzerland.</w:t>
      </w:r>
    </w:p>
    <w:p w14:paraId="37FDF0E8">
      <w:pPr>
        <w:ind w:left="720" w:hanging="720"/>
        <w:rPr>
          <w:shd w:val="clear" w:color="auto" w:fill="FFFFFF"/>
        </w:rPr>
      </w:pPr>
      <w:r>
        <w:rPr>
          <w:shd w:val="clear" w:color="auto" w:fill="FFFFFF"/>
        </w:rPr>
        <w:t>Roberts, P. and Perez, E., (2013). Ethics Research Compendium. New York: Nova Publishers.</w:t>
      </w:r>
    </w:p>
    <w:p w14:paraId="240FBF70">
      <w:pPr>
        <w:ind w:left="720" w:hanging="720"/>
        <w:rPr>
          <w:shd w:val="clear" w:color="auto" w:fill="FFFFFF"/>
        </w:rPr>
      </w:pPr>
      <w:r>
        <w:rPr>
          <w:shd w:val="clear" w:color="auto" w:fill="FFFFFF"/>
        </w:rPr>
        <w:t>Rocque, R.J., Beaudoin, C., Ndjaboue, R., Cameron, L., Poirier-Bergeron, L., Poulin-Rheault, R.A., Fallon, C., Tricco, A.C. and Witteman, H.O., (2021). Health effects of climate change: an overview of systematic reviews. </w:t>
      </w:r>
      <w:r>
        <w:rPr>
          <w:i/>
          <w:iCs/>
          <w:shd w:val="clear" w:color="auto" w:fill="FFFFFF"/>
        </w:rPr>
        <w:t>BMJ open</w:t>
      </w:r>
      <w:r>
        <w:rPr>
          <w:shd w:val="clear" w:color="auto" w:fill="FFFFFF"/>
        </w:rPr>
        <w:t>, </w:t>
      </w:r>
      <w:r>
        <w:rPr>
          <w:i/>
          <w:iCs/>
          <w:shd w:val="clear" w:color="auto" w:fill="FFFFFF"/>
        </w:rPr>
        <w:t>11</w:t>
      </w:r>
      <w:r>
        <w:rPr>
          <w:shd w:val="clear" w:color="auto" w:fill="FFFFFF"/>
        </w:rPr>
        <w:t>(6), p.e046333.</w:t>
      </w:r>
    </w:p>
    <w:p w14:paraId="0B2FE649">
      <w:pPr>
        <w:ind w:left="720" w:hanging="720"/>
        <w:rPr>
          <w:shd w:val="clear" w:color="auto" w:fill="FFFFFF"/>
        </w:rPr>
      </w:pPr>
      <w:r>
        <w:rPr>
          <w:shd w:val="clear" w:color="auto" w:fill="FFFFFF"/>
        </w:rPr>
        <w:t>Ryan, B., Scapens, R. and Theobold, M., (2017). Research Method and Methodology in Finance and Accounting. London [U.A.]: South-Western Cengage Learning.</w:t>
      </w:r>
    </w:p>
    <w:p w14:paraId="47A233A5">
      <w:pPr>
        <w:ind w:left="720" w:hanging="720"/>
        <w:rPr>
          <w:shd w:val="clear" w:color="auto" w:fill="FFFFFF"/>
          <w:lang w:val="en-GB"/>
        </w:rPr>
      </w:pPr>
      <w:r>
        <w:rPr>
          <w:shd w:val="clear" w:color="auto" w:fill="FFFFFF"/>
          <w:lang w:val="en-GB"/>
        </w:rPr>
        <w:t xml:space="preserve">Sandle, P. (2025). UK politics blunts antitrust action against Google. </w:t>
      </w:r>
      <w:r>
        <w:rPr>
          <w:i/>
          <w:iCs/>
          <w:shd w:val="clear" w:color="auto" w:fill="FFFFFF"/>
          <w:lang w:val="en-GB"/>
        </w:rPr>
        <w:t>Reuters</w:t>
      </w:r>
      <w:r>
        <w:rPr>
          <w:shd w:val="clear" w:color="auto" w:fill="FFFFFF"/>
          <w:lang w:val="en-GB"/>
        </w:rPr>
        <w:t>. [online] 25 June. Available at: https://www.reuters.com/legal/litigation/uk-politics-blunts-antitrust-action-against-google-2025-06-25/ [Accessed 27 Aug. 2026].</w:t>
      </w:r>
    </w:p>
    <w:p w14:paraId="34A41277">
      <w:pPr>
        <w:ind w:left="720" w:hanging="720"/>
      </w:pPr>
      <w:r>
        <w:t>Saunders, M., Lewis, P., Thornhill, A. and Bristow, A., (2015). Understanding Research Philosophy and Approaches to Theory Development.</w:t>
      </w:r>
    </w:p>
    <w:p w14:paraId="15652AB0">
      <w:pPr>
        <w:ind w:left="720" w:hanging="720"/>
        <w:rPr>
          <w:shd w:val="clear" w:color="auto" w:fill="FFFFFF"/>
        </w:rPr>
      </w:pPr>
      <w:r>
        <w:rPr>
          <w:shd w:val="clear" w:color="auto" w:fill="FFFFFF"/>
        </w:rPr>
        <w:t>Schor, J.B., Attwood-Charles, W., Cansoy, M., Ladegaard, I. and Wengronowitz, R., (2020). Dependence and precarity in the platform economy. </w:t>
      </w:r>
      <w:r>
        <w:rPr>
          <w:i/>
          <w:iCs/>
          <w:shd w:val="clear" w:color="auto" w:fill="FFFFFF"/>
        </w:rPr>
        <w:t>Theory and society</w:t>
      </w:r>
      <w:r>
        <w:rPr>
          <w:shd w:val="clear" w:color="auto" w:fill="FFFFFF"/>
        </w:rPr>
        <w:t>, </w:t>
      </w:r>
      <w:r>
        <w:rPr>
          <w:i/>
          <w:iCs/>
          <w:shd w:val="clear" w:color="auto" w:fill="FFFFFF"/>
        </w:rPr>
        <w:t>49</w:t>
      </w:r>
      <w:r>
        <w:rPr>
          <w:shd w:val="clear" w:color="auto" w:fill="FFFFFF"/>
        </w:rPr>
        <w:t>(5), pp.833-861.</w:t>
      </w:r>
    </w:p>
    <w:p w14:paraId="6523520A">
      <w:pPr>
        <w:ind w:left="720" w:hanging="720"/>
        <w:rPr>
          <w:shd w:val="clear" w:color="auto" w:fill="FFFFFF"/>
        </w:rPr>
      </w:pPr>
      <w:r>
        <w:rPr>
          <w:shd w:val="clear" w:color="auto" w:fill="FFFFFF"/>
        </w:rPr>
        <w:t>Schostak, J., (2015). Interviewing And Representation in Qualitative Research. Maidenhead, England: Open University Press.</w:t>
      </w:r>
    </w:p>
    <w:p w14:paraId="170F3B01">
      <w:pPr>
        <w:ind w:left="720" w:hanging="720"/>
        <w:rPr>
          <w:shd w:val="clear" w:color="auto" w:fill="FFFFFF"/>
        </w:rPr>
      </w:pPr>
      <w:r>
        <w:rPr>
          <w:shd w:val="clear" w:color="auto" w:fill="FFFFFF"/>
        </w:rPr>
        <w:t>Shrader-Frechette, K., (2013). Ethics Of Scientific Research. Lanham, Md.: Rowman &amp; Littlefield.</w:t>
      </w:r>
    </w:p>
    <w:p w14:paraId="3E574205">
      <w:pPr>
        <w:ind w:left="720" w:hanging="720"/>
        <w:rPr>
          <w:shd w:val="clear" w:color="auto" w:fill="FFFFFF"/>
        </w:rPr>
      </w:pPr>
      <w:r>
        <w:rPr>
          <w:shd w:val="clear" w:color="auto" w:fill="FFFFFF"/>
        </w:rPr>
        <w:t>Stucke, M.E., (2022). </w:t>
      </w:r>
      <w:r>
        <w:rPr>
          <w:i/>
          <w:iCs/>
          <w:shd w:val="clear" w:color="auto" w:fill="FFFFFF"/>
        </w:rPr>
        <w:t>Breaking away: How to regain control over our data, privacy, and autonomy</w:t>
      </w:r>
      <w:r>
        <w:rPr>
          <w:shd w:val="clear" w:color="auto" w:fill="FFFFFF"/>
        </w:rPr>
        <w:t>. Oxford University Press.</w:t>
      </w:r>
    </w:p>
    <w:p w14:paraId="348C9D8C">
      <w:pPr>
        <w:ind w:left="720" w:hanging="720"/>
      </w:pPr>
      <w:r>
        <w:rPr>
          <w:bCs/>
        </w:rPr>
        <w:t>Triana, L., Saputro, W.T. and Chirzah, D., 2026. Sentiment Analysis of the Skyscanner Application on Google Play Store with a Comparison of Naive Bayes and Support Vector Machines. </w:t>
      </w:r>
      <w:r>
        <w:rPr>
          <w:bCs/>
          <w:i/>
          <w:iCs/>
        </w:rPr>
        <w:t>Journal of Computer Science, Information Technology and Telecommunication Engineering</w:t>
      </w:r>
      <w:r>
        <w:rPr>
          <w:bCs/>
        </w:rPr>
        <w:t>, </w:t>
      </w:r>
      <w:r>
        <w:rPr>
          <w:bCs/>
          <w:i/>
          <w:iCs/>
        </w:rPr>
        <w:t>7</w:t>
      </w:r>
      <w:r>
        <w:rPr>
          <w:bCs/>
        </w:rPr>
        <w:t>(1), pp.1093-1100.</w:t>
      </w:r>
      <w:r>
        <w:t xml:space="preserve"> </w:t>
      </w:r>
    </w:p>
    <w:p w14:paraId="1184D4A3">
      <w:pPr>
        <w:ind w:left="720" w:hanging="720"/>
        <w:rPr>
          <w:shd w:val="clear" w:color="auto" w:fill="FFFFFF"/>
          <w:lang w:val="en-GB"/>
        </w:rPr>
      </w:pPr>
      <w:r>
        <w:rPr>
          <w:shd w:val="clear" w:color="auto" w:fill="FFFFFF"/>
          <w:lang w:val="en-GB"/>
        </w:rPr>
        <w:t xml:space="preserve">Trip.com (2025). </w:t>
      </w:r>
      <w:r>
        <w:rPr>
          <w:i/>
          <w:iCs/>
          <w:shd w:val="clear" w:color="auto" w:fill="FFFFFF"/>
          <w:lang w:val="en-GB"/>
        </w:rPr>
        <w:t>Trip.com Annual Report</w:t>
      </w:r>
      <w:r>
        <w:rPr>
          <w:shd w:val="clear" w:color="auto" w:fill="FFFFFF"/>
          <w:lang w:val="en-GB"/>
        </w:rPr>
        <w:t>. [online] Available at: https://investors.trip.com/system/files-encrypted/nasdaq_kms/assets/2026/04/28/7-57-44/TCOM%2020F_04282026.pdf.</w:t>
      </w:r>
    </w:p>
    <w:p w14:paraId="2FDE1D59">
      <w:pPr>
        <w:ind w:left="720" w:hanging="720"/>
      </w:pPr>
      <w:r>
        <w:t>Valentinas, N., Petrokė, I., Urbański, M. and Soboleva, O., 2022. Macroeconomic factors influencing the development of the sharing economy in the Lithuanian tourism sector. </w:t>
      </w:r>
      <w:r>
        <w:rPr>
          <w:i/>
          <w:iCs/>
        </w:rPr>
        <w:t>Journal of Tourism and Services</w:t>
      </w:r>
      <w:r>
        <w:t>, </w:t>
      </w:r>
      <w:r>
        <w:rPr>
          <w:i/>
          <w:iCs/>
        </w:rPr>
        <w:t>13</w:t>
      </w:r>
      <w:r>
        <w:t>(25), pp.248-266.</w:t>
      </w:r>
    </w:p>
    <w:p w14:paraId="7718B8A5">
      <w:pPr>
        <w:ind w:left="720" w:hanging="720"/>
        <w:rPr>
          <w:shd w:val="clear" w:color="auto" w:fill="FFFFFF"/>
        </w:rPr>
      </w:pPr>
      <w:r>
        <w:rPr>
          <w:shd w:val="clear" w:color="auto" w:fill="FFFFFF"/>
        </w:rPr>
        <w:t>Van Cleynenbreugel, P., (2019). Private damages actions in EU competition law and restorative justice: Towards a more streamlined institutional framework?. </w:t>
      </w:r>
      <w:r>
        <w:rPr>
          <w:i/>
          <w:iCs/>
          <w:shd w:val="clear" w:color="auto" w:fill="FFFFFF"/>
        </w:rPr>
        <w:t>Mkt. &amp; Competition L. Rev.</w:t>
      </w:r>
      <w:r>
        <w:rPr>
          <w:shd w:val="clear" w:color="auto" w:fill="FFFFFF"/>
        </w:rPr>
        <w:t>, </w:t>
      </w:r>
      <w:r>
        <w:rPr>
          <w:i/>
          <w:iCs/>
          <w:shd w:val="clear" w:color="auto" w:fill="FFFFFF"/>
        </w:rPr>
        <w:t>3</w:t>
      </w:r>
      <w:r>
        <w:rPr>
          <w:shd w:val="clear" w:color="auto" w:fill="FFFFFF"/>
        </w:rPr>
        <w:t>, p.15.</w:t>
      </w:r>
    </w:p>
    <w:p w14:paraId="0A707F91">
      <w:pPr>
        <w:ind w:left="720" w:hanging="720"/>
        <w:rPr>
          <w:shd w:val="clear" w:color="auto" w:fill="FFFFFF"/>
        </w:rPr>
      </w:pPr>
      <w:r>
        <w:rPr>
          <w:shd w:val="clear" w:color="auto" w:fill="FFFFFF"/>
        </w:rPr>
        <w:t>Van den Boom, J., (2023). What does the Digital Markets Act harmonize?–exploring interactions between the DMA and national competition laws. </w:t>
      </w:r>
      <w:r>
        <w:rPr>
          <w:i/>
          <w:iCs/>
          <w:shd w:val="clear" w:color="auto" w:fill="FFFFFF"/>
        </w:rPr>
        <w:t>European Competition Journal</w:t>
      </w:r>
      <w:r>
        <w:rPr>
          <w:shd w:val="clear" w:color="auto" w:fill="FFFFFF"/>
        </w:rPr>
        <w:t>, </w:t>
      </w:r>
      <w:r>
        <w:rPr>
          <w:i/>
          <w:iCs/>
          <w:shd w:val="clear" w:color="auto" w:fill="FFFFFF"/>
        </w:rPr>
        <w:t>19</w:t>
      </w:r>
      <w:r>
        <w:rPr>
          <w:shd w:val="clear" w:color="auto" w:fill="FFFFFF"/>
        </w:rPr>
        <w:t>(1), pp.57-85.</w:t>
      </w:r>
    </w:p>
    <w:p w14:paraId="18DA8744">
      <w:pPr>
        <w:ind w:left="720" w:hanging="720"/>
        <w:rPr>
          <w:shd w:val="clear" w:color="auto" w:fill="FFFFFF"/>
        </w:rPr>
      </w:pPr>
      <w:r>
        <w:rPr>
          <w:shd w:val="clear" w:color="auto" w:fill="FFFFFF"/>
        </w:rPr>
        <w:t>Van Dijck, J., Poell, T. and De Waal, M., (2018). </w:t>
      </w:r>
      <w:r>
        <w:rPr>
          <w:i/>
          <w:iCs/>
          <w:shd w:val="clear" w:color="auto" w:fill="FFFFFF"/>
        </w:rPr>
        <w:t>The platform society: Public values in a connective world</w:t>
      </w:r>
      <w:r>
        <w:rPr>
          <w:shd w:val="clear" w:color="auto" w:fill="FFFFFF"/>
        </w:rPr>
        <w:t>. Oxford university press.</w:t>
      </w:r>
    </w:p>
    <w:p w14:paraId="1283E7EA">
      <w:pPr>
        <w:ind w:left="720" w:hanging="720"/>
        <w:rPr>
          <w:shd w:val="clear" w:color="auto" w:fill="FFFFFF"/>
        </w:rPr>
      </w:pPr>
      <w:r>
        <w:rPr>
          <w:shd w:val="clear" w:color="auto" w:fill="FFFFFF"/>
        </w:rPr>
        <w:t>Vartanian, T., (2011). Secondary Data Analysis. New York: Oxford University Press.</w:t>
      </w:r>
    </w:p>
    <w:p w14:paraId="6964B5ED">
      <w:pPr>
        <w:ind w:left="720" w:hanging="720"/>
        <w:rPr>
          <w:shd w:val="clear" w:color="auto" w:fill="FFFFFF"/>
        </w:rPr>
      </w:pPr>
      <w:r>
        <w:rPr>
          <w:shd w:val="clear" w:color="auto" w:fill="FFFFFF"/>
        </w:rPr>
        <w:t>Wibowo, S., Susetyo, H. and Bustani, S., (2025). Reconstruction of Criminal Regulation Toward Victims of Trademark Infringement in Indonesia. </w:t>
      </w:r>
      <w:r>
        <w:rPr>
          <w:i/>
          <w:iCs/>
          <w:shd w:val="clear" w:color="auto" w:fill="FFFFFF"/>
        </w:rPr>
        <w:t>Asian Journal of Social and Humanities</w:t>
      </w:r>
      <w:r>
        <w:rPr>
          <w:shd w:val="clear" w:color="auto" w:fill="FFFFFF"/>
        </w:rPr>
        <w:t>, </w:t>
      </w:r>
      <w:r>
        <w:rPr>
          <w:i/>
          <w:iCs/>
          <w:shd w:val="clear" w:color="auto" w:fill="FFFFFF"/>
        </w:rPr>
        <w:t>4</w:t>
      </w:r>
      <w:r>
        <w:rPr>
          <w:shd w:val="clear" w:color="auto" w:fill="FFFFFF"/>
        </w:rPr>
        <w:t>(1), pp.2246-2264.</w:t>
      </w:r>
    </w:p>
    <w:p w14:paraId="57A42E98">
      <w:pPr>
        <w:ind w:left="720" w:hanging="720"/>
        <w:rPr>
          <w:shd w:val="clear" w:color="auto" w:fill="FFFFFF"/>
        </w:rPr>
      </w:pPr>
      <w:r>
        <w:rPr>
          <w:shd w:val="clear" w:color="auto" w:fill="FFFFFF"/>
        </w:rPr>
        <w:t>Willie, P., (2019). Can all sectors of the hospitality and tourism industry be influenced by the innovation of blockchain technology?. </w:t>
      </w:r>
      <w:r>
        <w:rPr>
          <w:i/>
          <w:iCs/>
          <w:shd w:val="clear" w:color="auto" w:fill="FFFFFF"/>
        </w:rPr>
        <w:t>Worldwide Hospitality and Tourism Themes</w:t>
      </w:r>
      <w:r>
        <w:rPr>
          <w:shd w:val="clear" w:color="auto" w:fill="FFFFFF"/>
        </w:rPr>
        <w:t>, </w:t>
      </w:r>
      <w:r>
        <w:rPr>
          <w:i/>
          <w:iCs/>
          <w:shd w:val="clear" w:color="auto" w:fill="FFFFFF"/>
        </w:rPr>
        <w:t>11</w:t>
      </w:r>
      <w:r>
        <w:rPr>
          <w:shd w:val="clear" w:color="auto" w:fill="FFFFFF"/>
        </w:rPr>
        <w:t>(2), pp.112-120.</w:t>
      </w:r>
    </w:p>
    <w:p w14:paraId="509C73D4">
      <w:pPr>
        <w:ind w:left="720" w:hanging="720"/>
      </w:pPr>
      <w:r>
        <w:rPr>
          <w:bCs/>
        </w:rPr>
        <w:t>Wrigg, C.</w:t>
      </w:r>
      <w:r>
        <w:t xml:space="preserve"> (2025). </w:t>
      </w:r>
      <w:r>
        <w:rPr>
          <w:i/>
          <w:iCs/>
        </w:rPr>
        <w:t>Strategic Optimization of the European Full-Service Network Carrier Business Model</w:t>
      </w:r>
      <w:r>
        <w:t xml:space="preserve">. Master's thesis, Universidade NOVA de Lisboa. </w:t>
      </w:r>
    </w:p>
    <w:p w14:paraId="1D147A76">
      <w:pPr>
        <w:ind w:left="720" w:hanging="720"/>
        <w:rPr>
          <w:shd w:val="clear" w:color="auto" w:fill="FFFFFF"/>
        </w:rPr>
      </w:pPr>
      <w:r>
        <w:rPr>
          <w:shd w:val="clear" w:color="auto" w:fill="FFFFFF"/>
        </w:rPr>
        <w:t>Yang, E.C.L., Liang, A.R.D. and Lin, J.H., (2025). A market segmentation study of solo travel intentions and constraints. </w:t>
      </w:r>
      <w:r>
        <w:rPr>
          <w:i/>
          <w:iCs/>
          <w:shd w:val="clear" w:color="auto" w:fill="FFFFFF"/>
        </w:rPr>
        <w:t>Journal of Hospitality &amp; Tourism Research</w:t>
      </w:r>
      <w:r>
        <w:rPr>
          <w:shd w:val="clear" w:color="auto" w:fill="FFFFFF"/>
        </w:rPr>
        <w:t>, </w:t>
      </w:r>
      <w:r>
        <w:rPr>
          <w:i/>
          <w:iCs/>
          <w:shd w:val="clear" w:color="auto" w:fill="FFFFFF"/>
        </w:rPr>
        <w:t>49</w:t>
      </w:r>
      <w:r>
        <w:rPr>
          <w:shd w:val="clear" w:color="auto" w:fill="FFFFFF"/>
        </w:rPr>
        <w:t>(1), pp.132-145.</w:t>
      </w:r>
    </w:p>
    <w:p w14:paraId="35AAD0AB">
      <w:pPr>
        <w:ind w:left="720" w:hanging="720"/>
        <w:rPr>
          <w:shd w:val="clear" w:color="auto" w:fill="FFFFFF"/>
        </w:rPr>
      </w:pPr>
      <w:r>
        <w:rPr>
          <w:shd w:val="clear" w:color="auto" w:fill="FFFFFF"/>
        </w:rPr>
        <w:t>Zeqiri, A., Ben Youssef, A. and Maherzi Zahar, T., (2025). The role of digital tourism platforms in advancing sustainable development goals in the industry 4.0 era. </w:t>
      </w:r>
      <w:r>
        <w:rPr>
          <w:i/>
          <w:iCs/>
          <w:shd w:val="clear" w:color="auto" w:fill="FFFFFF"/>
        </w:rPr>
        <w:t>Sustainability</w:t>
      </w:r>
      <w:r>
        <w:rPr>
          <w:shd w:val="clear" w:color="auto" w:fill="FFFFFF"/>
        </w:rPr>
        <w:t>, </w:t>
      </w:r>
      <w:r>
        <w:rPr>
          <w:i/>
          <w:iCs/>
          <w:shd w:val="clear" w:color="auto" w:fill="FFFFFF"/>
        </w:rPr>
        <w:t>17</w:t>
      </w:r>
      <w:r>
        <w:rPr>
          <w:shd w:val="clear" w:color="auto" w:fill="FFFFFF"/>
        </w:rPr>
        <w:t>(8), p.3482.</w:t>
      </w:r>
    </w:p>
    <w:p w14:paraId="7513F4C1">
      <w:pPr>
        <w:ind w:left="720" w:hanging="720"/>
        <w:rPr>
          <w:shd w:val="clear" w:color="auto" w:fill="FFFFFF"/>
        </w:rPr>
      </w:pPr>
      <w:r>
        <w:rPr>
          <w:shd w:val="clear" w:color="auto" w:fill="FFFFFF"/>
        </w:rPr>
        <w:t>Zheng, S., Wu, M. and Liao, J., (2023). The impact of destination live streaming on viewers’ travel intention. </w:t>
      </w:r>
      <w:r>
        <w:rPr>
          <w:i/>
          <w:iCs/>
          <w:shd w:val="clear" w:color="auto" w:fill="FFFFFF"/>
        </w:rPr>
        <w:t>Current Issues in Tourism</w:t>
      </w:r>
      <w:r>
        <w:rPr>
          <w:shd w:val="clear" w:color="auto" w:fill="FFFFFF"/>
        </w:rPr>
        <w:t>, </w:t>
      </w:r>
      <w:r>
        <w:rPr>
          <w:i/>
          <w:iCs/>
          <w:shd w:val="clear" w:color="auto" w:fill="FFFFFF"/>
        </w:rPr>
        <w:t>26</w:t>
      </w:r>
      <w:r>
        <w:rPr>
          <w:shd w:val="clear" w:color="auto" w:fill="FFFFFF"/>
        </w:rPr>
        <w:t>(2), pp.184-198.</w:t>
      </w:r>
    </w:p>
    <w:p w14:paraId="3DC5CAD3">
      <w:pPr>
        <w:ind w:left="720" w:hanging="720"/>
        <w:rPr>
          <w:shd w:val="clear" w:color="auto" w:fill="FFFFFF"/>
        </w:rPr>
      </w:pPr>
      <w:r>
        <w:rPr>
          <w:shd w:val="clear" w:color="auto" w:fill="FFFFFF"/>
        </w:rPr>
        <w:t>Zikmud, W., Babin, B. and Griffin, M. (2013). Business research methods. Mason, Ohio: South-Western.</w:t>
      </w:r>
    </w:p>
    <w:sectPr>
      <w:headerReference r:id="rId7" w:type="first"/>
      <w:footerReference r:id="rId10" w:type="first"/>
      <w:headerReference r:id="rId5" w:type="default"/>
      <w:footerReference r:id="rId8" w:type="default"/>
      <w:headerReference r:id="rId6" w:type="even"/>
      <w:footerReference r:id="rId9" w:type="even"/>
      <w:pgSz w:w="12240" w:h="15840"/>
      <w:pgMar w:top="1440" w:right="1800" w:bottom="1728" w:left="1800" w:header="720" w:footer="144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86"/>
    <w:family w:val="swiss"/>
    <w:pitch w:val="default"/>
    <w:sig w:usb0="00000000" w:usb1="00000000" w:usb2="00000000" w:usb3="00000000" w:csb0="0000019F" w:csb1="00000000"/>
  </w:font>
  <w:font w:name="Aptos">
    <w:altName w:val="Segoe UI"/>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Aptos Display">
    <w:altName w:val="Arial"/>
    <w:panose1 w:val="00000000000000000000"/>
    <w:charset w:val="00"/>
    <w:family w:val="swiss"/>
    <w:pitch w:val="default"/>
    <w:sig w:usb0="00000000" w:usb1="00000000" w:usb2="00000000" w:usb3="00000000" w:csb0="0000019F" w:csb1="00000000"/>
  </w:font>
  <w:font w:name="Segoe UI">
    <w:panose1 w:val="020B0502040204020203"/>
    <w:charset w:val="00"/>
    <w:family w:val="swiss"/>
    <w:pitch w:val="default"/>
    <w:sig w:usb0="E4002EFF" w:usb1="C000E47F"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849A64">
    <w:pPr>
      <w:pStyle w:val="18"/>
      <w:framePr w:wrap="around" w:vAnchor="text" w:hAnchor="margin" w:xAlign="center" w:y="1"/>
      <w:rPr>
        <w:rStyle w:val="22"/>
        <w:rFonts w:eastAsiaTheme="majorEastAsia"/>
      </w:rPr>
    </w:pPr>
    <w:r>
      <w:rPr>
        <w:rStyle w:val="22"/>
        <w:rFonts w:eastAsiaTheme="majorEastAsia"/>
      </w:rPr>
      <w:fldChar w:fldCharType="begin"/>
    </w:r>
    <w:r>
      <w:rPr>
        <w:rStyle w:val="22"/>
        <w:rFonts w:eastAsiaTheme="majorEastAsia"/>
      </w:rPr>
      <w:instrText xml:space="preserve">PAGE  </w:instrText>
    </w:r>
    <w:r>
      <w:rPr>
        <w:rStyle w:val="22"/>
        <w:rFonts w:eastAsiaTheme="majorEastAsia"/>
      </w:rPr>
      <w:fldChar w:fldCharType="separate"/>
    </w:r>
    <w:r>
      <w:rPr>
        <w:rStyle w:val="22"/>
        <w:rFonts w:eastAsiaTheme="majorEastAsia"/>
      </w:rPr>
      <w:t>93</w:t>
    </w:r>
    <w:r>
      <w:rPr>
        <w:rStyle w:val="22"/>
        <w:rFonts w:eastAsiaTheme="majorEastAsia"/>
      </w:rPr>
      <w:fldChar w:fldCharType="end"/>
    </w:r>
  </w:p>
  <w:p w14:paraId="5923D714">
    <w:pPr>
      <w:pStyle w:val="1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B514672">
    <w:pPr>
      <w:pStyle w:val="1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71F0DFA">
    <w:pPr>
      <w:pStyle w:val="1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BCB537">
    <w:pPr>
      <w:pStyle w:val="19"/>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4DF8FD8">
    <w:pPr>
      <w:pStyle w:val="19"/>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843E670">
    <w:pPr>
      <w:pStyle w:val="1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7F92F32"/>
    <w:multiLevelType w:val="multilevel"/>
    <w:tmpl w:val="27F92F3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336502A"/>
    <w:multiLevelType w:val="multilevel"/>
    <w:tmpl w:val="3336502A"/>
    <w:lvl w:ilvl="0" w:tentative="0">
      <w:start w:val="1"/>
      <w:numFmt w:val="decimal"/>
      <w:lvlText w:val="%1."/>
      <w:lvlJc w:val="left"/>
      <w:pPr>
        <w:ind w:left="720" w:hanging="360"/>
      </w:pPr>
      <w:rPr>
        <w:rFonts w:hint="default"/>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7C6781E"/>
    <w:multiLevelType w:val="multilevel"/>
    <w:tmpl w:val="37C6781E"/>
    <w:lvl w:ilvl="0" w:tentative="0">
      <w:start w:val="1"/>
      <w:numFmt w:val="decimal"/>
      <w:lvlText w:val="%1."/>
      <w:lvlJc w:val="left"/>
      <w:pPr>
        <w:ind w:left="720" w:hanging="360"/>
      </w:pPr>
      <w:rPr>
        <w:rFonts w:hint="default"/>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52D92903"/>
    <w:multiLevelType w:val="multilevel"/>
    <w:tmpl w:val="52D9290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NDIxNTE3NjIxtLA0NDZT0lEKTi0uzszPAykwMqsFAL0yciktAAAA"/>
  </w:docVars>
  <w:rsids>
    <w:rsidRoot w:val="00FD2ACE"/>
    <w:rsid w:val="00006915"/>
    <w:rsid w:val="00007634"/>
    <w:rsid w:val="0001306E"/>
    <w:rsid w:val="00031024"/>
    <w:rsid w:val="000317FC"/>
    <w:rsid w:val="00035E29"/>
    <w:rsid w:val="00047CBD"/>
    <w:rsid w:val="0005115C"/>
    <w:rsid w:val="0005478E"/>
    <w:rsid w:val="000573FF"/>
    <w:rsid w:val="00060B09"/>
    <w:rsid w:val="000667B6"/>
    <w:rsid w:val="000709D7"/>
    <w:rsid w:val="0007562B"/>
    <w:rsid w:val="00083E85"/>
    <w:rsid w:val="000A5B14"/>
    <w:rsid w:val="000B5CCF"/>
    <w:rsid w:val="000B6DDC"/>
    <w:rsid w:val="000C163C"/>
    <w:rsid w:val="000C1641"/>
    <w:rsid w:val="000C45F2"/>
    <w:rsid w:val="000C555A"/>
    <w:rsid w:val="000D070C"/>
    <w:rsid w:val="000D20B9"/>
    <w:rsid w:val="000E5F96"/>
    <w:rsid w:val="000F5192"/>
    <w:rsid w:val="000F59B5"/>
    <w:rsid w:val="000F7D5B"/>
    <w:rsid w:val="00101BAF"/>
    <w:rsid w:val="00105931"/>
    <w:rsid w:val="00112CC2"/>
    <w:rsid w:val="00115213"/>
    <w:rsid w:val="001211FB"/>
    <w:rsid w:val="001213E7"/>
    <w:rsid w:val="00125B42"/>
    <w:rsid w:val="00133E51"/>
    <w:rsid w:val="00150229"/>
    <w:rsid w:val="00160369"/>
    <w:rsid w:val="0017119F"/>
    <w:rsid w:val="00197B21"/>
    <w:rsid w:val="001A6CAA"/>
    <w:rsid w:val="001A775C"/>
    <w:rsid w:val="001B1534"/>
    <w:rsid w:val="001B5D98"/>
    <w:rsid w:val="001C35D9"/>
    <w:rsid w:val="001C5CC6"/>
    <w:rsid w:val="001C62FB"/>
    <w:rsid w:val="001C633D"/>
    <w:rsid w:val="001C65E4"/>
    <w:rsid w:val="001D2BC0"/>
    <w:rsid w:val="001D54B0"/>
    <w:rsid w:val="001E3D05"/>
    <w:rsid w:val="001E6CCE"/>
    <w:rsid w:val="001F3AC6"/>
    <w:rsid w:val="00241FEA"/>
    <w:rsid w:val="002432DC"/>
    <w:rsid w:val="002613D5"/>
    <w:rsid w:val="00271E83"/>
    <w:rsid w:val="00275320"/>
    <w:rsid w:val="00282AF9"/>
    <w:rsid w:val="00291D8D"/>
    <w:rsid w:val="00292E8C"/>
    <w:rsid w:val="0029437F"/>
    <w:rsid w:val="002B2B01"/>
    <w:rsid w:val="002C6668"/>
    <w:rsid w:val="002D3D65"/>
    <w:rsid w:val="002E0523"/>
    <w:rsid w:val="002F2987"/>
    <w:rsid w:val="003127B4"/>
    <w:rsid w:val="003226D4"/>
    <w:rsid w:val="003422CF"/>
    <w:rsid w:val="0034250A"/>
    <w:rsid w:val="003536DA"/>
    <w:rsid w:val="003551E3"/>
    <w:rsid w:val="0035640A"/>
    <w:rsid w:val="003566DA"/>
    <w:rsid w:val="00356A8D"/>
    <w:rsid w:val="00367D11"/>
    <w:rsid w:val="00370986"/>
    <w:rsid w:val="00381562"/>
    <w:rsid w:val="0038198C"/>
    <w:rsid w:val="003827AA"/>
    <w:rsid w:val="00394196"/>
    <w:rsid w:val="003A24B4"/>
    <w:rsid w:val="003B2A99"/>
    <w:rsid w:val="003B75E9"/>
    <w:rsid w:val="003C20BB"/>
    <w:rsid w:val="003D084C"/>
    <w:rsid w:val="003D2E3B"/>
    <w:rsid w:val="003D2FD4"/>
    <w:rsid w:val="003D72FF"/>
    <w:rsid w:val="003E0D07"/>
    <w:rsid w:val="003F00D4"/>
    <w:rsid w:val="003F472D"/>
    <w:rsid w:val="00403A05"/>
    <w:rsid w:val="0041292C"/>
    <w:rsid w:val="00426E98"/>
    <w:rsid w:val="00442633"/>
    <w:rsid w:val="0044340F"/>
    <w:rsid w:val="004476CF"/>
    <w:rsid w:val="004518B9"/>
    <w:rsid w:val="0045672E"/>
    <w:rsid w:val="00463954"/>
    <w:rsid w:val="00464074"/>
    <w:rsid w:val="00470F0F"/>
    <w:rsid w:val="00471580"/>
    <w:rsid w:val="004722A7"/>
    <w:rsid w:val="00474E59"/>
    <w:rsid w:val="0047617B"/>
    <w:rsid w:val="004931A9"/>
    <w:rsid w:val="0049405A"/>
    <w:rsid w:val="00496CE3"/>
    <w:rsid w:val="004A1778"/>
    <w:rsid w:val="004A2F31"/>
    <w:rsid w:val="004A61C9"/>
    <w:rsid w:val="004A75C9"/>
    <w:rsid w:val="004C2F8E"/>
    <w:rsid w:val="004C69CB"/>
    <w:rsid w:val="004C6BE6"/>
    <w:rsid w:val="004D2A79"/>
    <w:rsid w:val="004E0520"/>
    <w:rsid w:val="004F51A3"/>
    <w:rsid w:val="004F7B56"/>
    <w:rsid w:val="00505091"/>
    <w:rsid w:val="00507A90"/>
    <w:rsid w:val="00515662"/>
    <w:rsid w:val="00516B69"/>
    <w:rsid w:val="0052063B"/>
    <w:rsid w:val="00530E49"/>
    <w:rsid w:val="00533B71"/>
    <w:rsid w:val="00535B90"/>
    <w:rsid w:val="005404A9"/>
    <w:rsid w:val="00546616"/>
    <w:rsid w:val="00554A0B"/>
    <w:rsid w:val="0055619B"/>
    <w:rsid w:val="00556C9B"/>
    <w:rsid w:val="00564911"/>
    <w:rsid w:val="00565E89"/>
    <w:rsid w:val="00570A54"/>
    <w:rsid w:val="00581001"/>
    <w:rsid w:val="00582C4B"/>
    <w:rsid w:val="005850CB"/>
    <w:rsid w:val="00596D65"/>
    <w:rsid w:val="005A727B"/>
    <w:rsid w:val="005C2344"/>
    <w:rsid w:val="005C3EFC"/>
    <w:rsid w:val="005C711C"/>
    <w:rsid w:val="005D0248"/>
    <w:rsid w:val="005D5162"/>
    <w:rsid w:val="005E4F2D"/>
    <w:rsid w:val="005E500A"/>
    <w:rsid w:val="005F1AEF"/>
    <w:rsid w:val="005F6E85"/>
    <w:rsid w:val="006003B2"/>
    <w:rsid w:val="00600D0E"/>
    <w:rsid w:val="00601153"/>
    <w:rsid w:val="00602364"/>
    <w:rsid w:val="00604138"/>
    <w:rsid w:val="00614D9B"/>
    <w:rsid w:val="00630640"/>
    <w:rsid w:val="00630656"/>
    <w:rsid w:val="006310FA"/>
    <w:rsid w:val="00641F25"/>
    <w:rsid w:val="0065452E"/>
    <w:rsid w:val="006562A8"/>
    <w:rsid w:val="006832AD"/>
    <w:rsid w:val="006879EE"/>
    <w:rsid w:val="0069237B"/>
    <w:rsid w:val="006A5643"/>
    <w:rsid w:val="006A59EE"/>
    <w:rsid w:val="006B3ED1"/>
    <w:rsid w:val="006B6EAB"/>
    <w:rsid w:val="006B7365"/>
    <w:rsid w:val="006C5737"/>
    <w:rsid w:val="006C627A"/>
    <w:rsid w:val="006C6E2F"/>
    <w:rsid w:val="006C7A3B"/>
    <w:rsid w:val="006E0008"/>
    <w:rsid w:val="006E1253"/>
    <w:rsid w:val="006F27AD"/>
    <w:rsid w:val="006F2B9B"/>
    <w:rsid w:val="006F7637"/>
    <w:rsid w:val="007076C9"/>
    <w:rsid w:val="0071477B"/>
    <w:rsid w:val="0072283A"/>
    <w:rsid w:val="007325B1"/>
    <w:rsid w:val="00732768"/>
    <w:rsid w:val="0074772D"/>
    <w:rsid w:val="007519F4"/>
    <w:rsid w:val="00751C16"/>
    <w:rsid w:val="00757FF4"/>
    <w:rsid w:val="007621D7"/>
    <w:rsid w:val="0076247E"/>
    <w:rsid w:val="0076623A"/>
    <w:rsid w:val="007709CC"/>
    <w:rsid w:val="0077103D"/>
    <w:rsid w:val="007735D2"/>
    <w:rsid w:val="00787AEE"/>
    <w:rsid w:val="00796061"/>
    <w:rsid w:val="007968FB"/>
    <w:rsid w:val="007A28E3"/>
    <w:rsid w:val="007A41B0"/>
    <w:rsid w:val="007A4752"/>
    <w:rsid w:val="007B4595"/>
    <w:rsid w:val="007B5062"/>
    <w:rsid w:val="007C1ED1"/>
    <w:rsid w:val="007C4399"/>
    <w:rsid w:val="007C455A"/>
    <w:rsid w:val="007C493E"/>
    <w:rsid w:val="007C70ED"/>
    <w:rsid w:val="007E5FB2"/>
    <w:rsid w:val="007F3C25"/>
    <w:rsid w:val="007F4B65"/>
    <w:rsid w:val="007F7D1E"/>
    <w:rsid w:val="00803065"/>
    <w:rsid w:val="00811A66"/>
    <w:rsid w:val="00813673"/>
    <w:rsid w:val="008145B1"/>
    <w:rsid w:val="008164EB"/>
    <w:rsid w:val="00816D59"/>
    <w:rsid w:val="00820BD0"/>
    <w:rsid w:val="008256EA"/>
    <w:rsid w:val="0083462C"/>
    <w:rsid w:val="00837716"/>
    <w:rsid w:val="00855581"/>
    <w:rsid w:val="0088514C"/>
    <w:rsid w:val="00897CFC"/>
    <w:rsid w:val="008A1791"/>
    <w:rsid w:val="008A7EDA"/>
    <w:rsid w:val="008B59C3"/>
    <w:rsid w:val="008C0E87"/>
    <w:rsid w:val="008C3644"/>
    <w:rsid w:val="008C4815"/>
    <w:rsid w:val="008D2BA6"/>
    <w:rsid w:val="008E1CBF"/>
    <w:rsid w:val="008E29EF"/>
    <w:rsid w:val="008F0EE7"/>
    <w:rsid w:val="008F1A4E"/>
    <w:rsid w:val="009007D0"/>
    <w:rsid w:val="00907BC8"/>
    <w:rsid w:val="00911A9D"/>
    <w:rsid w:val="00912D59"/>
    <w:rsid w:val="0091318C"/>
    <w:rsid w:val="0091429B"/>
    <w:rsid w:val="009177AA"/>
    <w:rsid w:val="00917BAE"/>
    <w:rsid w:val="00920267"/>
    <w:rsid w:val="00923522"/>
    <w:rsid w:val="00923950"/>
    <w:rsid w:val="00923B7D"/>
    <w:rsid w:val="0092695D"/>
    <w:rsid w:val="0093179E"/>
    <w:rsid w:val="00934154"/>
    <w:rsid w:val="0093580C"/>
    <w:rsid w:val="00941A81"/>
    <w:rsid w:val="00944312"/>
    <w:rsid w:val="0097227E"/>
    <w:rsid w:val="00972703"/>
    <w:rsid w:val="00980159"/>
    <w:rsid w:val="0098018B"/>
    <w:rsid w:val="00981141"/>
    <w:rsid w:val="009845E2"/>
    <w:rsid w:val="00990A6A"/>
    <w:rsid w:val="00993994"/>
    <w:rsid w:val="009B072C"/>
    <w:rsid w:val="009B1036"/>
    <w:rsid w:val="009B6070"/>
    <w:rsid w:val="009B6531"/>
    <w:rsid w:val="009C0BDA"/>
    <w:rsid w:val="009D4CA4"/>
    <w:rsid w:val="009E29E0"/>
    <w:rsid w:val="009E3C54"/>
    <w:rsid w:val="009E4050"/>
    <w:rsid w:val="009F2BFE"/>
    <w:rsid w:val="00A00FEB"/>
    <w:rsid w:val="00A0109A"/>
    <w:rsid w:val="00A05469"/>
    <w:rsid w:val="00A05EF4"/>
    <w:rsid w:val="00A12AE6"/>
    <w:rsid w:val="00A1796D"/>
    <w:rsid w:val="00A35891"/>
    <w:rsid w:val="00A452A1"/>
    <w:rsid w:val="00A45AB5"/>
    <w:rsid w:val="00A51685"/>
    <w:rsid w:val="00A554BF"/>
    <w:rsid w:val="00A64D27"/>
    <w:rsid w:val="00A73D0E"/>
    <w:rsid w:val="00A777B3"/>
    <w:rsid w:val="00A90415"/>
    <w:rsid w:val="00A94BF8"/>
    <w:rsid w:val="00A96754"/>
    <w:rsid w:val="00AA3165"/>
    <w:rsid w:val="00AA3C5A"/>
    <w:rsid w:val="00AA4D87"/>
    <w:rsid w:val="00AB02DE"/>
    <w:rsid w:val="00AC0AEE"/>
    <w:rsid w:val="00AC7141"/>
    <w:rsid w:val="00AD3FB5"/>
    <w:rsid w:val="00AD73A6"/>
    <w:rsid w:val="00AD747B"/>
    <w:rsid w:val="00B009C1"/>
    <w:rsid w:val="00B01FCE"/>
    <w:rsid w:val="00B050EF"/>
    <w:rsid w:val="00B06B55"/>
    <w:rsid w:val="00B12D91"/>
    <w:rsid w:val="00B12EDE"/>
    <w:rsid w:val="00B31C87"/>
    <w:rsid w:val="00B54A54"/>
    <w:rsid w:val="00B55B7F"/>
    <w:rsid w:val="00B6616F"/>
    <w:rsid w:val="00B720AA"/>
    <w:rsid w:val="00B725A2"/>
    <w:rsid w:val="00B76C7E"/>
    <w:rsid w:val="00B838DA"/>
    <w:rsid w:val="00B85535"/>
    <w:rsid w:val="00B87C48"/>
    <w:rsid w:val="00BA443A"/>
    <w:rsid w:val="00BA5035"/>
    <w:rsid w:val="00BB1B86"/>
    <w:rsid w:val="00BC1759"/>
    <w:rsid w:val="00BC4DBB"/>
    <w:rsid w:val="00BF2C86"/>
    <w:rsid w:val="00BF340D"/>
    <w:rsid w:val="00BF6035"/>
    <w:rsid w:val="00C00965"/>
    <w:rsid w:val="00C12C69"/>
    <w:rsid w:val="00C14F80"/>
    <w:rsid w:val="00C24D26"/>
    <w:rsid w:val="00C30427"/>
    <w:rsid w:val="00C315EA"/>
    <w:rsid w:val="00C363F1"/>
    <w:rsid w:val="00C36639"/>
    <w:rsid w:val="00C375C3"/>
    <w:rsid w:val="00C40737"/>
    <w:rsid w:val="00C42392"/>
    <w:rsid w:val="00C636F4"/>
    <w:rsid w:val="00C75018"/>
    <w:rsid w:val="00C76B07"/>
    <w:rsid w:val="00C84336"/>
    <w:rsid w:val="00CA0021"/>
    <w:rsid w:val="00CA007A"/>
    <w:rsid w:val="00CC40E7"/>
    <w:rsid w:val="00CC6002"/>
    <w:rsid w:val="00CD1755"/>
    <w:rsid w:val="00CD273D"/>
    <w:rsid w:val="00CD41DC"/>
    <w:rsid w:val="00CD5DB4"/>
    <w:rsid w:val="00CF33B7"/>
    <w:rsid w:val="00D00D8D"/>
    <w:rsid w:val="00D0150D"/>
    <w:rsid w:val="00D047FA"/>
    <w:rsid w:val="00D07263"/>
    <w:rsid w:val="00D14C1F"/>
    <w:rsid w:val="00D16538"/>
    <w:rsid w:val="00D17635"/>
    <w:rsid w:val="00D17C49"/>
    <w:rsid w:val="00D432AB"/>
    <w:rsid w:val="00D47317"/>
    <w:rsid w:val="00D562A8"/>
    <w:rsid w:val="00D71BD0"/>
    <w:rsid w:val="00D7367C"/>
    <w:rsid w:val="00D824C1"/>
    <w:rsid w:val="00D874F7"/>
    <w:rsid w:val="00D9141D"/>
    <w:rsid w:val="00DA2277"/>
    <w:rsid w:val="00DA2C05"/>
    <w:rsid w:val="00DA7708"/>
    <w:rsid w:val="00DA7A2A"/>
    <w:rsid w:val="00DE73E6"/>
    <w:rsid w:val="00DF25E2"/>
    <w:rsid w:val="00DF5495"/>
    <w:rsid w:val="00E0087B"/>
    <w:rsid w:val="00E06E4A"/>
    <w:rsid w:val="00E077D1"/>
    <w:rsid w:val="00E078E4"/>
    <w:rsid w:val="00E10A32"/>
    <w:rsid w:val="00E15916"/>
    <w:rsid w:val="00E20EF4"/>
    <w:rsid w:val="00E276BC"/>
    <w:rsid w:val="00E40710"/>
    <w:rsid w:val="00E54D4E"/>
    <w:rsid w:val="00E57BC9"/>
    <w:rsid w:val="00E61992"/>
    <w:rsid w:val="00E65F7D"/>
    <w:rsid w:val="00E715F5"/>
    <w:rsid w:val="00E74124"/>
    <w:rsid w:val="00E7543E"/>
    <w:rsid w:val="00E878E1"/>
    <w:rsid w:val="00E91E32"/>
    <w:rsid w:val="00E96CC1"/>
    <w:rsid w:val="00EA5AF2"/>
    <w:rsid w:val="00EB4526"/>
    <w:rsid w:val="00EC25B9"/>
    <w:rsid w:val="00EC63D3"/>
    <w:rsid w:val="00ED1E5C"/>
    <w:rsid w:val="00ED5ECD"/>
    <w:rsid w:val="00ED61FD"/>
    <w:rsid w:val="00EE571A"/>
    <w:rsid w:val="00EF07C3"/>
    <w:rsid w:val="00EF6ADA"/>
    <w:rsid w:val="00F00BBE"/>
    <w:rsid w:val="00F010B1"/>
    <w:rsid w:val="00F0139C"/>
    <w:rsid w:val="00F06867"/>
    <w:rsid w:val="00F07C64"/>
    <w:rsid w:val="00F21967"/>
    <w:rsid w:val="00F31ADD"/>
    <w:rsid w:val="00F357B9"/>
    <w:rsid w:val="00F405E3"/>
    <w:rsid w:val="00F424F6"/>
    <w:rsid w:val="00F463AB"/>
    <w:rsid w:val="00F5266D"/>
    <w:rsid w:val="00F61D63"/>
    <w:rsid w:val="00F701CE"/>
    <w:rsid w:val="00F71062"/>
    <w:rsid w:val="00F72895"/>
    <w:rsid w:val="00F808E9"/>
    <w:rsid w:val="00F947E2"/>
    <w:rsid w:val="00FA40DE"/>
    <w:rsid w:val="00FA6BBB"/>
    <w:rsid w:val="00FB2A60"/>
    <w:rsid w:val="00FB3B3A"/>
    <w:rsid w:val="00FD2ACE"/>
    <w:rsid w:val="00FD3DB7"/>
    <w:rsid w:val="00FD4E6D"/>
    <w:rsid w:val="00FD5924"/>
    <w:rsid w:val="00FE5B34"/>
    <w:rsid w:val="00FF29C3"/>
    <w:rsid w:val="00FF3ACB"/>
    <w:rsid w:val="00FF4CC2"/>
    <w:rsid w:val="10304B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nhideWhenUsed="0" w:uiPriority="0" w:semiHidden="0" w:name="header"/>
    <w:lsdException w:qFormat="1" w:unhideWhenUsed="0" w:uiPriority="0"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0"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480" w:lineRule="auto"/>
      <w:jc w:val="both"/>
    </w:pPr>
    <w:rPr>
      <w:rFonts w:ascii="Times New Roman" w:hAnsi="Times New Roman" w:eastAsia="Times New Roman" w:cs="Times New Roman"/>
      <w:kern w:val="0"/>
      <w:sz w:val="24"/>
      <w:szCs w:val="24"/>
      <w:lang w:val="en-US" w:eastAsia="en-US" w:bidi="ar-SA"/>
      <w14:ligatures w14:val="none"/>
    </w:rPr>
  </w:style>
  <w:style w:type="paragraph" w:styleId="2">
    <w:name w:val="heading 1"/>
    <w:basedOn w:val="1"/>
    <w:next w:val="1"/>
    <w:link w:val="31"/>
    <w:qFormat/>
    <w:uiPriority w:val="9"/>
    <w:pPr>
      <w:keepNext/>
      <w:keepLines/>
      <w:spacing w:before="360" w:after="80"/>
      <w:outlineLvl w:val="0"/>
    </w:pPr>
    <w:rPr>
      <w:rFonts w:eastAsiaTheme="majorEastAsia" w:cstheme="majorBidi"/>
      <w:b/>
      <w:sz w:val="32"/>
      <w:szCs w:val="40"/>
    </w:rPr>
  </w:style>
  <w:style w:type="paragraph" w:styleId="3">
    <w:name w:val="heading 2"/>
    <w:basedOn w:val="1"/>
    <w:next w:val="1"/>
    <w:link w:val="32"/>
    <w:unhideWhenUsed/>
    <w:qFormat/>
    <w:uiPriority w:val="9"/>
    <w:pPr>
      <w:keepNext/>
      <w:keepLines/>
      <w:spacing w:before="160" w:after="80"/>
      <w:outlineLvl w:val="1"/>
    </w:pPr>
    <w:rPr>
      <w:rFonts w:eastAsiaTheme="majorEastAsia" w:cstheme="majorBidi"/>
      <w:b/>
      <w:sz w:val="28"/>
      <w:szCs w:val="32"/>
    </w:rPr>
  </w:style>
  <w:style w:type="paragraph" w:styleId="4">
    <w:name w:val="heading 3"/>
    <w:basedOn w:val="1"/>
    <w:next w:val="1"/>
    <w:link w:val="33"/>
    <w:unhideWhenUsed/>
    <w:qFormat/>
    <w:uiPriority w:val="9"/>
    <w:pPr>
      <w:keepNext/>
      <w:keepLines/>
      <w:spacing w:before="160" w:after="80"/>
      <w:outlineLvl w:val="2"/>
    </w:pPr>
    <w:rPr>
      <w:rFonts w:eastAsiaTheme="majorEastAsia" w:cstheme="majorBidi"/>
      <w:b/>
      <w:sz w:val="26"/>
      <w:szCs w:val="28"/>
    </w:rPr>
  </w:style>
  <w:style w:type="paragraph" w:styleId="5">
    <w:name w:val="heading 4"/>
    <w:basedOn w:val="1"/>
    <w:next w:val="1"/>
    <w:link w:val="34"/>
    <w:semiHidden/>
    <w:unhideWhenUsed/>
    <w:qFormat/>
    <w:uiPriority w:val="9"/>
    <w:pPr>
      <w:keepNext/>
      <w:keepLines/>
      <w:spacing w:before="80" w:after="40"/>
      <w:outlineLvl w:val="3"/>
    </w:pPr>
    <w:rPr>
      <w:rFonts w:eastAsiaTheme="majorEastAsia" w:cstheme="majorBidi"/>
      <w:b/>
      <w:i/>
      <w:iCs/>
    </w:rPr>
  </w:style>
  <w:style w:type="paragraph" w:styleId="6">
    <w:name w:val="heading 5"/>
    <w:basedOn w:val="1"/>
    <w:next w:val="1"/>
    <w:link w:val="35"/>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6"/>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7"/>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8"/>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9"/>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55"/>
    <w:semiHidden/>
    <w:unhideWhenUsed/>
    <w:uiPriority w:val="99"/>
    <w:pPr>
      <w:spacing w:line="240" w:lineRule="auto"/>
    </w:pPr>
    <w:rPr>
      <w:rFonts w:ascii="Segoe UI" w:hAnsi="Segoe UI" w:cs="Segoe UI"/>
      <w:sz w:val="18"/>
      <w:szCs w:val="18"/>
    </w:rPr>
  </w:style>
  <w:style w:type="paragraph" w:styleId="14">
    <w:name w:val="caption"/>
    <w:basedOn w:val="1"/>
    <w:next w:val="1"/>
    <w:unhideWhenUsed/>
    <w:qFormat/>
    <w:uiPriority w:val="35"/>
    <w:pPr>
      <w:spacing w:after="200" w:line="360" w:lineRule="auto"/>
    </w:pPr>
    <w:rPr>
      <w:rFonts w:eastAsiaTheme="minorHAnsi" w:cstheme="minorBidi"/>
      <w:i/>
      <w:iCs/>
      <w:color w:val="000000" w:themeColor="text1"/>
      <w:szCs w:val="18"/>
      <w:lang w:val="en-GB"/>
      <w14:textFill>
        <w14:solidFill>
          <w14:schemeClr w14:val="tx1"/>
        </w14:solidFill>
      </w14:textFill>
    </w:rPr>
  </w:style>
  <w:style w:type="character" w:styleId="15">
    <w:name w:val="annotation reference"/>
    <w:basedOn w:val="11"/>
    <w:semiHidden/>
    <w:unhideWhenUsed/>
    <w:uiPriority w:val="99"/>
    <w:rPr>
      <w:sz w:val="16"/>
      <w:szCs w:val="16"/>
    </w:rPr>
  </w:style>
  <w:style w:type="paragraph" w:styleId="16">
    <w:name w:val="annotation text"/>
    <w:basedOn w:val="1"/>
    <w:link w:val="53"/>
    <w:unhideWhenUsed/>
    <w:qFormat/>
    <w:uiPriority w:val="99"/>
    <w:pPr>
      <w:spacing w:line="240" w:lineRule="auto"/>
    </w:pPr>
    <w:rPr>
      <w:sz w:val="20"/>
      <w:szCs w:val="20"/>
    </w:rPr>
  </w:style>
  <w:style w:type="paragraph" w:styleId="17">
    <w:name w:val="annotation subject"/>
    <w:basedOn w:val="16"/>
    <w:next w:val="16"/>
    <w:link w:val="54"/>
    <w:semiHidden/>
    <w:unhideWhenUsed/>
    <w:uiPriority w:val="99"/>
    <w:rPr>
      <w:b/>
      <w:bCs/>
    </w:rPr>
  </w:style>
  <w:style w:type="paragraph" w:styleId="18">
    <w:name w:val="footer"/>
    <w:basedOn w:val="1"/>
    <w:link w:val="50"/>
    <w:qFormat/>
    <w:uiPriority w:val="0"/>
    <w:pPr>
      <w:tabs>
        <w:tab w:val="center" w:pos="4320"/>
        <w:tab w:val="right" w:pos="8640"/>
      </w:tabs>
    </w:pPr>
  </w:style>
  <w:style w:type="paragraph" w:styleId="19">
    <w:name w:val="header"/>
    <w:basedOn w:val="1"/>
    <w:link w:val="49"/>
    <w:uiPriority w:val="0"/>
    <w:pPr>
      <w:tabs>
        <w:tab w:val="center" w:pos="4320"/>
        <w:tab w:val="right" w:pos="8640"/>
      </w:tabs>
    </w:pPr>
  </w:style>
  <w:style w:type="character" w:styleId="20">
    <w:name w:val="Hyperlink"/>
    <w:basedOn w:val="11"/>
    <w:unhideWhenUsed/>
    <w:uiPriority w:val="99"/>
    <w:rPr>
      <w:color w:val="467886" w:themeColor="hyperlink"/>
      <w:u w:val="single"/>
      <w14:textFill>
        <w14:solidFill>
          <w14:schemeClr w14:val="hlink"/>
        </w14:solidFill>
      </w14:textFill>
    </w:rPr>
  </w:style>
  <w:style w:type="paragraph" w:styleId="21">
    <w:name w:val="Normal (Web)"/>
    <w:basedOn w:val="1"/>
    <w:semiHidden/>
    <w:unhideWhenUsed/>
    <w:uiPriority w:val="99"/>
    <w:pPr>
      <w:spacing w:before="100" w:beforeAutospacing="1" w:after="100" w:afterAutospacing="1" w:line="240" w:lineRule="auto"/>
      <w:jc w:val="left"/>
    </w:pPr>
    <w:rPr>
      <w:lang w:val="en-GB" w:eastAsia="en-GB"/>
    </w:rPr>
  </w:style>
  <w:style w:type="character" w:styleId="22">
    <w:name w:val="page number"/>
    <w:basedOn w:val="11"/>
    <w:uiPriority w:val="0"/>
  </w:style>
  <w:style w:type="character" w:styleId="23">
    <w:name w:val="Strong"/>
    <w:basedOn w:val="11"/>
    <w:qFormat/>
    <w:uiPriority w:val="22"/>
    <w:rPr>
      <w:b/>
      <w:bCs/>
    </w:rPr>
  </w:style>
  <w:style w:type="paragraph" w:styleId="24">
    <w:name w:val="Subtitle"/>
    <w:basedOn w:val="1"/>
    <w:next w:val="1"/>
    <w:link w:val="4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5">
    <w:name w:val="Table Grid"/>
    <w:basedOn w:val="12"/>
    <w:uiPriority w:val="39"/>
    <w:pPr>
      <w:spacing w:after="0" w:line="240" w:lineRule="auto"/>
    </w:pPr>
    <w:rPr>
      <w:kern w:val="0"/>
      <w:sz w:val="22"/>
      <w:szCs w:val="22"/>
      <w:lang w:val="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6">
    <w:name w:val="table of figures"/>
    <w:basedOn w:val="1"/>
    <w:next w:val="1"/>
    <w:unhideWhenUsed/>
    <w:uiPriority w:val="99"/>
  </w:style>
  <w:style w:type="paragraph" w:styleId="27">
    <w:name w:val="Title"/>
    <w:basedOn w:val="1"/>
    <w:next w:val="1"/>
    <w:link w:val="40"/>
    <w:qFormat/>
    <w:uiPriority w:val="10"/>
    <w:pPr>
      <w:spacing w:after="80"/>
      <w:contextualSpacing/>
    </w:pPr>
    <w:rPr>
      <w:rFonts w:asciiTheme="majorHAnsi" w:hAnsiTheme="majorHAnsi" w:eastAsiaTheme="majorEastAsia" w:cstheme="majorBidi"/>
      <w:spacing w:val="-10"/>
      <w:kern w:val="28"/>
      <w:sz w:val="56"/>
      <w:szCs w:val="56"/>
    </w:rPr>
  </w:style>
  <w:style w:type="paragraph" w:styleId="28">
    <w:name w:val="toc 1"/>
    <w:basedOn w:val="1"/>
    <w:next w:val="1"/>
    <w:autoRedefine/>
    <w:unhideWhenUsed/>
    <w:qFormat/>
    <w:uiPriority w:val="39"/>
    <w:pPr>
      <w:spacing w:after="100"/>
    </w:pPr>
  </w:style>
  <w:style w:type="paragraph" w:styleId="29">
    <w:name w:val="toc 2"/>
    <w:basedOn w:val="1"/>
    <w:next w:val="1"/>
    <w:autoRedefine/>
    <w:unhideWhenUsed/>
    <w:qFormat/>
    <w:uiPriority w:val="39"/>
    <w:pPr>
      <w:spacing w:after="100"/>
      <w:ind w:left="240"/>
    </w:pPr>
  </w:style>
  <w:style w:type="paragraph" w:styleId="30">
    <w:name w:val="toc 3"/>
    <w:basedOn w:val="1"/>
    <w:next w:val="1"/>
    <w:autoRedefine/>
    <w:unhideWhenUsed/>
    <w:uiPriority w:val="39"/>
    <w:pPr>
      <w:spacing w:after="100"/>
      <w:ind w:left="480"/>
    </w:pPr>
  </w:style>
  <w:style w:type="character" w:customStyle="1" w:styleId="31">
    <w:name w:val="Heading 1 Char"/>
    <w:basedOn w:val="11"/>
    <w:link w:val="2"/>
    <w:qFormat/>
    <w:uiPriority w:val="9"/>
    <w:rPr>
      <w:rFonts w:ascii="Times New Roman" w:hAnsi="Times New Roman" w:eastAsiaTheme="majorEastAsia" w:cstheme="majorBidi"/>
      <w:b/>
      <w:kern w:val="0"/>
      <w:sz w:val="32"/>
      <w:szCs w:val="40"/>
      <w:lang w:val="en-US"/>
      <w14:ligatures w14:val="none"/>
    </w:rPr>
  </w:style>
  <w:style w:type="character" w:customStyle="1" w:styleId="32">
    <w:name w:val="Heading 2 Char"/>
    <w:basedOn w:val="11"/>
    <w:link w:val="3"/>
    <w:qFormat/>
    <w:uiPriority w:val="9"/>
    <w:rPr>
      <w:rFonts w:ascii="Times New Roman" w:hAnsi="Times New Roman" w:eastAsiaTheme="majorEastAsia" w:cstheme="majorBidi"/>
      <w:b/>
      <w:kern w:val="0"/>
      <w:sz w:val="28"/>
      <w:szCs w:val="32"/>
      <w:lang w:val="en-US"/>
      <w14:ligatures w14:val="none"/>
    </w:rPr>
  </w:style>
  <w:style w:type="character" w:customStyle="1" w:styleId="33">
    <w:name w:val="Heading 3 Char"/>
    <w:basedOn w:val="11"/>
    <w:link w:val="4"/>
    <w:qFormat/>
    <w:uiPriority w:val="9"/>
    <w:rPr>
      <w:rFonts w:ascii="Times New Roman" w:hAnsi="Times New Roman" w:eastAsiaTheme="majorEastAsia" w:cstheme="majorBidi"/>
      <w:b/>
      <w:kern w:val="0"/>
      <w:sz w:val="26"/>
      <w:szCs w:val="28"/>
      <w:lang w:val="en-US"/>
      <w14:ligatures w14:val="none"/>
    </w:rPr>
  </w:style>
  <w:style w:type="character" w:customStyle="1" w:styleId="34">
    <w:name w:val="Heading 4 Char"/>
    <w:basedOn w:val="11"/>
    <w:link w:val="5"/>
    <w:semiHidden/>
    <w:qFormat/>
    <w:uiPriority w:val="9"/>
    <w:rPr>
      <w:rFonts w:ascii="Times New Roman" w:hAnsi="Times New Roman" w:eastAsiaTheme="majorEastAsia" w:cstheme="majorBidi"/>
      <w:b/>
      <w:i/>
      <w:iCs/>
      <w:kern w:val="0"/>
      <w:lang w:val="en-US"/>
      <w14:ligatures w14:val="none"/>
    </w:rPr>
  </w:style>
  <w:style w:type="character" w:customStyle="1" w:styleId="35">
    <w:name w:val="Heading 5 Char"/>
    <w:basedOn w:val="11"/>
    <w:link w:val="6"/>
    <w:semiHidden/>
    <w:qFormat/>
    <w:uiPriority w:val="9"/>
    <w:rPr>
      <w:rFonts w:eastAsiaTheme="majorEastAsia" w:cstheme="majorBidi"/>
      <w:color w:val="104862" w:themeColor="accent1" w:themeShade="BF"/>
    </w:rPr>
  </w:style>
  <w:style w:type="character" w:customStyle="1" w:styleId="36">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7">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8">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9">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40">
    <w:name w:val="Title Char"/>
    <w:basedOn w:val="11"/>
    <w:link w:val="27"/>
    <w:qFormat/>
    <w:uiPriority w:val="10"/>
    <w:rPr>
      <w:rFonts w:asciiTheme="majorHAnsi" w:hAnsiTheme="majorHAnsi" w:eastAsiaTheme="majorEastAsia" w:cstheme="majorBidi"/>
      <w:spacing w:val="-10"/>
      <w:kern w:val="28"/>
      <w:sz w:val="56"/>
      <w:szCs w:val="56"/>
    </w:rPr>
  </w:style>
  <w:style w:type="character" w:customStyle="1" w:styleId="41">
    <w:name w:val="Subtitle Char"/>
    <w:basedOn w:val="11"/>
    <w:link w:val="2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42">
    <w:name w:val="Quote"/>
    <w:basedOn w:val="1"/>
    <w:next w:val="1"/>
    <w:link w:val="4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3">
    <w:name w:val="Quote Char"/>
    <w:basedOn w:val="11"/>
    <w:link w:val="42"/>
    <w:qFormat/>
    <w:uiPriority w:val="29"/>
    <w:rPr>
      <w:i/>
      <w:iCs/>
      <w:color w:val="404040" w:themeColor="text1" w:themeTint="BF"/>
      <w14:textFill>
        <w14:solidFill>
          <w14:schemeClr w14:val="tx1">
            <w14:lumMod w14:val="75000"/>
            <w14:lumOff w14:val="25000"/>
          </w14:schemeClr>
        </w14:solidFill>
      </w14:textFill>
    </w:rPr>
  </w:style>
  <w:style w:type="paragraph" w:styleId="44">
    <w:name w:val="List Paragraph"/>
    <w:basedOn w:val="1"/>
    <w:qFormat/>
    <w:uiPriority w:val="34"/>
    <w:pPr>
      <w:ind w:left="720"/>
      <w:contextualSpacing/>
    </w:pPr>
  </w:style>
  <w:style w:type="character" w:customStyle="1" w:styleId="45">
    <w:name w:val="Intense Emphasis"/>
    <w:basedOn w:val="11"/>
    <w:qFormat/>
    <w:uiPriority w:val="21"/>
    <w:rPr>
      <w:i/>
      <w:iCs/>
      <w:color w:val="104862" w:themeColor="accent1" w:themeShade="BF"/>
    </w:rPr>
  </w:style>
  <w:style w:type="paragraph" w:styleId="46">
    <w:name w:val="Intense Quote"/>
    <w:basedOn w:val="1"/>
    <w:next w:val="1"/>
    <w:link w:val="4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7">
    <w:name w:val="Intense Quote Char"/>
    <w:basedOn w:val="11"/>
    <w:link w:val="46"/>
    <w:qFormat/>
    <w:uiPriority w:val="30"/>
    <w:rPr>
      <w:i/>
      <w:iCs/>
      <w:color w:val="104862" w:themeColor="accent1" w:themeShade="BF"/>
    </w:rPr>
  </w:style>
  <w:style w:type="character" w:customStyle="1" w:styleId="48">
    <w:name w:val="Intense Reference"/>
    <w:basedOn w:val="11"/>
    <w:qFormat/>
    <w:uiPriority w:val="32"/>
    <w:rPr>
      <w:b/>
      <w:bCs/>
      <w:smallCaps/>
      <w:color w:val="104862" w:themeColor="accent1" w:themeShade="BF"/>
      <w:spacing w:val="5"/>
    </w:rPr>
  </w:style>
  <w:style w:type="character" w:customStyle="1" w:styleId="49">
    <w:name w:val="Header Char"/>
    <w:basedOn w:val="11"/>
    <w:link w:val="19"/>
    <w:uiPriority w:val="0"/>
    <w:rPr>
      <w:rFonts w:ascii="Times New Roman" w:hAnsi="Times New Roman" w:eastAsia="Times New Roman" w:cs="Times New Roman"/>
      <w:kern w:val="0"/>
      <w:lang w:val="en-US"/>
      <w14:ligatures w14:val="none"/>
    </w:rPr>
  </w:style>
  <w:style w:type="character" w:customStyle="1" w:styleId="50">
    <w:name w:val="Footer Char"/>
    <w:basedOn w:val="11"/>
    <w:link w:val="18"/>
    <w:uiPriority w:val="0"/>
    <w:rPr>
      <w:rFonts w:ascii="Times New Roman" w:hAnsi="Times New Roman" w:eastAsia="Times New Roman" w:cs="Times New Roman"/>
      <w:kern w:val="0"/>
      <w:lang w:val="en-US"/>
      <w14:ligatures w14:val="none"/>
    </w:rPr>
  </w:style>
  <w:style w:type="paragraph" w:customStyle="1" w:styleId="51">
    <w:name w:val="Default"/>
    <w:uiPriority w:val="0"/>
    <w:pPr>
      <w:autoSpaceDE w:val="0"/>
      <w:autoSpaceDN w:val="0"/>
      <w:adjustRightInd w:val="0"/>
      <w:spacing w:after="0" w:line="240" w:lineRule="auto"/>
    </w:pPr>
    <w:rPr>
      <w:rFonts w:ascii="Times New Roman" w:hAnsi="Times New Roman" w:eastAsia="Times New Roman" w:cs="Times New Roman"/>
      <w:color w:val="000000"/>
      <w:kern w:val="0"/>
      <w:sz w:val="24"/>
      <w:szCs w:val="24"/>
      <w:lang w:val="en-US" w:eastAsia="en-GB" w:bidi="ar-SA"/>
      <w14:ligatures w14:val="none"/>
    </w:rPr>
  </w:style>
  <w:style w:type="paragraph" w:customStyle="1" w:styleId="52">
    <w:name w:val="TOC Heading"/>
    <w:basedOn w:val="2"/>
    <w:next w:val="1"/>
    <w:unhideWhenUsed/>
    <w:qFormat/>
    <w:uiPriority w:val="39"/>
    <w:pPr>
      <w:spacing w:before="240" w:after="0" w:line="259" w:lineRule="auto"/>
      <w:jc w:val="left"/>
      <w:outlineLvl w:val="9"/>
    </w:pPr>
    <w:rPr>
      <w:rFonts w:asciiTheme="majorHAnsi" w:hAnsiTheme="majorHAnsi"/>
      <w:b w:val="0"/>
      <w:color w:val="104862" w:themeColor="accent1" w:themeShade="BF"/>
      <w:szCs w:val="32"/>
    </w:rPr>
  </w:style>
  <w:style w:type="character" w:customStyle="1" w:styleId="53">
    <w:name w:val="Comment Text Char"/>
    <w:basedOn w:val="11"/>
    <w:link w:val="16"/>
    <w:uiPriority w:val="99"/>
    <w:rPr>
      <w:rFonts w:ascii="Times New Roman" w:hAnsi="Times New Roman" w:eastAsia="Times New Roman" w:cs="Times New Roman"/>
      <w:kern w:val="0"/>
      <w:sz w:val="20"/>
      <w:szCs w:val="20"/>
      <w:lang w:val="en-US"/>
      <w14:ligatures w14:val="none"/>
    </w:rPr>
  </w:style>
  <w:style w:type="character" w:customStyle="1" w:styleId="54">
    <w:name w:val="Comment Subject Char"/>
    <w:basedOn w:val="53"/>
    <w:link w:val="17"/>
    <w:semiHidden/>
    <w:qFormat/>
    <w:uiPriority w:val="99"/>
    <w:rPr>
      <w:rFonts w:ascii="Times New Roman" w:hAnsi="Times New Roman" w:eastAsia="Times New Roman" w:cs="Times New Roman"/>
      <w:b/>
      <w:bCs/>
      <w:kern w:val="0"/>
      <w:sz w:val="20"/>
      <w:szCs w:val="20"/>
      <w:lang w:val="en-US"/>
      <w14:ligatures w14:val="none"/>
    </w:rPr>
  </w:style>
  <w:style w:type="character" w:customStyle="1" w:styleId="55">
    <w:name w:val="Balloon Text Char"/>
    <w:basedOn w:val="11"/>
    <w:link w:val="13"/>
    <w:semiHidden/>
    <w:qFormat/>
    <w:uiPriority w:val="99"/>
    <w:rPr>
      <w:rFonts w:ascii="Segoe UI" w:hAnsi="Segoe UI" w:eastAsia="Times New Roman" w:cs="Segoe UI"/>
      <w:kern w:val="0"/>
      <w:sz w:val="18"/>
      <w:szCs w:val="18"/>
      <w:lang w:val="en-US"/>
      <w14:ligatures w14:val="none"/>
    </w:rPr>
  </w:style>
  <w:style w:type="paragraph" w:customStyle="1" w:styleId="56">
    <w:name w:val="paragraph"/>
    <w:basedOn w:val="1"/>
    <w:qFormat/>
    <w:uiPriority w:val="0"/>
    <w:pPr>
      <w:spacing w:before="100" w:beforeAutospacing="1" w:after="100" w:afterAutospacing="1" w:line="240" w:lineRule="auto"/>
      <w:jc w:val="left"/>
    </w:pPr>
    <w:rPr>
      <w:lang w:val="en-GB" w:eastAsia="zh-CN"/>
    </w:rPr>
  </w:style>
  <w:style w:type="character" w:customStyle="1" w:styleId="57">
    <w:name w:val="normaltextrun"/>
    <w:basedOn w:val="11"/>
    <w:qFormat/>
    <w:uiPriority w:val="0"/>
  </w:style>
  <w:style w:type="character" w:customStyle="1" w:styleId="58">
    <w:name w:val="eop"/>
    <w:basedOn w:val="11"/>
    <w:qFormat/>
    <w:uiPriority w:val="0"/>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1.xml"/><Relationship Id="rId14" Type="http://schemas.openxmlformats.org/officeDocument/2006/relationships/numbering" Target="numbering.xml"/><Relationship Id="rId13" Type="http://schemas.openxmlformats.org/officeDocument/2006/relationships/image" Target="media/image2.png"/><Relationship Id="rId12" Type="http://schemas.openxmlformats.org/officeDocument/2006/relationships/image" Target="media/image1.jpe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71D74-92DF-4A6E-AB89-80143D088357}">
  <ds:schemaRefs/>
</ds:datastoreItem>
</file>

<file path=docProps/app.xml><?xml version="1.0" encoding="utf-8"?>
<Properties xmlns="http://schemas.openxmlformats.org/officeDocument/2006/extended-properties" xmlns:vt="http://schemas.openxmlformats.org/officeDocument/2006/docPropsVTypes">
  <Template>Normal.dotm</Template>
  <Pages>93</Pages>
  <Words>18835</Words>
  <Characters>113466</Characters>
  <Lines>975</Lines>
  <Paragraphs>274</Paragraphs>
  <TotalTime>4</TotalTime>
  <ScaleCrop>false</ScaleCrop>
  <LinksUpToDate>false</LinksUpToDate>
  <CharactersWithSpaces>132141</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2026-08-24T00:13:00Z</dcterms:created>
  <dcterms:modified xsi:type="dcterms:W3CDTF">2026-08-27T23:50:08Z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8d1a385d-8b55-43b7-b05c-b6a011db43cd</vt:lpwstr>
  </property>
  <property fmtid="{D5CDD505-2E9C-101B-9397-08002B2CF9AE}" pid="3" name="KSOTemplateDocerSaveRecord">
    <vt:lpwstr>eyJoZGlkIjoiZDkzYTBlMmYxZjM0NmNiZTE4NTkxODZjNTJlZjA3MjEiLCJ1c2VySWQiOiI4ODEzNDY0MjI1ODcyIn0=</vt:lpwstr>
  </property>
  <property fmtid="{D5CDD505-2E9C-101B-9397-08002B2CF9AE}" pid="4" name="KSOProductBuildVer">
    <vt:lpwstr>1033-12.1.0.28032</vt:lpwstr>
  </property>
  <property fmtid="{D5CDD505-2E9C-101B-9397-08002B2CF9AE}" pid="5" name="ICV">
    <vt:lpwstr>410DDC0551A7473898FC4C9608335BB8_12</vt:lpwstr>
  </property>
</Properties>
</file>