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78D785" w14:textId="66D55162" w:rsidR="00BD6159" w:rsidRDefault="0066353B">
      <w:pPr>
        <w:spacing w:before="240" w:after="240"/>
        <w:jc w:val="center"/>
        <w:rPr>
          <w:rFonts w:ascii="Times New Roman" w:eastAsia="Times New Roman" w:hAnsi="Times New Roman" w:cs="Times New Roman"/>
          <w:b/>
          <w:bCs/>
          <w:sz w:val="24"/>
          <w:szCs w:val="24"/>
        </w:rPr>
      </w:pPr>
      <w:r>
        <w:rPr>
          <w:b/>
          <w:bCs/>
          <w:noProof/>
          <w:sz w:val="32"/>
          <w:szCs w:val="32"/>
        </w:rPr>
        <w:drawing>
          <wp:inline distT="0" distB="0" distL="0" distR="0" wp14:anchorId="20A01397" wp14:editId="381C4C6A">
            <wp:extent cx="3712845" cy="1231265"/>
            <wp:effectExtent l="0" t="0" r="0" b="0"/>
            <wp:docPr id="117538485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6"/>
                    <a:srcRect/>
                    <a:stretch>
                      <a:fillRect/>
                    </a:stretch>
                  </pic:blipFill>
                  <pic:spPr>
                    <a:xfrm>
                      <a:off x="0" y="0"/>
                      <a:ext cx="3712845" cy="1231265"/>
                    </a:xfrm>
                    <a:prstGeom prst="rect">
                      <a:avLst/>
                    </a:prstGeom>
                    <a:ln/>
                  </pic:spPr>
                </pic:pic>
              </a:graphicData>
            </a:graphic>
          </wp:inline>
        </w:drawing>
      </w:r>
    </w:p>
    <w:p w14:paraId="4C598B7D" w14:textId="77777777" w:rsidR="00BD6159" w:rsidRDefault="00BD6159">
      <w:pPr>
        <w:spacing w:before="240" w:after="240"/>
        <w:jc w:val="center"/>
        <w:rPr>
          <w:rFonts w:ascii="Times New Roman" w:eastAsia="Times New Roman" w:hAnsi="Times New Roman" w:cs="Times New Roman"/>
          <w:b/>
          <w:bCs/>
          <w:sz w:val="24"/>
          <w:szCs w:val="24"/>
        </w:rPr>
      </w:pPr>
    </w:p>
    <w:p w14:paraId="0ADE2AAC" w14:textId="77777777" w:rsidR="00BD6159" w:rsidRDefault="00BD6159" w:rsidP="00BD6159">
      <w:pPr>
        <w:pStyle w:val="Heading2"/>
        <w:keepNext w:val="0"/>
        <w:keepLines w:val="0"/>
        <w:jc w:val="center"/>
        <w:rPr>
          <w:rFonts w:asciiTheme="majorHAnsi" w:hAnsiTheme="majorHAnsi" w:cstheme="majorHAnsi"/>
          <w:sz w:val="32"/>
          <w:szCs w:val="32"/>
        </w:rPr>
      </w:pPr>
      <w:r w:rsidRPr="008A5BCE">
        <w:rPr>
          <w:rFonts w:asciiTheme="majorHAnsi" w:hAnsiTheme="majorHAnsi" w:cstheme="majorHAnsi"/>
          <w:sz w:val="32"/>
          <w:szCs w:val="32"/>
        </w:rPr>
        <w:t>Subject: Strategic Management</w:t>
      </w:r>
    </w:p>
    <w:p w14:paraId="0817D07F" w14:textId="77777777" w:rsidR="00BD6159" w:rsidRDefault="00BD6159" w:rsidP="00BD6159">
      <w:pPr>
        <w:jc w:val="center"/>
        <w:rPr>
          <w:b/>
          <w:bCs/>
          <w:sz w:val="28"/>
          <w:szCs w:val="28"/>
        </w:rPr>
      </w:pPr>
      <w:r w:rsidRPr="008A5BCE">
        <w:rPr>
          <w:b/>
          <w:bCs/>
          <w:sz w:val="28"/>
          <w:szCs w:val="28"/>
        </w:rPr>
        <w:t>Subject</w:t>
      </w:r>
      <w:r>
        <w:rPr>
          <w:b/>
          <w:bCs/>
          <w:sz w:val="28"/>
          <w:szCs w:val="28"/>
        </w:rPr>
        <w:t xml:space="preserve"> Code: LCMB7003</w:t>
      </w:r>
    </w:p>
    <w:p w14:paraId="14A63A9B" w14:textId="77777777" w:rsidR="00BD6159" w:rsidRDefault="00BD6159" w:rsidP="00BD6159">
      <w:pPr>
        <w:jc w:val="center"/>
        <w:rPr>
          <w:b/>
          <w:bCs/>
          <w:sz w:val="28"/>
          <w:szCs w:val="28"/>
        </w:rPr>
      </w:pPr>
    </w:p>
    <w:p w14:paraId="646138E0" w14:textId="00CFCD69" w:rsidR="00BD6159" w:rsidRDefault="00BD6159" w:rsidP="00BD6159">
      <w:pPr>
        <w:jc w:val="center"/>
        <w:rPr>
          <w:b/>
          <w:bCs/>
          <w:sz w:val="28"/>
          <w:szCs w:val="28"/>
        </w:rPr>
      </w:pPr>
      <w:r>
        <w:rPr>
          <w:b/>
          <w:bCs/>
          <w:sz w:val="28"/>
          <w:szCs w:val="28"/>
        </w:rPr>
        <w:t>Student name: Yash Pravinbhai Patel</w:t>
      </w:r>
    </w:p>
    <w:p w14:paraId="04EBEEF7" w14:textId="7AA5C626" w:rsidR="00BD6159" w:rsidRDefault="00BD6159" w:rsidP="00BD6159">
      <w:pPr>
        <w:jc w:val="center"/>
        <w:rPr>
          <w:b/>
          <w:bCs/>
          <w:sz w:val="28"/>
          <w:szCs w:val="28"/>
        </w:rPr>
      </w:pPr>
      <w:r>
        <w:rPr>
          <w:b/>
          <w:bCs/>
          <w:sz w:val="28"/>
          <w:szCs w:val="28"/>
        </w:rPr>
        <w:br/>
        <w:t>Student ID: 2435237</w:t>
      </w:r>
    </w:p>
    <w:p w14:paraId="6A3B3FA3" w14:textId="77777777" w:rsidR="00BD6159" w:rsidRDefault="00BD6159" w:rsidP="00BD6159">
      <w:pPr>
        <w:jc w:val="center"/>
        <w:rPr>
          <w:b/>
          <w:bCs/>
          <w:sz w:val="28"/>
          <w:szCs w:val="28"/>
        </w:rPr>
      </w:pPr>
    </w:p>
    <w:p w14:paraId="7E053C1C" w14:textId="77777777" w:rsidR="00BD6159" w:rsidRDefault="00BD6159" w:rsidP="00BD6159">
      <w:pPr>
        <w:jc w:val="center"/>
        <w:rPr>
          <w:b/>
          <w:bCs/>
          <w:sz w:val="28"/>
          <w:szCs w:val="28"/>
        </w:rPr>
      </w:pPr>
      <w:r>
        <w:rPr>
          <w:b/>
          <w:bCs/>
          <w:sz w:val="28"/>
          <w:szCs w:val="28"/>
        </w:rPr>
        <w:t>Term-2</w:t>
      </w:r>
    </w:p>
    <w:p w14:paraId="29DFED98" w14:textId="77777777" w:rsidR="00BD6159" w:rsidRDefault="00BD6159" w:rsidP="00BD6159">
      <w:pPr>
        <w:jc w:val="center"/>
        <w:rPr>
          <w:b/>
          <w:bCs/>
          <w:sz w:val="28"/>
          <w:szCs w:val="28"/>
        </w:rPr>
      </w:pPr>
    </w:p>
    <w:p w14:paraId="0EAA9798" w14:textId="77777777" w:rsidR="00BD6159" w:rsidRPr="004B18E9" w:rsidRDefault="00BD6159" w:rsidP="00BD6159">
      <w:pPr>
        <w:jc w:val="center"/>
        <w:rPr>
          <w:b/>
          <w:bCs/>
          <w:sz w:val="28"/>
          <w:szCs w:val="28"/>
        </w:rPr>
      </w:pPr>
      <w:r>
        <w:rPr>
          <w:b/>
          <w:bCs/>
          <w:sz w:val="28"/>
          <w:szCs w:val="28"/>
        </w:rPr>
        <w:t>Prof: Dr. Andry Rakotovololona</w:t>
      </w:r>
    </w:p>
    <w:p w14:paraId="68A34C88" w14:textId="77777777" w:rsidR="00BD6159" w:rsidRDefault="00BD6159">
      <w:pPr>
        <w:spacing w:before="240" w:after="240"/>
        <w:jc w:val="center"/>
        <w:rPr>
          <w:rFonts w:ascii="Times New Roman" w:eastAsia="Times New Roman" w:hAnsi="Times New Roman" w:cs="Times New Roman"/>
          <w:b/>
          <w:bCs/>
          <w:sz w:val="24"/>
          <w:szCs w:val="24"/>
        </w:rPr>
      </w:pPr>
    </w:p>
    <w:p w14:paraId="4D811B82" w14:textId="77777777" w:rsidR="00BD6159" w:rsidRDefault="00BD6159" w:rsidP="00BD6159">
      <w:pPr>
        <w:spacing w:before="240" w:after="240"/>
        <w:rPr>
          <w:rFonts w:ascii="Times New Roman" w:eastAsia="Times New Roman" w:hAnsi="Times New Roman" w:cs="Times New Roman"/>
          <w:b/>
          <w:bCs/>
          <w:sz w:val="24"/>
          <w:szCs w:val="24"/>
        </w:rPr>
      </w:pPr>
    </w:p>
    <w:p w14:paraId="1A155480" w14:textId="037C2AC3" w:rsidR="002847F8" w:rsidRPr="00BD6159" w:rsidRDefault="00000000">
      <w:pPr>
        <w:spacing w:before="240" w:after="240"/>
        <w:jc w:val="center"/>
        <w:rPr>
          <w:rFonts w:ascii="Times New Roman" w:eastAsia="Times New Roman" w:hAnsi="Times New Roman" w:cs="Times New Roman"/>
          <w:b/>
          <w:bCs/>
          <w:sz w:val="28"/>
          <w:szCs w:val="28"/>
        </w:rPr>
      </w:pPr>
      <w:r w:rsidRPr="00BD6159">
        <w:rPr>
          <w:rFonts w:ascii="Times New Roman" w:eastAsia="Times New Roman" w:hAnsi="Times New Roman" w:cs="Times New Roman"/>
          <w:b/>
          <w:bCs/>
          <w:sz w:val="28"/>
          <w:szCs w:val="28"/>
        </w:rPr>
        <w:t>Strategic Expansion Plan for Wipro Limited: An International Market Entry Strategy into Germany</w:t>
      </w:r>
    </w:p>
    <w:p w14:paraId="3F577064" w14:textId="77777777" w:rsidR="002847F8" w:rsidRDefault="002847F8">
      <w:pPr>
        <w:pStyle w:val="Heading1"/>
      </w:pPr>
      <w:bookmarkStart w:id="0" w:name="_heading=h.x9mn5pmtgj7h" w:colFirst="0" w:colLast="0"/>
      <w:bookmarkEnd w:id="0"/>
    </w:p>
    <w:p w14:paraId="187F8785" w14:textId="77777777" w:rsidR="002847F8" w:rsidRDefault="00000000">
      <w:pPr>
        <w:pStyle w:val="Heading1"/>
      </w:pPr>
      <w:bookmarkStart w:id="1" w:name="_heading=h.d6ivhobfn7d7" w:colFirst="0" w:colLast="0"/>
      <w:bookmarkEnd w:id="1"/>
      <w:r>
        <w:br w:type="page"/>
      </w:r>
    </w:p>
    <w:p w14:paraId="6F7EAEF6" w14:textId="77777777" w:rsidR="002847F8" w:rsidRDefault="00000000">
      <w:pPr>
        <w:pStyle w:val="Heading1"/>
        <w:jc w:val="center"/>
        <w:rPr>
          <w:b w:val="0"/>
          <w:bCs w:val="0"/>
        </w:rPr>
      </w:pPr>
      <w:bookmarkStart w:id="2" w:name="_heading=h.k3qkucecepgj" w:colFirst="0" w:colLast="0"/>
      <w:bookmarkEnd w:id="2"/>
      <w:r>
        <w:lastRenderedPageBreak/>
        <w:t>Table of contents</w:t>
      </w:r>
    </w:p>
    <w:sdt>
      <w:sdtPr>
        <w:id w:val="-2114222310"/>
        <w:docPartObj>
          <w:docPartGallery w:val="Table of Contents"/>
          <w:docPartUnique/>
        </w:docPartObj>
      </w:sdtPr>
      <w:sdtContent>
        <w:p w14:paraId="6A0B15AA" w14:textId="77777777" w:rsidR="002847F8" w:rsidRDefault="00000000">
          <w:pPr>
            <w:widowControl w:val="0"/>
            <w:tabs>
              <w:tab w:val="right" w:pos="9360"/>
            </w:tabs>
            <w:spacing w:before="60" w:line="24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er313v67jrfu">
            <w:r w:rsidR="002847F8">
              <w:rPr>
                <w:rFonts w:ascii="Times New Roman" w:eastAsia="Times New Roman" w:hAnsi="Times New Roman" w:cs="Times New Roman"/>
                <w:color w:val="000000"/>
                <w:sz w:val="24"/>
                <w:szCs w:val="24"/>
              </w:rPr>
              <w:t>1. Introduction</w:t>
            </w:r>
            <w:r w:rsidR="002847F8">
              <w:rPr>
                <w:rFonts w:ascii="Times New Roman" w:eastAsia="Times New Roman" w:hAnsi="Times New Roman" w:cs="Times New Roman"/>
                <w:color w:val="000000"/>
                <w:sz w:val="24"/>
                <w:szCs w:val="24"/>
              </w:rPr>
              <w:tab/>
            </w:r>
          </w:hyperlink>
          <w:r>
            <w:fldChar w:fldCharType="begin"/>
          </w:r>
          <w:r>
            <w:instrText xml:space="preserve"> PAGEREF _heading=h.er313v67jrfu \h </w:instrText>
          </w:r>
          <w:r>
            <w:fldChar w:fldCharType="separate"/>
          </w:r>
          <w:r>
            <w:rPr>
              <w:rFonts w:ascii="Times New Roman" w:eastAsia="Times New Roman" w:hAnsi="Times New Roman" w:cs="Times New Roman"/>
              <w:sz w:val="24"/>
              <w:szCs w:val="24"/>
            </w:rPr>
            <w:t>2</w:t>
          </w:r>
          <w:r>
            <w:fldChar w:fldCharType="end"/>
          </w:r>
        </w:p>
        <w:p w14:paraId="464B162A" w14:textId="77777777" w:rsidR="002847F8" w:rsidRDefault="002847F8">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7dpfopsedzul">
            <w:r>
              <w:rPr>
                <w:rFonts w:ascii="Times New Roman" w:eastAsia="Times New Roman" w:hAnsi="Times New Roman" w:cs="Times New Roman"/>
                <w:color w:val="000000"/>
                <w:sz w:val="24"/>
                <w:szCs w:val="24"/>
              </w:rPr>
              <w:t>1.1 Background of Wipro Limited</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_heading=h.7dpfopsedzul \h </w:instrText>
          </w:r>
          <w:r w:rsidR="00000000">
            <w:fldChar w:fldCharType="separate"/>
          </w:r>
          <w:r w:rsidR="00000000">
            <w:rPr>
              <w:rFonts w:ascii="Times New Roman" w:eastAsia="Times New Roman" w:hAnsi="Times New Roman" w:cs="Times New Roman"/>
              <w:sz w:val="24"/>
              <w:szCs w:val="24"/>
            </w:rPr>
            <w:t>2</w:t>
          </w:r>
          <w:r w:rsidR="00000000">
            <w:fldChar w:fldCharType="end"/>
          </w:r>
        </w:p>
        <w:p w14:paraId="499E2951" w14:textId="77777777" w:rsidR="002847F8" w:rsidRDefault="002847F8">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sk9g2dn2zdi4">
            <w:r>
              <w:rPr>
                <w:rFonts w:ascii="Times New Roman" w:eastAsia="Times New Roman" w:hAnsi="Times New Roman" w:cs="Times New Roman"/>
                <w:color w:val="000000"/>
                <w:sz w:val="24"/>
                <w:szCs w:val="24"/>
              </w:rPr>
              <w:t>1.2 Reason behind the choice of Wipro.</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_heading=h.sk9g2dn2zdi4 \h </w:instrText>
          </w:r>
          <w:r w:rsidR="00000000">
            <w:fldChar w:fldCharType="separate"/>
          </w:r>
          <w:r w:rsidR="00000000">
            <w:rPr>
              <w:rFonts w:ascii="Times New Roman" w:eastAsia="Times New Roman" w:hAnsi="Times New Roman" w:cs="Times New Roman"/>
              <w:sz w:val="24"/>
              <w:szCs w:val="24"/>
            </w:rPr>
            <w:t>3</w:t>
          </w:r>
          <w:r w:rsidR="00000000">
            <w:fldChar w:fldCharType="end"/>
          </w:r>
        </w:p>
        <w:p w14:paraId="53A3DD05" w14:textId="77777777" w:rsidR="002847F8" w:rsidRDefault="002847F8">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rt6i7c6gdgxj">
            <w:r>
              <w:rPr>
                <w:rFonts w:ascii="Times New Roman" w:eastAsia="Times New Roman" w:hAnsi="Times New Roman" w:cs="Times New Roman"/>
                <w:color w:val="000000"/>
                <w:sz w:val="24"/>
                <w:szCs w:val="24"/>
              </w:rPr>
              <w:t>1.3 Selection of Target Market: Germany.</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_heading=h.rt6i7c6gdgxj \h </w:instrText>
          </w:r>
          <w:r w:rsidR="00000000">
            <w:fldChar w:fldCharType="separate"/>
          </w:r>
          <w:r w:rsidR="00000000">
            <w:rPr>
              <w:rFonts w:ascii="Times New Roman" w:eastAsia="Times New Roman" w:hAnsi="Times New Roman" w:cs="Times New Roman"/>
              <w:sz w:val="24"/>
              <w:szCs w:val="24"/>
            </w:rPr>
            <w:t>3</w:t>
          </w:r>
          <w:r w:rsidR="00000000">
            <w:fldChar w:fldCharType="end"/>
          </w:r>
        </w:p>
        <w:p w14:paraId="5062E56D" w14:textId="77777777" w:rsidR="002847F8" w:rsidRDefault="002847F8">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iqzggrhowegm">
            <w:r>
              <w:rPr>
                <w:rFonts w:ascii="Times New Roman" w:eastAsia="Times New Roman" w:hAnsi="Times New Roman" w:cs="Times New Roman"/>
                <w:color w:val="000000"/>
                <w:sz w:val="24"/>
                <w:szCs w:val="24"/>
              </w:rPr>
              <w:t>2. Strategy analysis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_heading=h.iqzggrhowegm \h </w:instrText>
          </w:r>
          <w:r w:rsidR="00000000">
            <w:fldChar w:fldCharType="separate"/>
          </w:r>
          <w:r w:rsidR="00000000">
            <w:rPr>
              <w:rFonts w:ascii="Times New Roman" w:eastAsia="Times New Roman" w:hAnsi="Times New Roman" w:cs="Times New Roman"/>
              <w:sz w:val="24"/>
              <w:szCs w:val="24"/>
            </w:rPr>
            <w:t>4</w:t>
          </w:r>
          <w:r w:rsidR="00000000">
            <w:fldChar w:fldCharType="end"/>
          </w:r>
        </w:p>
        <w:p w14:paraId="7D0873EA" w14:textId="77777777" w:rsidR="002847F8" w:rsidRDefault="002847F8">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gej95wrn6vwf">
            <w:r>
              <w:rPr>
                <w:rFonts w:ascii="Times New Roman" w:eastAsia="Times New Roman" w:hAnsi="Times New Roman" w:cs="Times New Roman"/>
                <w:color w:val="000000"/>
                <w:sz w:val="24"/>
                <w:szCs w:val="24"/>
              </w:rPr>
              <w:t>2.1 Macro-Environmental Analysis.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_heading=h.gej95wrn6vwf \h </w:instrText>
          </w:r>
          <w:r w:rsidR="00000000">
            <w:fldChar w:fldCharType="separate"/>
          </w:r>
          <w:r w:rsidR="00000000">
            <w:rPr>
              <w:rFonts w:ascii="Times New Roman" w:eastAsia="Times New Roman" w:hAnsi="Times New Roman" w:cs="Times New Roman"/>
              <w:sz w:val="24"/>
              <w:szCs w:val="24"/>
            </w:rPr>
            <w:t>4</w:t>
          </w:r>
          <w:r w:rsidR="00000000">
            <w:fldChar w:fldCharType="end"/>
          </w:r>
        </w:p>
        <w:p w14:paraId="4853D8BC" w14:textId="77777777" w:rsidR="002847F8" w:rsidRDefault="002847F8">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xfoskkb0c63p">
            <w:r>
              <w:rPr>
                <w:rFonts w:ascii="Times New Roman" w:eastAsia="Times New Roman" w:hAnsi="Times New Roman" w:cs="Times New Roman"/>
                <w:color w:val="000000"/>
                <w:sz w:val="24"/>
                <w:szCs w:val="24"/>
              </w:rPr>
              <w:t>2.2 Industry and Competitive Landscape Porters Five Forces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_heading=h.xfoskkb0c63p \h </w:instrText>
          </w:r>
          <w:r w:rsidR="00000000">
            <w:fldChar w:fldCharType="separate"/>
          </w:r>
          <w:r w:rsidR="00000000">
            <w:rPr>
              <w:rFonts w:ascii="Times New Roman" w:eastAsia="Times New Roman" w:hAnsi="Times New Roman" w:cs="Times New Roman"/>
              <w:sz w:val="24"/>
              <w:szCs w:val="24"/>
            </w:rPr>
            <w:t>7</w:t>
          </w:r>
          <w:r w:rsidR="00000000">
            <w:fldChar w:fldCharType="end"/>
          </w:r>
        </w:p>
        <w:p w14:paraId="53AE8088" w14:textId="77777777" w:rsidR="002847F8" w:rsidRDefault="002847F8">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h4ooptuetviz">
            <w:r>
              <w:rPr>
                <w:rFonts w:ascii="Times New Roman" w:eastAsia="Times New Roman" w:hAnsi="Times New Roman" w:cs="Times New Roman"/>
                <w:color w:val="000000"/>
                <w:sz w:val="24"/>
                <w:szCs w:val="24"/>
              </w:rPr>
              <w:t>2.3 Internal Analysis VRIO and Resource Capability</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_heading=h.h4ooptuetviz \h </w:instrText>
          </w:r>
          <w:r w:rsidR="00000000">
            <w:fldChar w:fldCharType="separate"/>
          </w:r>
          <w:r w:rsidR="00000000">
            <w:rPr>
              <w:rFonts w:ascii="Times New Roman" w:eastAsia="Times New Roman" w:hAnsi="Times New Roman" w:cs="Times New Roman"/>
              <w:sz w:val="24"/>
              <w:szCs w:val="24"/>
            </w:rPr>
            <w:t>9</w:t>
          </w:r>
          <w:r w:rsidR="00000000">
            <w:fldChar w:fldCharType="end"/>
          </w:r>
        </w:p>
        <w:p w14:paraId="6885D23F" w14:textId="77777777" w:rsidR="002847F8" w:rsidRDefault="002847F8">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ryzxiuvvw6j6">
            <w:r>
              <w:rPr>
                <w:rFonts w:ascii="Times New Roman" w:eastAsia="Times New Roman" w:hAnsi="Times New Roman" w:cs="Times New Roman"/>
                <w:color w:val="000000"/>
                <w:sz w:val="24"/>
                <w:szCs w:val="24"/>
              </w:rPr>
              <w:t>VRIO Analysis Table – Wipro</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_heading=h.ryzxiuvvw6j6 \h </w:instrText>
          </w:r>
          <w:r w:rsidR="00000000">
            <w:fldChar w:fldCharType="separate"/>
          </w:r>
          <w:r w:rsidR="00000000">
            <w:rPr>
              <w:rFonts w:ascii="Times New Roman" w:eastAsia="Times New Roman" w:hAnsi="Times New Roman" w:cs="Times New Roman"/>
              <w:sz w:val="24"/>
              <w:szCs w:val="24"/>
            </w:rPr>
            <w:t>9</w:t>
          </w:r>
          <w:r w:rsidR="00000000">
            <w:fldChar w:fldCharType="end"/>
          </w:r>
        </w:p>
        <w:p w14:paraId="70DFA9DA" w14:textId="77777777" w:rsidR="002847F8" w:rsidRDefault="002847F8">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rw1wcptt40t0">
            <w:r>
              <w:rPr>
                <w:rFonts w:ascii="Times New Roman" w:eastAsia="Times New Roman" w:hAnsi="Times New Roman" w:cs="Times New Roman"/>
                <w:color w:val="000000"/>
                <w:sz w:val="24"/>
                <w:szCs w:val="24"/>
              </w:rPr>
              <w:t>2.4 Portfolio and Growth Position BCG Matrix and Ansoff Matrix</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_heading=h.rw1wcptt40t0 \h </w:instrText>
          </w:r>
          <w:r w:rsidR="00000000">
            <w:fldChar w:fldCharType="separate"/>
          </w:r>
          <w:r w:rsidR="00000000">
            <w:rPr>
              <w:rFonts w:ascii="Times New Roman" w:eastAsia="Times New Roman" w:hAnsi="Times New Roman" w:cs="Times New Roman"/>
              <w:sz w:val="24"/>
              <w:szCs w:val="24"/>
            </w:rPr>
            <w:t>11</w:t>
          </w:r>
          <w:r w:rsidR="00000000">
            <w:fldChar w:fldCharType="end"/>
          </w:r>
        </w:p>
        <w:p w14:paraId="4F8410C6" w14:textId="77777777" w:rsidR="002847F8" w:rsidRDefault="002847F8">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5l7l764kzv2a">
            <w:r>
              <w:rPr>
                <w:rFonts w:ascii="Times New Roman" w:eastAsia="Times New Roman" w:hAnsi="Times New Roman" w:cs="Times New Roman"/>
                <w:color w:val="000000"/>
                <w:sz w:val="24"/>
                <w:szCs w:val="24"/>
              </w:rPr>
              <w:t>BCG Matrix Analysis of Wipro’s Service Portfolio</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_heading=h.5l7l764kzv2a \h </w:instrText>
          </w:r>
          <w:r w:rsidR="00000000">
            <w:fldChar w:fldCharType="separate"/>
          </w:r>
          <w:r w:rsidR="00000000">
            <w:rPr>
              <w:rFonts w:ascii="Times New Roman" w:eastAsia="Times New Roman" w:hAnsi="Times New Roman" w:cs="Times New Roman"/>
              <w:sz w:val="24"/>
              <w:szCs w:val="24"/>
            </w:rPr>
            <w:t>11</w:t>
          </w:r>
          <w:r w:rsidR="00000000">
            <w:fldChar w:fldCharType="end"/>
          </w:r>
        </w:p>
        <w:p w14:paraId="18844A15" w14:textId="77777777" w:rsidR="002847F8" w:rsidRDefault="002847F8">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s97jpaljds66">
            <w:r>
              <w:rPr>
                <w:rFonts w:ascii="Times New Roman" w:eastAsia="Times New Roman" w:hAnsi="Times New Roman" w:cs="Times New Roman"/>
                <w:color w:val="000000"/>
                <w:sz w:val="24"/>
                <w:szCs w:val="24"/>
              </w:rPr>
              <w:t>Ansoff Matrix – Wipro’s Growth Strategy for Germany</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_heading=h.s97jpaljds66 \h </w:instrText>
          </w:r>
          <w:r w:rsidR="00000000">
            <w:fldChar w:fldCharType="separate"/>
          </w:r>
          <w:r w:rsidR="00000000">
            <w:rPr>
              <w:rFonts w:ascii="Times New Roman" w:eastAsia="Times New Roman" w:hAnsi="Times New Roman" w:cs="Times New Roman"/>
              <w:sz w:val="24"/>
              <w:szCs w:val="24"/>
            </w:rPr>
            <w:t>13</w:t>
          </w:r>
          <w:r w:rsidR="00000000">
            <w:fldChar w:fldCharType="end"/>
          </w:r>
        </w:p>
        <w:p w14:paraId="261ACC6A" w14:textId="77777777" w:rsidR="002847F8" w:rsidRDefault="002847F8">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1yvt9pa7tga7">
            <w:r>
              <w:rPr>
                <w:rFonts w:ascii="Times New Roman" w:eastAsia="Times New Roman" w:hAnsi="Times New Roman" w:cs="Times New Roman"/>
                <w:color w:val="000000"/>
                <w:sz w:val="24"/>
                <w:szCs w:val="24"/>
              </w:rPr>
              <w:t>2.5 SWOT Analysis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_heading=h.1yvt9pa7tga7 \h </w:instrText>
          </w:r>
          <w:r w:rsidR="00000000">
            <w:fldChar w:fldCharType="separate"/>
          </w:r>
          <w:r w:rsidR="00000000">
            <w:rPr>
              <w:rFonts w:ascii="Times New Roman" w:eastAsia="Times New Roman" w:hAnsi="Times New Roman" w:cs="Times New Roman"/>
              <w:sz w:val="24"/>
              <w:szCs w:val="24"/>
            </w:rPr>
            <w:t>14</w:t>
          </w:r>
          <w:r w:rsidR="00000000">
            <w:fldChar w:fldCharType="end"/>
          </w:r>
        </w:p>
        <w:p w14:paraId="6D20CE9B" w14:textId="77777777" w:rsidR="002847F8" w:rsidRDefault="002847F8">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35j1wqjq8jp3">
            <w:r>
              <w:rPr>
                <w:rFonts w:ascii="Times New Roman" w:eastAsia="Times New Roman" w:hAnsi="Times New Roman" w:cs="Times New Roman"/>
                <w:color w:val="000000"/>
                <w:sz w:val="24"/>
                <w:szCs w:val="24"/>
              </w:rPr>
              <w:t>SWOT Analysis Table</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_heading=h.35j1wqjq8jp3 \h </w:instrText>
          </w:r>
          <w:r w:rsidR="00000000">
            <w:fldChar w:fldCharType="separate"/>
          </w:r>
          <w:r w:rsidR="00000000">
            <w:rPr>
              <w:rFonts w:ascii="Times New Roman" w:eastAsia="Times New Roman" w:hAnsi="Times New Roman" w:cs="Times New Roman"/>
              <w:sz w:val="24"/>
              <w:szCs w:val="24"/>
            </w:rPr>
            <w:t>14</w:t>
          </w:r>
          <w:r w:rsidR="00000000">
            <w:fldChar w:fldCharType="end"/>
          </w:r>
        </w:p>
        <w:p w14:paraId="1EA2F0D2" w14:textId="77777777" w:rsidR="002847F8" w:rsidRDefault="002847F8">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drpieohayvj">
            <w:r>
              <w:rPr>
                <w:rFonts w:ascii="Times New Roman" w:eastAsia="Times New Roman" w:hAnsi="Times New Roman" w:cs="Times New Roman"/>
                <w:color w:val="000000"/>
                <w:sz w:val="24"/>
                <w:szCs w:val="24"/>
              </w:rPr>
              <w:t>3. Planning of Strategy development and market entry.</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_heading=h.drpieohayvj \h </w:instrText>
          </w:r>
          <w:r w:rsidR="00000000">
            <w:fldChar w:fldCharType="separate"/>
          </w:r>
          <w:r w:rsidR="00000000">
            <w:rPr>
              <w:rFonts w:ascii="Times New Roman" w:eastAsia="Times New Roman" w:hAnsi="Times New Roman" w:cs="Times New Roman"/>
              <w:sz w:val="24"/>
              <w:szCs w:val="24"/>
            </w:rPr>
            <w:t>16</w:t>
          </w:r>
          <w:r w:rsidR="00000000">
            <w:fldChar w:fldCharType="end"/>
          </w:r>
        </w:p>
        <w:p w14:paraId="6BFD59F7" w14:textId="77777777" w:rsidR="002847F8" w:rsidRDefault="002847F8">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xyrbfypqyo3b">
            <w:r>
              <w:rPr>
                <w:rFonts w:ascii="Times New Roman" w:eastAsia="Times New Roman" w:hAnsi="Times New Roman" w:cs="Times New Roman"/>
                <w:color w:val="000000"/>
                <w:sz w:val="24"/>
                <w:szCs w:val="24"/>
              </w:rPr>
              <w:t>3.1 Strategic Direction and Vision Alignment</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_heading=h.xyrbfypqyo3b \h </w:instrText>
          </w:r>
          <w:r w:rsidR="00000000">
            <w:fldChar w:fldCharType="separate"/>
          </w:r>
          <w:r w:rsidR="00000000">
            <w:rPr>
              <w:rFonts w:ascii="Times New Roman" w:eastAsia="Times New Roman" w:hAnsi="Times New Roman" w:cs="Times New Roman"/>
              <w:sz w:val="24"/>
              <w:szCs w:val="24"/>
            </w:rPr>
            <w:t>16</w:t>
          </w:r>
          <w:r w:rsidR="00000000">
            <w:fldChar w:fldCharType="end"/>
          </w:r>
        </w:p>
        <w:p w14:paraId="717142FA" w14:textId="77777777" w:rsidR="002847F8" w:rsidRDefault="002847F8">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4d2brkdfr84y">
            <w:r>
              <w:rPr>
                <w:rFonts w:ascii="Times New Roman" w:eastAsia="Times New Roman" w:hAnsi="Times New Roman" w:cs="Times New Roman"/>
                <w:color w:val="000000"/>
                <w:sz w:val="24"/>
                <w:szCs w:val="24"/>
              </w:rPr>
              <w:t>3.2 Generic Competitive Strategy (Porter): Differentiation Strategy</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_heading=h.4d2brkdfr84y \h </w:instrText>
          </w:r>
          <w:r w:rsidR="00000000">
            <w:fldChar w:fldCharType="separate"/>
          </w:r>
          <w:r w:rsidR="00000000">
            <w:rPr>
              <w:rFonts w:ascii="Times New Roman" w:eastAsia="Times New Roman" w:hAnsi="Times New Roman" w:cs="Times New Roman"/>
              <w:sz w:val="24"/>
              <w:szCs w:val="24"/>
            </w:rPr>
            <w:t>16</w:t>
          </w:r>
          <w:r w:rsidR="00000000">
            <w:fldChar w:fldCharType="end"/>
          </w:r>
        </w:p>
        <w:p w14:paraId="2123608A" w14:textId="77777777" w:rsidR="002847F8" w:rsidRDefault="002847F8">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c7i0vb6z7zft">
            <w:r>
              <w:rPr>
                <w:rFonts w:ascii="Times New Roman" w:eastAsia="Times New Roman" w:hAnsi="Times New Roman" w:cs="Times New Roman"/>
                <w:color w:val="000000"/>
                <w:sz w:val="24"/>
                <w:szCs w:val="24"/>
              </w:rPr>
              <w:t>3.3 Mode of Market entry to Germany</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_heading=h.c7i0vb6z7zft \h </w:instrText>
          </w:r>
          <w:r w:rsidR="00000000">
            <w:fldChar w:fldCharType="separate"/>
          </w:r>
          <w:r w:rsidR="00000000">
            <w:rPr>
              <w:rFonts w:ascii="Times New Roman" w:eastAsia="Times New Roman" w:hAnsi="Times New Roman" w:cs="Times New Roman"/>
              <w:sz w:val="24"/>
              <w:szCs w:val="24"/>
            </w:rPr>
            <w:t>17</w:t>
          </w:r>
          <w:r w:rsidR="00000000">
            <w:fldChar w:fldCharType="end"/>
          </w:r>
        </w:p>
        <w:p w14:paraId="653B6160" w14:textId="77777777" w:rsidR="002847F8" w:rsidRDefault="002847F8">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2e7kvooxstwp">
            <w:r>
              <w:rPr>
                <w:rFonts w:ascii="Times New Roman" w:eastAsia="Times New Roman" w:hAnsi="Times New Roman" w:cs="Times New Roman"/>
                <w:color w:val="000000"/>
                <w:sz w:val="24"/>
                <w:szCs w:val="24"/>
              </w:rPr>
              <w:t>3.4 Implementation Roadmap</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_heading=h.2e7kvooxstwp \h </w:instrText>
          </w:r>
          <w:r w:rsidR="00000000">
            <w:fldChar w:fldCharType="separate"/>
          </w:r>
          <w:r w:rsidR="00000000">
            <w:rPr>
              <w:rFonts w:ascii="Times New Roman" w:eastAsia="Times New Roman" w:hAnsi="Times New Roman" w:cs="Times New Roman"/>
              <w:sz w:val="24"/>
              <w:szCs w:val="24"/>
            </w:rPr>
            <w:t>17</w:t>
          </w:r>
          <w:r w:rsidR="00000000">
            <w:fldChar w:fldCharType="end"/>
          </w:r>
        </w:p>
        <w:p w14:paraId="32139883" w14:textId="77777777" w:rsidR="002847F8" w:rsidRDefault="002847F8">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aljv29cs6ml8">
            <w:r>
              <w:rPr>
                <w:rFonts w:ascii="Times New Roman" w:eastAsia="Times New Roman" w:hAnsi="Times New Roman" w:cs="Times New Roman"/>
                <w:color w:val="000000"/>
                <w:sz w:val="24"/>
                <w:szCs w:val="24"/>
              </w:rPr>
              <w:t>3.5 Risk Assessment &amp; Mitigation</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_heading=h.aljv29cs6ml8 \h </w:instrText>
          </w:r>
          <w:r w:rsidR="00000000">
            <w:fldChar w:fldCharType="separate"/>
          </w:r>
          <w:r w:rsidR="00000000">
            <w:rPr>
              <w:rFonts w:ascii="Times New Roman" w:eastAsia="Times New Roman" w:hAnsi="Times New Roman" w:cs="Times New Roman"/>
              <w:sz w:val="24"/>
              <w:szCs w:val="24"/>
            </w:rPr>
            <w:t>18</w:t>
          </w:r>
          <w:r w:rsidR="00000000">
            <w:fldChar w:fldCharType="end"/>
          </w:r>
        </w:p>
        <w:p w14:paraId="34CE9E00" w14:textId="77777777" w:rsidR="002847F8" w:rsidRDefault="002847F8">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pucrzev05skp">
            <w:r>
              <w:rPr>
                <w:rFonts w:ascii="Times New Roman" w:eastAsia="Times New Roman" w:hAnsi="Times New Roman" w:cs="Times New Roman"/>
                <w:color w:val="000000"/>
                <w:sz w:val="24"/>
                <w:szCs w:val="24"/>
              </w:rPr>
              <w:t>Risk Assessment &amp; Mitigation Table</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_heading=h.pucrzev05skp \h </w:instrText>
          </w:r>
          <w:r w:rsidR="00000000">
            <w:fldChar w:fldCharType="separate"/>
          </w:r>
          <w:r w:rsidR="00000000">
            <w:rPr>
              <w:rFonts w:ascii="Times New Roman" w:eastAsia="Times New Roman" w:hAnsi="Times New Roman" w:cs="Times New Roman"/>
              <w:sz w:val="24"/>
              <w:szCs w:val="24"/>
            </w:rPr>
            <w:t>18</w:t>
          </w:r>
          <w:r w:rsidR="00000000">
            <w:fldChar w:fldCharType="end"/>
          </w:r>
        </w:p>
        <w:p w14:paraId="7590399E" w14:textId="77777777" w:rsidR="002847F8" w:rsidRDefault="002847F8">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7xcmzqy8uygn">
            <w:r>
              <w:rPr>
                <w:rFonts w:ascii="Times New Roman" w:eastAsia="Times New Roman" w:hAnsi="Times New Roman" w:cs="Times New Roman"/>
                <w:color w:val="000000"/>
                <w:sz w:val="24"/>
                <w:szCs w:val="24"/>
              </w:rPr>
              <w:t>4. PERFORMANCE EVALUATION FRAMEWORK</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_heading=h.7xcmzqy8uygn \h </w:instrText>
          </w:r>
          <w:r w:rsidR="00000000">
            <w:fldChar w:fldCharType="separate"/>
          </w:r>
          <w:r w:rsidR="00000000">
            <w:rPr>
              <w:rFonts w:ascii="Times New Roman" w:eastAsia="Times New Roman" w:hAnsi="Times New Roman" w:cs="Times New Roman"/>
              <w:sz w:val="24"/>
              <w:szCs w:val="24"/>
            </w:rPr>
            <w:t>19</w:t>
          </w:r>
          <w:r w:rsidR="00000000">
            <w:fldChar w:fldCharType="end"/>
          </w:r>
        </w:p>
        <w:p w14:paraId="38FF5783" w14:textId="77777777" w:rsidR="002847F8" w:rsidRDefault="002847F8">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44a7rymjam5a">
            <w:r>
              <w:rPr>
                <w:rFonts w:ascii="Times New Roman" w:eastAsia="Times New Roman" w:hAnsi="Times New Roman" w:cs="Times New Roman"/>
                <w:color w:val="000000"/>
                <w:sz w:val="24"/>
                <w:szCs w:val="24"/>
              </w:rPr>
              <w:t>4.1 Balanced Scorecard Model</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_heading=h.44a7rymjam5a \h </w:instrText>
          </w:r>
          <w:r w:rsidR="00000000">
            <w:fldChar w:fldCharType="separate"/>
          </w:r>
          <w:r w:rsidR="00000000">
            <w:rPr>
              <w:rFonts w:ascii="Times New Roman" w:eastAsia="Times New Roman" w:hAnsi="Times New Roman" w:cs="Times New Roman"/>
              <w:sz w:val="24"/>
              <w:szCs w:val="24"/>
            </w:rPr>
            <w:t>19</w:t>
          </w:r>
          <w:r w:rsidR="00000000">
            <w:fldChar w:fldCharType="end"/>
          </w:r>
        </w:p>
        <w:p w14:paraId="36CD12D5" w14:textId="77777777" w:rsidR="002847F8" w:rsidRDefault="002847F8">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n1kbxlulpqm7">
            <w:r>
              <w:rPr>
                <w:rFonts w:ascii="Times New Roman" w:eastAsia="Times New Roman" w:hAnsi="Times New Roman" w:cs="Times New Roman"/>
                <w:color w:val="000000"/>
                <w:sz w:val="24"/>
                <w:szCs w:val="24"/>
              </w:rPr>
              <w:t>4.2 Triple Bottom Line (TBL) Evaluation</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_heading=h.n1kbxlulpqm7 \h </w:instrText>
          </w:r>
          <w:r w:rsidR="00000000">
            <w:fldChar w:fldCharType="separate"/>
          </w:r>
          <w:r w:rsidR="00000000">
            <w:rPr>
              <w:rFonts w:ascii="Times New Roman" w:eastAsia="Times New Roman" w:hAnsi="Times New Roman" w:cs="Times New Roman"/>
              <w:sz w:val="24"/>
              <w:szCs w:val="24"/>
            </w:rPr>
            <w:t>20</w:t>
          </w:r>
          <w:r w:rsidR="00000000">
            <w:fldChar w:fldCharType="end"/>
          </w:r>
        </w:p>
        <w:p w14:paraId="745851D6" w14:textId="77777777" w:rsidR="002847F8" w:rsidRDefault="002847F8">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arf025nceyw2">
            <w:r>
              <w:rPr>
                <w:rFonts w:ascii="Times New Roman" w:eastAsia="Times New Roman" w:hAnsi="Times New Roman" w:cs="Times New Roman"/>
                <w:color w:val="000000"/>
                <w:sz w:val="24"/>
                <w:szCs w:val="24"/>
              </w:rPr>
              <w:t>5. Conclusion and Strategic Recommendations.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_heading=h.arf025nceyw2 \h </w:instrText>
          </w:r>
          <w:r w:rsidR="00000000">
            <w:fldChar w:fldCharType="separate"/>
          </w:r>
          <w:r w:rsidR="00000000">
            <w:rPr>
              <w:rFonts w:ascii="Times New Roman" w:eastAsia="Times New Roman" w:hAnsi="Times New Roman" w:cs="Times New Roman"/>
              <w:sz w:val="24"/>
              <w:szCs w:val="24"/>
            </w:rPr>
            <w:t>21</w:t>
          </w:r>
          <w:r w:rsidR="00000000">
            <w:fldChar w:fldCharType="end"/>
          </w:r>
        </w:p>
        <w:p w14:paraId="7B48847C" w14:textId="77777777" w:rsidR="002847F8" w:rsidRDefault="002847F8">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6jkn6d2vg9tt">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_heading=h.6jkn6d2vg9tt \h </w:instrText>
          </w:r>
          <w:r w:rsidR="00000000">
            <w:fldChar w:fldCharType="separate"/>
          </w:r>
          <w:r w:rsidR="00000000">
            <w:rPr>
              <w:rFonts w:ascii="Times New Roman" w:eastAsia="Times New Roman" w:hAnsi="Times New Roman" w:cs="Times New Roman"/>
              <w:sz w:val="24"/>
              <w:szCs w:val="24"/>
            </w:rPr>
            <w:t>22</w:t>
          </w:r>
          <w:r w:rsidR="00000000">
            <w:fldChar w:fldCharType="end"/>
          </w:r>
          <w:r w:rsidR="00000000">
            <w:fldChar w:fldCharType="end"/>
          </w:r>
        </w:p>
      </w:sdtContent>
    </w:sdt>
    <w:p w14:paraId="280F9218" w14:textId="77777777" w:rsidR="002847F8" w:rsidRDefault="002847F8">
      <w:pPr>
        <w:rPr>
          <w:rFonts w:ascii="Times New Roman" w:eastAsia="Times New Roman" w:hAnsi="Times New Roman" w:cs="Times New Roman"/>
          <w:sz w:val="24"/>
          <w:szCs w:val="24"/>
        </w:rPr>
      </w:pPr>
    </w:p>
    <w:p w14:paraId="78645EBC" w14:textId="77777777" w:rsidR="002847F8" w:rsidRDefault="00000000">
      <w:pPr>
        <w:pStyle w:val="Heading1"/>
        <w:rPr>
          <w:b w:val="0"/>
          <w:bCs w:val="0"/>
        </w:rPr>
      </w:pPr>
      <w:bookmarkStart w:id="3" w:name="_heading=h.wcvvblulvbj" w:colFirst="0" w:colLast="0"/>
      <w:bookmarkEnd w:id="3"/>
      <w:r>
        <w:br w:type="page"/>
      </w:r>
    </w:p>
    <w:p w14:paraId="3D933F18" w14:textId="77777777" w:rsidR="002847F8" w:rsidRDefault="00000000">
      <w:pPr>
        <w:pStyle w:val="Heading1"/>
      </w:pPr>
      <w:bookmarkStart w:id="4" w:name="_heading=h.er313v67jrfu" w:colFirst="0" w:colLast="0"/>
      <w:bookmarkEnd w:id="4"/>
      <w:r>
        <w:lastRenderedPageBreak/>
        <w:t xml:space="preserve">1. Introduction </w:t>
      </w:r>
    </w:p>
    <w:p w14:paraId="54E84BAB" w14:textId="77777777" w:rsidR="002847F8" w:rsidRDefault="00000000">
      <w:pPr>
        <w:pStyle w:val="Heading2"/>
      </w:pPr>
      <w:bookmarkStart w:id="5" w:name="_heading=h.7dpfopsedzul" w:colFirst="0" w:colLast="0"/>
      <w:bookmarkEnd w:id="5"/>
      <w:r>
        <w:t>1.1 Background of Wipro Limited</w:t>
      </w:r>
    </w:p>
    <w:p w14:paraId="6EABB1B1"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Wipro Limited is a leading multinational company of India with regards to information technology and consulting industry. The company started in 1945 in the production of vegetable oils and consumer goods under the name Western India Vegetable Products Ltd and was founded by Mohamed Premji (Wipro, 2025). The company had experienced a strategic shift in the late 1970s during which the son of the founder Azim Premji steered the company to the growing IT business. This diversification represented the commencement of the transition to a technology based company at Wipro. By the 1990s, Wipro had managed to rebrand itself as a front-runners in the IT services industry, taking advantage of the fast globalisation of software outsourcing services and digital services (Wipro, 2023). In fiscal year 2022–23, Wipro Limited recorded IT-services revenue of approximately </w:t>
      </w:r>
      <w:r>
        <w:rPr>
          <w:rFonts w:ascii="Times New Roman" w:eastAsia="Times New Roman" w:hAnsi="Times New Roman" w:cs="Times New Roman"/>
          <w:b/>
          <w:bCs/>
          <w:sz w:val="24"/>
          <w:szCs w:val="24"/>
        </w:rPr>
        <w:t>US $11.2 billion</w:t>
      </w:r>
      <w:r>
        <w:rPr>
          <w:rFonts w:ascii="Times New Roman" w:eastAsia="Times New Roman" w:hAnsi="Times New Roman" w:cs="Times New Roman"/>
          <w:sz w:val="24"/>
          <w:szCs w:val="24"/>
        </w:rPr>
        <w:t xml:space="preserve">, highlighting its strong global market presence and sustained client demand (Wipro Limited, 2023). The company also reported an operating margin of around </w:t>
      </w:r>
      <w:r>
        <w:rPr>
          <w:rFonts w:ascii="Times New Roman" w:eastAsia="Times New Roman" w:hAnsi="Times New Roman" w:cs="Times New Roman"/>
          <w:b/>
          <w:bCs/>
          <w:sz w:val="24"/>
          <w:szCs w:val="24"/>
        </w:rPr>
        <w:t>15.7%</w:t>
      </w:r>
      <w:r>
        <w:rPr>
          <w:rFonts w:ascii="Times New Roman" w:eastAsia="Times New Roman" w:hAnsi="Times New Roman" w:cs="Times New Roman"/>
          <w:sz w:val="24"/>
          <w:szCs w:val="24"/>
        </w:rPr>
        <w:t xml:space="preserve">, reflecting stable profitability in a competitive industry (Wipro Limited, 2023). As of March 2023, Wipro employed </w:t>
      </w:r>
      <w:r>
        <w:rPr>
          <w:rFonts w:ascii="Times New Roman" w:eastAsia="Times New Roman" w:hAnsi="Times New Roman" w:cs="Times New Roman"/>
          <w:b/>
          <w:bCs/>
          <w:sz w:val="24"/>
          <w:szCs w:val="24"/>
        </w:rPr>
        <w:t>256,921 people</w:t>
      </w:r>
      <w:r>
        <w:rPr>
          <w:rFonts w:ascii="Times New Roman" w:eastAsia="Times New Roman" w:hAnsi="Times New Roman" w:cs="Times New Roman"/>
          <w:sz w:val="24"/>
          <w:szCs w:val="24"/>
        </w:rPr>
        <w:t xml:space="preserve"> worldwide, demonstrating its extensive workforce capacity to support global service delivery and innovation (Macrotrends, 2023). These financial and human-capital indicators confirm Wipro’s position as one of the leading multinational IT service providers.</w:t>
      </w:r>
    </w:p>
    <w:p w14:paraId="4BCCB395"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Wipro has a high global presence in the Americas and Europe, Asia-Pacific, the Middle East and Africa where it serves clients in more than 65 countries. Through acquisitions of other companies like Capco, Rizing and Consulting firms in Europe, the company has been able to boost their specific industry consulting capacity and penetration of the market in the different regions (Wipro Foundation, 2024). </w:t>
      </w:r>
    </w:p>
    <w:p w14:paraId="071244B5" w14:textId="77777777" w:rsidR="002847F8" w:rsidRDefault="00000000">
      <w:pPr>
        <w:pStyle w:val="Heading2"/>
      </w:pPr>
      <w:bookmarkStart w:id="6" w:name="_heading=h.sk9g2dn2zdi4" w:colFirst="0" w:colLast="0"/>
      <w:bookmarkEnd w:id="6"/>
      <w:r>
        <w:t>1.2 Reason behind the choice of Wipro.</w:t>
      </w:r>
    </w:p>
    <w:p w14:paraId="62E2849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Employing Wipro as an example, its business strategy is clearly the focus on innovation, and the company constantly invests in research and development, digital labs, and strategic partnerships with world technology giants, including Microsoft, Google, Amazon Web Services (AWS), and SAP. Such alliances permit Wipro to provide modern cloud-native and AI-led solutions at the scale. Moreover, Wipro has created industry-specific digital solutions that respond to complex enterprise issues, which provide it with a high competitiveness in regulated sectors in such fields as finance, healthcare, and manufacturing (Kolte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Wipro was selected due to its strong financial performance, global workforce, and consistent investment in digital transformation. With annual IT-services revenue exceeding </w:t>
      </w:r>
      <w:r>
        <w:rPr>
          <w:rFonts w:ascii="Times New Roman" w:eastAsia="Times New Roman" w:hAnsi="Times New Roman" w:cs="Times New Roman"/>
          <w:b/>
          <w:bCs/>
          <w:sz w:val="24"/>
          <w:szCs w:val="24"/>
        </w:rPr>
        <w:t>US $11.2 billion in FY 2022–23</w:t>
      </w:r>
      <w:r>
        <w:rPr>
          <w:rFonts w:ascii="Times New Roman" w:eastAsia="Times New Roman" w:hAnsi="Times New Roman" w:cs="Times New Roman"/>
          <w:sz w:val="24"/>
          <w:szCs w:val="24"/>
        </w:rPr>
        <w:t xml:space="preserve">, the company possesses sufficient financial strength to support large-scale innovation and international growth initiatives (Wipro Limited, 2023). Additionally, Wipro’s workforce of over </w:t>
      </w:r>
      <w:r>
        <w:rPr>
          <w:rFonts w:ascii="Times New Roman" w:eastAsia="Times New Roman" w:hAnsi="Times New Roman" w:cs="Times New Roman"/>
          <w:b/>
          <w:bCs/>
          <w:sz w:val="24"/>
          <w:szCs w:val="24"/>
        </w:rPr>
        <w:t>256,000 employees</w:t>
      </w:r>
      <w:r>
        <w:rPr>
          <w:rFonts w:ascii="Times New Roman" w:eastAsia="Times New Roman" w:hAnsi="Times New Roman" w:cs="Times New Roman"/>
          <w:sz w:val="24"/>
          <w:szCs w:val="24"/>
        </w:rPr>
        <w:t xml:space="preserve"> enables large and complex project execution across multiple geographies (Macrotrends, 2023). This balance of </w:t>
      </w:r>
      <w:r>
        <w:rPr>
          <w:rFonts w:ascii="Times New Roman" w:eastAsia="Times New Roman" w:hAnsi="Times New Roman" w:cs="Times New Roman"/>
          <w:sz w:val="24"/>
          <w:szCs w:val="24"/>
        </w:rPr>
        <w:lastRenderedPageBreak/>
        <w:t>financial strength and human resources makes Wipro a reliable and strategic organisation for proposing long-term digital expansion strategies.</w:t>
      </w:r>
    </w:p>
    <w:p w14:paraId="270618A2"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important reason why Wipro was chosen is its position ahead in sustainability and Environmental, Social and Governance (ESG) practices. The company is determined to achieve net-zero carbon emissions by 2040 and has implemented sustainability in its business process by using green data centres, energy-efficient digital data centers, and ethical AI systems (Leading with Resilience and Responsibility, 2023). This is highly compatible with the international regulatory requirements especially in European markets where compliance on sustainability is very high.</w:t>
      </w:r>
    </w:p>
    <w:p w14:paraId="2FEBCF07" w14:textId="77777777" w:rsidR="002847F8" w:rsidRDefault="00000000">
      <w:pPr>
        <w:pStyle w:val="Heading2"/>
      </w:pPr>
      <w:bookmarkStart w:id="7" w:name="_heading=h.rt6i7c6gdgxj" w:colFirst="0" w:colLast="0"/>
      <w:bookmarkEnd w:id="7"/>
      <w:r>
        <w:t>1.3 Selection of Target Market: Germany.</w:t>
      </w:r>
    </w:p>
    <w:p w14:paraId="047200A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reason behind Wipro choosing Germany as the proposed target foreign market to expand is its economic power, developed industrial ecosystem, digital maturity, and high spending on corporate technology. Germany presents an attractive market with a stable, high-value environment on digital services to enterprise, given that it is the largest economy in Europe and the fourth largest economy in the world (Chornenka, 2025). There is a continuous need of Industry 4.0 and smart digital solutions due to its high industrial foundation especially in automotive, engineering, healthcare, chemicals and high-end production.</w:t>
      </w:r>
    </w:p>
    <w:p w14:paraId="249000F4"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global awareness of Germany in terms of Industry 4.0 is its implementation of cyber-physical system into industrial production with the addition of automation, AI, cloud computing, and data analytics. The need to transform manufacturing and supply chain processes faster and with greater digitalization is spurred by the growing and rapid increase in the number of manufacturing companies that are adopting cloud platforms, cybersecurity infrastructure, AI-based automation and enterprise digital integration (Mohsen, 2023).</w:t>
      </w:r>
    </w:p>
    <w:p w14:paraId="438154E7" w14:textId="77777777" w:rsidR="002847F8" w:rsidRDefault="00000000">
      <w:pPr>
        <w:pStyle w:val="Heading1"/>
      </w:pPr>
      <w:bookmarkStart w:id="8" w:name="_heading=h.iqzggrhowegm" w:colFirst="0" w:colLast="0"/>
      <w:bookmarkEnd w:id="8"/>
      <w:r>
        <w:t xml:space="preserve">2. Strategy analysis </w:t>
      </w:r>
    </w:p>
    <w:p w14:paraId="53A2E79A" w14:textId="77777777" w:rsidR="002847F8" w:rsidRDefault="00000000">
      <w:pPr>
        <w:pStyle w:val="Heading2"/>
      </w:pPr>
      <w:bookmarkStart w:id="9" w:name="_heading=h.gej95wrn6vwf" w:colFirst="0" w:colLast="0"/>
      <w:bookmarkEnd w:id="9"/>
      <w:r>
        <w:t>2.1 Macro-Environmental Analysis.</w:t>
      </w:r>
    </w:p>
    <w:p w14:paraId="2B9BD5F0" w14:textId="77777777" w:rsidR="002847F8" w:rsidRDefault="00000000">
      <w:pPr>
        <w:spacing w:before="240" w:after="240"/>
        <w:jc w:val="both"/>
        <w:rPr>
          <w:b/>
          <w:bCs/>
        </w:rPr>
      </w:pPr>
      <w:r>
        <w:rPr>
          <w:rFonts w:ascii="Times New Roman" w:eastAsia="Times New Roman" w:hAnsi="Times New Roman" w:cs="Times New Roman"/>
          <w:b/>
          <w:bCs/>
          <w:sz w:val="24"/>
          <w:szCs w:val="24"/>
        </w:rPr>
        <w:t xml:space="preserve">PESTLE </w:t>
      </w:r>
    </w:p>
    <w:p w14:paraId="146B2D9C"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Political Factors</w:t>
      </w:r>
    </w:p>
    <w:p w14:paraId="6EC16FD8"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political environment in Germany is highly stable and predictable and as a result, it is considered to be among the most appealing foreign direct investment destinations in Europe (Ormston, 2025). Digitalisation is actively supported at the national level by the German government as illustrated by national strategies like the Digital Strategy 2025, massive investments in digital infrastructures, including 5G networks, smart cities, and industrial digital transformation (Jarzębowski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These are initiatives that are directly aligned with the development of </w:t>
      </w:r>
      <w:r>
        <w:rPr>
          <w:rFonts w:ascii="Times New Roman" w:eastAsia="Times New Roman" w:hAnsi="Times New Roman" w:cs="Times New Roman"/>
          <w:sz w:val="24"/>
          <w:szCs w:val="24"/>
        </w:rPr>
        <w:lastRenderedPageBreak/>
        <w:t>cloud computing, AI, and cybersecurity services which are the areas of the business model of Wipro.</w:t>
      </w:r>
    </w:p>
    <w:p w14:paraId="0DEC97D3"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governance and digital sovereignty are priority issues in the European Union (EU) policy, particularly via legislation like the General Data Protection Regulation (GDPR). On the one hand, GDPR promotes consumer trust and a higher level of data safety; however, on the other hand, the compliance expenses are also higher among foreign IT companies (Ke and Sudhir, 2023). However, the high level of political institutions, continuity of the policy, and long-term investment in digital innovation in Germany makes it a low-risk country to invest in the long-term strategic plans.</w:t>
      </w:r>
    </w:p>
    <w:p w14:paraId="488931EC" w14:textId="77777777" w:rsidR="002847F8" w:rsidRDefault="002847F8">
      <w:pPr>
        <w:spacing w:before="240" w:after="240"/>
        <w:jc w:val="both"/>
        <w:rPr>
          <w:rFonts w:ascii="Times New Roman" w:eastAsia="Times New Roman" w:hAnsi="Times New Roman" w:cs="Times New Roman"/>
          <w:sz w:val="24"/>
          <w:szCs w:val="24"/>
        </w:rPr>
      </w:pPr>
    </w:p>
    <w:p w14:paraId="524D1462"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Economic Factors</w:t>
      </w:r>
    </w:p>
    <w:p w14:paraId="7213D1C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Germany boasts of the largest economy in Europe and the fourth largest economy in the world with automotive, engineering, healthcare, chemicals and manufacture industries being its strong automotive, engineering, healthcare, chemical and manufacturing sectors. Despite the average growth in the GDP in the recent period because of the uncertainty in the global economy, Germany still remains resilient and productive in its enterprises. The nation has a high level of export and demand of the high-value digital solutions.</w:t>
      </w:r>
    </w:p>
    <w:p w14:paraId="7D63F238"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past years are characterized by a rise in inflation and the interest rates as the operational financing costs have risen because of the post-pandemic recovery and geopolitical instability. Nonetheless, IT expenditure at the enterprise level is high because German companies still focus on digital transformation as a way of enhancing efficiency and automation and improving resistance to cyber attacks (Imarc group, 2023). The increasing IT investments in the cloud services, Artificial Intelligence and smart manufacturing platforms are a major growth opportunity to the digital services portfolio of Wipro.</w:t>
      </w:r>
    </w:p>
    <w:p w14:paraId="7E504540" w14:textId="77777777" w:rsidR="002847F8" w:rsidRDefault="002847F8">
      <w:pPr>
        <w:spacing w:before="240" w:after="240"/>
        <w:jc w:val="both"/>
        <w:rPr>
          <w:rFonts w:ascii="Times New Roman" w:eastAsia="Times New Roman" w:hAnsi="Times New Roman" w:cs="Times New Roman"/>
          <w:sz w:val="24"/>
          <w:szCs w:val="24"/>
        </w:rPr>
      </w:pPr>
    </w:p>
    <w:p w14:paraId="687DB2A4"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Social Factors</w:t>
      </w:r>
    </w:p>
    <w:p w14:paraId="393B2A4D"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demographic trend in Germany has been typified by an ageing workforce and a decreasing birth rate, which has posed a long-term labour shortage in the industries and technology sectors. This forces German companies to more and more depend on automation, AI, and digital platforms and remain productive. This architectural transformation boosts directly the need of smart automation, cloud-native applications, and business digital integration, which is the capability of Wipro.</w:t>
      </w:r>
    </w:p>
    <w:p w14:paraId="2DD294F4"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remote and hybrid working models have also become significantly more accepted socially after the COVID-19 pandemic. German organisations have come to need safe digital facilities to </w:t>
      </w:r>
      <w:r>
        <w:rPr>
          <w:rFonts w:ascii="Times New Roman" w:eastAsia="Times New Roman" w:hAnsi="Times New Roman" w:cs="Times New Roman"/>
          <w:sz w:val="24"/>
          <w:szCs w:val="24"/>
        </w:rPr>
        <w:lastRenderedPageBreak/>
        <w:t>use in virtual collaboration, access data in the cloud, and have resilience towards cybersecurity (Gartner, 2025). Moreover, the level of education in Germany is very high and the population is very much digitalized and this helps in accelerating the pace of technology adoption and penetration of advanced solutions into the processes of the enterprises.</w:t>
      </w:r>
    </w:p>
    <w:p w14:paraId="02A92B56"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Technological Factors</w:t>
      </w:r>
    </w:p>
    <w:p w14:paraId="2EF03BCA"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Germany is a leading country in Industry 4.0 and smart manufacturing and combines cyber-physical systems, IoT, AI, robotics, and cloud computing into the production process. The industrial companies in the country are speeding up investments in digital predictive maintenance, digital twins, smart supply chain, and AI-based analytics. This forms a significant market in terms of high level IT consulting, platform integration and cloud infrastructure services.</w:t>
      </w:r>
    </w:p>
    <w:p w14:paraId="51327B0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AIs are rapidly being adopted in the German businesses, especially in the automotive design, healthcare diagnostics, logistics optimisation, and in the financial services (Krakowski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 More so, the availability of government-sponsored research and innovation enhances the position of Germany as a European powerhouse in technology. These technological forces are in close synergies with the digital transformation, AI engineering, and cloud security services solutions offered by Wipro.</w:t>
      </w:r>
    </w:p>
    <w:p w14:paraId="18A72A7E"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Legal Factors</w:t>
      </w:r>
    </w:p>
    <w:p w14:paraId="6015E0EA"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Germany has one of the strictest data protection and cybersecurity regulatory systems in the world. The GDPR sets forth strict regulations on the collection, processing, storage and transfer of personal data to other countries, and it has a direct impact on the design and management of the cloud infrastructures by IT companies (Lasserre and Monteiro, 2022). The legal and operational requirements of companies like Wipro are high, due to the adherence to the Federal Data Protection Act (BDSG) and EU cybersecurity policies, including the NIS2.</w:t>
      </w:r>
    </w:p>
    <w:p w14:paraId="4262533D"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Also, data residency policies demand that sensitive enterprise data must be hosted on servers in the EU, which may require a local data centre investment or collaboration with cloud providers in the European region. Although these legal environments increase the entry barriers, it also enhances consumer confidence and entry barriers to the smaller competitors.</w:t>
      </w:r>
    </w:p>
    <w:p w14:paraId="51202A05"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Environmental Factors</w:t>
      </w:r>
    </w:p>
    <w:p w14:paraId="59F8DA01"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Germany is a leader of sustainability regulation and environmental responsibility in the world. The government is pledged to be carbon neutral by 2045 and there would be stiff application of environmental regulations in all sectors including the digital infrastructure. The data centres must assure high energy efficiency and renewable energy consumption and this raises the demand of green IT solutions.</w:t>
      </w:r>
    </w:p>
    <w:p w14:paraId="3AD0508D"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Corporate clients are also becoming more focused on sustainable IT sourcing such as carbon- neutral cloud solution, energy-efficient data processing and ESG-compliant digital transformation solutions (Rêgo</w:t>
      </w:r>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xml:space="preserve"> 2022). The Wipro own net-zero emission and sustainable IT procurement will increase the strategic alignment with the Net zero emission requirements and enhance brand legitimacy in the German market.</w:t>
      </w:r>
    </w:p>
    <w:p w14:paraId="64AEF22F"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Important Analysis of the PESTLE Analysis.</w:t>
      </w:r>
    </w:p>
    <w:p w14:paraId="268DE16C"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PESTLE model is very effective in the determination of macro-environmental forces which influence international market entry decisions especially in politically and legally controlled markets like Germany. It offers a systematic method of measuring regulatory risks, economic stability and technological preparedness.</w:t>
      </w:r>
    </w:p>
    <w:p w14:paraId="2C0DB8BD"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major shortcomings of PESTLE, however, is that it is very descriptive and static. It fails entirely to reflect the pace of technology disruption, online competitive pressures, or the dynamic nature of interactions on stakeholder dynamics that characterize the current IT markets. </w:t>
      </w:r>
    </w:p>
    <w:p w14:paraId="2574EF99" w14:textId="77777777" w:rsidR="002847F8" w:rsidRDefault="00000000">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7F44B28" wp14:editId="01F41367">
            <wp:extent cx="5943600" cy="3505200"/>
            <wp:effectExtent l="25400" t="25400" r="25400" b="2540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505200"/>
                    </a:xfrm>
                    <a:prstGeom prst="rect">
                      <a:avLst/>
                    </a:prstGeom>
                    <a:ln w="25400">
                      <a:solidFill>
                        <a:srgbClr val="000000"/>
                      </a:solidFill>
                      <a:prstDash val="solid"/>
                    </a:ln>
                  </pic:spPr>
                </pic:pic>
              </a:graphicData>
            </a:graphic>
          </wp:inline>
        </w:drawing>
      </w:r>
    </w:p>
    <w:p w14:paraId="12187842"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PESTLE Analysis</w:t>
      </w:r>
    </w:p>
    <w:p w14:paraId="4FCA2DE1"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(Ormston, 2025)</w:t>
      </w:r>
    </w:p>
    <w:p w14:paraId="1A4EE988" w14:textId="77777777" w:rsidR="002847F8" w:rsidRDefault="00000000">
      <w:pPr>
        <w:pStyle w:val="Heading2"/>
      </w:pPr>
      <w:bookmarkStart w:id="10" w:name="_heading=h.xfoskkb0c63p" w:colFirst="0" w:colLast="0"/>
      <w:bookmarkEnd w:id="10"/>
      <w:r>
        <w:t xml:space="preserve">2.2 Industry and Competitive Landscape Porters Five Forces </w:t>
      </w:r>
    </w:p>
    <w:p w14:paraId="6061C33F"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Risk of New Entrants -Moderate.</w:t>
      </w:r>
    </w:p>
    <w:p w14:paraId="218C349C"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danger of entry in the market of digital services in Germany is moderate (The Strategy Institute, 2024). As the demand in cloud services, cybersecurity, AI, and enterprise digital solutions is expanding at a high rate, the industry is marked with a high entry barrier. These are tough regulatory demands on GDPR, cybersecurity rules, excessive capital expenditure on cloud infrastructure, and high brand credibility facets. Also, in Germany, large enterprise clients would want to do business with well established global vendors that have reliable delivery history, and thus new or small firms cannot easily win large contracts in Germany (Gibson, 2024). Nevertheless, technology-based start-ups which provide specialised AI, automation or SaaS solutions keep on appearing, maintaining the entry pressure at a moderate level.</w:t>
      </w:r>
    </w:p>
    <w:p w14:paraId="1ACB0DA8"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Bargaining Power of Buyers -High</w:t>
      </w:r>
    </w:p>
    <w:p w14:paraId="7AD7965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German IT market has high bargaining power of buyers. Large companies, especially in the automotive, manufacturing, banking, and healthcare industries, have high bargaining power because of the large size of contracts, the presence of numerous alternatives of switching, and the availability of various global suppliers. Customers require high service personalisation, strict cybersecurity policies, cost effectiveness and quantifiable service-level agreements (SLAs) (Farida and Setiawan, 2024). The existence of a few international rivals like IBM, Accenture, TCS, and Capgemini gives the buyers a lot of options hence reinforcing their bargaining power to negotiate prices and contractual adaptability. This is a pressure to the margins of the IT service providers like Wipro.</w:t>
      </w:r>
    </w:p>
    <w:p w14:paraId="3BB02755"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Supplier Power -Moderate.</w:t>
      </w:r>
    </w:p>
    <w:p w14:paraId="6FE1AE8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supplier power in the German IT ecosystem is moderate. The main suppliers are professional IT experts, providers of cloud infrastructure (Amazon Web Services, Microsoft Azure, and Google Cloud), and technology specialists vendors (Borra, 2024). As demand of digital talent is high, the Wipro global model of delivery and the availability to a large pool of international talent make the company less reliant on the local German labour markets. Nevertheless, reliance on large cloud platform vendors reduces pricing elasticity and heightens the supplier control of the cost of digital infrastructure.</w:t>
      </w:r>
    </w:p>
    <w:p w14:paraId="3FF1A2A0"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Threat of Substitutes – High</w:t>
      </w:r>
    </w:p>
    <w:p w14:paraId="33F89A7C"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Substitutes threat is high because the number of cloud based companies, SaaS, low-code/no-code development tools and services based on automation are increasing rapidly. There has been a growing usage of in-house digital platforms, subscription-based software solutions by many enterprises which minimize the dependence on traditional IT service providers. Moreover, AI-based automation systems now do the work of large IT consulting firms. The developments escalate substitution risk to companies such as Wipro unless it keeps on innovating.</w:t>
      </w:r>
    </w:p>
    <w:p w14:paraId="634B5006"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Competitive Rivalry -Very High.</w:t>
      </w:r>
    </w:p>
    <w:p w14:paraId="5B49F33C"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levels of competition in the German IT and digital service industry are high. The leading market is occupied by an influential international corporation of IBM, Accenture, TCS, Capgemini, Cognizant, and Infosys as well as powerful European digital specialists (Reznikov and Turlakova, 2024). The companies fight each other in terms of price, innovation, capabilities related to cybersecurity, digital speed, and compliance with ESG. Competitive pressure is further worsened by frequent mergers, acquisitions and strategic alliances. In the case of Wipro, it will be necessary to remain differentiated using AI-based services, cloud security, and industry-oriented platforms to stay ahead of competitors.</w:t>
      </w:r>
    </w:p>
    <w:p w14:paraId="3F0524B5"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Critical Analysis of the Five Forces in Digital Industries as proposed by Porter.</w:t>
      </w:r>
    </w:p>
    <w:p w14:paraId="435DFA6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Porters Five Forces is a powerful model of structural competition, it is particularly weak when applied to high-speed digital markets. The model presupposes relatively stable industry borders, whereas digital ecosystems are also extremely dynamic and are reformed constantly through innovation, convergence of platforms and disruptive technologies. It also does not give due credit to the importance of strategic alliances, ecosystems, and co-opetition which play an important role in cloud and AI-driven industries. </w:t>
      </w:r>
    </w:p>
    <w:p w14:paraId="075C7300" w14:textId="77777777" w:rsidR="002847F8" w:rsidRDefault="00000000">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B99100B" wp14:editId="0A091D44">
            <wp:extent cx="5943600" cy="3111500"/>
            <wp:effectExtent l="25400" t="25400" r="25400" b="2540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111500"/>
                    </a:xfrm>
                    <a:prstGeom prst="rect">
                      <a:avLst/>
                    </a:prstGeom>
                    <a:ln w="25400">
                      <a:solidFill>
                        <a:srgbClr val="000000"/>
                      </a:solidFill>
                      <a:prstDash val="solid"/>
                    </a:ln>
                  </pic:spPr>
                </pic:pic>
              </a:graphicData>
            </a:graphic>
          </wp:inline>
        </w:drawing>
      </w:r>
    </w:p>
    <w:p w14:paraId="00B48D36"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Porter’s Five Forces</w:t>
      </w:r>
    </w:p>
    <w:p w14:paraId="299A0BAA"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(The Strategy Institute, 2024)</w:t>
      </w:r>
    </w:p>
    <w:p w14:paraId="15BE3155" w14:textId="77777777" w:rsidR="002847F8" w:rsidRDefault="00000000">
      <w:pPr>
        <w:pStyle w:val="Heading1"/>
      </w:pPr>
      <w:bookmarkStart w:id="11" w:name="_heading=h.h4ooptuetviz" w:colFirst="0" w:colLast="0"/>
      <w:bookmarkEnd w:id="11"/>
      <w:r>
        <w:lastRenderedPageBreak/>
        <w:t xml:space="preserve">2.3 Internal Analysis VRIO and Resource Capability </w:t>
      </w:r>
    </w:p>
    <w:p w14:paraId="3C774E2D"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VRIO framework will be used to analyze the internal resources and capabilities of Wipro in order to ascertain whether they give it a sustained, short-term or competitive parity advantage in the German digital services market. The four central strategic assets that are studied in the analysis include AI laboratories, R&amp;D investments, global talent force, and strategic acquisitions.</w:t>
      </w:r>
    </w:p>
    <w:p w14:paraId="47FEF0B2" w14:textId="77777777" w:rsidR="002847F8" w:rsidRDefault="00000000">
      <w:pPr>
        <w:pStyle w:val="Heading3"/>
        <w:keepNext w:val="0"/>
        <w:keepLines w:val="0"/>
        <w:spacing w:before="280"/>
        <w:jc w:val="both"/>
        <w:rPr>
          <w:rFonts w:ascii="Times New Roman" w:eastAsia="Times New Roman" w:hAnsi="Times New Roman" w:cs="Times New Roman"/>
          <w:b/>
          <w:bCs/>
          <w:color w:val="000000"/>
          <w:sz w:val="24"/>
          <w:szCs w:val="24"/>
        </w:rPr>
      </w:pPr>
      <w:bookmarkStart w:id="12" w:name="_heading=h.ryzxiuvvw6j6" w:colFirst="0" w:colLast="0"/>
      <w:bookmarkEnd w:id="12"/>
      <w:r>
        <w:rPr>
          <w:rFonts w:ascii="Times New Roman" w:eastAsia="Times New Roman" w:hAnsi="Times New Roman" w:cs="Times New Roman"/>
          <w:b/>
          <w:bCs/>
          <w:color w:val="000000"/>
          <w:sz w:val="24"/>
          <w:szCs w:val="24"/>
        </w:rPr>
        <w:t>VRIO Analysis Table – Wipro</w:t>
      </w:r>
    </w:p>
    <w:tbl>
      <w:tblPr>
        <w:tblStyle w:val="af4"/>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56"/>
        <w:gridCol w:w="1068"/>
        <w:gridCol w:w="685"/>
        <w:gridCol w:w="1224"/>
        <w:gridCol w:w="1224"/>
        <w:gridCol w:w="2203"/>
      </w:tblGrid>
      <w:tr w:rsidR="002847F8" w14:paraId="0577C817" w14:textId="77777777">
        <w:trPr>
          <w:trHeight w:val="785"/>
        </w:trPr>
        <w:tc>
          <w:tcPr>
            <w:tcW w:w="29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64C4D1"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Resource / Capability</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DF4BD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Valuable</w:t>
            </w:r>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6D164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Rare</w:t>
            </w:r>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FC6AD8"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Inimitable</w:t>
            </w:r>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9BE47E"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Organised</w:t>
            </w:r>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9991B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Competitive Outcome</w:t>
            </w:r>
          </w:p>
        </w:tc>
      </w:tr>
      <w:tr w:rsidR="002847F8" w14:paraId="6D88B080" w14:textId="77777777">
        <w:trPr>
          <w:trHeight w:val="1055"/>
        </w:trPr>
        <w:tc>
          <w:tcPr>
            <w:tcW w:w="29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43CD1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AI Laboratories &amp; Advanced Digital Innovation Hubs</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1F7758" w14:textId="77777777" w:rsidR="002847F8" w:rsidRDefault="00000000">
            <w:pPr>
              <w:jc w:val="both"/>
              <w:rPr>
                <w:rFonts w:ascii="Times New Roman" w:eastAsia="Times New Roman" w:hAnsi="Times New Roman" w:cs="Times New Roman"/>
                <w:sz w:val="24"/>
                <w:szCs w:val="24"/>
              </w:rPr>
            </w:pPr>
            <w:sdt>
              <w:sdtPr>
                <w:tag w:val="goog_rdk_0"/>
                <w:id w:val="2001369044"/>
              </w:sdtPr>
              <w:sdtContent>
                <w:r>
                  <w:rPr>
                    <w:rFonts w:ascii="Arial Unicode MS" w:eastAsia="Arial Unicode MS" w:hAnsi="Arial Unicode MS" w:cs="Arial Unicode MS"/>
                    <w:sz w:val="24"/>
                    <w:szCs w:val="24"/>
                  </w:rPr>
                  <w:t>✅</w:t>
                </w:r>
              </w:sdtContent>
            </w:sdt>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324735" w14:textId="77777777" w:rsidR="002847F8" w:rsidRDefault="00000000">
            <w:pPr>
              <w:jc w:val="both"/>
              <w:rPr>
                <w:rFonts w:ascii="Times New Roman" w:eastAsia="Times New Roman" w:hAnsi="Times New Roman" w:cs="Times New Roman"/>
                <w:sz w:val="24"/>
                <w:szCs w:val="24"/>
              </w:rPr>
            </w:pPr>
            <w:sdt>
              <w:sdtPr>
                <w:tag w:val="goog_rdk_1"/>
                <w:id w:val="1635672768"/>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E286BC" w14:textId="77777777" w:rsidR="002847F8" w:rsidRDefault="00000000">
            <w:pPr>
              <w:jc w:val="both"/>
              <w:rPr>
                <w:rFonts w:ascii="Times New Roman" w:eastAsia="Times New Roman" w:hAnsi="Times New Roman" w:cs="Times New Roman"/>
                <w:sz w:val="24"/>
                <w:szCs w:val="24"/>
              </w:rPr>
            </w:pPr>
            <w:sdt>
              <w:sdtPr>
                <w:tag w:val="goog_rdk_2"/>
                <w:id w:val="1309497574"/>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57A2E8" w14:textId="77777777" w:rsidR="002847F8" w:rsidRDefault="00000000">
            <w:pPr>
              <w:jc w:val="both"/>
              <w:rPr>
                <w:rFonts w:ascii="Times New Roman" w:eastAsia="Times New Roman" w:hAnsi="Times New Roman" w:cs="Times New Roman"/>
                <w:sz w:val="24"/>
                <w:szCs w:val="24"/>
              </w:rPr>
            </w:pPr>
            <w:sdt>
              <w:sdtPr>
                <w:tag w:val="goog_rdk_3"/>
                <w:id w:val="-1311286669"/>
              </w:sdtPr>
              <w:sdtContent>
                <w:r>
                  <w:rPr>
                    <w:rFonts w:ascii="Arial Unicode MS" w:eastAsia="Arial Unicode MS" w:hAnsi="Arial Unicode MS" w:cs="Arial Unicode MS"/>
                    <w:sz w:val="24"/>
                    <w:szCs w:val="24"/>
                  </w:rPr>
                  <w:t>✅</w:t>
                </w:r>
              </w:sdtContent>
            </w:sdt>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11522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Sustained Competitive Advantage</w:t>
            </w:r>
          </w:p>
        </w:tc>
      </w:tr>
      <w:tr w:rsidR="002847F8" w14:paraId="5735DB9B" w14:textId="77777777">
        <w:trPr>
          <w:trHeight w:val="1055"/>
        </w:trPr>
        <w:tc>
          <w:tcPr>
            <w:tcW w:w="29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E809A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Large-Scale R&amp;D Investments</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C70C7A" w14:textId="77777777" w:rsidR="002847F8" w:rsidRDefault="00000000">
            <w:pPr>
              <w:jc w:val="both"/>
              <w:rPr>
                <w:rFonts w:ascii="Times New Roman" w:eastAsia="Times New Roman" w:hAnsi="Times New Roman" w:cs="Times New Roman"/>
                <w:sz w:val="24"/>
                <w:szCs w:val="24"/>
              </w:rPr>
            </w:pPr>
            <w:sdt>
              <w:sdtPr>
                <w:tag w:val="goog_rdk_4"/>
                <w:id w:val="963053359"/>
              </w:sdtPr>
              <w:sdtContent>
                <w:r>
                  <w:rPr>
                    <w:rFonts w:ascii="Arial Unicode MS" w:eastAsia="Arial Unicode MS" w:hAnsi="Arial Unicode MS" w:cs="Arial Unicode MS"/>
                    <w:sz w:val="24"/>
                    <w:szCs w:val="24"/>
                  </w:rPr>
                  <w:t>✅</w:t>
                </w:r>
              </w:sdtContent>
            </w:sdt>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36A918" w14:textId="77777777" w:rsidR="002847F8" w:rsidRDefault="00000000">
            <w:pPr>
              <w:jc w:val="both"/>
              <w:rPr>
                <w:rFonts w:ascii="Times New Roman" w:eastAsia="Times New Roman" w:hAnsi="Times New Roman" w:cs="Times New Roman"/>
                <w:sz w:val="24"/>
                <w:szCs w:val="24"/>
              </w:rPr>
            </w:pPr>
            <w:sdt>
              <w:sdtPr>
                <w:tag w:val="goog_rdk_5"/>
                <w:id w:val="268991877"/>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01D276" w14:textId="77777777" w:rsidR="002847F8" w:rsidRDefault="00000000">
            <w:pPr>
              <w:jc w:val="both"/>
              <w:rPr>
                <w:rFonts w:ascii="Times New Roman" w:eastAsia="Times New Roman" w:hAnsi="Times New Roman" w:cs="Times New Roman"/>
                <w:sz w:val="24"/>
                <w:szCs w:val="24"/>
              </w:rPr>
            </w:pPr>
            <w:sdt>
              <w:sdtPr>
                <w:tag w:val="goog_rdk_6"/>
                <w:id w:val="1862727917"/>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F3E36A" w14:textId="77777777" w:rsidR="002847F8" w:rsidRDefault="00000000">
            <w:pPr>
              <w:jc w:val="both"/>
              <w:rPr>
                <w:rFonts w:ascii="Times New Roman" w:eastAsia="Times New Roman" w:hAnsi="Times New Roman" w:cs="Times New Roman"/>
                <w:sz w:val="24"/>
                <w:szCs w:val="24"/>
              </w:rPr>
            </w:pPr>
            <w:sdt>
              <w:sdtPr>
                <w:tag w:val="goog_rdk_7"/>
                <w:id w:val="999739930"/>
              </w:sdtPr>
              <w:sdtContent>
                <w:r>
                  <w:rPr>
                    <w:rFonts w:ascii="Arial Unicode MS" w:eastAsia="Arial Unicode MS" w:hAnsi="Arial Unicode MS" w:cs="Arial Unicode MS"/>
                    <w:sz w:val="24"/>
                    <w:szCs w:val="24"/>
                  </w:rPr>
                  <w:t>✅</w:t>
                </w:r>
              </w:sdtContent>
            </w:sdt>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683E9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Temporary Competitive Advantage</w:t>
            </w:r>
          </w:p>
        </w:tc>
      </w:tr>
      <w:tr w:rsidR="002847F8" w14:paraId="66921D59" w14:textId="77777777">
        <w:trPr>
          <w:trHeight w:val="1055"/>
        </w:trPr>
        <w:tc>
          <w:tcPr>
            <w:tcW w:w="29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369E5A"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Global Talent Force (160,000+ professionals)</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65C2C0" w14:textId="77777777" w:rsidR="002847F8" w:rsidRDefault="00000000">
            <w:pPr>
              <w:jc w:val="both"/>
              <w:rPr>
                <w:rFonts w:ascii="Times New Roman" w:eastAsia="Times New Roman" w:hAnsi="Times New Roman" w:cs="Times New Roman"/>
                <w:sz w:val="24"/>
                <w:szCs w:val="24"/>
              </w:rPr>
            </w:pPr>
            <w:sdt>
              <w:sdtPr>
                <w:tag w:val="goog_rdk_8"/>
                <w:id w:val="-138423637"/>
              </w:sdtPr>
              <w:sdtContent>
                <w:r>
                  <w:rPr>
                    <w:rFonts w:ascii="Arial Unicode MS" w:eastAsia="Arial Unicode MS" w:hAnsi="Arial Unicode MS" w:cs="Arial Unicode MS"/>
                    <w:sz w:val="24"/>
                    <w:szCs w:val="24"/>
                  </w:rPr>
                  <w:t>✅</w:t>
                </w:r>
              </w:sdtContent>
            </w:sdt>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ED3AB5" w14:textId="77777777" w:rsidR="002847F8" w:rsidRDefault="00000000">
            <w:pPr>
              <w:jc w:val="both"/>
              <w:rPr>
                <w:rFonts w:ascii="Times New Roman" w:eastAsia="Times New Roman" w:hAnsi="Times New Roman" w:cs="Times New Roman"/>
                <w:sz w:val="24"/>
                <w:szCs w:val="24"/>
              </w:rPr>
            </w:pPr>
            <w:sdt>
              <w:sdtPr>
                <w:tag w:val="goog_rdk_9"/>
                <w:id w:val="-1965015968"/>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F20E70" w14:textId="77777777" w:rsidR="002847F8" w:rsidRDefault="00000000">
            <w:pPr>
              <w:jc w:val="both"/>
              <w:rPr>
                <w:rFonts w:ascii="Times New Roman" w:eastAsia="Times New Roman" w:hAnsi="Times New Roman" w:cs="Times New Roman"/>
                <w:sz w:val="24"/>
                <w:szCs w:val="24"/>
              </w:rPr>
            </w:pPr>
            <w:sdt>
              <w:sdtPr>
                <w:tag w:val="goog_rdk_10"/>
                <w:id w:val="-949535206"/>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20D2F9" w14:textId="77777777" w:rsidR="002847F8" w:rsidRDefault="00000000">
            <w:pPr>
              <w:jc w:val="both"/>
              <w:rPr>
                <w:rFonts w:ascii="Times New Roman" w:eastAsia="Times New Roman" w:hAnsi="Times New Roman" w:cs="Times New Roman"/>
                <w:sz w:val="24"/>
                <w:szCs w:val="24"/>
              </w:rPr>
            </w:pPr>
            <w:sdt>
              <w:sdtPr>
                <w:tag w:val="goog_rdk_11"/>
                <w:id w:val="-1244945389"/>
              </w:sdtPr>
              <w:sdtContent>
                <w:r>
                  <w:rPr>
                    <w:rFonts w:ascii="Arial Unicode MS" w:eastAsia="Arial Unicode MS" w:hAnsi="Arial Unicode MS" w:cs="Arial Unicode MS"/>
                    <w:sz w:val="24"/>
                    <w:szCs w:val="24"/>
                  </w:rPr>
                  <w:t>✅</w:t>
                </w:r>
              </w:sdtContent>
            </w:sdt>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4A9710"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Temporary Competitive Advantage</w:t>
            </w:r>
          </w:p>
        </w:tc>
      </w:tr>
      <w:tr w:rsidR="002847F8" w14:paraId="7ADA3755" w14:textId="77777777">
        <w:trPr>
          <w:trHeight w:val="1055"/>
        </w:trPr>
        <w:tc>
          <w:tcPr>
            <w:tcW w:w="29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7CC5B0"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Strategic Acquisitions (Capco, Rizing, etc.)</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B8A90F" w14:textId="77777777" w:rsidR="002847F8" w:rsidRDefault="00000000">
            <w:pPr>
              <w:jc w:val="both"/>
              <w:rPr>
                <w:rFonts w:ascii="Times New Roman" w:eastAsia="Times New Roman" w:hAnsi="Times New Roman" w:cs="Times New Roman"/>
                <w:sz w:val="24"/>
                <w:szCs w:val="24"/>
              </w:rPr>
            </w:pPr>
            <w:sdt>
              <w:sdtPr>
                <w:tag w:val="goog_rdk_12"/>
                <w:id w:val="-1644288607"/>
              </w:sdtPr>
              <w:sdtContent>
                <w:r>
                  <w:rPr>
                    <w:rFonts w:ascii="Arial Unicode MS" w:eastAsia="Arial Unicode MS" w:hAnsi="Arial Unicode MS" w:cs="Arial Unicode MS"/>
                    <w:sz w:val="24"/>
                    <w:szCs w:val="24"/>
                  </w:rPr>
                  <w:t>✅</w:t>
                </w:r>
              </w:sdtContent>
            </w:sdt>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3A8029" w14:textId="77777777" w:rsidR="002847F8" w:rsidRDefault="00000000">
            <w:pPr>
              <w:jc w:val="both"/>
              <w:rPr>
                <w:rFonts w:ascii="Times New Roman" w:eastAsia="Times New Roman" w:hAnsi="Times New Roman" w:cs="Times New Roman"/>
                <w:sz w:val="24"/>
                <w:szCs w:val="24"/>
              </w:rPr>
            </w:pPr>
            <w:sdt>
              <w:sdtPr>
                <w:tag w:val="goog_rdk_13"/>
                <w:id w:val="-1693141301"/>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538B52" w14:textId="77777777" w:rsidR="002847F8" w:rsidRDefault="00000000">
            <w:pPr>
              <w:jc w:val="both"/>
              <w:rPr>
                <w:rFonts w:ascii="Times New Roman" w:eastAsia="Times New Roman" w:hAnsi="Times New Roman" w:cs="Times New Roman"/>
                <w:sz w:val="24"/>
                <w:szCs w:val="24"/>
              </w:rPr>
            </w:pPr>
            <w:sdt>
              <w:sdtPr>
                <w:tag w:val="goog_rdk_14"/>
                <w:id w:val="517690707"/>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14AE3E" w14:textId="77777777" w:rsidR="002847F8" w:rsidRDefault="00000000">
            <w:pPr>
              <w:jc w:val="both"/>
              <w:rPr>
                <w:rFonts w:ascii="Times New Roman" w:eastAsia="Times New Roman" w:hAnsi="Times New Roman" w:cs="Times New Roman"/>
                <w:sz w:val="24"/>
                <w:szCs w:val="24"/>
              </w:rPr>
            </w:pPr>
            <w:sdt>
              <w:sdtPr>
                <w:tag w:val="goog_rdk_15"/>
                <w:id w:val="1554443392"/>
              </w:sdtPr>
              <w:sdtContent>
                <w:r>
                  <w:rPr>
                    <w:rFonts w:ascii="Arial Unicode MS" w:eastAsia="Arial Unicode MS" w:hAnsi="Arial Unicode MS" w:cs="Arial Unicode MS"/>
                    <w:sz w:val="24"/>
                    <w:szCs w:val="24"/>
                  </w:rPr>
                  <w:t>✅</w:t>
                </w:r>
              </w:sdtContent>
            </w:sdt>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6D581E"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Sustained Competitive Advantage</w:t>
            </w:r>
          </w:p>
        </w:tc>
      </w:tr>
    </w:tbl>
    <w:p w14:paraId="2089C02D" w14:textId="77777777" w:rsidR="002847F8" w:rsidRDefault="002847F8">
      <w:pPr>
        <w:jc w:val="both"/>
        <w:rPr>
          <w:rFonts w:ascii="Times New Roman" w:eastAsia="Times New Roman" w:hAnsi="Times New Roman" w:cs="Times New Roman"/>
          <w:sz w:val="24"/>
          <w:szCs w:val="24"/>
        </w:rPr>
      </w:pPr>
    </w:p>
    <w:p w14:paraId="5F9E4168"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VRIO Interpretation and Competitive Advantage Review.</w:t>
      </w:r>
    </w:p>
    <w:p w14:paraId="5540226C"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innovation hubs and Ai laboratories are considered as one of the most significant strategic assets of Wipro (Solutions Hub, 2023). Such labs will help the company to build proprietary AI, cybersecurity, automation, and cloud acceleration systems. They are useful in that they have allowed them to enhance the quality of service and the speed of innovation, being rare since many companies do not run such global systems of innovation on a large scale, and inimitable because of their high capital requirements, deep technical knowledge, and learning systems (India, 2025a). This resource has a long-lasting competitive advantage since Wipro is well organised to commercially roll out these innovations.</w:t>
      </w:r>
    </w:p>
    <w:p w14:paraId="18757BCD"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a VRIO perspective, Wipro’s financial strength and global workforce represent </w:t>
      </w:r>
      <w:r>
        <w:rPr>
          <w:rFonts w:ascii="Times New Roman" w:eastAsia="Times New Roman" w:hAnsi="Times New Roman" w:cs="Times New Roman"/>
          <w:b/>
          <w:bCs/>
          <w:sz w:val="24"/>
          <w:szCs w:val="24"/>
        </w:rPr>
        <w:t>valuable and well-organised strategic resources</w:t>
      </w:r>
      <w:r>
        <w:rPr>
          <w:rFonts w:ascii="Times New Roman" w:eastAsia="Times New Roman" w:hAnsi="Times New Roman" w:cs="Times New Roman"/>
          <w:sz w:val="24"/>
          <w:szCs w:val="24"/>
        </w:rPr>
        <w:t xml:space="preserve">. The firm’s FY 2022–23 revenue of </w:t>
      </w:r>
      <w:r>
        <w:rPr>
          <w:rFonts w:ascii="Times New Roman" w:eastAsia="Times New Roman" w:hAnsi="Times New Roman" w:cs="Times New Roman"/>
          <w:b/>
          <w:bCs/>
          <w:sz w:val="24"/>
          <w:szCs w:val="24"/>
        </w:rPr>
        <w:t>US $11.2 billion</w:t>
      </w:r>
      <w:r>
        <w:rPr>
          <w:rFonts w:ascii="Times New Roman" w:eastAsia="Times New Roman" w:hAnsi="Times New Roman" w:cs="Times New Roman"/>
          <w:sz w:val="24"/>
          <w:szCs w:val="24"/>
        </w:rPr>
        <w:t xml:space="preserve"> provides stable funding for technological innovation, AI development, and digital transformation </w:t>
      </w:r>
      <w:r>
        <w:rPr>
          <w:rFonts w:ascii="Times New Roman" w:eastAsia="Times New Roman" w:hAnsi="Times New Roman" w:cs="Times New Roman"/>
          <w:sz w:val="24"/>
          <w:szCs w:val="24"/>
        </w:rPr>
        <w:lastRenderedPageBreak/>
        <w:t xml:space="preserve">programmes (Wipro Limited, 2023). Furthermore, a workforce exceeding </w:t>
      </w:r>
      <w:r>
        <w:rPr>
          <w:rFonts w:ascii="Times New Roman" w:eastAsia="Times New Roman" w:hAnsi="Times New Roman" w:cs="Times New Roman"/>
          <w:b/>
          <w:bCs/>
          <w:sz w:val="24"/>
          <w:szCs w:val="24"/>
        </w:rPr>
        <w:t>256,921 employees</w:t>
      </w:r>
      <w:r>
        <w:rPr>
          <w:rFonts w:ascii="Times New Roman" w:eastAsia="Times New Roman" w:hAnsi="Times New Roman" w:cs="Times New Roman"/>
          <w:sz w:val="24"/>
          <w:szCs w:val="24"/>
        </w:rPr>
        <w:t xml:space="preserve"> supports the company’s ability to deliver large-scale projects efficiently across regions (Macrotrends, 2023). These resources are difficult to imitate due to scale and organisational integration, giving Wipro sustained competitive advantage under the VRIO framework.</w:t>
      </w:r>
    </w:p>
    <w:p w14:paraId="6E1B36E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investments in the R&amp;D of Wipro are worth it because it allows to develop the services continuously and upgrade them with the latest technology. Nevertheless, they are not uncommon, with the majority of international competitors like Accenture, IBM, and TCS spending a lot of money in research (India, 2025b). </w:t>
      </w:r>
    </w:p>
    <w:p w14:paraId="2515DDB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global talent force of the company has more than 160,000 IT experts operating across the globe which gives it operational scalability, cost effectiveness and 24/7 service delivery. It is certainly a valuable resource, but not the exclusive in the global IT industry since large competitors also have the capability to employ a large workforce. </w:t>
      </w:r>
    </w:p>
    <w:p w14:paraId="52E765F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the strategic acquisitions made by Wipro such as Capco (financial consulting), Rizing (SAP consulting), and so on are a strong source of differentiation. These acquisitions offer specialised consulting skills of the industry, valuable client portfolios and intensive knowledge of regulations, especially applicable to the European markets (ET CONTRIBUTORS, 2025).  </w:t>
      </w:r>
    </w:p>
    <w:p w14:paraId="123F55DA" w14:textId="77777777" w:rsidR="002847F8"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AB464B5" wp14:editId="15882204">
            <wp:extent cx="4167188" cy="3125391"/>
            <wp:effectExtent l="25400" t="25400" r="25400" b="2540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167188" cy="3125391"/>
                    </a:xfrm>
                    <a:prstGeom prst="rect">
                      <a:avLst/>
                    </a:prstGeom>
                    <a:ln w="25400">
                      <a:solidFill>
                        <a:srgbClr val="000000"/>
                      </a:solidFill>
                      <a:prstDash val="solid"/>
                    </a:ln>
                  </pic:spPr>
                </pic:pic>
              </a:graphicData>
            </a:graphic>
          </wp:inline>
        </w:drawing>
      </w:r>
    </w:p>
    <w:p w14:paraId="22CD4A9D" w14:textId="77777777" w:rsidR="002847F8"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VRIO Analysis</w:t>
      </w:r>
    </w:p>
    <w:p w14:paraId="38B42847" w14:textId="77777777" w:rsidR="002847F8"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(Solutions Hub, 2023)</w:t>
      </w:r>
    </w:p>
    <w:p w14:paraId="7279EAF4" w14:textId="77777777" w:rsidR="002847F8" w:rsidRDefault="002847F8">
      <w:pPr>
        <w:jc w:val="both"/>
        <w:rPr>
          <w:rFonts w:ascii="Times New Roman" w:eastAsia="Times New Roman" w:hAnsi="Times New Roman" w:cs="Times New Roman"/>
          <w:sz w:val="24"/>
          <w:szCs w:val="24"/>
        </w:rPr>
      </w:pPr>
    </w:p>
    <w:p w14:paraId="4A379790" w14:textId="77777777" w:rsidR="002847F8" w:rsidRDefault="00000000">
      <w:pPr>
        <w:pStyle w:val="Heading2"/>
      </w:pPr>
      <w:bookmarkStart w:id="13" w:name="_heading=h.rw1wcptt40t0" w:colFirst="0" w:colLast="0"/>
      <w:bookmarkEnd w:id="13"/>
      <w:r>
        <w:t>2.4 Portfolio and Growth Position BCG Matrix and Ansoff Matrix</w:t>
      </w:r>
    </w:p>
    <w:p w14:paraId="51BE5224"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BCG Matrix and Ansoff Matrix are used to assess the current service portfolio position of Wipro, and find strategic growth avenues that underpin its intended growth into Germany. All </w:t>
      </w:r>
      <w:r>
        <w:rPr>
          <w:rFonts w:ascii="Times New Roman" w:eastAsia="Times New Roman" w:hAnsi="Times New Roman" w:cs="Times New Roman"/>
          <w:sz w:val="24"/>
          <w:szCs w:val="24"/>
        </w:rPr>
        <w:lastRenderedPageBreak/>
        <w:t>these models explain the current position of Wipro and the way it needs to expand into the global markets.</w:t>
      </w:r>
    </w:p>
    <w:p w14:paraId="0D621F53" w14:textId="77777777" w:rsidR="002847F8" w:rsidRDefault="00000000">
      <w:pPr>
        <w:pStyle w:val="Heading3"/>
        <w:keepNext w:val="0"/>
        <w:keepLines w:val="0"/>
        <w:spacing w:before="280"/>
        <w:jc w:val="both"/>
        <w:rPr>
          <w:rFonts w:ascii="Times New Roman" w:eastAsia="Times New Roman" w:hAnsi="Times New Roman" w:cs="Times New Roman"/>
          <w:sz w:val="24"/>
          <w:szCs w:val="24"/>
        </w:rPr>
      </w:pPr>
      <w:bookmarkStart w:id="14" w:name="_heading=h.5l7l764kzv2a" w:colFirst="0" w:colLast="0"/>
      <w:bookmarkEnd w:id="14"/>
      <w:r>
        <w:rPr>
          <w:rFonts w:ascii="Times New Roman" w:eastAsia="Times New Roman" w:hAnsi="Times New Roman" w:cs="Times New Roman"/>
          <w:b/>
          <w:bCs/>
          <w:color w:val="000000"/>
          <w:sz w:val="24"/>
          <w:szCs w:val="24"/>
        </w:rPr>
        <w:t>BCG Matrix Analysis of Wipro’s Service Portfolio</w:t>
      </w:r>
    </w:p>
    <w:tbl>
      <w:tblPr>
        <w:tblStyle w:val="af5"/>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86"/>
        <w:gridCol w:w="4146"/>
        <w:gridCol w:w="3728"/>
      </w:tblGrid>
      <w:tr w:rsidR="002847F8" w14:paraId="57AFAEE2" w14:textId="77777777">
        <w:trPr>
          <w:trHeight w:val="785"/>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586A61"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BCG Category</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F5B9B2"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Wipro Business Segment</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E1ACD1"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Strategic Implication</w:t>
            </w:r>
          </w:p>
        </w:tc>
      </w:tr>
      <w:tr w:rsidR="002847F8" w14:paraId="136C0DC5" w14:textId="77777777">
        <w:trPr>
          <w:trHeight w:val="785"/>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D4EF98"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Stars</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F84561"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Services, Artificial Intelligence (AI), Digital Transformation</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8A65B0"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High-growth, high-investment segments driving future profitability</w:t>
            </w:r>
          </w:p>
        </w:tc>
      </w:tr>
      <w:tr w:rsidR="002847F8" w14:paraId="69468DF6" w14:textId="77777777">
        <w:trPr>
          <w:trHeight w:val="785"/>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5909B8"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Cash Cows</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D6B8CC"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Traditional IT Services, Application Maintenance, Enterprise Support</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7C6BF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Stable revenue generators funding innovation</w:t>
            </w:r>
          </w:p>
        </w:tc>
      </w:tr>
      <w:tr w:rsidR="002847F8" w14:paraId="7967B860" w14:textId="77777777">
        <w:trPr>
          <w:trHeight w:val="785"/>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C10F2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Question Marks</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6F1D8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Blockchain Services, Metaverse Solutions, Quantum Computing</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CC1C54"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growth but uncertain returns requiring careful investment</w:t>
            </w:r>
          </w:p>
        </w:tc>
      </w:tr>
      <w:tr w:rsidR="002847F8" w14:paraId="5DAE35FE" w14:textId="77777777">
        <w:trPr>
          <w:trHeight w:val="785"/>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19305D"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Dogs</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61326F"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Legacy Infrastructure Outsourcing, Traditional Data Centre Management</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D88D3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growth and declining profitability</w:t>
            </w:r>
          </w:p>
        </w:tc>
      </w:tr>
    </w:tbl>
    <w:p w14:paraId="7F5A4842"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the BCG Matrix, Wipro’s digital transformation services, including cloud computing, AI, and cybersecurity, can be categorised as </w:t>
      </w:r>
      <w:r>
        <w:rPr>
          <w:rFonts w:ascii="Times New Roman" w:eastAsia="Times New Roman" w:hAnsi="Times New Roman" w:cs="Times New Roman"/>
          <w:b/>
          <w:bCs/>
          <w:sz w:val="24"/>
          <w:szCs w:val="24"/>
        </w:rPr>
        <w:t>“Stars”</w:t>
      </w:r>
      <w:r>
        <w:rPr>
          <w:rFonts w:ascii="Times New Roman" w:eastAsia="Times New Roman" w:hAnsi="Times New Roman" w:cs="Times New Roman"/>
          <w:sz w:val="24"/>
          <w:szCs w:val="24"/>
        </w:rPr>
        <w:t xml:space="preserve"> due to strong demand and continuous growth. In FY 2022–23, Wipro closed </w:t>
      </w:r>
      <w:r>
        <w:rPr>
          <w:rFonts w:ascii="Times New Roman" w:eastAsia="Times New Roman" w:hAnsi="Times New Roman" w:cs="Times New Roman"/>
          <w:b/>
          <w:bCs/>
          <w:sz w:val="24"/>
          <w:szCs w:val="24"/>
        </w:rPr>
        <w:t>55 large digital transformation deals</w:t>
      </w:r>
      <w:r>
        <w:rPr>
          <w:rFonts w:ascii="Times New Roman" w:eastAsia="Times New Roman" w:hAnsi="Times New Roman" w:cs="Times New Roman"/>
          <w:sz w:val="24"/>
          <w:szCs w:val="24"/>
        </w:rPr>
        <w:t xml:space="preserve">, contributing significantly to overall revenue growth (Wipro Limited, 2023). Meanwhile, traditional infrastructure and legacy IT services operate in mature markets and generate steady cash flows, classifying them as </w:t>
      </w:r>
      <w:r>
        <w:rPr>
          <w:rFonts w:ascii="Times New Roman" w:eastAsia="Times New Roman" w:hAnsi="Times New Roman" w:cs="Times New Roman"/>
          <w:b/>
          <w:bCs/>
          <w:sz w:val="24"/>
          <w:szCs w:val="24"/>
        </w:rPr>
        <w:t>“Cash Cows.”</w:t>
      </w:r>
      <w:r>
        <w:rPr>
          <w:rFonts w:ascii="Times New Roman" w:eastAsia="Times New Roman" w:hAnsi="Times New Roman" w:cs="Times New Roman"/>
          <w:sz w:val="24"/>
          <w:szCs w:val="24"/>
        </w:rPr>
        <w:t xml:space="preserve"> This portfolio balance allows Wipro to reinvest stable returns from mature services into high-growth digital offerings, ensuring long-term strategic sustainability.</w:t>
      </w:r>
    </w:p>
    <w:p w14:paraId="4592F6E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strategically important growth drivers of Wipro are stars, which are cloud, AI, and digital transformation services (Corporate Finance Institute, 2022). These segments enjoy fast world demand and high competitive positioning. Leadership needs serious investment in finances and technology.</w:t>
      </w:r>
    </w:p>
    <w:p w14:paraId="3216B730"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Cash Cows are those that bring consistent revenue and include IT traditional support and application maintenance and require relatively low investment. These capital are essential in assisting risky digital innovations.</w:t>
      </w:r>
    </w:p>
    <w:p w14:paraId="2C7E79EA"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Question Marks, including blockchain and metaverse services, are new products in the currently unstable markets. The mode of strategic selectivity is crucial because these technologies can either be the Future Stars or fail because of inadequate absorption in the market.</w:t>
      </w:r>
    </w:p>
    <w:p w14:paraId="0B17D8CF"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Legacy infrastructure outsourcing and other dogs are not in demand because of cloud migration and automation. Wipro must slowly dispose or reduce the exposure to these segments.</w:t>
      </w:r>
    </w:p>
    <w:p w14:paraId="2CE525A9" w14:textId="77777777" w:rsidR="002847F8" w:rsidRDefault="00000000">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28DB11F" wp14:editId="30D0B88C">
            <wp:extent cx="4252913" cy="3625881"/>
            <wp:effectExtent l="25400" t="25400" r="25400" b="254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252913" cy="3625881"/>
                    </a:xfrm>
                    <a:prstGeom prst="rect">
                      <a:avLst/>
                    </a:prstGeom>
                    <a:ln w="25400">
                      <a:solidFill>
                        <a:srgbClr val="000000"/>
                      </a:solidFill>
                      <a:prstDash val="solid"/>
                    </a:ln>
                  </pic:spPr>
                </pic:pic>
              </a:graphicData>
            </a:graphic>
          </wp:inline>
        </w:drawing>
      </w:r>
    </w:p>
    <w:p w14:paraId="6DE2A187"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BCG Matrix</w:t>
      </w:r>
    </w:p>
    <w:p w14:paraId="2A5BAFC8"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(Corporate Finance Institute, 2022)</w:t>
      </w:r>
    </w:p>
    <w:p w14:paraId="1A734953" w14:textId="77777777" w:rsidR="002847F8" w:rsidRDefault="00000000">
      <w:pPr>
        <w:pStyle w:val="Heading3"/>
        <w:keepNext w:val="0"/>
        <w:keepLines w:val="0"/>
        <w:spacing w:before="280"/>
        <w:jc w:val="both"/>
        <w:rPr>
          <w:rFonts w:ascii="Times New Roman" w:eastAsia="Times New Roman" w:hAnsi="Times New Roman" w:cs="Times New Roman"/>
          <w:sz w:val="24"/>
          <w:szCs w:val="24"/>
        </w:rPr>
      </w:pPr>
      <w:bookmarkStart w:id="15" w:name="_heading=h.s97jpaljds66" w:colFirst="0" w:colLast="0"/>
      <w:bookmarkEnd w:id="15"/>
      <w:r>
        <w:rPr>
          <w:rFonts w:ascii="Times New Roman" w:eastAsia="Times New Roman" w:hAnsi="Times New Roman" w:cs="Times New Roman"/>
          <w:b/>
          <w:bCs/>
          <w:color w:val="000000"/>
          <w:sz w:val="24"/>
          <w:szCs w:val="24"/>
        </w:rPr>
        <w:t>Ansoff Matrix – Wipro’s Growth Strategy for Germany</w:t>
      </w:r>
    </w:p>
    <w:tbl>
      <w:tblPr>
        <w:tblStyle w:val="af6"/>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72"/>
        <w:gridCol w:w="5022"/>
        <w:gridCol w:w="2266"/>
      </w:tblGrid>
      <w:tr w:rsidR="002847F8" w14:paraId="4183F1A4" w14:textId="77777777">
        <w:trPr>
          <w:trHeight w:val="500"/>
        </w:trPr>
        <w:tc>
          <w:tcPr>
            <w:tcW w:w="2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D0BB6F"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Strategy Type</w:t>
            </w:r>
          </w:p>
        </w:tc>
        <w:tc>
          <w:tcPr>
            <w:tcW w:w="50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B379B4"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Wipro Application</w:t>
            </w:r>
          </w:p>
        </w:tc>
        <w:tc>
          <w:tcPr>
            <w:tcW w:w="2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50A2D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Strategic Purpose</w:t>
            </w:r>
          </w:p>
        </w:tc>
      </w:tr>
      <w:tr w:rsidR="002847F8" w14:paraId="4FF91D2F" w14:textId="77777777">
        <w:trPr>
          <w:trHeight w:val="785"/>
        </w:trPr>
        <w:tc>
          <w:tcPr>
            <w:tcW w:w="2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D9EAC1"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Market Penetration</w:t>
            </w:r>
          </w:p>
        </w:tc>
        <w:tc>
          <w:tcPr>
            <w:tcW w:w="50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0FE79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existing IT consulting services to existing European clients</w:t>
            </w:r>
          </w:p>
        </w:tc>
        <w:tc>
          <w:tcPr>
            <w:tcW w:w="2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33B6CF"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 market share</w:t>
            </w:r>
          </w:p>
        </w:tc>
      </w:tr>
      <w:tr w:rsidR="002847F8" w14:paraId="4A32D329" w14:textId="77777777">
        <w:trPr>
          <w:trHeight w:val="785"/>
        </w:trPr>
        <w:tc>
          <w:tcPr>
            <w:tcW w:w="2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E162D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Market Development</w:t>
            </w:r>
          </w:p>
        </w:tc>
        <w:tc>
          <w:tcPr>
            <w:tcW w:w="50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90ED2"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Entry into </w:t>
            </w:r>
            <w:r>
              <w:rPr>
                <w:rFonts w:ascii="Times New Roman" w:eastAsia="Times New Roman" w:hAnsi="Times New Roman" w:cs="Times New Roman"/>
                <w:b/>
                <w:bCs/>
                <w:sz w:val="24"/>
                <w:szCs w:val="24"/>
              </w:rPr>
              <w:t>Germany</w:t>
            </w:r>
            <w:r>
              <w:rPr>
                <w:rFonts w:ascii="Times New Roman" w:eastAsia="Times New Roman" w:hAnsi="Times New Roman" w:cs="Times New Roman"/>
                <w:sz w:val="24"/>
                <w:szCs w:val="24"/>
              </w:rPr>
              <w:t xml:space="preserve"> as a new geographical market</w:t>
            </w:r>
          </w:p>
        </w:tc>
        <w:tc>
          <w:tcPr>
            <w:tcW w:w="2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DA63C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expansion</w:t>
            </w:r>
          </w:p>
        </w:tc>
      </w:tr>
      <w:tr w:rsidR="002847F8" w14:paraId="51496F0E" w14:textId="77777777">
        <w:trPr>
          <w:trHeight w:val="785"/>
        </w:trPr>
        <w:tc>
          <w:tcPr>
            <w:tcW w:w="2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BAE21"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Product Development</w:t>
            </w:r>
          </w:p>
        </w:tc>
        <w:tc>
          <w:tcPr>
            <w:tcW w:w="50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B3E07B"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Launch of </w:t>
            </w:r>
            <w:r>
              <w:rPr>
                <w:rFonts w:ascii="Times New Roman" w:eastAsia="Times New Roman" w:hAnsi="Times New Roman" w:cs="Times New Roman"/>
                <w:b/>
                <w:bCs/>
                <w:sz w:val="24"/>
                <w:szCs w:val="24"/>
              </w:rPr>
              <w:t>AI-led Industry 4.0, smart manufacturing, and cybersecurity platforms</w:t>
            </w:r>
          </w:p>
        </w:tc>
        <w:tc>
          <w:tcPr>
            <w:tcW w:w="2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B7CD3D"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differentiation</w:t>
            </w:r>
          </w:p>
        </w:tc>
      </w:tr>
      <w:tr w:rsidR="002847F8" w14:paraId="2D964896" w14:textId="77777777">
        <w:trPr>
          <w:trHeight w:val="785"/>
        </w:trPr>
        <w:tc>
          <w:tcPr>
            <w:tcW w:w="2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365A62"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Diversification</w:t>
            </w:r>
          </w:p>
        </w:tc>
        <w:tc>
          <w:tcPr>
            <w:tcW w:w="50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362378"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Blockchain and Metaverse consulting (long-term option)</w:t>
            </w:r>
          </w:p>
        </w:tc>
        <w:tc>
          <w:tcPr>
            <w:tcW w:w="2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FB591C"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Future growth hedge</w:t>
            </w:r>
          </w:p>
        </w:tc>
      </w:tr>
    </w:tbl>
    <w:p w14:paraId="796B6BE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strategically applicable directions to this growth are the Market Development and Product Development (Oxford College of Marketing, 2023). Germany is a new geographical market where the digital services of the enterprise are under high demand, and the AI-based Industry 4.0 solutions of Wipro are very compatible with the manufacturing, automotive, and engineering industries of Germany (TNN, 2025).</w:t>
      </w:r>
    </w:p>
    <w:p w14:paraId="291816E0"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development helps Wipro to capitalise on its current global digital capabilities in a new European customer base, whereas product development would help the company tailor the advanced AI, cloud and cybersecurity solutions to specifically meet German regulatory and industrial demands (Wipro, 2019).</w:t>
      </w:r>
    </w:p>
    <w:p w14:paraId="1C3256A2"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Strategic Interpretation</w:t>
      </w:r>
    </w:p>
    <w:p w14:paraId="523254B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integrated BCG-Ansoff analysis shows that the Star digital segments of Wipro are the key areas of its future growth, with the help of product innovation and geographical expansion. The IT traditional services will remain as the financial stabilisers, and new technologies will be developed selectively as potential growth opportunities in the future. This strategic equilibrium is such that the German expansion at Wipro is growth-based, financially viable and focused on innovations.</w:t>
      </w:r>
    </w:p>
    <w:p w14:paraId="6FE92F2C" w14:textId="77777777" w:rsidR="002847F8" w:rsidRDefault="00000000">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24494DF" wp14:editId="2C1009D4">
            <wp:extent cx="3695700" cy="3293604"/>
            <wp:effectExtent l="25400" t="25400" r="25400" b="2540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b="10880"/>
                    <a:stretch>
                      <a:fillRect/>
                    </a:stretch>
                  </pic:blipFill>
                  <pic:spPr>
                    <a:xfrm>
                      <a:off x="0" y="0"/>
                      <a:ext cx="3695700" cy="3293604"/>
                    </a:xfrm>
                    <a:prstGeom prst="rect">
                      <a:avLst/>
                    </a:prstGeom>
                    <a:ln w="25400">
                      <a:solidFill>
                        <a:srgbClr val="000000"/>
                      </a:solidFill>
                      <a:prstDash val="solid"/>
                    </a:ln>
                  </pic:spPr>
                </pic:pic>
              </a:graphicData>
            </a:graphic>
          </wp:inline>
        </w:drawing>
      </w:r>
    </w:p>
    <w:p w14:paraId="5FC38F63"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5: Ansoff Matrix</w:t>
      </w:r>
    </w:p>
    <w:p w14:paraId="6C60B216"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Source: (Oxford College of Marketing, 2023)</w:t>
      </w:r>
    </w:p>
    <w:p w14:paraId="549CF020" w14:textId="77777777" w:rsidR="002847F8" w:rsidRDefault="00000000">
      <w:pPr>
        <w:pStyle w:val="Heading2"/>
        <w:keepNext w:val="0"/>
        <w:keepLines w:val="0"/>
        <w:spacing w:before="280"/>
      </w:pPr>
      <w:bookmarkStart w:id="16" w:name="_heading=h.1yvt9pa7tga7" w:colFirst="0" w:colLast="0"/>
      <w:bookmarkEnd w:id="16"/>
      <w:r>
        <w:t>2.5 SWOT Analysis</w:t>
      </w:r>
    </w:p>
    <w:p w14:paraId="23B4D877" w14:textId="77777777" w:rsidR="002847F8" w:rsidRDefault="00000000">
      <w:pPr>
        <w:pStyle w:val="Heading3"/>
        <w:keepNext w:val="0"/>
        <w:keepLines w:val="0"/>
        <w:spacing w:before="280"/>
        <w:jc w:val="both"/>
        <w:rPr>
          <w:rFonts w:ascii="Times New Roman" w:eastAsia="Times New Roman" w:hAnsi="Times New Roman" w:cs="Times New Roman"/>
          <w:b/>
          <w:bCs/>
          <w:color w:val="000000"/>
          <w:sz w:val="24"/>
          <w:szCs w:val="24"/>
        </w:rPr>
      </w:pPr>
      <w:bookmarkStart w:id="17" w:name="_heading=h.35j1wqjq8jp3" w:colFirst="0" w:colLast="0"/>
      <w:bookmarkEnd w:id="17"/>
      <w:r>
        <w:rPr>
          <w:rFonts w:ascii="Times New Roman" w:eastAsia="Times New Roman" w:hAnsi="Times New Roman" w:cs="Times New Roman"/>
          <w:b/>
          <w:bCs/>
          <w:color w:val="000000"/>
          <w:sz w:val="24"/>
          <w:szCs w:val="24"/>
        </w:rPr>
        <w:t>SWOT Analysis Table</w:t>
      </w:r>
    </w:p>
    <w:tbl>
      <w:tblPr>
        <w:tblStyle w:val="af7"/>
        <w:tblW w:w="920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265"/>
        <w:gridCol w:w="4940"/>
      </w:tblGrid>
      <w:tr w:rsidR="002847F8" w14:paraId="587BE71C" w14:textId="77777777">
        <w:trPr>
          <w:trHeight w:val="500"/>
        </w:trPr>
        <w:tc>
          <w:tcPr>
            <w:tcW w:w="4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E102BA"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Strengths</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328DEF"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Weaknesses</w:t>
            </w:r>
          </w:p>
        </w:tc>
      </w:tr>
      <w:tr w:rsidR="002847F8" w14:paraId="0F49E740" w14:textId="77777777">
        <w:trPr>
          <w:trHeight w:val="785"/>
        </w:trPr>
        <w:tc>
          <w:tcPr>
            <w:tcW w:w="4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5DFC7C"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Global operational scale and delivery capability</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ABD652"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pricing pressure in competitive European markets</w:t>
            </w:r>
          </w:p>
        </w:tc>
      </w:tr>
      <w:tr w:rsidR="002847F8" w14:paraId="55F2EAF3" w14:textId="77777777">
        <w:trPr>
          <w:trHeight w:val="785"/>
        </w:trPr>
        <w:tc>
          <w:tcPr>
            <w:tcW w:w="4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39457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leadership in AI, cloud, and cybersecurity</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2A971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Lower brand visibility in Germany compared to Accenture or IBM</w:t>
            </w:r>
          </w:p>
        </w:tc>
      </w:tr>
      <w:tr w:rsidR="002847F8" w14:paraId="45162C8D" w14:textId="77777777">
        <w:trPr>
          <w:trHeight w:val="785"/>
        </w:trPr>
        <w:tc>
          <w:tcPr>
            <w:tcW w:w="4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2C62D0"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Robust innovation ecosystem through AI labs and R&amp;D</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D7AD0A"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Dependence on large enterprise contracts</w:t>
            </w:r>
          </w:p>
        </w:tc>
      </w:tr>
      <w:tr w:rsidR="002847F8" w14:paraId="48390018" w14:textId="77777777">
        <w:trPr>
          <w:trHeight w:val="785"/>
        </w:trPr>
        <w:tc>
          <w:tcPr>
            <w:tcW w:w="4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B807D8"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Successful strategic acquisitions (Capco, Rizing)</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1D583"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Regulatory adaptation costs</w:t>
            </w:r>
          </w:p>
        </w:tc>
      </w:tr>
    </w:tbl>
    <w:p w14:paraId="4DC57C26" w14:textId="77777777" w:rsidR="002847F8" w:rsidRDefault="002847F8">
      <w:pPr>
        <w:spacing w:before="240" w:after="240"/>
        <w:jc w:val="both"/>
        <w:rPr>
          <w:rFonts w:ascii="Times New Roman" w:eastAsia="Times New Roman" w:hAnsi="Times New Roman" w:cs="Times New Roman"/>
          <w:sz w:val="24"/>
          <w:szCs w:val="24"/>
        </w:rPr>
      </w:pPr>
    </w:p>
    <w:tbl>
      <w:tblPr>
        <w:tblStyle w:val="af8"/>
        <w:tblW w:w="92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565"/>
        <w:gridCol w:w="4655"/>
      </w:tblGrid>
      <w:tr w:rsidR="002847F8" w14:paraId="628D4A58" w14:textId="77777777">
        <w:trPr>
          <w:trHeight w:val="500"/>
        </w:trPr>
        <w:tc>
          <w:tcPr>
            <w:tcW w:w="4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389912"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Opportunities</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55042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Threats</w:t>
            </w:r>
          </w:p>
        </w:tc>
      </w:tr>
      <w:tr w:rsidR="002847F8" w14:paraId="33DA7BFB" w14:textId="77777777">
        <w:trPr>
          <w:trHeight w:val="785"/>
        </w:trPr>
        <w:tc>
          <w:tcPr>
            <w:tcW w:w="4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6A0DAC"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Germany’s rapid digital and Industry 4.0 transition</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9B7B6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Intense competition from global and European IT firms</w:t>
            </w:r>
          </w:p>
        </w:tc>
      </w:tr>
      <w:tr w:rsidR="002847F8" w14:paraId="7FD76959" w14:textId="77777777">
        <w:trPr>
          <w:trHeight w:val="785"/>
        </w:trPr>
        <w:tc>
          <w:tcPr>
            <w:tcW w:w="4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32A4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demand for AI, cloud, and smart manufacturing</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0A5E7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Strict European data protection and data residency laws</w:t>
            </w:r>
          </w:p>
        </w:tc>
      </w:tr>
      <w:tr w:rsidR="002847F8" w14:paraId="209E5619" w14:textId="77777777">
        <w:trPr>
          <w:trHeight w:val="785"/>
        </w:trPr>
        <w:tc>
          <w:tcPr>
            <w:tcW w:w="4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F18547"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Growth in cybersecurity and digital governance</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92B7B5"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substitution by cloud-native SaaS platforms</w:t>
            </w:r>
          </w:p>
        </w:tc>
      </w:tr>
      <w:tr w:rsidR="002847F8" w14:paraId="3F50C031" w14:textId="77777777">
        <w:trPr>
          <w:trHeight w:val="785"/>
        </w:trPr>
        <w:tc>
          <w:tcPr>
            <w:tcW w:w="4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59D18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Government-backed digital infrastructure investments</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C7F6B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slowdown impacting IT spending</w:t>
            </w:r>
          </w:p>
        </w:tc>
      </w:tr>
    </w:tbl>
    <w:p w14:paraId="17E9FF5B" w14:textId="77777777" w:rsidR="002847F8" w:rsidRDefault="002847F8">
      <w:pPr>
        <w:jc w:val="both"/>
        <w:rPr>
          <w:rFonts w:ascii="Times New Roman" w:eastAsia="Times New Roman" w:hAnsi="Times New Roman" w:cs="Times New Roman"/>
          <w:sz w:val="24"/>
          <w:szCs w:val="24"/>
        </w:rPr>
      </w:pPr>
    </w:p>
    <w:p w14:paraId="06F5FA96"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Strategic Interpretation</w:t>
      </w:r>
    </w:p>
    <w:p w14:paraId="259B0CA2"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global presence, dominance in AI, and consulting expertise of Wipro is a solid foundation to gain competitive presence in Germany. Nevertheless, the profit margins can be squeezed by pricing pressure and stiff competition and this demands differentiation via innovation and value based pricing. The Industry 4.0 shift and digital maturity of the enterprises in Germany present significant opportunities to the AI-based manufacturing and cybersecurity services of Wipro (Gartner, 2025). Meanwhile, there is a high threat of European data regulations and influential rivals (IBM, Accenture, Capgemini, TCS). On the whole, the SWOT analysis shows that the German expansion of Wipro is strategically feasible, although the company should use technological differentiation, alignment with ESG, and consulting experience to balance regulatory and competition threats.</w:t>
      </w:r>
    </w:p>
    <w:p w14:paraId="484068E9" w14:textId="77777777" w:rsidR="002847F8" w:rsidRDefault="00000000">
      <w:pPr>
        <w:pStyle w:val="Heading1"/>
      </w:pPr>
      <w:bookmarkStart w:id="18" w:name="_heading=h.drpieohayvj" w:colFirst="0" w:colLast="0"/>
      <w:bookmarkEnd w:id="18"/>
      <w:r>
        <w:t>3. Planning of Strategy development and market entry.</w:t>
      </w:r>
    </w:p>
    <w:p w14:paraId="6A05861D" w14:textId="77777777" w:rsidR="002847F8" w:rsidRDefault="00000000">
      <w:pPr>
        <w:pStyle w:val="Heading2"/>
      </w:pPr>
      <w:bookmarkStart w:id="19" w:name="_heading=h.xyrbfypqyo3b" w:colFirst="0" w:colLast="0"/>
      <w:bookmarkEnd w:id="19"/>
      <w:r>
        <w:t xml:space="preserve">3.1 Strategic Direction and Vision Alignment </w:t>
      </w:r>
    </w:p>
    <w:p w14:paraId="70F6EDB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strategic vision of Wipro is based on the long-term goal of becoming a global leader in the field of digital transformation, AI-based innovation and purpose-led sustainability. The strategic vision of the organisation is to be a traditional IT services provider in the future and become a digital-first, consulting-led and platform-driven organisation. The vision is also directly related to the needs of the developed digital economy in Germany, specifically Industry 4.0, cloud-native infrastructure, and cybersecurity resilience (IBEF, 2025).</w:t>
      </w:r>
    </w:p>
    <w:p w14:paraId="4C0A3D8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main aspects of the Wipro vision is a high level of Environmental, Social and Governance (ESG) leadership. The company is committed to going carbon neutral by 2040 and is actively incorporating sustainability into its cloud infrastructure, green data centres and ethical AI systems (Samiuddin, 2025). This would be very congruent with the national sustainability agenda of Germany and its regulatory focus on carbon neutrality, energy efficiency, responsible digitalisation, making Wipro more legitimate and acceptable by the stakeholders of the host market.</w:t>
      </w:r>
    </w:p>
    <w:p w14:paraId="3FE738CA"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data sovereignty and digital trust are one of the core factors in the strategic positioning of Wipro in Europe. The company has engaged in sovereign cloud computing, localisation of data plans, and GDPR-compliant digital structures (TEWARI and CHITNIS, 2024). The localisation </w:t>
      </w:r>
      <w:r>
        <w:rPr>
          <w:rFonts w:ascii="Times New Roman" w:eastAsia="Times New Roman" w:hAnsi="Times New Roman" w:cs="Times New Roman"/>
          <w:sz w:val="24"/>
          <w:szCs w:val="24"/>
        </w:rPr>
        <w:lastRenderedPageBreak/>
        <w:t xml:space="preserve">of the stringent regulations of data residency and cybersecurity in Germany will ensure that the expansion strategy of Wipro is compliant, safe, and trusted by the enterprise and government clients. </w:t>
      </w:r>
    </w:p>
    <w:p w14:paraId="247A6192" w14:textId="77777777" w:rsidR="002847F8" w:rsidRDefault="00000000">
      <w:pPr>
        <w:pStyle w:val="Heading2"/>
      </w:pPr>
      <w:bookmarkStart w:id="20" w:name="_heading=h.4d2brkdfr84y" w:colFirst="0" w:colLast="0"/>
      <w:bookmarkEnd w:id="20"/>
      <w:r>
        <w:t xml:space="preserve">3.2 Generic Competitive Strategy (Porter): Differentiation Strategy </w:t>
      </w:r>
    </w:p>
    <w:p w14:paraId="05FDDCC2"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Differentiation strategy as interpreted by the Porters Generic Strategies model will be the core strategy of competitive positioning of Wipro in the German market. Instead of price only Wipro tries to create competitive advantage by providing high-value, innovation-based and sustainability-based digital solutions to complex enterprise requirements.</w:t>
      </w:r>
    </w:p>
    <w:p w14:paraId="770AB339"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pillar is the AI-first service delivery model of Wipro. The company plans to incorporate artificial intelligence, machine learning, and automation in its consulting, cloud engineering, cybersecurity, and enterprise application services. This will enable German businesses to improve predictive maintenance, supply chain intelligence, fraud detection and automation of operations, which are valuable in automotive, manufacturing, healthcare, and financial services.</w:t>
      </w:r>
    </w:p>
    <w:p w14:paraId="708A8D1C"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Sustainable cloud and green digital infrastructure is the second pillar. The German corporations work in strict environmental regulation and ESG reporting laws. The sustainable cloud solutions, data operations, and energy-saving digital solutions offered by Wipro can help its clients attain their own climate and regulatory goals (Boopathi, 2024). This type of differentiation which is sustainability driven helps to reinforce brand positioning as well as provide long-term relationship with clients.</w:t>
      </w:r>
    </w:p>
    <w:p w14:paraId="0E5471AC"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third pillar is the Industry 4.0 specialisation of Wipro. Industrial economy in Germany requires superior digital manufacturing including smart factories, digital twins, integration of robotics, and IIoT platforms. Wipro, with its far knowledge of Industry 4.0 engineering together with its SAP, ERP, and industrial automation consulting, has the capability to provide end-to-end smart manufacturing solutions.</w:t>
      </w:r>
    </w:p>
    <w:p w14:paraId="589988C2" w14:textId="77777777" w:rsidR="002847F8" w:rsidRDefault="00000000">
      <w:pPr>
        <w:pStyle w:val="Heading2"/>
      </w:pPr>
      <w:bookmarkStart w:id="21" w:name="_heading=h.c7i0vb6z7zft" w:colFirst="0" w:colLast="0"/>
      <w:bookmarkEnd w:id="21"/>
      <w:r>
        <w:t xml:space="preserve">3.3 Mode of Market entry to Germany </w:t>
      </w:r>
    </w:p>
    <w:p w14:paraId="152059F0"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choice of a fit market entry mode is a very important strategic choice that has a direct effect on the risk exposure, rate of entry, amount of investment needed, and competitive positioning. There are four main entry modes that will be considered in the expansion of Wipro to Germany:</w:t>
      </w:r>
    </w:p>
    <w:p w14:paraId="15270F67"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Joint Venture</w:t>
      </w:r>
    </w:p>
    <w:p w14:paraId="1686934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Joint venture would enable Wipro to share the risk, local expertise, and investment with a German company. Although this minimizes financial risks, it also creates limitations in control, and conflict in strategies, and slows down fast-paced digital innovation.</w:t>
      </w:r>
    </w:p>
    <w:p w14:paraId="43CCA864"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Greenfield Investment</w:t>
      </w:r>
    </w:p>
    <w:p w14:paraId="1D64D481"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Greenfield strategy would be a case of opening wholly owned operations. Though it offers complete control, it is costly to capitalize, has longer time to enter the market, is complicated to regulate, and generates revenue slowly, which is unsafe in a digital highly competitive market (Namadi, 2023).</w:t>
      </w:r>
    </w:p>
    <w:p w14:paraId="403919FA"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Strategic Alliance</w:t>
      </w:r>
    </w:p>
    <w:p w14:paraId="69A65FBD"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strategic partnerships with technology companies or cloud providers in Germany provide flexibility and speed of entry into the market, but do not provide ownership, long-term commitment, and strong integration with clients, and therefore competitive differentiation would be difficult to maintain.</w:t>
      </w:r>
    </w:p>
    <w:p w14:paraId="2EB3C049"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Strategic Recommended</w:t>
      </w:r>
    </w:p>
    <w:p w14:paraId="40E47634"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apt market entry approach that Wipro can apply in Germany is a strategic acquisition of a mid-sized German or European digital consulting firm with focus on Industry 4.0, cloud or cybersecurity.</w:t>
      </w:r>
    </w:p>
    <w:p w14:paraId="17977FE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also a strategy that has promoted the historical growth trend of Wipro because the company has acquired other companies like Capco and Rizing to enhance domain knowledge and regional presence (Jha, 2024). A directed acquisition therefore, presents the best combination of speed, control, credibility within the market and long-term strategic positioning.</w:t>
      </w:r>
    </w:p>
    <w:p w14:paraId="2A11D685" w14:textId="77777777" w:rsidR="002847F8" w:rsidRDefault="00000000">
      <w:pPr>
        <w:pStyle w:val="Heading2"/>
      </w:pPr>
      <w:bookmarkStart w:id="22" w:name="_heading=h.2e7kvooxstwp" w:colFirst="0" w:colLast="0"/>
      <w:bookmarkEnd w:id="22"/>
      <w:r>
        <w:t xml:space="preserve">3.4 Implementation Roadmap </w:t>
      </w:r>
    </w:p>
    <w:p w14:paraId="095F88DB"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Wipro strategic implementation of the German expansion will be done in a three year horizon in a systematic three phase road map.</w:t>
      </w:r>
    </w:p>
    <w:p w14:paraId="3111F98C"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investment of </w:t>
      </w:r>
      <w:r>
        <w:rPr>
          <w:rFonts w:ascii="Times New Roman" w:eastAsia="Times New Roman" w:hAnsi="Times New Roman" w:cs="Times New Roman"/>
          <w:b/>
          <w:bCs/>
          <w:sz w:val="24"/>
          <w:szCs w:val="24"/>
        </w:rPr>
        <w:t>€20–30 million</w:t>
      </w:r>
      <w:r>
        <w:rPr>
          <w:rFonts w:ascii="Times New Roman" w:eastAsia="Times New Roman" w:hAnsi="Times New Roman" w:cs="Times New Roman"/>
          <w:sz w:val="24"/>
          <w:szCs w:val="24"/>
        </w:rPr>
        <w:t xml:space="preserve"> is financially realistic when compared to Wipro’s overall revenue base of </w:t>
      </w:r>
      <w:r>
        <w:rPr>
          <w:rFonts w:ascii="Times New Roman" w:eastAsia="Times New Roman" w:hAnsi="Times New Roman" w:cs="Times New Roman"/>
          <w:b/>
          <w:bCs/>
          <w:sz w:val="24"/>
          <w:szCs w:val="24"/>
        </w:rPr>
        <w:t>US $11.2 billion</w:t>
      </w:r>
      <w:r>
        <w:rPr>
          <w:rFonts w:ascii="Times New Roman" w:eastAsia="Times New Roman" w:hAnsi="Times New Roman" w:cs="Times New Roman"/>
          <w:sz w:val="24"/>
          <w:szCs w:val="24"/>
        </w:rPr>
        <w:t xml:space="preserve"> in FY 2022–23 (Wipro Limited, 2023). This level of investment represents only a small fraction of Wipro’s annual revenue, indicating low financial risk and high feasibility. Given Wipro’s consistent operating margin and cash flow stability, the organisation is well-positioned to fund this strategic expansion without impacting its financial sustainability. Therefore, the proposed investment aligns with Wipro’s financial capacity and long-term growth objectives.</w:t>
      </w:r>
    </w:p>
    <w:p w14:paraId="199F4E59"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Phase 1: Market Entry (Year 1)</w:t>
      </w:r>
    </w:p>
    <w:p w14:paraId="0F8D61AF"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stage is concerned with the strategic acquisition and the regulatory establishment.</w:t>
      </w:r>
    </w:p>
    <w:p w14:paraId="3DE936A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Finding and due diligence of a befitting German digital consultancy firm.</w:t>
      </w:r>
    </w:p>
    <w:p w14:paraId="36E1F0AB" w14:textId="77777777" w:rsidR="002847F8" w:rsidRDefault="002847F8">
      <w:pPr>
        <w:jc w:val="both"/>
        <w:rPr>
          <w:rFonts w:ascii="Times New Roman" w:eastAsia="Times New Roman" w:hAnsi="Times New Roman" w:cs="Times New Roman"/>
          <w:sz w:val="24"/>
          <w:szCs w:val="24"/>
        </w:rPr>
      </w:pPr>
    </w:p>
    <w:p w14:paraId="14DAA7B7" w14:textId="77777777" w:rsidR="002847F8" w:rsidRDefault="00000000">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Finishing acquisition and post-merger integration planning.</w:t>
      </w:r>
    </w:p>
    <w:p w14:paraId="2360D7EC" w14:textId="77777777" w:rsidR="002847F8" w:rsidRDefault="00000000">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Legal registrations (tax compliance, labour laws, GDPR alignment)</w:t>
      </w:r>
    </w:p>
    <w:p w14:paraId="5548344D" w14:textId="77777777" w:rsidR="002847F8" w:rsidRDefault="00000000">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investment of between 20-30 million as an acquisition and system integration.</w:t>
      </w:r>
    </w:p>
    <w:p w14:paraId="4E0B5752" w14:textId="77777777" w:rsidR="002847F8" w:rsidRDefault="00000000">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Formation of local leadership and governing body.</w:t>
      </w:r>
    </w:p>
    <w:p w14:paraId="2421CD77"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Phase 2: Expansion Phase (Year 2)</w:t>
      </w:r>
    </w:p>
    <w:p w14:paraId="3FD41E8E"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focus of this stage is on scaling of service and positioning the brand.</w:t>
      </w:r>
    </w:p>
    <w:p w14:paraId="47A4FCA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Hiring AI engineers, cloud experts, cybersecurity experts on an operational basis.</w:t>
      </w:r>
    </w:p>
    <w:p w14:paraId="1F7CC4E5" w14:textId="77777777" w:rsidR="002847F8" w:rsidRDefault="00000000">
      <w:pPr>
        <w:numPr>
          <w:ilvl w:val="0"/>
          <w:numId w:val="3"/>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Growing cloud and Industry 4.0 solution portfolios.</w:t>
      </w:r>
    </w:p>
    <w:p w14:paraId="109A4A34" w14:textId="77777777" w:rsidR="002847F8" w:rsidRDefault="00000000">
      <w:pPr>
        <w:numPr>
          <w:ilvl w:val="0"/>
          <w:numId w:val="3"/>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Alliances with automotive and manufacturing companies in Germany.</w:t>
      </w:r>
    </w:p>
    <w:p w14:paraId="0A1D6B89" w14:textId="77777777" w:rsidR="002847F8" w:rsidRDefault="00000000">
      <w:pPr>
        <w:numPr>
          <w:ilvl w:val="0"/>
          <w:numId w:val="3"/>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digital trust, and innovation marketing campaigns.</w:t>
      </w:r>
    </w:p>
    <w:p w14:paraId="25B3148D" w14:textId="77777777" w:rsidR="002847F8" w:rsidRDefault="00000000">
      <w:pPr>
        <w:numPr>
          <w:ilvl w:val="0"/>
          <w:numId w:val="3"/>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Infrastructure implementation such as safe data centres and sovereign clouds.</w:t>
      </w:r>
    </w:p>
    <w:p w14:paraId="62283E63"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Phase 3: Phase of Consolidation (Year 3)</w:t>
      </w:r>
    </w:p>
    <w:p w14:paraId="3CEE3BA6" w14:textId="77777777" w:rsidR="002847F8" w:rsidRDefault="00000000">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step involves dominance in the market and financial stability.</w:t>
      </w:r>
    </w:p>
    <w:p w14:paraId="1A73276C" w14:textId="77777777" w:rsidR="002847F8" w:rsidRDefault="00000000">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Efficiency and automation of service delivery.</w:t>
      </w:r>
    </w:p>
    <w:p w14:paraId="4EBC2516" w14:textId="77777777" w:rsidR="002847F8" w:rsidRDefault="00000000">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Selling higher AI and cybersecurity services.</w:t>
      </w:r>
    </w:p>
    <w:p w14:paraId="22E7A871" w14:textId="77777777" w:rsidR="002847F8" w:rsidRDefault="00000000">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 term contracts on the digital transformation of clients.</w:t>
      </w:r>
    </w:p>
    <w:p w14:paraId="2C35BCA9" w14:textId="77777777" w:rsidR="002847F8" w:rsidRDefault="00000000">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Stabilisation of profitability and reinvestment in R&amp;D, ESG activity.</w:t>
      </w:r>
    </w:p>
    <w:p w14:paraId="24936F6C" w14:textId="77777777" w:rsidR="002847F8" w:rsidRDefault="00000000">
      <w:pPr>
        <w:pStyle w:val="Heading2"/>
      </w:pPr>
      <w:bookmarkStart w:id="23" w:name="_heading=h.aljv29cs6ml8" w:colFirst="0" w:colLast="0"/>
      <w:bookmarkEnd w:id="23"/>
      <w:r>
        <w:t xml:space="preserve">3.5 Risk Assessment &amp; Mitigation </w:t>
      </w:r>
    </w:p>
    <w:p w14:paraId="47263569" w14:textId="77777777" w:rsidR="002847F8" w:rsidRDefault="00000000">
      <w:pPr>
        <w:pStyle w:val="Heading3"/>
        <w:keepNext w:val="0"/>
        <w:keepLines w:val="0"/>
        <w:spacing w:before="280"/>
        <w:jc w:val="both"/>
        <w:rPr>
          <w:rFonts w:ascii="Times New Roman" w:eastAsia="Times New Roman" w:hAnsi="Times New Roman" w:cs="Times New Roman"/>
          <w:b/>
          <w:bCs/>
          <w:color w:val="000000"/>
          <w:sz w:val="24"/>
          <w:szCs w:val="24"/>
        </w:rPr>
      </w:pPr>
      <w:bookmarkStart w:id="24" w:name="_heading=h.pucrzev05skp" w:colFirst="0" w:colLast="0"/>
      <w:bookmarkEnd w:id="24"/>
      <w:r>
        <w:rPr>
          <w:rFonts w:ascii="Times New Roman" w:eastAsia="Times New Roman" w:hAnsi="Times New Roman" w:cs="Times New Roman"/>
          <w:b/>
          <w:bCs/>
          <w:color w:val="000000"/>
          <w:sz w:val="24"/>
          <w:szCs w:val="24"/>
        </w:rPr>
        <w:t>Risk Assessment &amp; Mitigation Table</w:t>
      </w:r>
    </w:p>
    <w:tbl>
      <w:tblPr>
        <w:tblStyle w:val="af9"/>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85"/>
        <w:gridCol w:w="1019"/>
        <w:gridCol w:w="1358"/>
        <w:gridCol w:w="4698"/>
      </w:tblGrid>
      <w:tr w:rsidR="002847F8" w14:paraId="61484ADF" w14:textId="77777777">
        <w:trPr>
          <w:trHeight w:val="500"/>
        </w:trPr>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DBD94F"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Risk</w:t>
            </w:r>
          </w:p>
        </w:tc>
        <w:tc>
          <w:tcPr>
            <w:tcW w:w="1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2C6F3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Impact</w:t>
            </w:r>
          </w:p>
        </w:tc>
        <w:tc>
          <w:tcPr>
            <w:tcW w:w="1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B33758"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Probability</w:t>
            </w:r>
          </w:p>
        </w:tc>
        <w:tc>
          <w:tcPr>
            <w:tcW w:w="4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5F04CF"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Mitigation Strategy</w:t>
            </w:r>
          </w:p>
        </w:tc>
      </w:tr>
      <w:tr w:rsidR="002847F8" w14:paraId="318DB076" w14:textId="77777777">
        <w:trPr>
          <w:trHeight w:val="785"/>
        </w:trPr>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D266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Cybersecurity Risk</w:t>
            </w:r>
          </w:p>
        </w:tc>
        <w:tc>
          <w:tcPr>
            <w:tcW w:w="1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670BA4"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3684B2"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4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8D6CA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Zero-trust security architecture, continuous penetration testing, advanced SOC operations</w:t>
            </w:r>
          </w:p>
        </w:tc>
      </w:tr>
      <w:tr w:rsidR="002847F8" w14:paraId="2D32F245" w14:textId="77777777">
        <w:trPr>
          <w:trHeight w:val="785"/>
        </w:trPr>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B7736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Regulatory Compliance Risk</w:t>
            </w:r>
          </w:p>
        </w:tc>
        <w:tc>
          <w:tcPr>
            <w:tcW w:w="1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D2729B"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8395C0"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4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14C0BD"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legal advisory teams, GDPR and NIS2 compliance audits, sovereign cloud adoption</w:t>
            </w:r>
          </w:p>
        </w:tc>
      </w:tr>
      <w:tr w:rsidR="002847F8" w14:paraId="20F1074E" w14:textId="77777777">
        <w:trPr>
          <w:trHeight w:val="785"/>
        </w:trPr>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85123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Competitive Risk</w:t>
            </w:r>
          </w:p>
        </w:tc>
        <w:tc>
          <w:tcPr>
            <w:tcW w:w="1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1896F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63F9B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4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6FAA9C"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Differentiated pricing, AI-specialised service offerings, Industry 4.0 consulting depth</w:t>
            </w:r>
          </w:p>
        </w:tc>
      </w:tr>
      <w:tr w:rsidR="002847F8" w14:paraId="737590CE" w14:textId="77777777">
        <w:trPr>
          <w:trHeight w:val="785"/>
        </w:trPr>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B1ECA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Cultural Integration Risk</w:t>
            </w:r>
          </w:p>
        </w:tc>
        <w:tc>
          <w:tcPr>
            <w:tcW w:w="1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D016FD"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0E9F5B"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4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044FC8"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Cross-cultural training, local leadership empowerment, global integration programs</w:t>
            </w:r>
          </w:p>
        </w:tc>
      </w:tr>
    </w:tbl>
    <w:p w14:paraId="0041374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Cybersecurity is one of the greatest dangers of operation because of the critical industrial and financial system in Germany. Any violation would be a reputation blow to Wipro and legal consequences. Such a threat will be eliminated using zero-trust security systems, AI-based threat detection, and real-time monitoring.</w:t>
      </w:r>
    </w:p>
    <w:p w14:paraId="60F29627"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Threats of regulatory risk are also very high based on GDPR, laws on data residency, and EU cybersecurity directives. The adherence will be guaranteed through the constant compliance-auditing and the involvement of local German legal and regulatory consultants.</w:t>
      </w:r>
    </w:p>
    <w:p w14:paraId="55773D92" w14:textId="77777777" w:rsidR="002847F8" w:rsidRDefault="00000000">
      <w:pPr>
        <w:pStyle w:val="Heading1"/>
        <w:keepNext w:val="0"/>
        <w:keepLines w:val="0"/>
        <w:spacing w:after="80"/>
      </w:pPr>
      <w:bookmarkStart w:id="25" w:name="_heading=h.7xcmzqy8uygn" w:colFirst="0" w:colLast="0"/>
      <w:bookmarkEnd w:id="25"/>
      <w:r>
        <w:t>4. PERFORMANCE EVALUATION FRAMEWORK</w:t>
      </w:r>
    </w:p>
    <w:p w14:paraId="5A81E560" w14:textId="77777777" w:rsidR="002847F8" w:rsidRDefault="00000000">
      <w:pPr>
        <w:pStyle w:val="Heading2"/>
        <w:keepNext w:val="0"/>
        <w:keepLines w:val="0"/>
        <w:spacing w:before="280"/>
      </w:pPr>
      <w:bookmarkStart w:id="26" w:name="_heading=h.44a7rymjam5a" w:colFirst="0" w:colLast="0"/>
      <w:bookmarkEnd w:id="26"/>
      <w:r>
        <w:t xml:space="preserve">4.1 Balanced Scorecard Model </w:t>
      </w:r>
    </w:p>
    <w:tbl>
      <w:tblPr>
        <w:tblStyle w:val="af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47"/>
        <w:gridCol w:w="2715"/>
        <w:gridCol w:w="4198"/>
      </w:tblGrid>
      <w:tr w:rsidR="002847F8" w14:paraId="503FB3C5"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497DD3"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Perspective</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6CDB5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Key Performance Indicators (KPIs)</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27BB0D"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Strategic Purpose</w:t>
            </w:r>
          </w:p>
        </w:tc>
      </w:tr>
      <w:tr w:rsidR="002847F8" w14:paraId="517BE0E2"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E0626F"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Financial Perspective</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2D1C4E"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Return on Investment (ROI)</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A3D053"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Measures profitability of the German expansion and capital efficiency</w:t>
            </w:r>
          </w:p>
        </w:tc>
      </w:tr>
      <w:tr w:rsidR="002847F8" w14:paraId="6BB3DF03"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6F2B0D"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D3493E"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Revenue Growth</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ADC03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Assesses annual growth generated from German operations</w:t>
            </w:r>
          </w:p>
        </w:tc>
      </w:tr>
      <w:tr w:rsidR="002847F8" w14:paraId="6B235C87"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7F589E"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77A035"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Profit Margin</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49E001"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Evaluates cost efficiency and sustainability of earnings</w:t>
            </w:r>
          </w:p>
        </w:tc>
      </w:tr>
      <w:tr w:rsidR="002847F8" w14:paraId="7DE7F5F5"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A1A2E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Customer Perspective</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F33522"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Client Retention Rate</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4A428D"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Measures customer loyalty and long-term contract sustainability</w:t>
            </w:r>
          </w:p>
        </w:tc>
      </w:tr>
      <w:tr w:rsidR="002847F8" w14:paraId="1463BCF9"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D3B6EF"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1DBD4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 Trust Index</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F3071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Evaluates market credibility and perceived service reliability</w:t>
            </w:r>
          </w:p>
        </w:tc>
      </w:tr>
      <w:tr w:rsidR="002847F8" w14:paraId="10C5A95F"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55819"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21A76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Share</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1FD89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Assesses competitive position within the German IT services industry</w:t>
            </w:r>
          </w:p>
        </w:tc>
      </w:tr>
      <w:tr w:rsidR="002847F8" w14:paraId="11136DD6"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FF6D1E"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Internal Process Perspective</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09D5F1"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Delivery Efficiency</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614150"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Measures on-time and on-budget project execution</w:t>
            </w:r>
          </w:p>
        </w:tc>
      </w:tr>
      <w:tr w:rsidR="002847F8" w14:paraId="6453BA66"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696111"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BD971A"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Automation Ratio</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5A96B0"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Assesses digital maturity and operational efficiency</w:t>
            </w:r>
          </w:p>
        </w:tc>
      </w:tr>
      <w:tr w:rsidR="002847F8" w14:paraId="23FBDB28"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22BA6F"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573D4A"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Cybersecurity Performance</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D74195"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Evaluates system security, breach prevention, and compliance</w:t>
            </w:r>
          </w:p>
        </w:tc>
      </w:tr>
      <w:tr w:rsidR="002847F8" w14:paraId="0590D314"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1341E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Learning &amp; Growth Perspective</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D439D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Certification Rate</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BC0821"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Measures workforce capability and upskilling in AI and cloud</w:t>
            </w:r>
          </w:p>
        </w:tc>
      </w:tr>
      <w:tr w:rsidR="002847F8" w14:paraId="74503BB8"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FE47C3"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13BEB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Output</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89034C"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Assesses number of patents, digital solutions, and product launches</w:t>
            </w:r>
          </w:p>
        </w:tc>
      </w:tr>
      <w:tr w:rsidR="002847F8" w14:paraId="6C6DE5D0"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0FFC20"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484240"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R&amp;D Investment</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2256F0"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Measures long-term commitment to technological advancement</w:t>
            </w:r>
          </w:p>
        </w:tc>
      </w:tr>
    </w:tbl>
    <w:p w14:paraId="4F165858" w14:textId="77777777" w:rsidR="002847F8" w:rsidRDefault="002847F8">
      <w:pPr>
        <w:spacing w:before="240" w:after="240"/>
        <w:jc w:val="both"/>
        <w:rPr>
          <w:rFonts w:ascii="Times New Roman" w:eastAsia="Times New Roman" w:hAnsi="Times New Roman" w:cs="Times New Roman"/>
          <w:sz w:val="24"/>
          <w:szCs w:val="24"/>
        </w:rPr>
      </w:pPr>
    </w:p>
    <w:p w14:paraId="27480482" w14:textId="77777777" w:rsidR="002847F8" w:rsidRDefault="00000000">
      <w:pPr>
        <w:pStyle w:val="Heading2"/>
        <w:keepNext w:val="0"/>
        <w:keepLines w:val="0"/>
        <w:spacing w:before="280"/>
      </w:pPr>
      <w:bookmarkStart w:id="27" w:name="_heading=h.n1kbxlulpqm7" w:colFirst="0" w:colLast="0"/>
      <w:bookmarkEnd w:id="27"/>
      <w:r>
        <w:t xml:space="preserve">4.2 Triple Bottom Line (TBL) Evaluation </w:t>
      </w:r>
    </w:p>
    <w:p w14:paraId="10E1AF38"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People: Work Creation and Digital Skills Training.</w:t>
      </w:r>
    </w:p>
    <w:p w14:paraId="3D0BAF7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Socially, the move into Germany by Wipro will lead to a massive win with the creation of employment opportunities, diversification, and the development of highly-digitalized skills. The suggested entry strategy of acquisition will save the current jobs in the acquired company and generate new opportunities in the high-value fields like AI engineering, cloud architecture, cybersecurity, and smart manufacturing counseling. Moreover, Wipro global learning platforms and certification programmes will facilitate the ongoing upskilling of the German employees, which will keep them in line with the fast changing industry 4.0 technologies (Farida and Setiawan, 2022). This helps in solving the challenge of aging workforce in Germany due to productivity improvement in terms of digital skills and automation. </w:t>
      </w:r>
    </w:p>
    <w:p w14:paraId="045743F2"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Planet: Sustainable Operations and Carbon-Neutral IT Infrastructure.</w:t>
      </w:r>
    </w:p>
    <w:p w14:paraId="22D65AFB"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Wipro considers environmental sustainability a pillar of its global approach and it is highly consistent with the ambitious climate targets in Germany. The carbon-neutral data centres and cloud infrastructure used by the company and the renewable energy sources directly contribute to Low-carbon transition in Germany. Wipro will ensure that the environmental presence of enterprise digital operations is minimised through green IT practices like server virtualisation, smart energy management, and sustainable procurement (Buyya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 fact that ESG metrics have been integrated into the service delivery process also helps German clients to address their regulatory reporting and sustainability compliance needs. </w:t>
      </w:r>
    </w:p>
    <w:p w14:paraId="146D0E4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Profit</w:t>
      </w:r>
      <w:r>
        <w:rPr>
          <w:rFonts w:ascii="Times New Roman" w:eastAsia="Times New Roman" w:hAnsi="Times New Roman" w:cs="Times New Roman"/>
          <w:sz w:val="24"/>
          <w:szCs w:val="24"/>
        </w:rPr>
        <w:t>: Sustainable International Profitability.</w:t>
      </w:r>
    </w:p>
    <w:p w14:paraId="36C96B0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financial sustainability, the German market presents high potentials of long-term profitability because of high corporate IT expenditures, consistent economic fundamentals, and high demand of advanced digital services. The variety of AI-driven consulting at Wipro, sustainable cloud services, and Industry 4.0 solutions enable the company to set high prices and build customer relationships in long-term contracts. </w:t>
      </w:r>
    </w:p>
    <w:p w14:paraId="681B859E" w14:textId="77777777" w:rsidR="002847F8" w:rsidRDefault="00000000">
      <w:pPr>
        <w:pStyle w:val="Heading1"/>
      </w:pPr>
      <w:bookmarkStart w:id="28" w:name="_heading=h.arf025nceyw2" w:colFirst="0" w:colLast="0"/>
      <w:bookmarkEnd w:id="28"/>
      <w:r>
        <w:t>5. Conclusion and Strategic Recommendations.</w:t>
      </w:r>
    </w:p>
    <w:p w14:paraId="02E1E05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has provided a broad-based strategic analysis of the proposed expansion of Wipro Limited to the German market of digital services. As shown in the strategic analysis, Germany presents a very appealing macro-environment that is underpinned by high political stability, high levels of digital infrastructure, high enterprise IT investment, and high rates of Industry 4.0. VRIO, BCG, Ansoff, and SWOT frameworks internal analysis confirmed that the long-term competitive advantages of Wipro are its ecosystem of AI innovation, consulting depth, and global delivery. With a competitive approach based on differentiation, and an entry mode that relied on strategic acquisition, the expansion strategy will put Wipro in a position to experience a quick market penetration, aligning with the regulatory environment, and gaining direct client access. Balanced Scorecard and Triple Bottom Line models also provide additional control to make sure that the financial performance, operational excellence, and sustainability goals are measured and aligned appropriately.</w:t>
      </w:r>
    </w:p>
    <w:p w14:paraId="2E67DFDE" w14:textId="77777777" w:rsidR="002847F8" w:rsidRDefault="00000000">
      <w:pPr>
        <w:jc w:val="both"/>
        <w:rPr>
          <w:rFonts w:ascii="Times New Roman" w:eastAsia="Times New Roman" w:hAnsi="Times New Roman" w:cs="Times New Roman"/>
          <w:sz w:val="24"/>
          <w:szCs w:val="24"/>
        </w:rPr>
      </w:pPr>
      <w:r>
        <w:br w:type="page"/>
      </w:r>
    </w:p>
    <w:p w14:paraId="620409F6" w14:textId="77777777" w:rsidR="002847F8" w:rsidRDefault="00000000">
      <w:pPr>
        <w:pStyle w:val="Heading1"/>
      </w:pPr>
      <w:bookmarkStart w:id="29" w:name="_heading=h.6jkn6d2vg9tt" w:colFirst="0" w:colLast="0"/>
      <w:bookmarkEnd w:id="29"/>
      <w:r>
        <w:lastRenderedPageBreak/>
        <w:t xml:space="preserve">References </w:t>
      </w:r>
    </w:p>
    <w:p w14:paraId="4FFF09B1"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Boopathi, S., 2024. Analysis of Sustainable Practices for Green Computing.</w:t>
      </w:r>
      <w:hyperlink r:id="rId12">
        <w:r w:rsidR="002847F8">
          <w:rPr>
            <w:rFonts w:ascii="Times New Roman" w:eastAsia="Times New Roman" w:hAnsi="Times New Roman" w:cs="Times New Roman"/>
            <w:color w:val="222222"/>
            <w:sz w:val="24"/>
            <w:szCs w:val="24"/>
          </w:rPr>
          <w:t xml:space="preserve"> </w:t>
        </w:r>
      </w:hyperlink>
      <w:hyperlink r:id="rId13">
        <w:r w:rsidR="002847F8">
          <w:rPr>
            <w:rFonts w:ascii="Times New Roman" w:eastAsia="Times New Roman" w:hAnsi="Times New Roman" w:cs="Times New Roman"/>
            <w:color w:val="1155CC"/>
            <w:sz w:val="24"/>
            <w:szCs w:val="24"/>
            <w:u w:val="single"/>
          </w:rPr>
          <w:t>https://www.researchgate.net/profile/Rajimol_Kp/publication/380677090_Financial_and_Economic_Analysis_of_Sustainable_Practices_for_Green_Computing/links/67077e28ffe5b728123e08b9/Financial-and-Economic-Analysis-of-Sustainable-Practices-for-Green-Computing.pdf</w:t>
        </w:r>
      </w:hyperlink>
      <w:r>
        <w:rPr>
          <w:rFonts w:ascii="Times New Roman" w:eastAsia="Times New Roman" w:hAnsi="Times New Roman" w:cs="Times New Roman"/>
          <w:color w:val="222222"/>
          <w:sz w:val="24"/>
          <w:szCs w:val="24"/>
        </w:rPr>
        <w:t xml:space="preserve"> </w:t>
      </w:r>
    </w:p>
    <w:p w14:paraId="0623B7A7"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Borra, P., 2024. An overview of cloud computing and leading cloud service providers. International Journal of Computer Engineering and Technology (IJCET) Volume, 15, pp.122-133.</w:t>
      </w:r>
      <w:hyperlink r:id="rId14">
        <w:r w:rsidR="002847F8">
          <w:rPr>
            <w:rFonts w:ascii="Times New Roman" w:eastAsia="Times New Roman" w:hAnsi="Times New Roman" w:cs="Times New Roman"/>
            <w:color w:val="222222"/>
            <w:sz w:val="24"/>
            <w:szCs w:val="24"/>
          </w:rPr>
          <w:t xml:space="preserve"> </w:t>
        </w:r>
      </w:hyperlink>
      <w:hyperlink r:id="rId15">
        <w:r w:rsidR="002847F8">
          <w:rPr>
            <w:rFonts w:ascii="Times New Roman" w:eastAsia="Times New Roman" w:hAnsi="Times New Roman" w:cs="Times New Roman"/>
            <w:color w:val="1155CC"/>
            <w:sz w:val="24"/>
            <w:szCs w:val="24"/>
            <w:u w:val="single"/>
          </w:rPr>
          <w:t>https://papers.ssrn.com/sol3/Delivery.cfm?abstractid=4914169</w:t>
        </w:r>
      </w:hyperlink>
      <w:r>
        <w:rPr>
          <w:rFonts w:ascii="Times New Roman" w:eastAsia="Times New Roman" w:hAnsi="Times New Roman" w:cs="Times New Roman"/>
          <w:color w:val="222222"/>
          <w:sz w:val="24"/>
          <w:szCs w:val="24"/>
        </w:rPr>
        <w:t xml:space="preserve"> </w:t>
      </w:r>
    </w:p>
    <w:p w14:paraId="234927CF"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Buyya, R., Ilager, S. and Arroba, P., 2024. Energy‐efficiency and sustainability in new generation cloud computing: a vision and directions for integrated management of data centre resources and workloads. Software: Practice and Experience, 54(1), pp.24-38.</w:t>
      </w:r>
      <w:hyperlink r:id="rId16">
        <w:r w:rsidR="002847F8">
          <w:rPr>
            <w:rFonts w:ascii="Times New Roman" w:eastAsia="Times New Roman" w:hAnsi="Times New Roman" w:cs="Times New Roman"/>
            <w:color w:val="222222"/>
            <w:sz w:val="24"/>
            <w:szCs w:val="24"/>
          </w:rPr>
          <w:t xml:space="preserve"> </w:t>
        </w:r>
      </w:hyperlink>
      <w:hyperlink r:id="rId17">
        <w:r w:rsidR="002847F8">
          <w:rPr>
            <w:rFonts w:ascii="Times New Roman" w:eastAsia="Times New Roman" w:hAnsi="Times New Roman" w:cs="Times New Roman"/>
            <w:color w:val="1155CC"/>
            <w:sz w:val="24"/>
            <w:szCs w:val="24"/>
            <w:u w:val="single"/>
          </w:rPr>
          <w:t>https://onlinelibrary.wiley.com/doi/pdf/10.1002/spe.3248</w:t>
        </w:r>
      </w:hyperlink>
      <w:r>
        <w:rPr>
          <w:rFonts w:ascii="Times New Roman" w:eastAsia="Times New Roman" w:hAnsi="Times New Roman" w:cs="Times New Roman"/>
          <w:color w:val="222222"/>
          <w:sz w:val="24"/>
          <w:szCs w:val="24"/>
        </w:rPr>
        <w:t xml:space="preserve"> </w:t>
      </w:r>
    </w:p>
    <w:p w14:paraId="4888F522"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Chornenka, O., 2025. INNOVATION MANAGEMENT AS THE KEY TO SUCCESSFUL FOREIGN ECONOMIC ACTIVITY IN EU COUNTRIES. Publishing House “Baltija Publishing”.</w:t>
      </w:r>
      <w:hyperlink r:id="rId18">
        <w:r w:rsidR="002847F8">
          <w:rPr>
            <w:rFonts w:ascii="Times New Roman" w:eastAsia="Times New Roman" w:hAnsi="Times New Roman" w:cs="Times New Roman"/>
            <w:color w:val="222222"/>
            <w:sz w:val="24"/>
            <w:szCs w:val="24"/>
          </w:rPr>
          <w:t xml:space="preserve"> </w:t>
        </w:r>
      </w:hyperlink>
      <w:hyperlink r:id="rId19">
        <w:r w:rsidR="002847F8">
          <w:rPr>
            <w:rFonts w:ascii="Times New Roman" w:eastAsia="Times New Roman" w:hAnsi="Times New Roman" w:cs="Times New Roman"/>
            <w:color w:val="1155CC"/>
            <w:sz w:val="24"/>
            <w:szCs w:val="24"/>
            <w:u w:val="single"/>
          </w:rPr>
          <w:t>http://www.baltijapublishing.lv/omp/index.php/bp/catalog/download/596/16157/34066-1</w:t>
        </w:r>
      </w:hyperlink>
      <w:r>
        <w:rPr>
          <w:rFonts w:ascii="Times New Roman" w:eastAsia="Times New Roman" w:hAnsi="Times New Roman" w:cs="Times New Roman"/>
          <w:color w:val="222222"/>
          <w:sz w:val="24"/>
          <w:szCs w:val="24"/>
        </w:rPr>
        <w:t xml:space="preserve"> </w:t>
      </w:r>
    </w:p>
    <w:p w14:paraId="4930F763"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Corporate Finance Institute (2022). </w:t>
      </w:r>
      <w:r>
        <w:rPr>
          <w:rFonts w:ascii="Times New Roman" w:eastAsia="Times New Roman" w:hAnsi="Times New Roman" w:cs="Times New Roman"/>
          <w:i/>
          <w:iCs/>
          <w:color w:val="222222"/>
          <w:sz w:val="24"/>
          <w:szCs w:val="24"/>
        </w:rPr>
        <w:t>Boston Consulting Group (BCG) Matrix</w:t>
      </w:r>
      <w:r>
        <w:rPr>
          <w:rFonts w:ascii="Times New Roman" w:eastAsia="Times New Roman" w:hAnsi="Times New Roman" w:cs="Times New Roman"/>
          <w:color w:val="222222"/>
          <w:sz w:val="24"/>
          <w:szCs w:val="24"/>
        </w:rPr>
        <w:t>. [online] Corporate Finance Institute. Available at: https://corporatefinanceinstitute.com/resources/management/boston-consulting-group-bcg-matrix/.</w:t>
      </w:r>
    </w:p>
    <w:p w14:paraId="768F693A"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ET CONTRIBUTORS (2025). </w:t>
      </w:r>
      <w:r>
        <w:rPr>
          <w:rFonts w:ascii="Times New Roman" w:eastAsia="Times New Roman" w:hAnsi="Times New Roman" w:cs="Times New Roman"/>
          <w:i/>
          <w:iCs/>
          <w:color w:val="222222"/>
          <w:sz w:val="24"/>
          <w:szCs w:val="24"/>
        </w:rPr>
        <w:t>India’s IT workforce: A strategic asset in a fragmented world</w:t>
      </w:r>
      <w:r>
        <w:rPr>
          <w:rFonts w:ascii="Times New Roman" w:eastAsia="Times New Roman" w:hAnsi="Times New Roman" w:cs="Times New Roman"/>
          <w:color w:val="222222"/>
          <w:sz w:val="24"/>
          <w:szCs w:val="24"/>
        </w:rPr>
        <w:t>. [online] The Economic Times. Available at:</w:t>
      </w:r>
      <w:hyperlink r:id="rId20">
        <w:r w:rsidR="002847F8">
          <w:rPr>
            <w:rFonts w:ascii="Times New Roman" w:eastAsia="Times New Roman" w:hAnsi="Times New Roman" w:cs="Times New Roman"/>
            <w:color w:val="222222"/>
            <w:sz w:val="24"/>
            <w:szCs w:val="24"/>
          </w:rPr>
          <w:t xml:space="preserve"> </w:t>
        </w:r>
      </w:hyperlink>
      <w:hyperlink r:id="rId21">
        <w:r w:rsidR="002847F8">
          <w:rPr>
            <w:rFonts w:ascii="Times New Roman" w:eastAsia="Times New Roman" w:hAnsi="Times New Roman" w:cs="Times New Roman"/>
            <w:color w:val="1155CC"/>
            <w:sz w:val="24"/>
            <w:szCs w:val="24"/>
            <w:u w:val="single"/>
          </w:rPr>
          <w:t>https://m.economictimes.com/small-biz/security-tech/technology/indias-it-workforce-a-strategic-asset-in-a-fragmented-world/articleshow/124937558.cms</w:t>
        </w:r>
      </w:hyperlink>
      <w:r>
        <w:rPr>
          <w:rFonts w:ascii="Times New Roman" w:eastAsia="Times New Roman" w:hAnsi="Times New Roman" w:cs="Times New Roman"/>
          <w:color w:val="222222"/>
          <w:sz w:val="24"/>
          <w:szCs w:val="24"/>
        </w:rPr>
        <w:t xml:space="preserve">   [Accessed 29 Nov. 2025].</w:t>
      </w:r>
    </w:p>
    <w:p w14:paraId="76C4D538"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Farida, I. and Setiawan, D., 2022. Business strategies and competitive advantage: the role of performance and innovation. </w:t>
      </w:r>
      <w:r>
        <w:rPr>
          <w:rFonts w:ascii="Times New Roman" w:eastAsia="Times New Roman" w:hAnsi="Times New Roman" w:cs="Times New Roman"/>
          <w:i/>
          <w:iCs/>
          <w:color w:val="222222"/>
          <w:sz w:val="24"/>
          <w:szCs w:val="24"/>
        </w:rPr>
        <w:t>Journal of open innovation: Technology, market, and complexity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8</w:t>
      </w:r>
      <w:r>
        <w:rPr>
          <w:rFonts w:ascii="Times New Roman" w:eastAsia="Times New Roman" w:hAnsi="Times New Roman" w:cs="Times New Roman"/>
          <w:color w:val="222222"/>
          <w:sz w:val="24"/>
          <w:szCs w:val="24"/>
        </w:rPr>
        <w:t>(3), p.163.</w:t>
      </w:r>
      <w:hyperlink r:id="rId22">
        <w:r w:rsidR="002847F8">
          <w:rPr>
            <w:rFonts w:ascii="Times New Roman" w:eastAsia="Times New Roman" w:hAnsi="Times New Roman" w:cs="Times New Roman"/>
            <w:color w:val="222222"/>
            <w:sz w:val="24"/>
            <w:szCs w:val="24"/>
          </w:rPr>
          <w:t xml:space="preserve"> </w:t>
        </w:r>
      </w:hyperlink>
      <w:hyperlink r:id="rId23">
        <w:r w:rsidR="002847F8">
          <w:rPr>
            <w:rFonts w:ascii="Times New Roman" w:eastAsia="Times New Roman" w:hAnsi="Times New Roman" w:cs="Times New Roman"/>
            <w:color w:val="1155CC"/>
            <w:sz w:val="24"/>
            <w:szCs w:val="24"/>
            <w:u w:val="single"/>
          </w:rPr>
          <w:t>https://www.sciencedirect.com/science/article/pii/S2199853122007648</w:t>
        </w:r>
      </w:hyperlink>
      <w:r>
        <w:rPr>
          <w:rFonts w:ascii="Times New Roman" w:eastAsia="Times New Roman" w:hAnsi="Times New Roman" w:cs="Times New Roman"/>
          <w:color w:val="222222"/>
          <w:sz w:val="24"/>
          <w:szCs w:val="24"/>
        </w:rPr>
        <w:t xml:space="preserve"> </w:t>
      </w:r>
    </w:p>
    <w:p w14:paraId="7834CEFC"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Gartner. (2025). </w:t>
      </w:r>
      <w:r>
        <w:rPr>
          <w:rFonts w:ascii="Times New Roman" w:eastAsia="Times New Roman" w:hAnsi="Times New Roman" w:cs="Times New Roman"/>
          <w:i/>
          <w:iCs/>
          <w:color w:val="222222"/>
          <w:sz w:val="24"/>
          <w:szCs w:val="24"/>
        </w:rPr>
        <w:t>The Future of Cloud Computing in 2027: From Technology to Business Innovation</w:t>
      </w:r>
      <w:r>
        <w:rPr>
          <w:rFonts w:ascii="Times New Roman" w:eastAsia="Times New Roman" w:hAnsi="Times New Roman" w:cs="Times New Roman"/>
          <w:color w:val="222222"/>
          <w:sz w:val="24"/>
          <w:szCs w:val="24"/>
        </w:rPr>
        <w:t>. [online] Available at:</w:t>
      </w:r>
      <w:hyperlink r:id="rId24">
        <w:r w:rsidR="002847F8">
          <w:rPr>
            <w:rFonts w:ascii="Times New Roman" w:eastAsia="Times New Roman" w:hAnsi="Times New Roman" w:cs="Times New Roman"/>
            <w:color w:val="222222"/>
            <w:sz w:val="24"/>
            <w:szCs w:val="24"/>
          </w:rPr>
          <w:t xml:space="preserve"> </w:t>
        </w:r>
      </w:hyperlink>
      <w:hyperlink r:id="rId25">
        <w:r w:rsidR="002847F8">
          <w:rPr>
            <w:rFonts w:ascii="Times New Roman" w:eastAsia="Times New Roman" w:hAnsi="Times New Roman" w:cs="Times New Roman"/>
            <w:color w:val="1155CC"/>
            <w:sz w:val="24"/>
            <w:szCs w:val="24"/>
            <w:u w:val="single"/>
          </w:rPr>
          <w:t>https://www.gartner.com/en/doc/768816-the-future-of-cloud-computing-in-2027-from-technology-to-business-innovation</w:t>
        </w:r>
      </w:hyperlink>
      <w:r>
        <w:rPr>
          <w:rFonts w:ascii="Times New Roman" w:eastAsia="Times New Roman" w:hAnsi="Times New Roman" w:cs="Times New Roman"/>
          <w:color w:val="222222"/>
          <w:sz w:val="24"/>
          <w:szCs w:val="24"/>
        </w:rPr>
        <w:t xml:space="preserve">. </w:t>
      </w:r>
    </w:p>
    <w:p w14:paraId="1CF58D50"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Gibson, K. (2024). </w:t>
      </w:r>
      <w:r>
        <w:rPr>
          <w:rFonts w:ascii="Times New Roman" w:eastAsia="Times New Roman" w:hAnsi="Times New Roman" w:cs="Times New Roman"/>
          <w:i/>
          <w:iCs/>
          <w:color w:val="222222"/>
          <w:sz w:val="24"/>
          <w:szCs w:val="24"/>
        </w:rPr>
        <w:t>The Role of Artificial Intelligence in Digital Transformation</w:t>
      </w:r>
      <w:r>
        <w:rPr>
          <w:rFonts w:ascii="Times New Roman" w:eastAsia="Times New Roman" w:hAnsi="Times New Roman" w:cs="Times New Roman"/>
          <w:color w:val="222222"/>
          <w:sz w:val="24"/>
          <w:szCs w:val="24"/>
        </w:rPr>
        <w:t>. [online] Business Insights Blog. Available at:</w:t>
      </w:r>
      <w:hyperlink r:id="rId26">
        <w:r w:rsidR="002847F8">
          <w:rPr>
            <w:rFonts w:ascii="Times New Roman" w:eastAsia="Times New Roman" w:hAnsi="Times New Roman" w:cs="Times New Roman"/>
            <w:color w:val="222222"/>
            <w:sz w:val="24"/>
            <w:szCs w:val="24"/>
          </w:rPr>
          <w:t xml:space="preserve"> </w:t>
        </w:r>
      </w:hyperlink>
      <w:hyperlink r:id="rId27">
        <w:r w:rsidR="002847F8">
          <w:rPr>
            <w:rFonts w:ascii="Times New Roman" w:eastAsia="Times New Roman" w:hAnsi="Times New Roman" w:cs="Times New Roman"/>
            <w:color w:val="1155CC"/>
            <w:sz w:val="24"/>
            <w:szCs w:val="24"/>
            <w:u w:val="single"/>
          </w:rPr>
          <w:t>https://online.hbs.edu/blog/post/ai-digital-transformation</w:t>
        </w:r>
      </w:hyperlink>
      <w:r>
        <w:rPr>
          <w:rFonts w:ascii="Times New Roman" w:eastAsia="Times New Roman" w:hAnsi="Times New Roman" w:cs="Times New Roman"/>
          <w:color w:val="222222"/>
          <w:sz w:val="24"/>
          <w:szCs w:val="24"/>
        </w:rPr>
        <w:t xml:space="preserve">. </w:t>
      </w:r>
    </w:p>
    <w:p w14:paraId="133B01F8"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IBEF (2025). </w:t>
      </w:r>
      <w:r>
        <w:rPr>
          <w:rFonts w:ascii="Times New Roman" w:eastAsia="Times New Roman" w:hAnsi="Times New Roman" w:cs="Times New Roman"/>
          <w:i/>
          <w:iCs/>
          <w:color w:val="222222"/>
          <w:sz w:val="24"/>
          <w:szCs w:val="24"/>
        </w:rPr>
        <w:t>IT &amp; BPM Industry in India: Market Size, Opportunities, Growth, Report | IBEF</w:t>
      </w:r>
      <w:r>
        <w:rPr>
          <w:rFonts w:ascii="Times New Roman" w:eastAsia="Times New Roman" w:hAnsi="Times New Roman" w:cs="Times New Roman"/>
          <w:color w:val="222222"/>
          <w:sz w:val="24"/>
          <w:szCs w:val="24"/>
        </w:rPr>
        <w:t>. [online] www.ibef.org. Available at:</w:t>
      </w:r>
      <w:hyperlink r:id="rId28">
        <w:r w:rsidR="002847F8">
          <w:rPr>
            <w:rFonts w:ascii="Times New Roman" w:eastAsia="Times New Roman" w:hAnsi="Times New Roman" w:cs="Times New Roman"/>
            <w:color w:val="222222"/>
            <w:sz w:val="24"/>
            <w:szCs w:val="24"/>
          </w:rPr>
          <w:t xml:space="preserve"> </w:t>
        </w:r>
      </w:hyperlink>
      <w:hyperlink r:id="rId29">
        <w:r w:rsidR="002847F8">
          <w:rPr>
            <w:rFonts w:ascii="Times New Roman" w:eastAsia="Times New Roman" w:hAnsi="Times New Roman" w:cs="Times New Roman"/>
            <w:color w:val="1155CC"/>
            <w:sz w:val="24"/>
            <w:szCs w:val="24"/>
            <w:u w:val="single"/>
          </w:rPr>
          <w:t>https://www.ibef.org/industry/information-technology-india</w:t>
        </w:r>
      </w:hyperlink>
      <w:r>
        <w:rPr>
          <w:rFonts w:ascii="Times New Roman" w:eastAsia="Times New Roman" w:hAnsi="Times New Roman" w:cs="Times New Roman"/>
          <w:color w:val="222222"/>
          <w:sz w:val="24"/>
          <w:szCs w:val="24"/>
        </w:rPr>
        <w:t xml:space="preserve">. </w:t>
      </w:r>
    </w:p>
    <w:p w14:paraId="59C73AA5"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Imarc group (2023). </w:t>
      </w:r>
      <w:r>
        <w:rPr>
          <w:rFonts w:ascii="Times New Roman" w:eastAsia="Times New Roman" w:hAnsi="Times New Roman" w:cs="Times New Roman"/>
          <w:i/>
          <w:iCs/>
          <w:color w:val="222222"/>
          <w:sz w:val="24"/>
          <w:szCs w:val="24"/>
        </w:rPr>
        <w:t>IT Services Market Size, Trends, Growth Analysis 2023-28</w:t>
      </w:r>
      <w:r>
        <w:rPr>
          <w:rFonts w:ascii="Times New Roman" w:eastAsia="Times New Roman" w:hAnsi="Times New Roman" w:cs="Times New Roman"/>
          <w:color w:val="222222"/>
          <w:sz w:val="24"/>
          <w:szCs w:val="24"/>
        </w:rPr>
        <w:t>. [online] www.imarcgroup.com. Available at:</w:t>
      </w:r>
      <w:hyperlink r:id="rId30">
        <w:r w:rsidR="002847F8">
          <w:rPr>
            <w:rFonts w:ascii="Times New Roman" w:eastAsia="Times New Roman" w:hAnsi="Times New Roman" w:cs="Times New Roman"/>
            <w:color w:val="222222"/>
            <w:sz w:val="24"/>
            <w:szCs w:val="24"/>
          </w:rPr>
          <w:t xml:space="preserve"> </w:t>
        </w:r>
      </w:hyperlink>
      <w:hyperlink r:id="rId31">
        <w:r w:rsidR="002847F8">
          <w:rPr>
            <w:rFonts w:ascii="Times New Roman" w:eastAsia="Times New Roman" w:hAnsi="Times New Roman" w:cs="Times New Roman"/>
            <w:color w:val="1155CC"/>
            <w:sz w:val="24"/>
            <w:szCs w:val="24"/>
            <w:u w:val="single"/>
          </w:rPr>
          <w:t>https://www.imarcgroup.com/it-services-market</w:t>
        </w:r>
      </w:hyperlink>
      <w:r>
        <w:rPr>
          <w:rFonts w:ascii="Times New Roman" w:eastAsia="Times New Roman" w:hAnsi="Times New Roman" w:cs="Times New Roman"/>
          <w:color w:val="222222"/>
          <w:sz w:val="24"/>
          <w:szCs w:val="24"/>
        </w:rPr>
        <w:t xml:space="preserve">. </w:t>
      </w:r>
    </w:p>
    <w:p w14:paraId="4B21A495"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India (2025a). </w:t>
      </w:r>
      <w:r>
        <w:rPr>
          <w:rFonts w:ascii="Times New Roman" w:eastAsia="Times New Roman" w:hAnsi="Times New Roman" w:cs="Times New Roman"/>
          <w:i/>
          <w:iCs/>
          <w:color w:val="222222"/>
          <w:sz w:val="24"/>
          <w:szCs w:val="24"/>
        </w:rPr>
        <w:t>Rishad Premji flags unchanged IT outlook, focuses on AI push</w:t>
      </w:r>
      <w:r>
        <w:rPr>
          <w:rFonts w:ascii="Times New Roman" w:eastAsia="Times New Roman" w:hAnsi="Times New Roman" w:cs="Times New Roman"/>
          <w:color w:val="222222"/>
          <w:sz w:val="24"/>
          <w:szCs w:val="24"/>
        </w:rPr>
        <w:t>. [online] The Times of India. Available at:</w:t>
      </w:r>
      <w:hyperlink r:id="rId32">
        <w:r w:rsidR="002847F8">
          <w:rPr>
            <w:rFonts w:ascii="Times New Roman" w:eastAsia="Times New Roman" w:hAnsi="Times New Roman" w:cs="Times New Roman"/>
            <w:color w:val="222222"/>
            <w:sz w:val="24"/>
            <w:szCs w:val="24"/>
          </w:rPr>
          <w:t xml:space="preserve"> </w:t>
        </w:r>
      </w:hyperlink>
      <w:hyperlink r:id="rId33">
        <w:r w:rsidR="002847F8">
          <w:rPr>
            <w:rFonts w:ascii="Times New Roman" w:eastAsia="Times New Roman" w:hAnsi="Times New Roman" w:cs="Times New Roman"/>
            <w:color w:val="1155CC"/>
            <w:sz w:val="24"/>
            <w:szCs w:val="24"/>
            <w:u w:val="single"/>
          </w:rPr>
          <w:t>https://timesofindia.indiatimes.com/city/bengaluru/rishad-premji-flags-unchanged-it-outlook-focuses-on-ai-push/articleshow/122589825.cms</w:t>
        </w:r>
      </w:hyperlink>
      <w:r>
        <w:rPr>
          <w:rFonts w:ascii="Times New Roman" w:eastAsia="Times New Roman" w:hAnsi="Times New Roman" w:cs="Times New Roman"/>
          <w:color w:val="222222"/>
          <w:sz w:val="24"/>
          <w:szCs w:val="24"/>
        </w:rPr>
        <w:t xml:space="preserve">. </w:t>
      </w:r>
    </w:p>
    <w:p w14:paraId="64B3BD65"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India, T.O. (2025b). </w:t>
      </w:r>
      <w:r>
        <w:rPr>
          <w:rFonts w:ascii="Times New Roman" w:eastAsia="Times New Roman" w:hAnsi="Times New Roman" w:cs="Times New Roman"/>
          <w:i/>
          <w:iCs/>
          <w:color w:val="222222"/>
          <w:sz w:val="24"/>
          <w:szCs w:val="24"/>
        </w:rPr>
        <w:t>Wipro revises capital allocation policy</w:t>
      </w:r>
      <w:r>
        <w:rPr>
          <w:rFonts w:ascii="Times New Roman" w:eastAsia="Times New Roman" w:hAnsi="Times New Roman" w:cs="Times New Roman"/>
          <w:color w:val="222222"/>
          <w:sz w:val="24"/>
          <w:szCs w:val="24"/>
        </w:rPr>
        <w:t>. [online] The Times of India. Available at:</w:t>
      </w:r>
      <w:hyperlink r:id="rId34">
        <w:r w:rsidR="002847F8">
          <w:rPr>
            <w:rFonts w:ascii="Times New Roman" w:eastAsia="Times New Roman" w:hAnsi="Times New Roman" w:cs="Times New Roman"/>
            <w:color w:val="222222"/>
            <w:sz w:val="24"/>
            <w:szCs w:val="24"/>
          </w:rPr>
          <w:t xml:space="preserve"> </w:t>
        </w:r>
      </w:hyperlink>
      <w:hyperlink r:id="rId35">
        <w:r w:rsidR="002847F8">
          <w:rPr>
            <w:rFonts w:ascii="Times New Roman" w:eastAsia="Times New Roman" w:hAnsi="Times New Roman" w:cs="Times New Roman"/>
            <w:color w:val="1155CC"/>
            <w:sz w:val="24"/>
            <w:szCs w:val="24"/>
            <w:u w:val="single"/>
          </w:rPr>
          <w:t>https://timesofindia.indiatimes.com/city/bengaluru/wipro-revises-capital-allocation-policy/articleshow/122031851.cms</w:t>
        </w:r>
      </w:hyperlink>
      <w:r>
        <w:rPr>
          <w:rFonts w:ascii="Times New Roman" w:eastAsia="Times New Roman" w:hAnsi="Times New Roman" w:cs="Times New Roman"/>
          <w:color w:val="222222"/>
          <w:sz w:val="24"/>
          <w:szCs w:val="24"/>
        </w:rPr>
        <w:t xml:space="preserve">  [Accessed 29 Nov. 2025].</w:t>
      </w:r>
    </w:p>
    <w:p w14:paraId="5E75C0A7"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Jarzębowski, S., Bozhenko, V., Didorenko, K., Tkachenko, O., Blyznyukov, A., Melnyk, M. and Cieslik, J., 2024. The impact of digitalisation on the competitiveness of European countries. SocioEconomic Challenges, 8(3), pp.238-261.</w:t>
      </w:r>
      <w:hyperlink r:id="rId36">
        <w:r w:rsidR="002847F8">
          <w:rPr>
            <w:rFonts w:ascii="Times New Roman" w:eastAsia="Times New Roman" w:hAnsi="Times New Roman" w:cs="Times New Roman"/>
            <w:color w:val="222222"/>
            <w:sz w:val="24"/>
            <w:szCs w:val="24"/>
          </w:rPr>
          <w:t xml:space="preserve"> </w:t>
        </w:r>
      </w:hyperlink>
      <w:hyperlink r:id="rId37">
        <w:r w:rsidR="002847F8">
          <w:rPr>
            <w:rFonts w:ascii="Times New Roman" w:eastAsia="Times New Roman" w:hAnsi="Times New Roman" w:cs="Times New Roman"/>
            <w:color w:val="1155CC"/>
            <w:sz w:val="24"/>
            <w:szCs w:val="24"/>
            <w:u w:val="single"/>
          </w:rPr>
          <w:t>https://armgpublishing.com/wp-content/uploads/2024/10/SEC_3_2024_15.pdf</w:t>
        </w:r>
      </w:hyperlink>
      <w:r>
        <w:rPr>
          <w:rFonts w:ascii="Times New Roman" w:eastAsia="Times New Roman" w:hAnsi="Times New Roman" w:cs="Times New Roman"/>
          <w:color w:val="222222"/>
          <w:sz w:val="24"/>
          <w:szCs w:val="24"/>
        </w:rPr>
        <w:t xml:space="preserve"> </w:t>
      </w:r>
    </w:p>
    <w:p w14:paraId="666CB543"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Jha, N.K., 2024. The Impact of Fundamental Analysis in the IT Industry before Investing: A Comparative Study on Wipro, TCS, and Infosys. International Journal of Science and Research (IJSR), 13(1).</w:t>
      </w:r>
      <w:hyperlink r:id="rId38">
        <w:r w:rsidR="002847F8">
          <w:rPr>
            <w:rFonts w:ascii="Times New Roman" w:eastAsia="Times New Roman" w:hAnsi="Times New Roman" w:cs="Times New Roman"/>
            <w:color w:val="222222"/>
            <w:sz w:val="24"/>
            <w:szCs w:val="24"/>
          </w:rPr>
          <w:t xml:space="preserve"> </w:t>
        </w:r>
      </w:hyperlink>
      <w:hyperlink r:id="rId39">
        <w:r w:rsidR="002847F8">
          <w:rPr>
            <w:rFonts w:ascii="Times New Roman" w:eastAsia="Times New Roman" w:hAnsi="Times New Roman" w:cs="Times New Roman"/>
            <w:color w:val="1155CC"/>
            <w:sz w:val="24"/>
            <w:szCs w:val="24"/>
            <w:u w:val="single"/>
          </w:rPr>
          <w:t>https://www.researchgate.net/profile/Nitesh-Kumar-Jha-3/publication/378129190_The_Impact_of_Fundamental_Analysis_in_the_IT_Industry_before_Investing_A_Comparative_Study_on_Wipro_TCS_and_Infosys/links/65c870151e1ec12eff807db1/The-Impact-of-Fundamental-Analysis-in-the-IT-Industry-before-Investing-A-Comparative-Study-on-Wipro-TCS-and-Infosys.pdf</w:t>
        </w:r>
      </w:hyperlink>
      <w:r>
        <w:rPr>
          <w:rFonts w:ascii="Times New Roman" w:eastAsia="Times New Roman" w:hAnsi="Times New Roman" w:cs="Times New Roman"/>
          <w:color w:val="222222"/>
          <w:sz w:val="24"/>
          <w:szCs w:val="24"/>
        </w:rPr>
        <w:t xml:space="preserve"> </w:t>
      </w:r>
    </w:p>
    <w:p w14:paraId="7372A913"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Joswig, T. and Kurz, W., 2025. Regulatory and Compliance Requirements for SMEs Operating AI Systems through Data Centers in the EU, with a Focus on Data Protection Challenges in Germany. Journal of Next-Generation Research 5.0.</w:t>
      </w:r>
      <w:hyperlink r:id="rId40">
        <w:r w:rsidR="002847F8">
          <w:rPr>
            <w:rFonts w:ascii="Times New Roman" w:eastAsia="Times New Roman" w:hAnsi="Times New Roman" w:cs="Times New Roman"/>
            <w:color w:val="222222"/>
            <w:sz w:val="24"/>
            <w:szCs w:val="24"/>
          </w:rPr>
          <w:t xml:space="preserve"> </w:t>
        </w:r>
      </w:hyperlink>
      <w:hyperlink r:id="rId41">
        <w:r w:rsidR="002847F8">
          <w:rPr>
            <w:rFonts w:ascii="Times New Roman" w:eastAsia="Times New Roman" w:hAnsi="Times New Roman" w:cs="Times New Roman"/>
            <w:color w:val="1155CC"/>
            <w:sz w:val="24"/>
            <w:szCs w:val="24"/>
            <w:u w:val="single"/>
          </w:rPr>
          <w:t>https://jngr5.com/index.php/journal-of-next-generation-resea/article/download/89/69</w:t>
        </w:r>
      </w:hyperlink>
      <w:r>
        <w:rPr>
          <w:rFonts w:ascii="Times New Roman" w:eastAsia="Times New Roman" w:hAnsi="Times New Roman" w:cs="Times New Roman"/>
          <w:color w:val="222222"/>
          <w:sz w:val="24"/>
          <w:szCs w:val="24"/>
        </w:rPr>
        <w:t xml:space="preserve"> </w:t>
      </w:r>
    </w:p>
    <w:p w14:paraId="10CD20A9"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Ke, T.T. and Sudhir, K., 2023. Privacy rights and data security: GDPR and personal data markets. Management Science, 69(8), pp.4389-4412.</w:t>
      </w:r>
      <w:hyperlink r:id="rId42">
        <w:r w:rsidR="002847F8">
          <w:rPr>
            <w:rFonts w:ascii="Times New Roman" w:eastAsia="Times New Roman" w:hAnsi="Times New Roman" w:cs="Times New Roman"/>
            <w:color w:val="222222"/>
            <w:sz w:val="24"/>
            <w:szCs w:val="24"/>
          </w:rPr>
          <w:t xml:space="preserve"> </w:t>
        </w:r>
      </w:hyperlink>
      <w:hyperlink r:id="rId43">
        <w:r w:rsidR="002847F8">
          <w:rPr>
            <w:rFonts w:ascii="Times New Roman" w:eastAsia="Times New Roman" w:hAnsi="Times New Roman" w:cs="Times New Roman"/>
            <w:color w:val="1155CC"/>
            <w:sz w:val="24"/>
            <w:szCs w:val="24"/>
            <w:u w:val="single"/>
          </w:rPr>
          <w:t>https://papers.ssrn.com/sol3/Delivery.cfm?abstractid=3643979</w:t>
        </w:r>
      </w:hyperlink>
      <w:r>
        <w:rPr>
          <w:rFonts w:ascii="Times New Roman" w:eastAsia="Times New Roman" w:hAnsi="Times New Roman" w:cs="Times New Roman"/>
          <w:color w:val="222222"/>
          <w:sz w:val="24"/>
          <w:szCs w:val="24"/>
        </w:rPr>
        <w:t xml:space="preserve">  </w:t>
      </w:r>
    </w:p>
    <w:p w14:paraId="286AB675"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Kolte, A., Pawar, A., Rossi, M. and Rasal, D., 2022. Analysing the financial state of selected Indian information technology companies: the assessment towards foreseeing the future of industry. International Journal of Intellectual Property Management, 12(3), pp.281-304.</w:t>
      </w:r>
      <w:hyperlink r:id="rId44">
        <w:r w:rsidR="002847F8">
          <w:rPr>
            <w:rFonts w:ascii="Times New Roman" w:eastAsia="Times New Roman" w:hAnsi="Times New Roman" w:cs="Times New Roman"/>
            <w:color w:val="222222"/>
            <w:sz w:val="24"/>
            <w:szCs w:val="24"/>
          </w:rPr>
          <w:t xml:space="preserve"> </w:t>
        </w:r>
      </w:hyperlink>
      <w:hyperlink r:id="rId45">
        <w:r w:rsidR="002847F8">
          <w:rPr>
            <w:rFonts w:ascii="Times New Roman" w:eastAsia="Times New Roman" w:hAnsi="Times New Roman" w:cs="Times New Roman"/>
            <w:color w:val="1155CC"/>
            <w:sz w:val="24"/>
            <w:szCs w:val="24"/>
            <w:u w:val="single"/>
          </w:rPr>
          <w:t>https://www.researchgate.net/profile/Ashutosh-Kolte/publication/343651920_Analysing_the_Financial_State_of_Selected_Indian_Information_Technology_Companies_The_Assessment_towards_Foreseeing_the_Future_of_Industry/links/5fd66426a6fdccdcb8c47a4e/Analysing-the-Financial-State-of-Selected-Indian-Information-Technology-Companies-The-Assessment-towards-Foreseeing-the-Future-of-Industry.pdf</w:t>
        </w:r>
      </w:hyperlink>
      <w:r>
        <w:rPr>
          <w:rFonts w:ascii="Times New Roman" w:eastAsia="Times New Roman" w:hAnsi="Times New Roman" w:cs="Times New Roman"/>
          <w:color w:val="222222"/>
          <w:sz w:val="24"/>
          <w:szCs w:val="24"/>
        </w:rPr>
        <w:t xml:space="preserve"> </w:t>
      </w:r>
    </w:p>
    <w:p w14:paraId="20E66FC9"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Krakowski, S., Luger, J. and Raisch, S., 2023. Artificial intelligence and the changing sources of competitive advantage. </w:t>
      </w:r>
      <w:r>
        <w:rPr>
          <w:rFonts w:ascii="Times New Roman" w:eastAsia="Times New Roman" w:hAnsi="Times New Roman" w:cs="Times New Roman"/>
          <w:i/>
          <w:iCs/>
          <w:color w:val="222222"/>
          <w:sz w:val="24"/>
          <w:szCs w:val="24"/>
        </w:rPr>
        <w:t>Strategic Management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44</w:t>
      </w:r>
      <w:r>
        <w:rPr>
          <w:rFonts w:ascii="Times New Roman" w:eastAsia="Times New Roman" w:hAnsi="Times New Roman" w:cs="Times New Roman"/>
          <w:color w:val="222222"/>
          <w:sz w:val="24"/>
          <w:szCs w:val="24"/>
        </w:rPr>
        <w:t>(6), pp.1425-1452.</w:t>
      </w:r>
      <w:hyperlink r:id="rId46">
        <w:r w:rsidR="002847F8">
          <w:rPr>
            <w:rFonts w:ascii="Times New Roman" w:eastAsia="Times New Roman" w:hAnsi="Times New Roman" w:cs="Times New Roman"/>
            <w:color w:val="222222"/>
            <w:sz w:val="24"/>
            <w:szCs w:val="24"/>
          </w:rPr>
          <w:t xml:space="preserve"> </w:t>
        </w:r>
      </w:hyperlink>
      <w:hyperlink r:id="rId47">
        <w:r w:rsidR="002847F8">
          <w:rPr>
            <w:rFonts w:ascii="Times New Roman" w:eastAsia="Times New Roman" w:hAnsi="Times New Roman" w:cs="Times New Roman"/>
            <w:color w:val="1155CC"/>
            <w:sz w:val="24"/>
            <w:szCs w:val="24"/>
            <w:u w:val="single"/>
          </w:rPr>
          <w:t>https://sms.onlinelibrary.wiley.com/doi/pdfdirect/10.1002/smj.3387</w:t>
        </w:r>
      </w:hyperlink>
      <w:r>
        <w:rPr>
          <w:rFonts w:ascii="Times New Roman" w:eastAsia="Times New Roman" w:hAnsi="Times New Roman" w:cs="Times New Roman"/>
          <w:color w:val="222222"/>
          <w:sz w:val="24"/>
          <w:szCs w:val="24"/>
        </w:rPr>
        <w:t xml:space="preserve"> </w:t>
      </w:r>
    </w:p>
    <w:p w14:paraId="435B3E39"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Lasserre, P. and Monteiro, F., 2022. </w:t>
      </w:r>
      <w:r>
        <w:rPr>
          <w:rFonts w:ascii="Times New Roman" w:eastAsia="Times New Roman" w:hAnsi="Times New Roman" w:cs="Times New Roman"/>
          <w:i/>
          <w:iCs/>
          <w:color w:val="222222"/>
          <w:sz w:val="24"/>
          <w:szCs w:val="24"/>
        </w:rPr>
        <w:t>Global strategic management</w:t>
      </w:r>
      <w:r>
        <w:rPr>
          <w:rFonts w:ascii="Times New Roman" w:eastAsia="Times New Roman" w:hAnsi="Times New Roman" w:cs="Times New Roman"/>
          <w:color w:val="222222"/>
          <w:sz w:val="24"/>
          <w:szCs w:val="24"/>
        </w:rPr>
        <w:t>. Bloomsbury Publishing.</w:t>
      </w:r>
      <w:hyperlink r:id="rId48">
        <w:r w:rsidR="002847F8">
          <w:rPr>
            <w:rFonts w:ascii="Times New Roman" w:eastAsia="Times New Roman" w:hAnsi="Times New Roman" w:cs="Times New Roman"/>
            <w:color w:val="222222"/>
            <w:sz w:val="24"/>
            <w:szCs w:val="24"/>
          </w:rPr>
          <w:t xml:space="preserve"> </w:t>
        </w:r>
      </w:hyperlink>
      <w:hyperlink r:id="rId49">
        <w:r w:rsidR="002847F8">
          <w:rPr>
            <w:rFonts w:ascii="Times New Roman" w:eastAsia="Times New Roman" w:hAnsi="Times New Roman" w:cs="Times New Roman"/>
            <w:color w:val="1155CC"/>
            <w:sz w:val="24"/>
            <w:szCs w:val="24"/>
            <w:u w:val="single"/>
          </w:rPr>
          <w:t>https://gsom.spbu.ru/files/upload/master_program/materials/international_business_strategy/lasserre_globalisation_indices.pdf</w:t>
        </w:r>
      </w:hyperlink>
      <w:r>
        <w:rPr>
          <w:rFonts w:ascii="Times New Roman" w:eastAsia="Times New Roman" w:hAnsi="Times New Roman" w:cs="Times New Roman"/>
          <w:color w:val="222222"/>
          <w:sz w:val="24"/>
          <w:szCs w:val="24"/>
        </w:rPr>
        <w:t xml:space="preserve"> </w:t>
      </w:r>
    </w:p>
    <w:p w14:paraId="1E6EE022"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Leading with Resilience and Responsibility. (2023). Available at:</w:t>
      </w:r>
      <w:hyperlink r:id="rId50">
        <w:r w:rsidR="002847F8">
          <w:rPr>
            <w:rFonts w:ascii="Times New Roman" w:eastAsia="Times New Roman" w:hAnsi="Times New Roman" w:cs="Times New Roman"/>
            <w:color w:val="222222"/>
            <w:sz w:val="24"/>
            <w:szCs w:val="24"/>
          </w:rPr>
          <w:t xml:space="preserve"> </w:t>
        </w:r>
      </w:hyperlink>
      <w:hyperlink r:id="rId51">
        <w:r w:rsidR="002847F8">
          <w:rPr>
            <w:rFonts w:ascii="Times New Roman" w:eastAsia="Times New Roman" w:hAnsi="Times New Roman" w:cs="Times New Roman"/>
            <w:color w:val="1155CC"/>
            <w:sz w:val="24"/>
            <w:szCs w:val="24"/>
            <w:u w:val="single"/>
          </w:rPr>
          <w:t>https://www.wipro.com/content/dam/nexus/en/sustainability/sustainability_reports/wipro-sustainability-report-fy-2023-2024.pdf</w:t>
        </w:r>
      </w:hyperlink>
      <w:r>
        <w:rPr>
          <w:rFonts w:ascii="Times New Roman" w:eastAsia="Times New Roman" w:hAnsi="Times New Roman" w:cs="Times New Roman"/>
          <w:color w:val="222222"/>
          <w:sz w:val="24"/>
          <w:szCs w:val="24"/>
        </w:rPr>
        <w:t xml:space="preserve">. </w:t>
      </w:r>
    </w:p>
    <w:p w14:paraId="1E994083"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Mohsen, B.M., 2023. Developments of digital technologies related to supply chain management. Procedia Computer Science, 220, pp.788-795.</w:t>
      </w:r>
      <w:hyperlink r:id="rId52">
        <w:r w:rsidR="002847F8">
          <w:rPr>
            <w:rFonts w:ascii="Times New Roman" w:eastAsia="Times New Roman" w:hAnsi="Times New Roman" w:cs="Times New Roman"/>
            <w:color w:val="222222"/>
            <w:sz w:val="24"/>
            <w:szCs w:val="24"/>
          </w:rPr>
          <w:t xml:space="preserve"> </w:t>
        </w:r>
      </w:hyperlink>
      <w:hyperlink r:id="rId53">
        <w:r w:rsidR="002847F8">
          <w:rPr>
            <w:rFonts w:ascii="Times New Roman" w:eastAsia="Times New Roman" w:hAnsi="Times New Roman" w:cs="Times New Roman"/>
            <w:color w:val="1155CC"/>
            <w:sz w:val="24"/>
            <w:szCs w:val="24"/>
            <w:u w:val="single"/>
          </w:rPr>
          <w:t>https://www.sciencedirect.com/science/article/pii/S1877050923006403/pdf?md5=88daa5efd9bda8f590e3a9b2c6f3f76b&amp;pid=1-s2.0-S1877050923006403-main.pdf</w:t>
        </w:r>
      </w:hyperlink>
      <w:r>
        <w:rPr>
          <w:rFonts w:ascii="Times New Roman" w:eastAsia="Times New Roman" w:hAnsi="Times New Roman" w:cs="Times New Roman"/>
          <w:color w:val="222222"/>
          <w:sz w:val="24"/>
          <w:szCs w:val="24"/>
        </w:rPr>
        <w:t xml:space="preserve"> </w:t>
      </w:r>
    </w:p>
    <w:p w14:paraId="784C91FE"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Namadi, S., 2023. Strategic Management of Outsourcing Balancing Profitability and Cost Control in Corporate Operations. Journal of Business and Economic Options, 6(4), pp.28-35.</w:t>
      </w:r>
      <w:hyperlink r:id="rId54">
        <w:r w:rsidR="002847F8">
          <w:rPr>
            <w:rFonts w:ascii="Times New Roman" w:eastAsia="Times New Roman" w:hAnsi="Times New Roman" w:cs="Times New Roman"/>
            <w:color w:val="222222"/>
            <w:sz w:val="24"/>
            <w:szCs w:val="24"/>
          </w:rPr>
          <w:t xml:space="preserve"> </w:t>
        </w:r>
      </w:hyperlink>
      <w:hyperlink r:id="rId55">
        <w:r w:rsidR="002847F8">
          <w:rPr>
            <w:rFonts w:ascii="Times New Roman" w:eastAsia="Times New Roman" w:hAnsi="Times New Roman" w:cs="Times New Roman"/>
            <w:color w:val="1155CC"/>
            <w:sz w:val="24"/>
            <w:szCs w:val="24"/>
            <w:u w:val="single"/>
          </w:rPr>
          <w:t>https://resdojournals.com/index.php/jbeo/article/download/247/232</w:t>
        </w:r>
      </w:hyperlink>
      <w:r>
        <w:rPr>
          <w:rFonts w:ascii="Times New Roman" w:eastAsia="Times New Roman" w:hAnsi="Times New Roman" w:cs="Times New Roman"/>
          <w:color w:val="222222"/>
          <w:sz w:val="24"/>
          <w:szCs w:val="24"/>
        </w:rPr>
        <w:t xml:space="preserve">  </w:t>
      </w:r>
    </w:p>
    <w:p w14:paraId="2C89A427"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Ormston, A. (2025). </w:t>
      </w:r>
      <w:r>
        <w:rPr>
          <w:rFonts w:ascii="Times New Roman" w:eastAsia="Times New Roman" w:hAnsi="Times New Roman" w:cs="Times New Roman"/>
          <w:i/>
          <w:iCs/>
          <w:color w:val="222222"/>
          <w:sz w:val="24"/>
          <w:szCs w:val="24"/>
        </w:rPr>
        <w:t>PESTLE Analysis: A Guide to Understanding Market Influences</w:t>
      </w:r>
      <w:r>
        <w:rPr>
          <w:rFonts w:ascii="Times New Roman" w:eastAsia="Times New Roman" w:hAnsi="Times New Roman" w:cs="Times New Roman"/>
          <w:color w:val="222222"/>
          <w:sz w:val="24"/>
          <w:szCs w:val="24"/>
        </w:rPr>
        <w:t>. [online] B2B International. Available at:</w:t>
      </w:r>
      <w:hyperlink r:id="rId56">
        <w:r w:rsidR="002847F8">
          <w:rPr>
            <w:rFonts w:ascii="Times New Roman" w:eastAsia="Times New Roman" w:hAnsi="Times New Roman" w:cs="Times New Roman"/>
            <w:color w:val="222222"/>
            <w:sz w:val="24"/>
            <w:szCs w:val="24"/>
          </w:rPr>
          <w:t xml:space="preserve"> </w:t>
        </w:r>
      </w:hyperlink>
      <w:hyperlink r:id="rId57">
        <w:r w:rsidR="002847F8">
          <w:rPr>
            <w:rFonts w:ascii="Times New Roman" w:eastAsia="Times New Roman" w:hAnsi="Times New Roman" w:cs="Times New Roman"/>
            <w:color w:val="1155CC"/>
            <w:sz w:val="24"/>
            <w:szCs w:val="24"/>
            <w:u w:val="single"/>
          </w:rPr>
          <w:t>https://www.b2binternational.com/2025/04/03/pestle-analysis/</w:t>
        </w:r>
      </w:hyperlink>
      <w:r>
        <w:rPr>
          <w:rFonts w:ascii="Times New Roman" w:eastAsia="Times New Roman" w:hAnsi="Times New Roman" w:cs="Times New Roman"/>
          <w:color w:val="222222"/>
          <w:sz w:val="24"/>
          <w:szCs w:val="24"/>
        </w:rPr>
        <w:t xml:space="preserve">. </w:t>
      </w:r>
    </w:p>
    <w:p w14:paraId="376B2EC8"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Oxford College of Marketing (2023). </w:t>
      </w:r>
      <w:r>
        <w:rPr>
          <w:rFonts w:ascii="Times New Roman" w:eastAsia="Times New Roman" w:hAnsi="Times New Roman" w:cs="Times New Roman"/>
          <w:i/>
          <w:iCs/>
          <w:color w:val="222222"/>
          <w:sz w:val="24"/>
          <w:szCs w:val="24"/>
        </w:rPr>
        <w:t>Using The Ansoff Matrix to Develop Marketing Strategy</w:t>
      </w:r>
      <w:r>
        <w:rPr>
          <w:rFonts w:ascii="Times New Roman" w:eastAsia="Times New Roman" w:hAnsi="Times New Roman" w:cs="Times New Roman"/>
          <w:color w:val="222222"/>
          <w:sz w:val="24"/>
          <w:szCs w:val="24"/>
        </w:rPr>
        <w:t>. [online] Oxford College of Marketing. Available at:</w:t>
      </w:r>
      <w:hyperlink r:id="rId58">
        <w:r w:rsidR="002847F8">
          <w:rPr>
            <w:rFonts w:ascii="Times New Roman" w:eastAsia="Times New Roman" w:hAnsi="Times New Roman" w:cs="Times New Roman"/>
            <w:color w:val="222222"/>
            <w:sz w:val="24"/>
            <w:szCs w:val="24"/>
          </w:rPr>
          <w:t xml:space="preserve"> </w:t>
        </w:r>
      </w:hyperlink>
      <w:hyperlink r:id="rId59">
        <w:r w:rsidR="002847F8">
          <w:rPr>
            <w:rFonts w:ascii="Times New Roman" w:eastAsia="Times New Roman" w:hAnsi="Times New Roman" w:cs="Times New Roman"/>
            <w:color w:val="1155CC"/>
            <w:sz w:val="24"/>
            <w:szCs w:val="24"/>
            <w:u w:val="single"/>
          </w:rPr>
          <w:t>https://blog.oxfordcollegeofmarketing.com/2016/08/01/using-ansoff-matrix-develop-marketing-strategy/</w:t>
        </w:r>
      </w:hyperlink>
      <w:r>
        <w:rPr>
          <w:rFonts w:ascii="Times New Roman" w:eastAsia="Times New Roman" w:hAnsi="Times New Roman" w:cs="Times New Roman"/>
          <w:color w:val="222222"/>
          <w:sz w:val="24"/>
          <w:szCs w:val="24"/>
        </w:rPr>
        <w:t xml:space="preserve">. </w:t>
      </w:r>
    </w:p>
    <w:p w14:paraId="25EE747E"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Rêgo, B.S., Jayantilal, S., Ferreira, J.J. and Carayannis, E.G., 2022. Digital transformation and strategic management: A systematic review of the literature. </w:t>
      </w:r>
      <w:r>
        <w:rPr>
          <w:rFonts w:ascii="Times New Roman" w:eastAsia="Times New Roman" w:hAnsi="Times New Roman" w:cs="Times New Roman"/>
          <w:i/>
          <w:iCs/>
          <w:color w:val="222222"/>
          <w:sz w:val="24"/>
          <w:szCs w:val="24"/>
        </w:rPr>
        <w:t>Journal of the Knowledge Economy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13</w:t>
      </w:r>
      <w:r>
        <w:rPr>
          <w:rFonts w:ascii="Times New Roman" w:eastAsia="Times New Roman" w:hAnsi="Times New Roman" w:cs="Times New Roman"/>
          <w:color w:val="222222"/>
          <w:sz w:val="24"/>
          <w:szCs w:val="24"/>
        </w:rPr>
        <w:t>(4), pp.3195-3222.</w:t>
      </w:r>
      <w:hyperlink r:id="rId60">
        <w:r w:rsidR="002847F8">
          <w:rPr>
            <w:rFonts w:ascii="Times New Roman" w:eastAsia="Times New Roman" w:hAnsi="Times New Roman" w:cs="Times New Roman"/>
            <w:color w:val="222222"/>
            <w:sz w:val="24"/>
            <w:szCs w:val="24"/>
          </w:rPr>
          <w:t xml:space="preserve"> </w:t>
        </w:r>
      </w:hyperlink>
      <w:hyperlink r:id="rId61">
        <w:r w:rsidR="002847F8">
          <w:rPr>
            <w:rFonts w:ascii="Times New Roman" w:eastAsia="Times New Roman" w:hAnsi="Times New Roman" w:cs="Times New Roman"/>
            <w:color w:val="1155CC"/>
            <w:sz w:val="24"/>
            <w:szCs w:val="24"/>
            <w:u w:val="single"/>
          </w:rPr>
          <w:t>https://www.researchgate.net/profile/Bruno-Rego-6/publication/356191007_Digital_Transformation_and_Strategic_Management_a_Systematic_Review_of_the_Literature/links/61db2475d4500608169d3794/Digital-Transformation-and-Strategic-Management-a-Systematic-Review-of-the-Literature.pdf</w:t>
        </w:r>
      </w:hyperlink>
      <w:r>
        <w:rPr>
          <w:rFonts w:ascii="Times New Roman" w:eastAsia="Times New Roman" w:hAnsi="Times New Roman" w:cs="Times New Roman"/>
          <w:color w:val="222222"/>
          <w:sz w:val="24"/>
          <w:szCs w:val="24"/>
        </w:rPr>
        <w:t xml:space="preserve"> </w:t>
      </w:r>
    </w:p>
    <w:p w14:paraId="47F7C457"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Reznikov, R. and Turlakova, S., 2024. THE DRIVER OF INDUSTRY 4.0 DEVELOPMENT: THE KEY ROLE OF IT-SERVICE COMPANIES. Available at SSRN 4851641.</w:t>
      </w:r>
      <w:hyperlink r:id="rId62">
        <w:r w:rsidR="002847F8">
          <w:rPr>
            <w:rFonts w:ascii="Times New Roman" w:eastAsia="Times New Roman" w:hAnsi="Times New Roman" w:cs="Times New Roman"/>
            <w:color w:val="222222"/>
            <w:sz w:val="24"/>
            <w:szCs w:val="24"/>
          </w:rPr>
          <w:t xml:space="preserve"> </w:t>
        </w:r>
      </w:hyperlink>
      <w:hyperlink r:id="rId63">
        <w:r w:rsidR="002847F8">
          <w:rPr>
            <w:rFonts w:ascii="Times New Roman" w:eastAsia="Times New Roman" w:hAnsi="Times New Roman" w:cs="Times New Roman"/>
            <w:color w:val="1155CC"/>
            <w:sz w:val="24"/>
            <w:szCs w:val="24"/>
            <w:u w:val="single"/>
          </w:rPr>
          <w:t>https://papers.ssrn.com/sol3/Delivery.cfm?abstractid=4851641</w:t>
        </w:r>
      </w:hyperlink>
      <w:r>
        <w:rPr>
          <w:rFonts w:ascii="Times New Roman" w:eastAsia="Times New Roman" w:hAnsi="Times New Roman" w:cs="Times New Roman"/>
          <w:color w:val="222222"/>
          <w:sz w:val="24"/>
          <w:szCs w:val="24"/>
        </w:rPr>
        <w:t xml:space="preserve"> </w:t>
      </w:r>
    </w:p>
    <w:p w14:paraId="07340AC9"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Samiuddin, M.F., 2025. Green Computing: Sustainable IT Practices for a Greener Future.</w:t>
      </w:r>
      <w:hyperlink r:id="rId64">
        <w:r w:rsidR="002847F8">
          <w:rPr>
            <w:rFonts w:ascii="Times New Roman" w:eastAsia="Times New Roman" w:hAnsi="Times New Roman" w:cs="Times New Roman"/>
            <w:color w:val="222222"/>
            <w:sz w:val="24"/>
            <w:szCs w:val="24"/>
          </w:rPr>
          <w:t xml:space="preserve"> </w:t>
        </w:r>
      </w:hyperlink>
      <w:hyperlink r:id="rId65">
        <w:r w:rsidR="002847F8">
          <w:rPr>
            <w:rFonts w:ascii="Times New Roman" w:eastAsia="Times New Roman" w:hAnsi="Times New Roman" w:cs="Times New Roman"/>
            <w:color w:val="1155CC"/>
            <w:sz w:val="24"/>
            <w:szCs w:val="24"/>
            <w:u w:val="single"/>
          </w:rPr>
          <w:t>http://103.109.52.4:8080/bitstream/handle/52243/3203/A%20Project%20Report%20on%20Green%20Computing.pdf?sequence=1&amp;isAllowed=y</w:t>
        </w:r>
      </w:hyperlink>
      <w:r>
        <w:rPr>
          <w:rFonts w:ascii="Times New Roman" w:eastAsia="Times New Roman" w:hAnsi="Times New Roman" w:cs="Times New Roman"/>
          <w:color w:val="222222"/>
          <w:sz w:val="24"/>
          <w:szCs w:val="24"/>
        </w:rPr>
        <w:t xml:space="preserve"> </w:t>
      </w:r>
    </w:p>
    <w:p w14:paraId="728E77F0"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Solutions Hub (2023). </w:t>
      </w:r>
      <w:r>
        <w:rPr>
          <w:rFonts w:ascii="Times New Roman" w:eastAsia="Times New Roman" w:hAnsi="Times New Roman" w:cs="Times New Roman"/>
          <w:i/>
          <w:iCs/>
          <w:color w:val="222222"/>
          <w:sz w:val="24"/>
          <w:szCs w:val="24"/>
        </w:rPr>
        <w:t>EPAM SolutionsHub | Software Solutions for Digital Business</w:t>
      </w:r>
      <w:r>
        <w:rPr>
          <w:rFonts w:ascii="Times New Roman" w:eastAsia="Times New Roman" w:hAnsi="Times New Roman" w:cs="Times New Roman"/>
          <w:color w:val="222222"/>
          <w:sz w:val="24"/>
          <w:szCs w:val="24"/>
        </w:rPr>
        <w:t>. [online] solutionshub.epam.com. Available at:</w:t>
      </w:r>
      <w:hyperlink r:id="rId66">
        <w:r w:rsidR="002847F8">
          <w:rPr>
            <w:rFonts w:ascii="Times New Roman" w:eastAsia="Times New Roman" w:hAnsi="Times New Roman" w:cs="Times New Roman"/>
            <w:color w:val="222222"/>
            <w:sz w:val="24"/>
            <w:szCs w:val="24"/>
          </w:rPr>
          <w:t xml:space="preserve"> </w:t>
        </w:r>
      </w:hyperlink>
      <w:hyperlink r:id="rId67">
        <w:r w:rsidR="002847F8">
          <w:rPr>
            <w:rFonts w:ascii="Times New Roman" w:eastAsia="Times New Roman" w:hAnsi="Times New Roman" w:cs="Times New Roman"/>
            <w:color w:val="1155CC"/>
            <w:sz w:val="24"/>
            <w:szCs w:val="24"/>
            <w:u w:val="single"/>
          </w:rPr>
          <w:t>https://solutionshub.epam.com/blog/post/vrio-analysis</w:t>
        </w:r>
      </w:hyperlink>
      <w:r>
        <w:rPr>
          <w:rFonts w:ascii="Times New Roman" w:eastAsia="Times New Roman" w:hAnsi="Times New Roman" w:cs="Times New Roman"/>
          <w:color w:val="222222"/>
          <w:sz w:val="24"/>
          <w:szCs w:val="24"/>
        </w:rPr>
        <w:t xml:space="preserve">.  </w:t>
      </w:r>
    </w:p>
    <w:p w14:paraId="5E9C37DC"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TEWARI, S. and CHITNIS, A., 2024. AI and multi-cloud compliance: Safeguarding data sovereignty.</w:t>
      </w:r>
      <w:hyperlink r:id="rId68">
        <w:r w:rsidR="002847F8">
          <w:rPr>
            <w:rFonts w:ascii="Times New Roman" w:eastAsia="Times New Roman" w:hAnsi="Times New Roman" w:cs="Times New Roman"/>
            <w:color w:val="222222"/>
            <w:sz w:val="24"/>
            <w:szCs w:val="24"/>
          </w:rPr>
          <w:t xml:space="preserve"> </w:t>
        </w:r>
      </w:hyperlink>
      <w:hyperlink r:id="rId69">
        <w:r w:rsidR="002847F8">
          <w:rPr>
            <w:rFonts w:ascii="Times New Roman" w:eastAsia="Times New Roman" w:hAnsi="Times New Roman" w:cs="Times New Roman"/>
            <w:color w:val="1155CC"/>
            <w:sz w:val="24"/>
            <w:szCs w:val="24"/>
            <w:u w:val="single"/>
          </w:rPr>
          <w:t>https://www.researchgate.net/profile/Shishir-Tewari-5/publication/391810525_AI_and_Multi-</w:t>
        </w:r>
        <w:r w:rsidR="002847F8">
          <w:rPr>
            <w:rFonts w:ascii="Times New Roman" w:eastAsia="Times New Roman" w:hAnsi="Times New Roman" w:cs="Times New Roman"/>
            <w:color w:val="1155CC"/>
            <w:sz w:val="24"/>
            <w:szCs w:val="24"/>
            <w:u w:val="single"/>
          </w:rPr>
          <w:lastRenderedPageBreak/>
          <w:t>Cloud_Compliance_Safeguarding_Data_Sovereignty/links/682814fa6b5a287c30422f57/AI-and-Multi-Cloud-Compliance-Safeguarding-Data-Sovereignty.pdf</w:t>
        </w:r>
      </w:hyperlink>
      <w:r>
        <w:rPr>
          <w:rFonts w:ascii="Times New Roman" w:eastAsia="Times New Roman" w:hAnsi="Times New Roman" w:cs="Times New Roman"/>
          <w:color w:val="222222"/>
          <w:sz w:val="24"/>
          <w:szCs w:val="24"/>
        </w:rPr>
        <w:t xml:space="preserve"> </w:t>
      </w:r>
    </w:p>
    <w:p w14:paraId="2A17CE90"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Strategy Institute (2024). </w:t>
      </w:r>
      <w:r>
        <w:rPr>
          <w:rFonts w:ascii="Times New Roman" w:eastAsia="Times New Roman" w:hAnsi="Times New Roman" w:cs="Times New Roman"/>
          <w:i/>
          <w:iCs/>
          <w:color w:val="222222"/>
          <w:sz w:val="24"/>
          <w:szCs w:val="24"/>
        </w:rPr>
        <w:t>Porter’s five forces: The ultimate competitive strategy blueprint</w:t>
      </w:r>
      <w:r>
        <w:rPr>
          <w:rFonts w:ascii="Times New Roman" w:eastAsia="Times New Roman" w:hAnsi="Times New Roman" w:cs="Times New Roman"/>
          <w:color w:val="222222"/>
          <w:sz w:val="24"/>
          <w:szCs w:val="24"/>
        </w:rPr>
        <w:t>. [online] www.thestrategyinstitute.org. Available at:</w:t>
      </w:r>
      <w:hyperlink r:id="rId70">
        <w:r w:rsidR="002847F8">
          <w:rPr>
            <w:rFonts w:ascii="Times New Roman" w:eastAsia="Times New Roman" w:hAnsi="Times New Roman" w:cs="Times New Roman"/>
            <w:color w:val="222222"/>
            <w:sz w:val="24"/>
            <w:szCs w:val="24"/>
          </w:rPr>
          <w:t xml:space="preserve"> </w:t>
        </w:r>
      </w:hyperlink>
      <w:hyperlink r:id="rId71">
        <w:r w:rsidR="002847F8">
          <w:rPr>
            <w:rFonts w:ascii="Times New Roman" w:eastAsia="Times New Roman" w:hAnsi="Times New Roman" w:cs="Times New Roman"/>
            <w:color w:val="1155CC"/>
            <w:sz w:val="24"/>
            <w:szCs w:val="24"/>
            <w:u w:val="single"/>
          </w:rPr>
          <w:t>https://www.thestrategyinstitute.org/insights/porters-five-forces-the-ultimate-competitive-strategy-blueprint</w:t>
        </w:r>
      </w:hyperlink>
      <w:r>
        <w:rPr>
          <w:rFonts w:ascii="Times New Roman" w:eastAsia="Times New Roman" w:hAnsi="Times New Roman" w:cs="Times New Roman"/>
          <w:color w:val="222222"/>
          <w:sz w:val="24"/>
          <w:szCs w:val="24"/>
        </w:rPr>
        <w:t xml:space="preserve">. </w:t>
      </w:r>
    </w:p>
    <w:p w14:paraId="6E5C2368"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TNN (2025). </w:t>
      </w:r>
      <w:r>
        <w:rPr>
          <w:rFonts w:ascii="Times New Roman" w:eastAsia="Times New Roman" w:hAnsi="Times New Roman" w:cs="Times New Roman"/>
          <w:i/>
          <w:iCs/>
          <w:color w:val="222222"/>
          <w:sz w:val="24"/>
          <w:szCs w:val="24"/>
        </w:rPr>
        <w:t>Wipro realigns its global business lines</w:t>
      </w:r>
      <w:r>
        <w:rPr>
          <w:rFonts w:ascii="Times New Roman" w:eastAsia="Times New Roman" w:hAnsi="Times New Roman" w:cs="Times New Roman"/>
          <w:color w:val="222222"/>
          <w:sz w:val="24"/>
          <w:szCs w:val="24"/>
        </w:rPr>
        <w:t>. [online] The Times of India. Available at:</w:t>
      </w:r>
      <w:hyperlink r:id="rId72">
        <w:r w:rsidR="002847F8">
          <w:rPr>
            <w:rFonts w:ascii="Times New Roman" w:eastAsia="Times New Roman" w:hAnsi="Times New Roman" w:cs="Times New Roman"/>
            <w:color w:val="222222"/>
            <w:sz w:val="24"/>
            <w:szCs w:val="24"/>
          </w:rPr>
          <w:t xml:space="preserve"> </w:t>
        </w:r>
      </w:hyperlink>
      <w:hyperlink r:id="rId73">
        <w:r w:rsidR="002847F8">
          <w:rPr>
            <w:rFonts w:ascii="Times New Roman" w:eastAsia="Times New Roman" w:hAnsi="Times New Roman" w:cs="Times New Roman"/>
            <w:color w:val="1155CC"/>
            <w:sz w:val="24"/>
            <w:szCs w:val="24"/>
            <w:u w:val="single"/>
          </w:rPr>
          <w:t>https://timesofindia.indiatimes.com/business/india-business/wipro-realigns-its-global-business-lines/articleshow/119025363.cms</w:t>
        </w:r>
      </w:hyperlink>
      <w:r>
        <w:rPr>
          <w:rFonts w:ascii="Times New Roman" w:eastAsia="Times New Roman" w:hAnsi="Times New Roman" w:cs="Times New Roman"/>
          <w:color w:val="222222"/>
          <w:sz w:val="24"/>
          <w:szCs w:val="24"/>
        </w:rPr>
        <w:t xml:space="preserve">. </w:t>
      </w:r>
    </w:p>
    <w:p w14:paraId="5FC7365B"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Wipro (2019). </w:t>
      </w:r>
      <w:r>
        <w:rPr>
          <w:rFonts w:ascii="Times New Roman" w:eastAsia="Times New Roman" w:hAnsi="Times New Roman" w:cs="Times New Roman"/>
          <w:i/>
          <w:iCs/>
          <w:color w:val="222222"/>
          <w:sz w:val="24"/>
          <w:szCs w:val="24"/>
        </w:rPr>
        <w:t>Wipro | Digital, Technology, Business Solutions</w:t>
      </w:r>
      <w:r>
        <w:rPr>
          <w:rFonts w:ascii="Times New Roman" w:eastAsia="Times New Roman" w:hAnsi="Times New Roman" w:cs="Times New Roman"/>
          <w:color w:val="222222"/>
          <w:sz w:val="24"/>
          <w:szCs w:val="24"/>
        </w:rPr>
        <w:t>. [online] Wipro.com. Available at:</w:t>
      </w:r>
      <w:hyperlink r:id="rId74">
        <w:r w:rsidR="002847F8">
          <w:rPr>
            <w:rFonts w:ascii="Times New Roman" w:eastAsia="Times New Roman" w:hAnsi="Times New Roman" w:cs="Times New Roman"/>
            <w:color w:val="222222"/>
            <w:sz w:val="24"/>
            <w:szCs w:val="24"/>
          </w:rPr>
          <w:t xml:space="preserve"> </w:t>
        </w:r>
      </w:hyperlink>
      <w:hyperlink r:id="rId75">
        <w:r w:rsidR="002847F8">
          <w:rPr>
            <w:rFonts w:ascii="Times New Roman" w:eastAsia="Times New Roman" w:hAnsi="Times New Roman" w:cs="Times New Roman"/>
            <w:color w:val="1155CC"/>
            <w:sz w:val="24"/>
            <w:szCs w:val="24"/>
            <w:u w:val="single"/>
          </w:rPr>
          <w:t>https://www.wipro.com/</w:t>
        </w:r>
      </w:hyperlink>
      <w:r>
        <w:rPr>
          <w:rFonts w:ascii="Times New Roman" w:eastAsia="Times New Roman" w:hAnsi="Times New Roman" w:cs="Times New Roman"/>
          <w:color w:val="222222"/>
          <w:sz w:val="24"/>
          <w:szCs w:val="24"/>
        </w:rPr>
        <w:t xml:space="preserve">. </w:t>
      </w:r>
    </w:p>
    <w:p w14:paraId="787D1859"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Wipro (2023). </w:t>
      </w:r>
      <w:r>
        <w:rPr>
          <w:rFonts w:ascii="Times New Roman" w:eastAsia="Times New Roman" w:hAnsi="Times New Roman" w:cs="Times New Roman"/>
          <w:i/>
          <w:iCs/>
          <w:color w:val="222222"/>
          <w:sz w:val="24"/>
          <w:szCs w:val="24"/>
        </w:rPr>
        <w:t>Wipro - Integrated Annual Report 2022-23</w:t>
      </w:r>
      <w:r>
        <w:rPr>
          <w:rFonts w:ascii="Times New Roman" w:eastAsia="Times New Roman" w:hAnsi="Times New Roman" w:cs="Times New Roman"/>
          <w:color w:val="222222"/>
          <w:sz w:val="24"/>
          <w:szCs w:val="24"/>
        </w:rPr>
        <w:t>. [online] www.wipro.com. Available at:</w:t>
      </w:r>
      <w:hyperlink r:id="rId76">
        <w:r w:rsidR="002847F8">
          <w:rPr>
            <w:rFonts w:ascii="Times New Roman" w:eastAsia="Times New Roman" w:hAnsi="Times New Roman" w:cs="Times New Roman"/>
            <w:color w:val="222222"/>
            <w:sz w:val="24"/>
            <w:szCs w:val="24"/>
          </w:rPr>
          <w:t xml:space="preserve"> </w:t>
        </w:r>
      </w:hyperlink>
      <w:hyperlink r:id="rId77">
        <w:r w:rsidR="002847F8">
          <w:rPr>
            <w:rFonts w:ascii="Times New Roman" w:eastAsia="Times New Roman" w:hAnsi="Times New Roman" w:cs="Times New Roman"/>
            <w:color w:val="1155CC"/>
            <w:sz w:val="24"/>
            <w:szCs w:val="24"/>
            <w:u w:val="single"/>
          </w:rPr>
          <w:t>https://www.wipro.com/investors/annual-reports/2022-23/</w:t>
        </w:r>
      </w:hyperlink>
      <w:r>
        <w:rPr>
          <w:rFonts w:ascii="Times New Roman" w:eastAsia="Times New Roman" w:hAnsi="Times New Roman" w:cs="Times New Roman"/>
          <w:color w:val="222222"/>
          <w:sz w:val="24"/>
          <w:szCs w:val="24"/>
        </w:rPr>
        <w:t xml:space="preserve">. </w:t>
      </w:r>
    </w:p>
    <w:p w14:paraId="721BFF9F"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Wipro Foundation. (2024). </w:t>
      </w:r>
      <w:r>
        <w:rPr>
          <w:rFonts w:ascii="Times New Roman" w:eastAsia="Times New Roman" w:hAnsi="Times New Roman" w:cs="Times New Roman"/>
          <w:i/>
          <w:iCs/>
          <w:color w:val="222222"/>
          <w:sz w:val="24"/>
          <w:szCs w:val="24"/>
        </w:rPr>
        <w:t>Wipro Foundation</w:t>
      </w:r>
      <w:r>
        <w:rPr>
          <w:rFonts w:ascii="Times New Roman" w:eastAsia="Times New Roman" w:hAnsi="Times New Roman" w:cs="Times New Roman"/>
          <w:color w:val="222222"/>
          <w:sz w:val="24"/>
          <w:szCs w:val="24"/>
        </w:rPr>
        <w:t>. [online] Available at:</w:t>
      </w:r>
      <w:hyperlink r:id="rId78">
        <w:r w:rsidR="002847F8">
          <w:rPr>
            <w:rFonts w:ascii="Times New Roman" w:eastAsia="Times New Roman" w:hAnsi="Times New Roman" w:cs="Times New Roman"/>
            <w:color w:val="222222"/>
            <w:sz w:val="24"/>
            <w:szCs w:val="24"/>
          </w:rPr>
          <w:t xml:space="preserve"> </w:t>
        </w:r>
      </w:hyperlink>
      <w:hyperlink r:id="rId79">
        <w:r w:rsidR="002847F8">
          <w:rPr>
            <w:rFonts w:ascii="Times New Roman" w:eastAsia="Times New Roman" w:hAnsi="Times New Roman" w:cs="Times New Roman"/>
            <w:color w:val="1155CC"/>
            <w:sz w:val="24"/>
            <w:szCs w:val="24"/>
            <w:u w:val="single"/>
          </w:rPr>
          <w:t>https://www.wiprofoundation.org/</w:t>
        </w:r>
      </w:hyperlink>
      <w:r>
        <w:rPr>
          <w:rFonts w:ascii="Times New Roman" w:eastAsia="Times New Roman" w:hAnsi="Times New Roman" w:cs="Times New Roman"/>
          <w:color w:val="222222"/>
          <w:sz w:val="24"/>
          <w:szCs w:val="24"/>
        </w:rPr>
        <w:t xml:space="preserve">. </w:t>
      </w:r>
    </w:p>
    <w:p w14:paraId="372A692E"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Wipro Quarterly Earnings Report (2025). </w:t>
      </w:r>
      <w:r>
        <w:rPr>
          <w:rFonts w:ascii="Times New Roman" w:eastAsia="Times New Roman" w:hAnsi="Times New Roman" w:cs="Times New Roman"/>
          <w:i/>
          <w:iCs/>
          <w:color w:val="222222"/>
          <w:sz w:val="24"/>
          <w:szCs w:val="24"/>
        </w:rPr>
        <w:t>Wipro Quarterly Earnings Report – Quarter Ended</w:t>
      </w:r>
      <w:r>
        <w:rPr>
          <w:rFonts w:ascii="Times New Roman" w:eastAsia="Times New Roman" w:hAnsi="Times New Roman" w:cs="Times New Roman"/>
          <w:color w:val="222222"/>
          <w:sz w:val="24"/>
          <w:szCs w:val="24"/>
        </w:rPr>
        <w:t>. [online] Wipro.com. Available at:</w:t>
      </w:r>
      <w:hyperlink r:id="rId80">
        <w:r w:rsidR="002847F8">
          <w:rPr>
            <w:rFonts w:ascii="Times New Roman" w:eastAsia="Times New Roman" w:hAnsi="Times New Roman" w:cs="Times New Roman"/>
            <w:color w:val="222222"/>
            <w:sz w:val="24"/>
            <w:szCs w:val="24"/>
          </w:rPr>
          <w:t xml:space="preserve"> </w:t>
        </w:r>
      </w:hyperlink>
      <w:hyperlink r:id="rId81">
        <w:r w:rsidR="002847F8">
          <w:rPr>
            <w:rFonts w:ascii="Times New Roman" w:eastAsia="Times New Roman" w:hAnsi="Times New Roman" w:cs="Times New Roman"/>
            <w:color w:val="1155CC"/>
            <w:sz w:val="24"/>
            <w:szCs w:val="24"/>
            <w:u w:val="single"/>
          </w:rPr>
          <w:t>https://www.wipro.com/newsroom/press-releases/2025/wipro-announces-results-for-the-quarter-ended-september-30-2025/</w:t>
        </w:r>
      </w:hyperlink>
      <w:r>
        <w:rPr>
          <w:rFonts w:ascii="Times New Roman" w:eastAsia="Times New Roman" w:hAnsi="Times New Roman" w:cs="Times New Roman"/>
          <w:color w:val="222222"/>
          <w:sz w:val="24"/>
          <w:szCs w:val="24"/>
        </w:rPr>
        <w:t xml:space="preserve">  [Accessed 29 Nov. 2025].</w:t>
      </w:r>
    </w:p>
    <w:p w14:paraId="7111CB45" w14:textId="77777777" w:rsidR="002847F8" w:rsidRDefault="002847F8">
      <w:pPr>
        <w:spacing w:line="360" w:lineRule="auto"/>
        <w:jc w:val="both"/>
        <w:rPr>
          <w:rFonts w:ascii="Times New Roman" w:eastAsia="Times New Roman" w:hAnsi="Times New Roman" w:cs="Times New Roman"/>
          <w:sz w:val="24"/>
          <w:szCs w:val="24"/>
        </w:rPr>
      </w:pPr>
    </w:p>
    <w:p w14:paraId="52B013CC" w14:textId="77777777" w:rsidR="002847F8" w:rsidRDefault="002847F8">
      <w:pPr>
        <w:jc w:val="both"/>
        <w:rPr>
          <w:rFonts w:ascii="Times New Roman" w:eastAsia="Times New Roman" w:hAnsi="Times New Roman" w:cs="Times New Roman"/>
          <w:sz w:val="24"/>
          <w:szCs w:val="24"/>
        </w:rPr>
      </w:pPr>
    </w:p>
    <w:sectPr w:rsidR="002847F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77CFC7ED-1569-4FEE-921D-6C05518EC68D}"/>
    <w:embedBold r:id="rId2" w:fontKey="{6B83118D-2199-4234-8A04-340CD09DC7FD}"/>
  </w:font>
  <w:font w:name="Arial Unicode MS">
    <w:panose1 w:val="020B0604020202020204"/>
    <w:charset w:val="80"/>
    <w:family w:val="swiss"/>
    <w:pitch w:val="variable"/>
    <w:sig w:usb0="F7FFAFFF" w:usb1="E9DFFFFF" w:usb2="0000003F" w:usb3="00000000" w:csb0="003F01FF" w:csb1="00000000"/>
    <w:embedRegular r:id="rId3" w:subsetted="1" w:fontKey="{3D328796-792F-46D9-86CC-FD3E2B965888}"/>
  </w:font>
  <w:font w:name="Shruti">
    <w:panose1 w:val="020B0502040204020203"/>
    <w:charset w:val="00"/>
    <w:family w:val="swiss"/>
    <w:pitch w:val="variable"/>
    <w:sig w:usb0="00040003" w:usb1="00000000" w:usb2="00000000" w:usb3="00000000" w:csb0="00000001" w:csb1="00000000"/>
    <w:embedRegular r:id="rId4" w:fontKey="{5C5327C0-9631-463C-A0A5-BCB7A553A622}"/>
  </w:font>
  <w:font w:name="Cambria">
    <w:panose1 w:val="02040503050406030204"/>
    <w:charset w:val="00"/>
    <w:family w:val="roman"/>
    <w:pitch w:val="variable"/>
    <w:sig w:usb0="E00006FF" w:usb1="420024FF" w:usb2="02000000" w:usb3="00000000" w:csb0="0000019F" w:csb1="00000000"/>
    <w:embedRegular r:id="rId5" w:fontKey="{75920F0F-C399-494C-A705-6AB4AF5C7B93}"/>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05F8A"/>
    <w:multiLevelType w:val="multilevel"/>
    <w:tmpl w:val="498CE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480A47"/>
    <w:multiLevelType w:val="multilevel"/>
    <w:tmpl w:val="C95668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A9B624A"/>
    <w:multiLevelType w:val="multilevel"/>
    <w:tmpl w:val="D33A0D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4784296">
    <w:abstractNumId w:val="0"/>
  </w:num>
  <w:num w:numId="2" w16cid:durableId="328410897">
    <w:abstractNumId w:val="1"/>
  </w:num>
  <w:num w:numId="3" w16cid:durableId="2248053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47F8"/>
    <w:rsid w:val="002847F8"/>
    <w:rsid w:val="0066353B"/>
    <w:rsid w:val="009D4609"/>
    <w:rsid w:val="00BD6159"/>
    <w:rsid w:val="00D22E37"/>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BEE36"/>
  <w15:docId w15:val="{7F19EC6A-DA68-4398-9097-CB400DA8E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before="240" w:after="240"/>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a">
    <w:basedOn w:val="TableNormal3"/>
    <w:tblPr>
      <w:tblStyleRowBandSize w:val="1"/>
      <w:tblStyleColBandSize w:val="1"/>
    </w:tblPr>
  </w:style>
  <w:style w:type="table" w:customStyle="1" w:styleId="a0">
    <w:basedOn w:val="TableNormal3"/>
    <w:tblPr>
      <w:tblStyleRowBandSize w:val="1"/>
      <w:tblStyleColBandSize w:val="1"/>
    </w:tblPr>
  </w:style>
  <w:style w:type="table" w:customStyle="1" w:styleId="a1">
    <w:basedOn w:val="TableNormal3"/>
    <w:tblPr>
      <w:tblStyleRowBandSize w:val="1"/>
      <w:tblStyleColBandSize w:val="1"/>
    </w:tblPr>
  </w:style>
  <w:style w:type="table" w:customStyle="1" w:styleId="a2">
    <w:basedOn w:val="TableNormal3"/>
    <w:tblPr>
      <w:tblStyleRowBandSize w:val="1"/>
      <w:tblStyleColBandSize w:val="1"/>
    </w:tblPr>
  </w:style>
  <w:style w:type="table" w:customStyle="1" w:styleId="a3">
    <w:basedOn w:val="TableNormal3"/>
    <w:tblPr>
      <w:tblStyleRowBandSize w:val="1"/>
      <w:tblStyleColBandSize w:val="1"/>
    </w:tblPr>
  </w:style>
  <w:style w:type="table" w:customStyle="1" w:styleId="a4">
    <w:basedOn w:val="TableNormal3"/>
    <w:tblPr>
      <w:tblStyleRowBandSize w:val="1"/>
      <w:tblStyleColBandSize w:val="1"/>
    </w:tblPr>
  </w:style>
  <w:style w:type="table" w:customStyle="1" w:styleId="a5">
    <w:basedOn w:val="TableNormal3"/>
    <w:tblPr>
      <w:tblStyleRowBandSize w:val="1"/>
      <w:tblStyleColBandSize w:val="1"/>
    </w:tblPr>
  </w:style>
  <w:style w:type="table" w:customStyle="1" w:styleId="a6">
    <w:basedOn w:val="TableNormal3"/>
    <w:tblPr>
      <w:tblStyleRowBandSize w:val="1"/>
      <w:tblStyleColBandSize w:val="1"/>
    </w:tblPr>
  </w:style>
  <w:style w:type="table" w:customStyle="1" w:styleId="a7">
    <w:basedOn w:val="TableNormal3"/>
    <w:tblPr>
      <w:tblStyleRowBandSize w:val="1"/>
      <w:tblStyleColBandSize w:val="1"/>
    </w:tblPr>
  </w:style>
  <w:style w:type="table" w:customStyle="1" w:styleId="a8">
    <w:basedOn w:val="TableNormal3"/>
    <w:tblPr>
      <w:tblStyleRowBandSize w:val="1"/>
      <w:tblStyleColBandSize w:val="1"/>
    </w:tblPr>
  </w:style>
  <w:style w:type="table" w:customStyle="1" w:styleId="a9">
    <w:basedOn w:val="TableNormal3"/>
    <w:tblPr>
      <w:tblStyleRowBandSize w:val="1"/>
      <w:tblStyleColBandSize w:val="1"/>
    </w:tblPr>
  </w:style>
  <w:style w:type="table" w:customStyle="1" w:styleId="aa">
    <w:basedOn w:val="TableNormal3"/>
    <w:tblPr>
      <w:tblStyleRowBandSize w:val="1"/>
      <w:tblStyleColBandSize w:val="1"/>
    </w:tblPr>
  </w:style>
  <w:style w:type="table" w:customStyle="1" w:styleId="ab">
    <w:basedOn w:val="TableNormal3"/>
    <w:tblPr>
      <w:tblStyleRowBandSize w:val="1"/>
      <w:tblStyleColBandSize w:val="1"/>
    </w:tblPr>
  </w:style>
  <w:style w:type="table" w:customStyle="1" w:styleId="ac">
    <w:basedOn w:val="TableNormal3"/>
    <w:tblPr>
      <w:tblStyleRowBandSize w:val="1"/>
      <w:tblStyleColBandSize w:val="1"/>
    </w:tblPr>
  </w:style>
  <w:style w:type="table" w:customStyle="1" w:styleId="ad">
    <w:basedOn w:val="TableNormal3"/>
    <w:tblPr>
      <w:tblStyleRowBandSize w:val="1"/>
      <w:tblStyleColBandSize w:val="1"/>
    </w:tblPr>
  </w:style>
  <w:style w:type="table" w:customStyle="1" w:styleId="ae">
    <w:basedOn w:val="TableNormal3"/>
    <w:tblPr>
      <w:tblStyleRowBandSize w:val="1"/>
      <w:tblStyleColBandSize w:val="1"/>
    </w:tblPr>
  </w:style>
  <w:style w:type="table" w:customStyle="1" w:styleId="af">
    <w:basedOn w:val="TableNormal3"/>
    <w:tblPr>
      <w:tblStyleRowBandSize w:val="1"/>
      <w:tblStyleColBandSize w:val="1"/>
    </w:tblPr>
  </w:style>
  <w:style w:type="table" w:customStyle="1" w:styleId="af0">
    <w:basedOn w:val="TableNormal3"/>
    <w:tblPr>
      <w:tblStyleRowBandSize w:val="1"/>
      <w:tblStyleColBandSize w:val="1"/>
    </w:tblPr>
  </w:style>
  <w:style w:type="table" w:customStyle="1" w:styleId="af1">
    <w:basedOn w:val="TableNormal3"/>
    <w:tblPr>
      <w:tblStyleRowBandSize w:val="1"/>
      <w:tblStyleColBandSize w:val="1"/>
    </w:tblPr>
  </w:style>
  <w:style w:type="table" w:customStyle="1" w:styleId="af2">
    <w:basedOn w:val="TableNormal3"/>
    <w:tblPr>
      <w:tblStyleRowBandSize w:val="1"/>
      <w:tblStyleColBandSize w:val="1"/>
    </w:tblPr>
  </w:style>
  <w:style w:type="table" w:customStyle="1" w:styleId="af3">
    <w:basedOn w:val="TableNormal3"/>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f4">
    <w:basedOn w:val="TableNormal3"/>
    <w:tblPr>
      <w:tblStyleRowBandSize w:val="1"/>
      <w:tblStyleColBandSize w:val="1"/>
    </w:tblPr>
  </w:style>
  <w:style w:type="table" w:customStyle="1" w:styleId="af5">
    <w:basedOn w:val="TableNormal3"/>
    <w:tblPr>
      <w:tblStyleRowBandSize w:val="1"/>
      <w:tblStyleColBandSize w:val="1"/>
    </w:tblPr>
  </w:style>
  <w:style w:type="table" w:customStyle="1" w:styleId="af6">
    <w:basedOn w:val="TableNormal3"/>
    <w:tblPr>
      <w:tblStyleRowBandSize w:val="1"/>
      <w:tblStyleColBandSize w:val="1"/>
    </w:tblPr>
  </w:style>
  <w:style w:type="table" w:customStyle="1" w:styleId="af7">
    <w:basedOn w:val="TableNormal3"/>
    <w:tblPr>
      <w:tblStyleRowBandSize w:val="1"/>
      <w:tblStyleColBandSize w:val="1"/>
    </w:tblPr>
  </w:style>
  <w:style w:type="table" w:customStyle="1" w:styleId="af8">
    <w:basedOn w:val="TableNormal3"/>
    <w:tblPr>
      <w:tblStyleRowBandSize w:val="1"/>
      <w:tblStyleColBandSize w:val="1"/>
    </w:tblPr>
  </w:style>
  <w:style w:type="table" w:customStyle="1" w:styleId="af9">
    <w:basedOn w:val="TableNormal3"/>
    <w:tblPr>
      <w:tblStyleRowBandSize w:val="1"/>
      <w:tblStyleColBandSize w:val="1"/>
    </w:tblPr>
  </w:style>
  <w:style w:type="table" w:customStyle="1" w:styleId="afa">
    <w:basedOn w:val="TableNormal3"/>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online.hbs.edu/blog/post/ai-digital-transformation" TargetMode="External"/><Relationship Id="rId21" Type="http://schemas.openxmlformats.org/officeDocument/2006/relationships/hyperlink" Target="https://m.economictimes.com/small-biz/security-tech/technology/indias-it-workforce-a-strategic-asset-in-a-fragmented-world/articleshow/124937558.cms" TargetMode="External"/><Relationship Id="rId42" Type="http://schemas.openxmlformats.org/officeDocument/2006/relationships/hyperlink" Target="https://papers.ssrn.com/sol3/Delivery.cfm?abstractid=3643979" TargetMode="External"/><Relationship Id="rId47" Type="http://schemas.openxmlformats.org/officeDocument/2006/relationships/hyperlink" Target="https://sms.onlinelibrary.wiley.com/doi/pdfdirect/10.1002/smj.3387" TargetMode="External"/><Relationship Id="rId63" Type="http://schemas.openxmlformats.org/officeDocument/2006/relationships/hyperlink" Target="https://papers.ssrn.com/sol3/Delivery.cfm?abstractid=4851641" TargetMode="External"/><Relationship Id="rId68" Type="http://schemas.openxmlformats.org/officeDocument/2006/relationships/hyperlink" Target="https://www.researchgate.net/profile/Shishir-Tewari-5/publication/391810525_AI_and_Multi-Cloud_Compliance_Safeguarding_Data_Sovereignty/links/682814fa6b5a287c30422f57/AI-and-Multi-Cloud-Compliance-Safeguarding-Data-Sovereignty.pdf" TargetMode="External"/><Relationship Id="rId16" Type="http://schemas.openxmlformats.org/officeDocument/2006/relationships/hyperlink" Target="https://onlinelibrary.wiley.com/doi/pdf/10.1002/spe.3248" TargetMode="External"/><Relationship Id="rId11" Type="http://schemas.openxmlformats.org/officeDocument/2006/relationships/image" Target="media/image6.png"/><Relationship Id="rId32" Type="http://schemas.openxmlformats.org/officeDocument/2006/relationships/hyperlink" Target="https://timesofindia.indiatimes.com/city/bengaluru/rishad-premji-flags-unchanged-it-outlook-focuses-on-ai-push/articleshow/122589825.cms" TargetMode="External"/><Relationship Id="rId37" Type="http://schemas.openxmlformats.org/officeDocument/2006/relationships/hyperlink" Target="https://armgpublishing.com/wp-content/uploads/2024/10/SEC_3_2024_15.pdf" TargetMode="External"/><Relationship Id="rId53" Type="http://schemas.openxmlformats.org/officeDocument/2006/relationships/hyperlink" Target="https://www.sciencedirect.com/science/article/pii/S1877050923006403/pdf?md5=88daa5efd9bda8f590e3a9b2c6f3f76b&amp;pid=1-s2.0-S1877050923006403-main.pdf" TargetMode="External"/><Relationship Id="rId58" Type="http://schemas.openxmlformats.org/officeDocument/2006/relationships/hyperlink" Target="https://blog.oxfordcollegeofmarketing.com/2016/08/01/using-ansoff-matrix-develop-marketing-strategy/" TargetMode="External"/><Relationship Id="rId74" Type="http://schemas.openxmlformats.org/officeDocument/2006/relationships/hyperlink" Target="https://www.wipro.com/" TargetMode="External"/><Relationship Id="rId79" Type="http://schemas.openxmlformats.org/officeDocument/2006/relationships/hyperlink" Target="https://www.wiprofoundation.org/" TargetMode="External"/><Relationship Id="rId5" Type="http://schemas.openxmlformats.org/officeDocument/2006/relationships/webSettings" Target="webSettings.xml"/><Relationship Id="rId61" Type="http://schemas.openxmlformats.org/officeDocument/2006/relationships/hyperlink" Target="https://www.researchgate.net/profile/Bruno-Rego-6/publication/356191007_Digital_Transformation_and_Strategic_Management_a_Systematic_Review_of_the_Literature/links/61db2475d4500608169d3794/Digital-Transformation-and-Strategic-Management-a-Systematic-Review-of-the-Literature.pdf" TargetMode="External"/><Relationship Id="rId82" Type="http://schemas.openxmlformats.org/officeDocument/2006/relationships/fontTable" Target="fontTable.xml"/><Relationship Id="rId19" Type="http://schemas.openxmlformats.org/officeDocument/2006/relationships/hyperlink" Target="http://www.baltijapublishing.lv/omp/index.php/bp/catalog/download/596/16157/34066-1" TargetMode="External"/><Relationship Id="rId14" Type="http://schemas.openxmlformats.org/officeDocument/2006/relationships/hyperlink" Target="https://papers.ssrn.com/sol3/Delivery.cfm?abstractid=4914169" TargetMode="External"/><Relationship Id="rId22" Type="http://schemas.openxmlformats.org/officeDocument/2006/relationships/hyperlink" Target="https://www.sciencedirect.com/science/article/pii/S2199853122007648" TargetMode="External"/><Relationship Id="rId27" Type="http://schemas.openxmlformats.org/officeDocument/2006/relationships/hyperlink" Target="https://online.hbs.edu/blog/post/ai-digital-transformation" TargetMode="External"/><Relationship Id="rId30" Type="http://schemas.openxmlformats.org/officeDocument/2006/relationships/hyperlink" Target="https://www.imarcgroup.com/it-services-market" TargetMode="External"/><Relationship Id="rId35" Type="http://schemas.openxmlformats.org/officeDocument/2006/relationships/hyperlink" Target="https://timesofindia.indiatimes.com/city/bengaluru/wipro-revises-capital-allocation-policy/articleshow/122031851.cms" TargetMode="External"/><Relationship Id="rId43" Type="http://schemas.openxmlformats.org/officeDocument/2006/relationships/hyperlink" Target="https://papers.ssrn.com/sol3/Delivery.cfm?abstractid=3643979" TargetMode="External"/><Relationship Id="rId48" Type="http://schemas.openxmlformats.org/officeDocument/2006/relationships/hyperlink" Target="https://gsom.spbu.ru/files/upload/master_program/materials/international_business_strategy/lasserre_globalisation_indices.pdf" TargetMode="External"/><Relationship Id="rId56" Type="http://schemas.openxmlformats.org/officeDocument/2006/relationships/hyperlink" Target="https://www.b2binternational.com/2025/04/03/pestle-analysis/" TargetMode="External"/><Relationship Id="rId64" Type="http://schemas.openxmlformats.org/officeDocument/2006/relationships/hyperlink" Target="http://103.109.52.4:8080/bitstream/handle/52243/3203/A%20Project%20Report%20on%20Green%20Computing.pdf?sequence=1&amp;isAllowed=y" TargetMode="External"/><Relationship Id="rId69" Type="http://schemas.openxmlformats.org/officeDocument/2006/relationships/hyperlink" Target="https://www.researchgate.net/profile/Shishir-Tewari-5/publication/391810525_AI_and_Multi-Cloud_Compliance_Safeguarding_Data_Sovereignty/links/682814fa6b5a287c30422f57/AI-and-Multi-Cloud-Compliance-Safeguarding-Data-Sovereignty.pdf" TargetMode="External"/><Relationship Id="rId77" Type="http://schemas.openxmlformats.org/officeDocument/2006/relationships/hyperlink" Target="https://www.wipro.com/investors/annual-reports/2022-23/" TargetMode="External"/><Relationship Id="rId8" Type="http://schemas.openxmlformats.org/officeDocument/2006/relationships/image" Target="media/image3.png"/><Relationship Id="rId51" Type="http://schemas.openxmlformats.org/officeDocument/2006/relationships/hyperlink" Target="https://www.wipro.com/content/dam/nexus/en/sustainability/sustainability_reports/wipro-sustainability-report-fy-2023-2024.pdf" TargetMode="External"/><Relationship Id="rId72" Type="http://schemas.openxmlformats.org/officeDocument/2006/relationships/hyperlink" Target="https://timesofindia.indiatimes.com/business/india-business/wipro-realigns-its-global-business-lines/articleshow/119025363.cms" TargetMode="External"/><Relationship Id="rId80" Type="http://schemas.openxmlformats.org/officeDocument/2006/relationships/hyperlink" Target="https://www.wipro.com/newsroom/press-releases/2025/wipro-announces-results-for-the-quarter-ended-september-30-2025/" TargetMode="External"/><Relationship Id="rId3" Type="http://schemas.openxmlformats.org/officeDocument/2006/relationships/styles" Target="styles.xml"/><Relationship Id="rId12" Type="http://schemas.openxmlformats.org/officeDocument/2006/relationships/hyperlink" Target="https://www.researchgate.net/profile/Rajimol_Kp/publication/380677090_Financial_and_Economic_Analysis_of_Sustainable_Practices_for_Green_Computing/links/67077e28ffe5b728123e08b9/Financial-and-Economic-Analysis-of-Sustainable-Practices-for-Green-Computing.pdf" TargetMode="External"/><Relationship Id="rId17" Type="http://schemas.openxmlformats.org/officeDocument/2006/relationships/hyperlink" Target="https://onlinelibrary.wiley.com/doi/pdf/10.1002/spe.3248" TargetMode="External"/><Relationship Id="rId25" Type="http://schemas.openxmlformats.org/officeDocument/2006/relationships/hyperlink" Target="https://www.gartner.com/en/doc/768816-the-future-of-cloud-computing-in-2027-from-technology-to-business-innovation" TargetMode="External"/><Relationship Id="rId33" Type="http://schemas.openxmlformats.org/officeDocument/2006/relationships/hyperlink" Target="https://timesofindia.indiatimes.com/city/bengaluru/rishad-premji-flags-unchanged-it-outlook-focuses-on-ai-push/articleshow/122589825.cms" TargetMode="External"/><Relationship Id="rId38" Type="http://schemas.openxmlformats.org/officeDocument/2006/relationships/hyperlink" Target="https://www.researchgate.net/profile/Nitesh-Kumar-Jha-3/publication/378129190_The_Impact_of_Fundamental_Analysis_in_the_IT_Industry_before_Investing_A_Comparative_Study_on_Wipro_TCS_and_Infosys/links/65c870151e1ec12eff807db1/The-Impact-of-Fundamental-Analysis-in-the-IT-Industry-before-Investing-A-Comparative-Study-on-Wipro-TCS-and-Infosys.pdf" TargetMode="External"/><Relationship Id="rId46" Type="http://schemas.openxmlformats.org/officeDocument/2006/relationships/hyperlink" Target="https://sms.onlinelibrary.wiley.com/doi/pdfdirect/10.1002/smj.3387" TargetMode="External"/><Relationship Id="rId59" Type="http://schemas.openxmlformats.org/officeDocument/2006/relationships/hyperlink" Target="https://blog.oxfordcollegeofmarketing.com/2016/08/01/using-ansoff-matrix-develop-marketing-strategy/" TargetMode="External"/><Relationship Id="rId67" Type="http://schemas.openxmlformats.org/officeDocument/2006/relationships/hyperlink" Target="https://solutionshub.epam.com/blog/post/vrio-analysis" TargetMode="External"/><Relationship Id="rId20" Type="http://schemas.openxmlformats.org/officeDocument/2006/relationships/hyperlink" Target="https://m.economictimes.com/small-biz/security-tech/technology/indias-it-workforce-a-strategic-asset-in-a-fragmented-world/articleshow/124937558.cms" TargetMode="External"/><Relationship Id="rId41" Type="http://schemas.openxmlformats.org/officeDocument/2006/relationships/hyperlink" Target="https://jngr5.com/index.php/journal-of-next-generation-resea/article/download/89/69" TargetMode="External"/><Relationship Id="rId54" Type="http://schemas.openxmlformats.org/officeDocument/2006/relationships/hyperlink" Target="https://resdojournals.com/index.php/jbeo/article/download/247/232" TargetMode="External"/><Relationship Id="rId62" Type="http://schemas.openxmlformats.org/officeDocument/2006/relationships/hyperlink" Target="https://papers.ssrn.com/sol3/Delivery.cfm?abstractid=4851641" TargetMode="External"/><Relationship Id="rId70" Type="http://schemas.openxmlformats.org/officeDocument/2006/relationships/hyperlink" Target="https://www.thestrategyinstitute.org/insights/porters-five-forces-the-ultimate-competitive-strategy-blueprint" TargetMode="External"/><Relationship Id="rId75" Type="http://schemas.openxmlformats.org/officeDocument/2006/relationships/hyperlink" Target="https://www.wipro.com/"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papers.ssrn.com/sol3/Delivery.cfm?abstractid=4914169" TargetMode="External"/><Relationship Id="rId23" Type="http://schemas.openxmlformats.org/officeDocument/2006/relationships/hyperlink" Target="https://www.sciencedirect.com/science/article/pii/S2199853122007648" TargetMode="External"/><Relationship Id="rId28" Type="http://schemas.openxmlformats.org/officeDocument/2006/relationships/hyperlink" Target="https://www.ibef.org/industry/information-technology-india" TargetMode="External"/><Relationship Id="rId36" Type="http://schemas.openxmlformats.org/officeDocument/2006/relationships/hyperlink" Target="https://armgpublishing.com/wp-content/uploads/2024/10/SEC_3_2024_15.pdf" TargetMode="External"/><Relationship Id="rId49" Type="http://schemas.openxmlformats.org/officeDocument/2006/relationships/hyperlink" Target="https://gsom.spbu.ru/files/upload/master_program/materials/international_business_strategy/lasserre_globalisation_indices.pdf" TargetMode="External"/><Relationship Id="rId57" Type="http://schemas.openxmlformats.org/officeDocument/2006/relationships/hyperlink" Target="https://www.b2binternational.com/2025/04/03/pestle-analysis/" TargetMode="External"/><Relationship Id="rId10" Type="http://schemas.openxmlformats.org/officeDocument/2006/relationships/image" Target="media/image5.png"/><Relationship Id="rId31" Type="http://schemas.openxmlformats.org/officeDocument/2006/relationships/hyperlink" Target="https://www.imarcgroup.com/it-services-market" TargetMode="External"/><Relationship Id="rId44" Type="http://schemas.openxmlformats.org/officeDocument/2006/relationships/hyperlink" Target="https://www.researchgate.net/profile/Ashutosh-Kolte/publication/343651920_Analysing_the_Financial_State_of_Selected_Indian_Information_Technology_Companies_The_Assessment_towards_Foreseeing_the_Future_of_Industry/links/5fd66426a6fdccdcb8c47a4e/Analysing-the-Financial-State-of-Selected-Indian-Information-Technology-Companies-The-Assessment-towards-Foreseeing-the-Future-of-Industry.pdf" TargetMode="External"/><Relationship Id="rId52" Type="http://schemas.openxmlformats.org/officeDocument/2006/relationships/hyperlink" Target="https://www.sciencedirect.com/science/article/pii/S1877050923006403/pdf?md5=88daa5efd9bda8f590e3a9b2c6f3f76b&amp;pid=1-s2.0-S1877050923006403-main.pdf" TargetMode="External"/><Relationship Id="rId60" Type="http://schemas.openxmlformats.org/officeDocument/2006/relationships/hyperlink" Target="https://www.researchgate.net/profile/Bruno-Rego-6/publication/356191007_Digital_Transformation_and_Strategic_Management_a_Systematic_Review_of_the_Literature/links/61db2475d4500608169d3794/Digital-Transformation-and-Strategic-Management-a-Systematic-Review-of-the-Literature.pdf" TargetMode="External"/><Relationship Id="rId65" Type="http://schemas.openxmlformats.org/officeDocument/2006/relationships/hyperlink" Target="http://103.109.52.4:8080/bitstream/handle/52243/3203/A%20Project%20Report%20on%20Green%20Computing.pdf?sequence=1&amp;isAllowed=y" TargetMode="External"/><Relationship Id="rId73" Type="http://schemas.openxmlformats.org/officeDocument/2006/relationships/hyperlink" Target="https://timesofindia.indiatimes.com/business/india-business/wipro-realigns-its-global-business-lines/articleshow/119025363.cms" TargetMode="External"/><Relationship Id="rId78" Type="http://schemas.openxmlformats.org/officeDocument/2006/relationships/hyperlink" Target="https://www.wiprofoundation.org/" TargetMode="External"/><Relationship Id="rId81" Type="http://schemas.openxmlformats.org/officeDocument/2006/relationships/hyperlink" Target="https://www.wipro.com/newsroom/press-releases/2025/wipro-announces-results-for-the-quarter-ended-september-30-2025/"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hyperlink" Target="https://www.researchgate.net/profile/Rajimol_Kp/publication/380677090_Financial_and_Economic_Analysis_of_Sustainable_Practices_for_Green_Computing/links/67077e28ffe5b728123e08b9/Financial-and-Economic-Analysis-of-Sustainable-Practices-for-Green-Computing.pdf" TargetMode="External"/><Relationship Id="rId18" Type="http://schemas.openxmlformats.org/officeDocument/2006/relationships/hyperlink" Target="http://www.baltijapublishing.lv/omp/index.php/bp/catalog/download/596/16157/34066-1" TargetMode="External"/><Relationship Id="rId39" Type="http://schemas.openxmlformats.org/officeDocument/2006/relationships/hyperlink" Target="https://www.researchgate.net/profile/Nitesh-Kumar-Jha-3/publication/378129190_The_Impact_of_Fundamental_Analysis_in_the_IT_Industry_before_Investing_A_Comparative_Study_on_Wipro_TCS_and_Infosys/links/65c870151e1ec12eff807db1/The-Impact-of-Fundamental-Analysis-in-the-IT-Industry-before-Investing-A-Comparative-Study-on-Wipro-TCS-and-Infosys.pdf" TargetMode="External"/><Relationship Id="rId34" Type="http://schemas.openxmlformats.org/officeDocument/2006/relationships/hyperlink" Target="https://timesofindia.indiatimes.com/city/bengaluru/wipro-revises-capital-allocation-policy/articleshow/122031851.cms" TargetMode="External"/><Relationship Id="rId50" Type="http://schemas.openxmlformats.org/officeDocument/2006/relationships/hyperlink" Target="https://www.wipro.com/content/dam/nexus/en/sustainability/sustainability_reports/wipro-sustainability-report-fy-2023-2024.pdf" TargetMode="External"/><Relationship Id="rId55" Type="http://schemas.openxmlformats.org/officeDocument/2006/relationships/hyperlink" Target="https://resdojournals.com/index.php/jbeo/article/download/247/232" TargetMode="External"/><Relationship Id="rId76" Type="http://schemas.openxmlformats.org/officeDocument/2006/relationships/hyperlink" Target="https://www.wipro.com/investors/annual-reports/2022-23/" TargetMode="External"/><Relationship Id="rId7" Type="http://schemas.openxmlformats.org/officeDocument/2006/relationships/image" Target="media/image2.png"/><Relationship Id="rId71" Type="http://schemas.openxmlformats.org/officeDocument/2006/relationships/hyperlink" Target="https://www.thestrategyinstitute.org/insights/porters-five-forces-the-ultimate-competitive-strategy-blueprint" TargetMode="External"/><Relationship Id="rId2" Type="http://schemas.openxmlformats.org/officeDocument/2006/relationships/numbering" Target="numbering.xml"/><Relationship Id="rId29" Type="http://schemas.openxmlformats.org/officeDocument/2006/relationships/hyperlink" Target="https://www.ibef.org/industry/information-technology-india" TargetMode="External"/><Relationship Id="rId24" Type="http://schemas.openxmlformats.org/officeDocument/2006/relationships/hyperlink" Target="https://www.gartner.com/en/doc/768816-the-future-of-cloud-computing-in-2027-from-technology-to-business-innovation" TargetMode="External"/><Relationship Id="rId40" Type="http://schemas.openxmlformats.org/officeDocument/2006/relationships/hyperlink" Target="https://jngr5.com/index.php/journal-of-next-generation-resea/article/download/89/69" TargetMode="External"/><Relationship Id="rId45" Type="http://schemas.openxmlformats.org/officeDocument/2006/relationships/hyperlink" Target="https://www.researchgate.net/profile/Ashutosh-Kolte/publication/343651920_Analysing_the_Financial_State_of_Selected_Indian_Information_Technology_Companies_The_Assessment_towards_Foreseeing_the_Future_of_Industry/links/5fd66426a6fdccdcb8c47a4e/Analysing-the-Financial-State-of-Selected-Indian-Information-Technology-Companies-The-Assessment-towards-Foreseeing-the-Future-of-Industry.pdf" TargetMode="External"/><Relationship Id="rId66" Type="http://schemas.openxmlformats.org/officeDocument/2006/relationships/hyperlink" Target="https://solutionshub.epam.com/blog/post/vrio-analysi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HnMw8uyMtFHuaBvfgx9xALSmEg==">CgMxLjAaLgoBMBIpCicIB0IjCg9UaW1lcyBOZXcgUm9tYW4SEEFyaWFsIFVuaWNvZGUgTVMaLgoBMRIpCicIB0IjCg9UaW1lcyBOZXcgUm9tYW4SEEFyaWFsIFVuaWNvZGUgTVMaLgoBMhIpCicIB0IjCg9UaW1lcyBOZXcgUm9tYW4SEEFyaWFsIFVuaWNvZGUgTVMaLgoBMxIpCicIB0IjCg9UaW1lcyBOZXcgUm9tYW4SEEFyaWFsIFVuaWNvZGUgTVMaLgoBNBIpCicIB0IjCg9UaW1lcyBOZXcgUm9tYW4SEEFyaWFsIFVuaWNvZGUgTVMaLgoBNRIpCicIB0IjCg9UaW1lcyBOZXcgUm9tYW4SEEFyaWFsIFVuaWNvZGUgTVMaLgoBNhIpCicIB0IjCg9UaW1lcyBOZXcgUm9tYW4SEEFyaWFsIFVuaWNvZGUgTVMaLgoBNxIpCicIB0IjCg9UaW1lcyBOZXcgUm9tYW4SEEFyaWFsIFVuaWNvZGUgTVMaLgoBOBIpCicIB0IjCg9UaW1lcyBOZXcgUm9tYW4SEEFyaWFsIFVuaWNvZGUgTVMaLgoBORIpCicIB0IjCg9UaW1lcyBOZXcgUm9tYW4SEEFyaWFsIFVuaWNvZGUgTVMaLwoCMTASKQonCAdCIwoPVGltZXMgTmV3IFJvbWFuEhBBcmlhbCBVbmljb2RlIE1TGi8KAjExEikKJwgHQiMKD1RpbWVzIE5ldyBSb21hbhIQQXJpYWwgVW5pY29kZSBNUxovCgIxMhIpCicIB0IjCg9UaW1lcyBOZXcgUm9tYW4SEEFyaWFsIFVuaWNvZGUgTVMaLwoCMTMSKQonCAdCIwoPVGltZXMgTmV3IFJvbWFuEhBBcmlhbCBVbmljb2RlIE1TGi8KAjE0EikKJwgHQiMKD1RpbWVzIE5ldyBSb21hbhIQQXJpYWwgVW5pY29kZSBNUxovCgIxNRIpCicIB0IjCg9UaW1lcyBOZXcgUm9tYW4SEEFyaWFsIFVuaWNvZGUgTVMyDmgueDltbjVwbXRnajdoMg5oLmQ2aXZob2JmbjdkNzIOaC5rM3FrdWNlY2VwZ2oyDWgud2N2dmJsdWx2YmoyDmguZXIzMTN2NjdqcmZ1Mg5oLjdkcGZvcHNlZHp1bDIOaC5zazlnMmRuMnpkaTQyDmgucnQ2aTdjNmdkZ3hqMg5oLmlxemdncmhvd2VnbTIOaC5nZWo5NXdybjZ2d2YyDmgueGZvc2trYjBjNjNwMg5oLmg0b29wdHVldHZpejIOaC5yeXp4aXV2dnc2ajYyDmgucncxd2NwdHQ0MHQwMg5oLjVsN2w3NjRrenYyYTIOaC5zOTdqcGFsamRzNjYyDmguMXl2dDlwYTd0Z2E3Mg5oLjM1ajF3cWpxOGpwMzINaC5kcnBpZW9oYXl2ajIOaC54eXJiZnlwcXlvM2IyDmguNGQyYnJrZGZyODR5Mg5oLmM3aTB2YjZ6N3pmdDIOaC4yZTdrdm9veHN0d3AyDmguYWxqdjI5Y3M2bWw4Mg5oLnB1Y3J6ZXYwNXNrcDIOaC43eGNtenF5OHV5Z24yDmguNDRhN3J5bWphbTVhMg5oLm4xa2J4bHVscHFtNzIOaC5hcmYwMjVuY2V5dzIyDmguNmprbjZkMnZnOXR0OAByITFBdzQtM095cVZlUEd2em5ZVDg5NjZxU0ljNzVrT2JpV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27</Pages>
  <Words>9183</Words>
  <Characters>52349</Characters>
  <Application>Microsoft Office Word</Application>
  <DocSecurity>0</DocSecurity>
  <Lines>436</Lines>
  <Paragraphs>122</Paragraphs>
  <ScaleCrop>false</ScaleCrop>
  <Company/>
  <LinksUpToDate>false</LinksUpToDate>
  <CharactersWithSpaces>61410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JAY PATEL</cp:lastModifiedBy>
  <cp:revision>3</cp:revision>
  <dcterms:created xsi:type="dcterms:W3CDTF">2025-12-04T17:28:00Z</dcterms:created>
  <dcterms:modified xsi:type="dcterms:W3CDTF">2025-12-13T13:08:00Z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0f3bb378-4459-47a0-bb1c-3c40f9e02515</vt:lpwstr>
  </property>
</Properties>
</file>