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Pr="00BC2A3C" w:rsidRDefault="00C57D61" w:rsidP="00646406">
      <w:pPr>
        <w:jc w:val="center"/>
        <w:rPr>
          <w:rFonts w:ascii="Arial" w:hAnsi="Arial" w:cs="Arial"/>
        </w:rPr>
      </w:pPr>
      <w:r w:rsidRPr="00BC2A3C">
        <w:rPr>
          <w:rFonts w:ascii="Arial" w:hAnsi="Arial" w:cs="Arial"/>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BC2A3C">
        <w:rPr>
          <w:rFonts w:ascii="Arial" w:hAnsi="Arial" w:cs="Arial"/>
        </w:rPr>
        <w:fldChar w:fldCharType="begin"/>
      </w:r>
      <w:r w:rsidRPr="00BC2A3C">
        <w:rPr>
          <w:rFonts w:ascii="Arial" w:hAnsi="Arial" w:cs="Arial"/>
        </w:rPr>
        <w:instrText xml:space="preserve"> INCLUDEPICTURE "C:\\Users\\AzZedin01\\Library\\Group Containers\\UBF8T346G9.ms\\WebArchiveCopyPasteTempFiles\\com.microsoft.Word\\8P2xdp3q1g646AAAAAElFTkSuQmCC" \* MERGEFORMAT </w:instrText>
      </w:r>
      <w:r w:rsidR="00646406" w:rsidRPr="00BC2A3C">
        <w:rPr>
          <w:rFonts w:ascii="Arial" w:hAnsi="Arial" w:cs="Arial"/>
        </w:rPr>
        <w:fldChar w:fldCharType="separate"/>
      </w:r>
      <w:r w:rsidR="00646406" w:rsidRPr="00BC2A3C">
        <w:rPr>
          <w:rFonts w:ascii="Arial" w:hAnsi="Arial" w:cs="Arial"/>
        </w:rPr>
        <w:fldChar w:fldCharType="end"/>
      </w:r>
    </w:p>
    <w:p w14:paraId="6D0C4720" w14:textId="77777777" w:rsidR="00646406" w:rsidRPr="00BC2A3C" w:rsidRDefault="00646406" w:rsidP="00646406">
      <w:pPr>
        <w:jc w:val="center"/>
        <w:rPr>
          <w:rFonts w:ascii="Arial" w:hAnsi="Arial" w:cs="Arial"/>
        </w:rPr>
      </w:pPr>
    </w:p>
    <w:p w14:paraId="384AD48D" w14:textId="77777777" w:rsidR="00646406" w:rsidRPr="00BC2A3C" w:rsidRDefault="00646406" w:rsidP="00646406">
      <w:pPr>
        <w:jc w:val="center"/>
        <w:rPr>
          <w:rFonts w:ascii="Arial" w:hAnsi="Arial" w:cs="Arial"/>
        </w:rPr>
      </w:pPr>
    </w:p>
    <w:p w14:paraId="1C4A58E1" w14:textId="77777777" w:rsidR="00646406" w:rsidRPr="00BC2A3C" w:rsidRDefault="00646406" w:rsidP="00646406">
      <w:pPr>
        <w:jc w:val="center"/>
        <w:rPr>
          <w:rFonts w:ascii="Arial" w:hAnsi="Arial" w:cs="Arial"/>
        </w:rPr>
      </w:pPr>
    </w:p>
    <w:p w14:paraId="21811744" w14:textId="77777777" w:rsidR="00646406" w:rsidRPr="00BC2A3C" w:rsidRDefault="00646406" w:rsidP="00646406">
      <w:pPr>
        <w:jc w:val="center"/>
        <w:rPr>
          <w:rFonts w:ascii="Arial" w:hAnsi="Arial" w:cs="Arial"/>
        </w:rPr>
      </w:pPr>
    </w:p>
    <w:p w14:paraId="1EC34BAD" w14:textId="77777777" w:rsidR="00646406" w:rsidRPr="00BC2A3C" w:rsidRDefault="00646406" w:rsidP="00646406">
      <w:pPr>
        <w:jc w:val="center"/>
        <w:rPr>
          <w:rFonts w:ascii="Arial" w:hAnsi="Arial" w:cs="Arial"/>
        </w:rPr>
      </w:pPr>
    </w:p>
    <w:p w14:paraId="020B9CFF" w14:textId="3A368F8C" w:rsidR="00646406" w:rsidRPr="00BC2A3C" w:rsidRDefault="00646406" w:rsidP="00646406">
      <w:pPr>
        <w:jc w:val="center"/>
        <w:rPr>
          <w:rFonts w:ascii="Arial" w:hAnsi="Arial" w:cs="Arial"/>
          <w:b/>
          <w:bCs/>
          <w:sz w:val="28"/>
          <w:szCs w:val="28"/>
        </w:rPr>
      </w:pPr>
      <w:r w:rsidRPr="00BC2A3C">
        <w:rPr>
          <w:rFonts w:ascii="Arial" w:hAnsi="Arial" w:cs="Arial"/>
          <w:b/>
          <w:bCs/>
          <w:sz w:val="28"/>
          <w:szCs w:val="28"/>
        </w:rPr>
        <w:t>Student Name:</w:t>
      </w:r>
      <w:r w:rsidR="00F57C03" w:rsidRPr="00F57C03">
        <w:t xml:space="preserve"> </w:t>
      </w:r>
      <w:r w:rsidR="00FB284D" w:rsidRPr="00FB284D">
        <w:rPr>
          <w:rFonts w:ascii="Arial" w:hAnsi="Arial" w:cs="Arial"/>
          <w:b/>
          <w:bCs/>
        </w:rPr>
        <w:t>MD ASIF HOSEN</w:t>
      </w:r>
    </w:p>
    <w:p w14:paraId="2AAC98E7" w14:textId="77777777" w:rsidR="00646406" w:rsidRPr="00BC2A3C" w:rsidRDefault="00646406" w:rsidP="00646406">
      <w:pPr>
        <w:jc w:val="center"/>
        <w:rPr>
          <w:rFonts w:ascii="Arial" w:hAnsi="Arial" w:cs="Arial"/>
          <w:b/>
          <w:bCs/>
          <w:sz w:val="28"/>
          <w:szCs w:val="28"/>
        </w:rPr>
      </w:pPr>
    </w:p>
    <w:p w14:paraId="586C6996" w14:textId="3295A438" w:rsidR="00646406" w:rsidRPr="00FB284D" w:rsidRDefault="00646406" w:rsidP="00646406">
      <w:pPr>
        <w:jc w:val="center"/>
        <w:rPr>
          <w:rFonts w:ascii="Arial" w:hAnsi="Arial" w:cs="Arial"/>
          <w:b/>
          <w:bCs/>
          <w:sz w:val="28"/>
          <w:szCs w:val="28"/>
        </w:rPr>
      </w:pPr>
      <w:r w:rsidRPr="00BC2A3C">
        <w:rPr>
          <w:rFonts w:ascii="Arial" w:hAnsi="Arial" w:cs="Arial"/>
          <w:b/>
          <w:bCs/>
          <w:sz w:val="28"/>
          <w:szCs w:val="28"/>
        </w:rPr>
        <w:t>Student ID:</w:t>
      </w:r>
      <w:r w:rsidR="00F57C03" w:rsidRPr="00F57C03">
        <w:t xml:space="preserve"> </w:t>
      </w:r>
      <w:r w:rsidR="00FB284D" w:rsidRPr="00FB284D">
        <w:rPr>
          <w:rFonts w:ascii="Arial" w:hAnsi="Arial" w:cs="Arial"/>
          <w:b/>
          <w:bCs/>
        </w:rPr>
        <w:t>2506161</w:t>
      </w:r>
    </w:p>
    <w:p w14:paraId="63080C9E" w14:textId="77777777" w:rsidR="00646406" w:rsidRPr="00BC2A3C" w:rsidRDefault="00646406" w:rsidP="00646406">
      <w:pPr>
        <w:jc w:val="center"/>
        <w:rPr>
          <w:rFonts w:ascii="Arial" w:hAnsi="Arial" w:cs="Arial"/>
          <w:sz w:val="28"/>
          <w:szCs w:val="28"/>
        </w:rPr>
      </w:pPr>
    </w:p>
    <w:p w14:paraId="3D7751B6" w14:textId="77777777" w:rsidR="00646406" w:rsidRPr="00BC2A3C" w:rsidRDefault="00646406" w:rsidP="00646406">
      <w:pPr>
        <w:jc w:val="center"/>
        <w:rPr>
          <w:rFonts w:ascii="Arial" w:hAnsi="Arial" w:cs="Arial"/>
          <w:sz w:val="28"/>
          <w:szCs w:val="28"/>
        </w:rPr>
      </w:pPr>
    </w:p>
    <w:p w14:paraId="37F10C9F" w14:textId="2FF0D0FD" w:rsidR="00646406" w:rsidRPr="00BC2A3C" w:rsidRDefault="00646406" w:rsidP="00646406">
      <w:pPr>
        <w:jc w:val="center"/>
        <w:rPr>
          <w:rFonts w:ascii="Arial" w:hAnsi="Arial" w:cs="Arial"/>
          <w:b/>
          <w:bCs/>
          <w:sz w:val="28"/>
          <w:szCs w:val="28"/>
        </w:rPr>
      </w:pPr>
      <w:r w:rsidRPr="00BC2A3C">
        <w:rPr>
          <w:rFonts w:ascii="Arial" w:hAnsi="Arial" w:cs="Arial"/>
          <w:b/>
          <w:bCs/>
          <w:sz w:val="28"/>
          <w:szCs w:val="28"/>
        </w:rPr>
        <w:t>Module Name: Marketing Management</w:t>
      </w:r>
    </w:p>
    <w:p w14:paraId="1F614A44" w14:textId="77777777" w:rsidR="00646406" w:rsidRPr="00BC2A3C" w:rsidRDefault="00646406" w:rsidP="00646406">
      <w:pPr>
        <w:jc w:val="center"/>
        <w:rPr>
          <w:rFonts w:ascii="Arial" w:hAnsi="Arial" w:cs="Arial"/>
          <w:b/>
          <w:bCs/>
          <w:sz w:val="28"/>
          <w:szCs w:val="28"/>
        </w:rPr>
      </w:pPr>
    </w:p>
    <w:p w14:paraId="0794A99E" w14:textId="33486F0B" w:rsidR="00646406" w:rsidRPr="00BC2A3C" w:rsidRDefault="00646406" w:rsidP="00646406">
      <w:pPr>
        <w:jc w:val="center"/>
        <w:rPr>
          <w:rFonts w:ascii="Arial" w:hAnsi="Arial" w:cs="Arial"/>
          <w:b/>
          <w:bCs/>
          <w:sz w:val="28"/>
          <w:szCs w:val="28"/>
        </w:rPr>
      </w:pPr>
      <w:r w:rsidRPr="00BC2A3C">
        <w:rPr>
          <w:rFonts w:ascii="Arial" w:hAnsi="Arial" w:cs="Arial"/>
          <w:b/>
          <w:bCs/>
          <w:sz w:val="28"/>
          <w:szCs w:val="28"/>
        </w:rPr>
        <w:t>Module Code: LCMB7024</w:t>
      </w:r>
    </w:p>
    <w:p w14:paraId="242318AB" w14:textId="77777777" w:rsidR="00646406" w:rsidRPr="00BC2A3C" w:rsidRDefault="00646406" w:rsidP="00646406">
      <w:pPr>
        <w:jc w:val="center"/>
        <w:rPr>
          <w:rFonts w:ascii="Arial" w:hAnsi="Arial" w:cs="Arial"/>
          <w:b/>
          <w:bCs/>
          <w:sz w:val="28"/>
          <w:szCs w:val="28"/>
        </w:rPr>
      </w:pPr>
    </w:p>
    <w:p w14:paraId="5A962802" w14:textId="77777777" w:rsidR="00646406" w:rsidRPr="00BC2A3C" w:rsidRDefault="00646406" w:rsidP="00646406">
      <w:pPr>
        <w:jc w:val="center"/>
        <w:rPr>
          <w:rFonts w:ascii="Arial" w:hAnsi="Arial" w:cs="Arial"/>
          <w:b/>
          <w:bCs/>
          <w:sz w:val="28"/>
          <w:szCs w:val="28"/>
        </w:rPr>
      </w:pPr>
    </w:p>
    <w:p w14:paraId="38F1A035" w14:textId="77777777" w:rsidR="00646406" w:rsidRPr="00BC2A3C" w:rsidRDefault="00646406" w:rsidP="00646406">
      <w:pPr>
        <w:jc w:val="center"/>
        <w:rPr>
          <w:rFonts w:ascii="Arial" w:hAnsi="Arial" w:cs="Arial"/>
          <w:b/>
          <w:bCs/>
          <w:sz w:val="28"/>
          <w:szCs w:val="28"/>
        </w:rPr>
      </w:pPr>
    </w:p>
    <w:p w14:paraId="7E74A1F6" w14:textId="77777777" w:rsidR="00646406" w:rsidRPr="00BC2A3C" w:rsidRDefault="00646406" w:rsidP="00646406">
      <w:pPr>
        <w:jc w:val="center"/>
        <w:rPr>
          <w:rFonts w:ascii="Arial" w:hAnsi="Arial" w:cs="Arial"/>
          <w:b/>
          <w:bCs/>
          <w:sz w:val="28"/>
          <w:szCs w:val="28"/>
        </w:rPr>
      </w:pPr>
    </w:p>
    <w:p w14:paraId="18929157" w14:textId="3EB47B34" w:rsidR="00033869" w:rsidRPr="00BC2A3C" w:rsidRDefault="00646406" w:rsidP="00033869">
      <w:pPr>
        <w:jc w:val="center"/>
        <w:rPr>
          <w:rFonts w:ascii="Arial" w:hAnsi="Arial" w:cs="Arial"/>
          <w:b/>
          <w:bCs/>
          <w:sz w:val="28"/>
          <w:szCs w:val="28"/>
        </w:rPr>
      </w:pPr>
      <w:r w:rsidRPr="00BC2A3C">
        <w:rPr>
          <w:rFonts w:ascii="Arial" w:hAnsi="Arial" w:cs="Arial"/>
          <w:b/>
          <w:bCs/>
          <w:sz w:val="28"/>
          <w:szCs w:val="28"/>
        </w:rPr>
        <w:t>Lecturer’s Name:</w:t>
      </w:r>
      <w:r w:rsidR="00033869" w:rsidRPr="00BC2A3C">
        <w:rPr>
          <w:rFonts w:ascii="Arial" w:hAnsi="Arial" w:cs="Arial"/>
        </w:rPr>
        <w:t xml:space="preserve"> </w:t>
      </w:r>
      <w:r w:rsidR="00FB284D" w:rsidRPr="00FB284D">
        <w:rPr>
          <w:rFonts w:ascii="Arial" w:hAnsi="Arial" w:cs="Arial"/>
          <w:b/>
          <w:bCs/>
          <w:sz w:val="28"/>
          <w:szCs w:val="28"/>
        </w:rPr>
        <w:t>Dr Tola Odugbsesan</w:t>
      </w:r>
    </w:p>
    <w:p w14:paraId="1C05EEAE" w14:textId="2CE753A8" w:rsidR="00646406" w:rsidRPr="00BC2A3C" w:rsidRDefault="00033869" w:rsidP="00033869">
      <w:pPr>
        <w:jc w:val="center"/>
        <w:rPr>
          <w:rFonts w:ascii="Arial" w:hAnsi="Arial" w:cs="Arial"/>
          <w:b/>
          <w:bCs/>
          <w:sz w:val="28"/>
          <w:szCs w:val="28"/>
        </w:rPr>
      </w:pPr>
      <w:r w:rsidRPr="00BC2A3C">
        <w:rPr>
          <w:rFonts w:ascii="Arial" w:hAnsi="Arial" w:cs="Arial"/>
          <w:b/>
          <w:bCs/>
          <w:sz w:val="28"/>
          <w:szCs w:val="28"/>
        </w:rPr>
        <w:t xml:space="preserve">                              </w:t>
      </w:r>
    </w:p>
    <w:p w14:paraId="2534BC8F" w14:textId="77777777" w:rsidR="00646406" w:rsidRPr="00BC2A3C" w:rsidRDefault="00646406" w:rsidP="00646406">
      <w:pPr>
        <w:jc w:val="center"/>
        <w:rPr>
          <w:rFonts w:ascii="Arial" w:hAnsi="Arial" w:cs="Arial"/>
          <w:b/>
          <w:bCs/>
          <w:sz w:val="28"/>
          <w:szCs w:val="28"/>
        </w:rPr>
      </w:pPr>
    </w:p>
    <w:p w14:paraId="70E1BD2A" w14:textId="77777777" w:rsidR="00646406" w:rsidRPr="00BC2A3C" w:rsidRDefault="00646406" w:rsidP="00646406">
      <w:pPr>
        <w:jc w:val="center"/>
        <w:rPr>
          <w:rFonts w:ascii="Arial" w:hAnsi="Arial" w:cs="Arial"/>
          <w:b/>
          <w:bCs/>
          <w:sz w:val="28"/>
          <w:szCs w:val="28"/>
        </w:rPr>
      </w:pPr>
    </w:p>
    <w:p w14:paraId="55B10977" w14:textId="77777777" w:rsidR="00646406" w:rsidRPr="00BC2A3C" w:rsidRDefault="00646406" w:rsidP="00646406">
      <w:pPr>
        <w:rPr>
          <w:rFonts w:ascii="Arial" w:hAnsi="Arial" w:cs="Arial"/>
          <w:b/>
          <w:bCs/>
          <w:sz w:val="28"/>
          <w:szCs w:val="28"/>
        </w:rPr>
      </w:pPr>
    </w:p>
    <w:p w14:paraId="39FE983B" w14:textId="7F643B3A" w:rsidR="00646406" w:rsidRPr="00BC2A3C" w:rsidRDefault="00646406" w:rsidP="00646406">
      <w:pPr>
        <w:jc w:val="center"/>
        <w:rPr>
          <w:rFonts w:ascii="Arial" w:hAnsi="Arial" w:cs="Arial"/>
          <w:b/>
          <w:bCs/>
          <w:sz w:val="28"/>
          <w:szCs w:val="28"/>
        </w:rPr>
      </w:pPr>
      <w:r w:rsidRPr="00BC2A3C">
        <w:rPr>
          <w:rFonts w:ascii="Arial" w:hAnsi="Arial" w:cs="Arial"/>
          <w:b/>
          <w:bCs/>
          <w:sz w:val="28"/>
          <w:szCs w:val="28"/>
        </w:rPr>
        <w:t>Work Count:</w:t>
      </w:r>
      <w:r w:rsidR="00984C7C">
        <w:rPr>
          <w:rFonts w:ascii="Arial" w:hAnsi="Arial" w:cs="Arial"/>
          <w:b/>
          <w:bCs/>
          <w:sz w:val="28"/>
          <w:szCs w:val="28"/>
        </w:rPr>
        <w:t xml:space="preserve"> 2746</w:t>
      </w:r>
    </w:p>
    <w:p w14:paraId="2CC2A054" w14:textId="77777777" w:rsidR="00646406" w:rsidRPr="00BC2A3C" w:rsidRDefault="00646406" w:rsidP="00646406">
      <w:pPr>
        <w:jc w:val="center"/>
        <w:rPr>
          <w:rFonts w:ascii="Arial" w:hAnsi="Arial" w:cs="Arial"/>
          <w:b/>
          <w:bCs/>
          <w:sz w:val="28"/>
          <w:szCs w:val="28"/>
        </w:rPr>
      </w:pPr>
    </w:p>
    <w:p w14:paraId="6A8F56C7" w14:textId="77777777" w:rsidR="00646406" w:rsidRPr="00BC2A3C" w:rsidRDefault="00646406" w:rsidP="00646406">
      <w:pPr>
        <w:jc w:val="center"/>
        <w:rPr>
          <w:rFonts w:ascii="Arial" w:hAnsi="Arial" w:cs="Arial"/>
          <w:b/>
          <w:bCs/>
          <w:sz w:val="28"/>
          <w:szCs w:val="28"/>
        </w:rPr>
      </w:pPr>
    </w:p>
    <w:p w14:paraId="74532E5F" w14:textId="77777777" w:rsidR="00646406" w:rsidRPr="00BC2A3C" w:rsidRDefault="00646406" w:rsidP="00646406">
      <w:pPr>
        <w:jc w:val="center"/>
        <w:rPr>
          <w:rFonts w:ascii="Arial" w:hAnsi="Arial" w:cs="Arial"/>
          <w:b/>
          <w:bCs/>
          <w:sz w:val="28"/>
          <w:szCs w:val="28"/>
        </w:rPr>
      </w:pPr>
    </w:p>
    <w:p w14:paraId="102B9D5E" w14:textId="77777777" w:rsidR="00646406" w:rsidRPr="00BC2A3C" w:rsidRDefault="00646406" w:rsidP="00646406">
      <w:pPr>
        <w:jc w:val="center"/>
        <w:rPr>
          <w:rFonts w:ascii="Arial" w:hAnsi="Arial" w:cs="Arial"/>
          <w:b/>
          <w:bCs/>
          <w:sz w:val="28"/>
          <w:szCs w:val="28"/>
        </w:rPr>
      </w:pPr>
    </w:p>
    <w:p w14:paraId="76B4AC18" w14:textId="77777777" w:rsidR="00646406" w:rsidRPr="00BC2A3C" w:rsidRDefault="00646406" w:rsidP="00646406">
      <w:pPr>
        <w:jc w:val="center"/>
        <w:rPr>
          <w:rFonts w:ascii="Arial" w:hAnsi="Arial" w:cs="Arial"/>
          <w:b/>
          <w:bCs/>
          <w:sz w:val="28"/>
          <w:szCs w:val="28"/>
        </w:rPr>
      </w:pPr>
    </w:p>
    <w:p w14:paraId="3D7042D2" w14:textId="49A3FD65" w:rsidR="00646406" w:rsidRPr="00BC2A3C" w:rsidRDefault="00646406" w:rsidP="00646406">
      <w:pPr>
        <w:jc w:val="center"/>
        <w:rPr>
          <w:rFonts w:ascii="Arial" w:hAnsi="Arial" w:cs="Arial"/>
          <w:b/>
          <w:bCs/>
          <w:sz w:val="28"/>
          <w:szCs w:val="28"/>
        </w:rPr>
      </w:pPr>
    </w:p>
    <w:p w14:paraId="795BE6E7" w14:textId="16C05007" w:rsidR="00646406" w:rsidRPr="00BC2A3C" w:rsidRDefault="00646406">
      <w:pPr>
        <w:rPr>
          <w:rFonts w:ascii="Arial" w:hAnsi="Arial" w:cs="Arial"/>
          <w:b/>
          <w:bCs/>
        </w:rPr>
      </w:pPr>
      <w:r w:rsidRPr="00BC2A3C">
        <w:rPr>
          <w:rFonts w:ascii="Arial" w:hAnsi="Arial" w:cs="Arial"/>
          <w:b/>
          <w:bCs/>
        </w:rPr>
        <w:br w:type="page"/>
      </w:r>
    </w:p>
    <w:sdt>
      <w:sdtPr>
        <w:rPr>
          <w:rFonts w:ascii="Arial" w:eastAsiaTheme="minorHAnsi" w:hAnsi="Arial" w:cs="Arial"/>
          <w:b w:val="0"/>
          <w:bCs w:val="0"/>
          <w:color w:val="auto"/>
          <w:kern w:val="2"/>
          <w:sz w:val="24"/>
          <w:szCs w:val="24"/>
          <w:lang w:val="en-GB"/>
          <w14:ligatures w14:val="standardContextual"/>
        </w:rPr>
        <w:id w:val="-1786882824"/>
        <w:docPartObj>
          <w:docPartGallery w:val="Table of Contents"/>
          <w:docPartUnique/>
        </w:docPartObj>
      </w:sdtPr>
      <w:sdtContent>
        <w:p w14:paraId="2AC58FCA" w14:textId="42D399C8" w:rsidR="00BC2A3C" w:rsidRPr="00BC2A3C" w:rsidRDefault="00BC2A3C" w:rsidP="00BC2A3C">
          <w:pPr>
            <w:pStyle w:val="TOCHeading"/>
            <w:spacing w:line="360" w:lineRule="auto"/>
            <w:jc w:val="center"/>
            <w:rPr>
              <w:rFonts w:ascii="Arial" w:hAnsi="Arial" w:cs="Arial"/>
              <w:sz w:val="24"/>
              <w:szCs w:val="24"/>
            </w:rPr>
          </w:pPr>
          <w:r w:rsidRPr="00BC2A3C">
            <w:rPr>
              <w:rFonts w:ascii="Arial" w:hAnsi="Arial" w:cs="Arial"/>
              <w:sz w:val="24"/>
              <w:szCs w:val="24"/>
              <w:lang w:val="en-GB"/>
            </w:rPr>
            <w:t>Table of Contents</w:t>
          </w:r>
        </w:p>
        <w:p w14:paraId="41456FA2" w14:textId="61570809" w:rsidR="001C11C3" w:rsidRPr="001C11C3" w:rsidRDefault="00BC2A3C"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r w:rsidRPr="00BC2A3C">
            <w:rPr>
              <w:rFonts w:ascii="Arial" w:hAnsi="Arial" w:cs="Arial"/>
            </w:rPr>
            <w:fldChar w:fldCharType="begin"/>
          </w:r>
          <w:r w:rsidRPr="00BC2A3C">
            <w:rPr>
              <w:rFonts w:ascii="Arial" w:hAnsi="Arial" w:cs="Arial"/>
            </w:rPr>
            <w:instrText xml:space="preserve"> TOC \o "1-3" \h \z \u </w:instrText>
          </w:r>
          <w:r w:rsidRPr="00BC2A3C">
            <w:rPr>
              <w:rFonts w:ascii="Arial" w:hAnsi="Arial" w:cs="Arial"/>
            </w:rPr>
            <w:fldChar w:fldCharType="separate"/>
          </w:r>
          <w:hyperlink w:anchor="_Toc225205304" w:history="1">
            <w:r w:rsidR="001C11C3" w:rsidRPr="001C11C3">
              <w:rPr>
                <w:rStyle w:val="Hyperlink"/>
                <w:rFonts w:ascii="Arial" w:hAnsi="Arial" w:cs="Arial"/>
                <w:noProof/>
                <w:sz w:val="24"/>
                <w:szCs w:val="24"/>
              </w:rPr>
              <w:t>1. Introduction</w:t>
            </w:r>
            <w:r w:rsidR="001C11C3" w:rsidRPr="001C11C3">
              <w:rPr>
                <w:rFonts w:ascii="Arial" w:hAnsi="Arial" w:cs="Arial"/>
                <w:noProof/>
                <w:webHidden/>
                <w:sz w:val="24"/>
                <w:szCs w:val="24"/>
              </w:rPr>
              <w:tab/>
            </w:r>
            <w:r w:rsidR="001C11C3" w:rsidRPr="001C11C3">
              <w:rPr>
                <w:rFonts w:ascii="Arial" w:hAnsi="Arial" w:cs="Arial"/>
                <w:noProof/>
                <w:webHidden/>
                <w:sz w:val="24"/>
                <w:szCs w:val="24"/>
              </w:rPr>
              <w:fldChar w:fldCharType="begin"/>
            </w:r>
            <w:r w:rsidR="001C11C3" w:rsidRPr="001C11C3">
              <w:rPr>
                <w:rFonts w:ascii="Arial" w:hAnsi="Arial" w:cs="Arial"/>
                <w:noProof/>
                <w:webHidden/>
                <w:sz w:val="24"/>
                <w:szCs w:val="24"/>
              </w:rPr>
              <w:instrText xml:space="preserve"> PAGEREF _Toc225205304 \h </w:instrText>
            </w:r>
            <w:r w:rsidR="001C11C3" w:rsidRPr="001C11C3">
              <w:rPr>
                <w:rFonts w:ascii="Arial" w:hAnsi="Arial" w:cs="Arial"/>
                <w:noProof/>
                <w:webHidden/>
                <w:sz w:val="24"/>
                <w:szCs w:val="24"/>
              </w:rPr>
            </w:r>
            <w:r w:rsidR="001C11C3" w:rsidRPr="001C11C3">
              <w:rPr>
                <w:rFonts w:ascii="Arial" w:hAnsi="Arial" w:cs="Arial"/>
                <w:noProof/>
                <w:webHidden/>
                <w:sz w:val="24"/>
                <w:szCs w:val="24"/>
              </w:rPr>
              <w:fldChar w:fldCharType="separate"/>
            </w:r>
            <w:r w:rsidR="001C11C3" w:rsidRPr="001C11C3">
              <w:rPr>
                <w:rFonts w:ascii="Arial" w:hAnsi="Arial" w:cs="Arial"/>
                <w:noProof/>
                <w:webHidden/>
                <w:sz w:val="24"/>
                <w:szCs w:val="24"/>
              </w:rPr>
              <w:t>3</w:t>
            </w:r>
            <w:r w:rsidR="001C11C3" w:rsidRPr="001C11C3">
              <w:rPr>
                <w:rFonts w:ascii="Arial" w:hAnsi="Arial" w:cs="Arial"/>
                <w:noProof/>
                <w:webHidden/>
                <w:sz w:val="24"/>
                <w:szCs w:val="24"/>
              </w:rPr>
              <w:fldChar w:fldCharType="end"/>
            </w:r>
          </w:hyperlink>
        </w:p>
        <w:p w14:paraId="1FD862E9" w14:textId="330B5BB2" w:rsidR="001C11C3" w:rsidRPr="001C11C3" w:rsidRDefault="001C11C3"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hyperlink w:anchor="_Toc225205305" w:history="1">
            <w:r w:rsidRPr="001C11C3">
              <w:rPr>
                <w:rStyle w:val="Hyperlink"/>
                <w:rFonts w:ascii="Arial" w:hAnsi="Arial" w:cs="Arial"/>
                <w:noProof/>
                <w:sz w:val="24"/>
                <w:szCs w:val="24"/>
              </w:rPr>
              <w:t>2. Task 1: Critical Analysis of the Macro Marketing Environment</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_Toc225205305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4</w:t>
            </w:r>
            <w:r w:rsidRPr="001C11C3">
              <w:rPr>
                <w:rFonts w:ascii="Arial" w:hAnsi="Arial" w:cs="Arial"/>
                <w:noProof/>
                <w:webHidden/>
                <w:sz w:val="24"/>
                <w:szCs w:val="24"/>
              </w:rPr>
              <w:fldChar w:fldCharType="end"/>
            </w:r>
          </w:hyperlink>
        </w:p>
        <w:p w14:paraId="4B573BF1" w14:textId="3017B772" w:rsidR="001C11C3" w:rsidRPr="001C11C3" w:rsidRDefault="001C11C3"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06" w:history="1">
            <w:r w:rsidRPr="001C11C3">
              <w:rPr>
                <w:rStyle w:val="Hyperlink"/>
                <w:rFonts w:ascii="Arial" w:hAnsi="Arial" w:cs="Arial"/>
                <w:b/>
                <w:bCs/>
                <w:noProof/>
                <w:sz w:val="24"/>
                <w:szCs w:val="24"/>
              </w:rPr>
              <w:t>2.1 Macro Marketing Environment</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_Toc225205306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4</w:t>
            </w:r>
            <w:r w:rsidRPr="001C11C3">
              <w:rPr>
                <w:rFonts w:ascii="Arial" w:hAnsi="Arial" w:cs="Arial"/>
                <w:noProof/>
                <w:webHidden/>
                <w:sz w:val="24"/>
                <w:szCs w:val="24"/>
              </w:rPr>
              <w:fldChar w:fldCharType="end"/>
            </w:r>
          </w:hyperlink>
        </w:p>
        <w:p w14:paraId="6CA36856" w14:textId="2F92662E" w:rsidR="001C11C3" w:rsidRPr="001C11C3" w:rsidRDefault="001C11C3"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07" w:history="1">
            <w:r w:rsidRPr="001C11C3">
              <w:rPr>
                <w:rStyle w:val="Hyperlink"/>
                <w:rFonts w:ascii="Arial" w:hAnsi="Arial" w:cs="Arial"/>
                <w:b/>
                <w:bCs/>
                <w:noProof/>
                <w:sz w:val="24"/>
                <w:szCs w:val="24"/>
              </w:rPr>
              <w:t>2.2 Analysis of Macro Factor 1</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_Toc225205307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5</w:t>
            </w:r>
            <w:r w:rsidRPr="001C11C3">
              <w:rPr>
                <w:rFonts w:ascii="Arial" w:hAnsi="Arial" w:cs="Arial"/>
                <w:noProof/>
                <w:webHidden/>
                <w:sz w:val="24"/>
                <w:szCs w:val="24"/>
              </w:rPr>
              <w:fldChar w:fldCharType="end"/>
            </w:r>
          </w:hyperlink>
        </w:p>
        <w:p w14:paraId="53E698A3" w14:textId="6851F3F0" w:rsidR="001C11C3" w:rsidRPr="001C11C3" w:rsidRDefault="001C11C3" w:rsidP="001C11C3">
          <w:pPr>
            <w:pStyle w:val="TOC3"/>
            <w:tabs>
              <w:tab w:val="right" w:leader="dot" w:pos="9016"/>
            </w:tabs>
            <w:spacing w:line="360" w:lineRule="auto"/>
            <w:jc w:val="center"/>
            <w:rPr>
              <w:rFonts w:ascii="Arial" w:eastAsiaTheme="minorEastAsia" w:hAnsi="Arial" w:cs="Arial"/>
              <w:i w:val="0"/>
              <w:iCs w:val="0"/>
              <w:noProof/>
              <w:sz w:val="32"/>
              <w:szCs w:val="32"/>
              <w:lang w:eastAsia="en-GB"/>
            </w:rPr>
          </w:pPr>
          <w:hyperlink w:anchor="_Toc225205308" w:history="1">
            <w:r w:rsidRPr="001C11C3">
              <w:rPr>
                <w:rStyle w:val="Hyperlink"/>
                <w:rFonts w:ascii="Arial" w:hAnsi="Arial" w:cs="Arial"/>
                <w:b/>
                <w:bCs/>
                <w:noProof/>
                <w:sz w:val="24"/>
                <w:szCs w:val="24"/>
              </w:rPr>
              <w:t>2.2.1 Impact on the Pioneer Organisation (Tesla)</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_Toc225205308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5</w:t>
            </w:r>
            <w:r w:rsidRPr="001C11C3">
              <w:rPr>
                <w:rFonts w:ascii="Arial" w:hAnsi="Arial" w:cs="Arial"/>
                <w:noProof/>
                <w:webHidden/>
                <w:sz w:val="24"/>
                <w:szCs w:val="24"/>
              </w:rPr>
              <w:fldChar w:fldCharType="end"/>
            </w:r>
          </w:hyperlink>
        </w:p>
        <w:p w14:paraId="507A868C" w14:textId="71942A72" w:rsidR="001C11C3" w:rsidRPr="001C11C3" w:rsidRDefault="001C11C3" w:rsidP="001C11C3">
          <w:pPr>
            <w:pStyle w:val="TOC3"/>
            <w:tabs>
              <w:tab w:val="right" w:leader="dot" w:pos="9016"/>
            </w:tabs>
            <w:spacing w:line="360" w:lineRule="auto"/>
            <w:jc w:val="center"/>
            <w:rPr>
              <w:rFonts w:ascii="Arial" w:eastAsiaTheme="minorEastAsia" w:hAnsi="Arial" w:cs="Arial"/>
              <w:i w:val="0"/>
              <w:iCs w:val="0"/>
              <w:noProof/>
              <w:sz w:val="32"/>
              <w:szCs w:val="32"/>
              <w:lang w:eastAsia="en-GB"/>
            </w:rPr>
          </w:pPr>
          <w:hyperlink w:anchor="_Toc225205309" w:history="1">
            <w:r w:rsidRPr="001C11C3">
              <w:rPr>
                <w:rStyle w:val="Hyperlink"/>
                <w:rFonts w:ascii="Arial" w:hAnsi="Arial" w:cs="Arial"/>
                <w:b/>
                <w:bCs/>
                <w:noProof/>
                <w:sz w:val="24"/>
                <w:szCs w:val="24"/>
              </w:rPr>
              <w:t>2.2.2 Impact on the Follower Organisation (BYD)</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_Toc225205309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6</w:t>
            </w:r>
            <w:r w:rsidRPr="001C11C3">
              <w:rPr>
                <w:rFonts w:ascii="Arial" w:hAnsi="Arial" w:cs="Arial"/>
                <w:noProof/>
                <w:webHidden/>
                <w:sz w:val="24"/>
                <w:szCs w:val="24"/>
              </w:rPr>
              <w:fldChar w:fldCharType="end"/>
            </w:r>
          </w:hyperlink>
        </w:p>
        <w:p w14:paraId="078880D4" w14:textId="4E00AE30" w:rsidR="001C11C3" w:rsidRPr="001C11C3" w:rsidRDefault="001C11C3"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10" w:history="1">
            <w:r w:rsidRPr="001C11C3">
              <w:rPr>
                <w:rStyle w:val="Hyperlink"/>
                <w:rFonts w:ascii="Arial" w:hAnsi="Arial" w:cs="Arial"/>
                <w:b/>
                <w:bCs/>
                <w:noProof/>
                <w:sz w:val="24"/>
                <w:szCs w:val="24"/>
              </w:rPr>
              <w:t>2.3 Analysis of Macro Factor 2</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_Toc225205310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6</w:t>
            </w:r>
            <w:r w:rsidRPr="001C11C3">
              <w:rPr>
                <w:rFonts w:ascii="Arial" w:hAnsi="Arial" w:cs="Arial"/>
                <w:noProof/>
                <w:webHidden/>
                <w:sz w:val="24"/>
                <w:szCs w:val="24"/>
              </w:rPr>
              <w:fldChar w:fldCharType="end"/>
            </w:r>
          </w:hyperlink>
        </w:p>
        <w:p w14:paraId="1AC301EF" w14:textId="7D9B1FF8" w:rsidR="001C11C3" w:rsidRPr="001C11C3" w:rsidRDefault="001C11C3" w:rsidP="001C11C3">
          <w:pPr>
            <w:pStyle w:val="TOC3"/>
            <w:tabs>
              <w:tab w:val="right" w:leader="dot" w:pos="9016"/>
            </w:tabs>
            <w:spacing w:line="360" w:lineRule="auto"/>
            <w:jc w:val="center"/>
            <w:rPr>
              <w:rFonts w:ascii="Arial" w:eastAsiaTheme="minorEastAsia" w:hAnsi="Arial" w:cs="Arial"/>
              <w:i w:val="0"/>
              <w:iCs w:val="0"/>
              <w:noProof/>
              <w:sz w:val="32"/>
              <w:szCs w:val="32"/>
              <w:lang w:eastAsia="en-GB"/>
            </w:rPr>
          </w:pPr>
          <w:hyperlink w:anchor="_Toc225205311" w:history="1">
            <w:r w:rsidRPr="001C11C3">
              <w:rPr>
                <w:rStyle w:val="Hyperlink"/>
                <w:rFonts w:ascii="Arial" w:hAnsi="Arial" w:cs="Arial"/>
                <w:b/>
                <w:bCs/>
                <w:noProof/>
                <w:sz w:val="24"/>
                <w:szCs w:val="24"/>
              </w:rPr>
              <w:t>2.3.1 Impact for the Pioneer Organisation (Tesla)</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_Toc225205311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6</w:t>
            </w:r>
            <w:r w:rsidRPr="001C11C3">
              <w:rPr>
                <w:rFonts w:ascii="Arial" w:hAnsi="Arial" w:cs="Arial"/>
                <w:noProof/>
                <w:webHidden/>
                <w:sz w:val="24"/>
                <w:szCs w:val="24"/>
              </w:rPr>
              <w:fldChar w:fldCharType="end"/>
            </w:r>
          </w:hyperlink>
        </w:p>
        <w:p w14:paraId="462DFB26" w14:textId="3216C6FC" w:rsidR="001C11C3" w:rsidRPr="001C11C3" w:rsidRDefault="001C11C3" w:rsidP="001C11C3">
          <w:pPr>
            <w:pStyle w:val="TOC3"/>
            <w:tabs>
              <w:tab w:val="right" w:leader="dot" w:pos="9016"/>
            </w:tabs>
            <w:spacing w:line="360" w:lineRule="auto"/>
            <w:jc w:val="center"/>
            <w:rPr>
              <w:rFonts w:ascii="Arial" w:eastAsiaTheme="minorEastAsia" w:hAnsi="Arial" w:cs="Arial"/>
              <w:i w:val="0"/>
              <w:iCs w:val="0"/>
              <w:noProof/>
              <w:sz w:val="32"/>
              <w:szCs w:val="32"/>
              <w:lang w:eastAsia="en-GB"/>
            </w:rPr>
          </w:pPr>
          <w:hyperlink w:anchor="_Toc225205312" w:history="1">
            <w:r w:rsidRPr="001C11C3">
              <w:rPr>
                <w:rStyle w:val="Hyperlink"/>
                <w:rFonts w:ascii="Arial" w:hAnsi="Arial" w:cs="Arial"/>
                <w:b/>
                <w:bCs/>
                <w:noProof/>
                <w:sz w:val="24"/>
                <w:szCs w:val="24"/>
              </w:rPr>
              <w:t>2.3.2 Impact on the Follower Organisation</w:t>
            </w:r>
            <w:r w:rsidRPr="001C11C3">
              <w:rPr>
                <w:rStyle w:val="Hyperlink"/>
                <w:rFonts w:ascii="Arial" w:hAnsi="Arial" w:cs="Arial"/>
                <w:noProof/>
                <w:sz w:val="24"/>
                <w:szCs w:val="24"/>
              </w:rPr>
              <w:t xml:space="preserve"> </w:t>
            </w:r>
            <w:r w:rsidRPr="001C11C3">
              <w:rPr>
                <w:rStyle w:val="Hyperlink"/>
                <w:rFonts w:ascii="Arial" w:eastAsia="Times New Roman" w:hAnsi="Arial" w:cs="Arial"/>
                <w:b/>
                <w:bCs/>
                <w:noProof/>
                <w:kern w:val="0"/>
                <w:sz w:val="24"/>
                <w:szCs w:val="24"/>
                <w:lang w:eastAsia="zh-CN"/>
                <w14:ligatures w14:val="none"/>
              </w:rPr>
              <w:t>(BYD)</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_Toc225205312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7</w:t>
            </w:r>
            <w:r w:rsidRPr="001C11C3">
              <w:rPr>
                <w:rFonts w:ascii="Arial" w:hAnsi="Arial" w:cs="Arial"/>
                <w:noProof/>
                <w:webHidden/>
                <w:sz w:val="24"/>
                <w:szCs w:val="24"/>
              </w:rPr>
              <w:fldChar w:fldCharType="end"/>
            </w:r>
          </w:hyperlink>
        </w:p>
        <w:p w14:paraId="6D08CC06" w14:textId="5B04E75B" w:rsidR="001C11C3" w:rsidRPr="001C11C3" w:rsidRDefault="001C11C3"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hyperlink w:anchor="_Toc225205313" w:history="1">
            <w:r w:rsidRPr="001C11C3">
              <w:rPr>
                <w:rStyle w:val="Hyperlink"/>
                <w:rFonts w:ascii="Arial" w:hAnsi="Arial" w:cs="Arial"/>
                <w:noProof/>
                <w:sz w:val="24"/>
                <w:szCs w:val="24"/>
              </w:rPr>
              <w:t>3. Task 2: Strategic Responses of Pioneering and Follower Organisations</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_Toc225205313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8</w:t>
            </w:r>
            <w:r w:rsidRPr="001C11C3">
              <w:rPr>
                <w:rFonts w:ascii="Arial" w:hAnsi="Arial" w:cs="Arial"/>
                <w:noProof/>
                <w:webHidden/>
                <w:sz w:val="24"/>
                <w:szCs w:val="24"/>
              </w:rPr>
              <w:fldChar w:fldCharType="end"/>
            </w:r>
          </w:hyperlink>
        </w:p>
        <w:p w14:paraId="0587FF9D" w14:textId="518F093C" w:rsidR="001C11C3" w:rsidRPr="001C11C3" w:rsidRDefault="001C11C3"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14" w:history="1">
            <w:r w:rsidRPr="001C11C3">
              <w:rPr>
                <w:rStyle w:val="Hyperlink"/>
                <w:rFonts w:ascii="Arial" w:hAnsi="Arial" w:cs="Arial"/>
                <w:b/>
                <w:bCs/>
                <w:noProof/>
                <w:sz w:val="24"/>
                <w:szCs w:val="24"/>
              </w:rPr>
              <w:t>3.1 Pioneering Organisation’s Strategic Responses (Tesla)</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_Toc225205314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8</w:t>
            </w:r>
            <w:r w:rsidRPr="001C11C3">
              <w:rPr>
                <w:rFonts w:ascii="Arial" w:hAnsi="Arial" w:cs="Arial"/>
                <w:noProof/>
                <w:webHidden/>
                <w:sz w:val="24"/>
                <w:szCs w:val="24"/>
              </w:rPr>
              <w:fldChar w:fldCharType="end"/>
            </w:r>
          </w:hyperlink>
        </w:p>
        <w:p w14:paraId="4D65E035" w14:textId="091F9455" w:rsidR="001C11C3" w:rsidRPr="001C11C3" w:rsidRDefault="001C11C3" w:rsidP="001C11C3">
          <w:pPr>
            <w:pStyle w:val="TOC2"/>
            <w:tabs>
              <w:tab w:val="right" w:leader="dot" w:pos="9016"/>
            </w:tabs>
            <w:spacing w:line="360" w:lineRule="auto"/>
            <w:jc w:val="center"/>
            <w:rPr>
              <w:rFonts w:ascii="Arial" w:eastAsiaTheme="minorEastAsia" w:hAnsi="Arial" w:cs="Arial"/>
              <w:smallCaps w:val="0"/>
              <w:noProof/>
              <w:sz w:val="32"/>
              <w:szCs w:val="32"/>
              <w:lang w:eastAsia="en-GB"/>
            </w:rPr>
          </w:pPr>
          <w:hyperlink w:anchor="_Toc225205315" w:history="1">
            <w:r w:rsidRPr="001C11C3">
              <w:rPr>
                <w:rStyle w:val="Hyperlink"/>
                <w:rFonts w:ascii="Arial" w:hAnsi="Arial" w:cs="Arial"/>
                <w:b/>
                <w:bCs/>
                <w:noProof/>
                <w:sz w:val="24"/>
                <w:szCs w:val="24"/>
              </w:rPr>
              <w:t>3.2 Follower Organisation’s Strategic Responses (BYD)</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_Toc225205315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10</w:t>
            </w:r>
            <w:r w:rsidRPr="001C11C3">
              <w:rPr>
                <w:rFonts w:ascii="Arial" w:hAnsi="Arial" w:cs="Arial"/>
                <w:noProof/>
                <w:webHidden/>
                <w:sz w:val="24"/>
                <w:szCs w:val="24"/>
              </w:rPr>
              <w:fldChar w:fldCharType="end"/>
            </w:r>
          </w:hyperlink>
        </w:p>
        <w:p w14:paraId="5857379B" w14:textId="1F1023DB" w:rsidR="001C11C3" w:rsidRPr="001C11C3" w:rsidRDefault="001C11C3"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hyperlink w:anchor="_Toc225205316" w:history="1">
            <w:r w:rsidRPr="001C11C3">
              <w:rPr>
                <w:rStyle w:val="Hyperlink"/>
                <w:rFonts w:ascii="Arial" w:hAnsi="Arial" w:cs="Arial"/>
                <w:noProof/>
                <w:sz w:val="24"/>
                <w:szCs w:val="24"/>
              </w:rPr>
              <w:t>4. Conclusion</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_Toc225205316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12</w:t>
            </w:r>
            <w:r w:rsidRPr="001C11C3">
              <w:rPr>
                <w:rFonts w:ascii="Arial" w:hAnsi="Arial" w:cs="Arial"/>
                <w:noProof/>
                <w:webHidden/>
                <w:sz w:val="24"/>
                <w:szCs w:val="24"/>
              </w:rPr>
              <w:fldChar w:fldCharType="end"/>
            </w:r>
          </w:hyperlink>
        </w:p>
        <w:p w14:paraId="24FD13CC" w14:textId="282567F1" w:rsidR="001C11C3" w:rsidRPr="001C11C3" w:rsidRDefault="001C11C3" w:rsidP="001C11C3">
          <w:pPr>
            <w:pStyle w:val="TOC1"/>
            <w:tabs>
              <w:tab w:val="right" w:leader="dot" w:pos="9016"/>
            </w:tabs>
            <w:spacing w:line="360" w:lineRule="auto"/>
            <w:jc w:val="center"/>
            <w:rPr>
              <w:rFonts w:ascii="Arial" w:eastAsiaTheme="minorEastAsia" w:hAnsi="Arial" w:cs="Arial"/>
              <w:b w:val="0"/>
              <w:bCs w:val="0"/>
              <w:caps w:val="0"/>
              <w:noProof/>
              <w:sz w:val="32"/>
              <w:szCs w:val="32"/>
              <w:lang w:eastAsia="en-GB"/>
            </w:rPr>
          </w:pPr>
          <w:hyperlink w:anchor="_Toc225205317" w:history="1">
            <w:r w:rsidRPr="001C11C3">
              <w:rPr>
                <w:rStyle w:val="Hyperlink"/>
                <w:rFonts w:ascii="Arial" w:hAnsi="Arial" w:cs="Arial"/>
                <w:noProof/>
                <w:sz w:val="24"/>
                <w:szCs w:val="24"/>
              </w:rPr>
              <w:t>5. References</w:t>
            </w:r>
            <w:r w:rsidRPr="001C11C3">
              <w:rPr>
                <w:rFonts w:ascii="Arial" w:hAnsi="Arial" w:cs="Arial"/>
                <w:noProof/>
                <w:webHidden/>
                <w:sz w:val="24"/>
                <w:szCs w:val="24"/>
              </w:rPr>
              <w:tab/>
            </w:r>
            <w:r w:rsidRPr="001C11C3">
              <w:rPr>
                <w:rFonts w:ascii="Arial" w:hAnsi="Arial" w:cs="Arial"/>
                <w:noProof/>
                <w:webHidden/>
                <w:sz w:val="24"/>
                <w:szCs w:val="24"/>
              </w:rPr>
              <w:fldChar w:fldCharType="begin"/>
            </w:r>
            <w:r w:rsidRPr="001C11C3">
              <w:rPr>
                <w:rFonts w:ascii="Arial" w:hAnsi="Arial" w:cs="Arial"/>
                <w:noProof/>
                <w:webHidden/>
                <w:sz w:val="24"/>
                <w:szCs w:val="24"/>
              </w:rPr>
              <w:instrText xml:space="preserve"> PAGEREF _Toc225205317 \h </w:instrText>
            </w:r>
            <w:r w:rsidRPr="001C11C3">
              <w:rPr>
                <w:rFonts w:ascii="Arial" w:hAnsi="Arial" w:cs="Arial"/>
                <w:noProof/>
                <w:webHidden/>
                <w:sz w:val="24"/>
                <w:szCs w:val="24"/>
              </w:rPr>
            </w:r>
            <w:r w:rsidRPr="001C11C3">
              <w:rPr>
                <w:rFonts w:ascii="Arial" w:hAnsi="Arial" w:cs="Arial"/>
                <w:noProof/>
                <w:webHidden/>
                <w:sz w:val="24"/>
                <w:szCs w:val="24"/>
              </w:rPr>
              <w:fldChar w:fldCharType="separate"/>
            </w:r>
            <w:r w:rsidRPr="001C11C3">
              <w:rPr>
                <w:rFonts w:ascii="Arial" w:hAnsi="Arial" w:cs="Arial"/>
                <w:noProof/>
                <w:webHidden/>
                <w:sz w:val="24"/>
                <w:szCs w:val="24"/>
              </w:rPr>
              <w:t>14</w:t>
            </w:r>
            <w:r w:rsidRPr="001C11C3">
              <w:rPr>
                <w:rFonts w:ascii="Arial" w:hAnsi="Arial" w:cs="Arial"/>
                <w:noProof/>
                <w:webHidden/>
                <w:sz w:val="24"/>
                <w:szCs w:val="24"/>
              </w:rPr>
              <w:fldChar w:fldCharType="end"/>
            </w:r>
          </w:hyperlink>
        </w:p>
        <w:p w14:paraId="7829FCF0" w14:textId="1BED2E76" w:rsidR="00BC2A3C" w:rsidRPr="00BC2A3C" w:rsidRDefault="00BC2A3C" w:rsidP="00BC2A3C">
          <w:pPr>
            <w:spacing w:line="360" w:lineRule="auto"/>
            <w:jc w:val="center"/>
            <w:rPr>
              <w:rFonts w:ascii="Arial" w:hAnsi="Arial" w:cs="Arial"/>
            </w:rPr>
          </w:pPr>
          <w:r w:rsidRPr="00BC2A3C">
            <w:rPr>
              <w:rFonts w:ascii="Arial" w:hAnsi="Arial" w:cs="Arial"/>
              <w:b/>
              <w:bCs/>
            </w:rPr>
            <w:fldChar w:fldCharType="end"/>
          </w:r>
        </w:p>
      </w:sdtContent>
    </w:sdt>
    <w:p w14:paraId="2DCCDEE9" w14:textId="0AA2534E" w:rsidR="00CB01F0" w:rsidRPr="00BC2A3C" w:rsidRDefault="00CB01F0" w:rsidP="00DE5D5B">
      <w:pPr>
        <w:pStyle w:val="TOCHeading"/>
        <w:rPr>
          <w:rFonts w:ascii="Arial" w:hAnsi="Arial" w:cs="Arial"/>
          <w:sz w:val="24"/>
          <w:szCs w:val="24"/>
        </w:rPr>
      </w:pPr>
    </w:p>
    <w:p w14:paraId="2004AA6C" w14:textId="7C307074" w:rsidR="00F4799C" w:rsidRPr="00BC2A3C" w:rsidRDefault="00CB01F0" w:rsidP="00BC2A3C">
      <w:pPr>
        <w:pStyle w:val="Heading1"/>
        <w:spacing w:line="360" w:lineRule="auto"/>
        <w:jc w:val="both"/>
        <w:rPr>
          <w:rFonts w:ascii="Arial" w:hAnsi="Arial" w:cs="Arial"/>
          <w:b/>
          <w:bCs/>
          <w:sz w:val="32"/>
          <w:szCs w:val="32"/>
        </w:rPr>
      </w:pPr>
      <w:r w:rsidRPr="00BC2A3C">
        <w:rPr>
          <w:rFonts w:ascii="Arial" w:hAnsi="Arial" w:cs="Arial"/>
          <w:highlight w:val="yellow"/>
        </w:rPr>
        <w:br w:type="page"/>
      </w:r>
      <w:bookmarkStart w:id="0" w:name="_Toc225205304"/>
      <w:r w:rsidR="00574861" w:rsidRPr="00BC2A3C">
        <w:rPr>
          <w:rFonts w:ascii="Arial" w:hAnsi="Arial" w:cs="Arial"/>
          <w:b/>
          <w:bCs/>
          <w:sz w:val="32"/>
          <w:szCs w:val="32"/>
        </w:rPr>
        <w:lastRenderedPageBreak/>
        <w:t>1.</w:t>
      </w:r>
      <w:r w:rsidR="00574861" w:rsidRPr="00BC2A3C">
        <w:rPr>
          <w:rFonts w:ascii="Arial" w:hAnsi="Arial" w:cs="Arial"/>
          <w:sz w:val="32"/>
          <w:szCs w:val="32"/>
        </w:rPr>
        <w:t xml:space="preserve"> </w:t>
      </w:r>
      <w:r w:rsidR="00F4799C" w:rsidRPr="00BC2A3C">
        <w:rPr>
          <w:rFonts w:ascii="Arial" w:hAnsi="Arial" w:cs="Arial"/>
          <w:b/>
          <w:bCs/>
          <w:sz w:val="32"/>
          <w:szCs w:val="32"/>
        </w:rPr>
        <w:t>Introduction</w:t>
      </w:r>
      <w:bookmarkEnd w:id="0"/>
      <w:r w:rsidR="00F4799C" w:rsidRPr="00BC2A3C">
        <w:rPr>
          <w:rFonts w:ascii="Arial" w:hAnsi="Arial" w:cs="Arial"/>
          <w:b/>
          <w:bCs/>
          <w:sz w:val="32"/>
          <w:szCs w:val="32"/>
        </w:rPr>
        <w:t xml:space="preserve"> </w:t>
      </w:r>
    </w:p>
    <w:p w14:paraId="73E06031" w14:textId="77777777" w:rsidR="00423514" w:rsidRPr="00BC2A3C" w:rsidRDefault="00423514" w:rsidP="00BC2A3C">
      <w:pPr>
        <w:spacing w:line="360" w:lineRule="auto"/>
        <w:jc w:val="both"/>
        <w:rPr>
          <w:rFonts w:ascii="Arial" w:hAnsi="Arial" w:cs="Arial"/>
        </w:rPr>
      </w:pPr>
      <w:r w:rsidRPr="00BC2A3C">
        <w:rPr>
          <w:rFonts w:ascii="Arial" w:hAnsi="Arial" w:cs="Arial"/>
        </w:rPr>
        <w:t>This report discusses how strategic marketing management can be applied in analysing the effect of external macro environmental factors on organisational competitiveness with a particular example of electric vehicle (EV) industry. Report aims to critically analyse how macro marketing environment presents opportunities and threats to a pioneer organisation, Tesla, and a follower organisation, BYD, and how the organisations react strategically to remain competitive and grow market.</w:t>
      </w:r>
    </w:p>
    <w:p w14:paraId="37B1D9F1" w14:textId="07051E9F" w:rsidR="00423514" w:rsidRPr="00BC2A3C" w:rsidRDefault="00423514" w:rsidP="00BC2A3C">
      <w:pPr>
        <w:spacing w:line="360" w:lineRule="auto"/>
        <w:jc w:val="both"/>
        <w:rPr>
          <w:rFonts w:ascii="Arial" w:hAnsi="Arial" w:cs="Arial"/>
        </w:rPr>
      </w:pPr>
      <w:r w:rsidRPr="00BC2A3C">
        <w:rPr>
          <w:rFonts w:ascii="Arial" w:hAnsi="Arial" w:cs="Arial"/>
        </w:rPr>
        <w:t xml:space="preserve">The global EV market is defined by the swift technological advancement, high involvement of the government and the enhancement of the competition between the established and newer participants. Increasing environmental awareness, pressure to cut carbon emissions, and the development of better batteries are contributing to the growth of the market. The industry is very innovation driven strategically and the firms operate on differentiation, cost efficiency and scaling. Tesla is known well as a leader in the market, being a leader in the innovation realm, but BYD has become a strong follower using its cost leadership and </w:t>
      </w:r>
      <w:r w:rsidR="00574861" w:rsidRPr="00BC2A3C">
        <w:rPr>
          <w:rFonts w:ascii="Arial" w:hAnsi="Arial" w:cs="Arial"/>
        </w:rPr>
        <w:t>large-scale</w:t>
      </w:r>
      <w:r w:rsidRPr="00BC2A3C">
        <w:rPr>
          <w:rFonts w:ascii="Arial" w:hAnsi="Arial" w:cs="Arial"/>
        </w:rPr>
        <w:t xml:space="preserve"> production capabilities.</w:t>
      </w:r>
    </w:p>
    <w:p w14:paraId="2B93CD1B" w14:textId="3948621B" w:rsidR="00423514" w:rsidRPr="00BC2A3C" w:rsidRDefault="00423514" w:rsidP="00BC2A3C">
      <w:pPr>
        <w:spacing w:line="360" w:lineRule="auto"/>
        <w:jc w:val="both"/>
        <w:rPr>
          <w:rFonts w:ascii="Arial" w:hAnsi="Arial" w:cs="Arial"/>
        </w:rPr>
      </w:pPr>
      <w:r w:rsidRPr="00BC2A3C">
        <w:rPr>
          <w:rFonts w:ascii="Arial" w:hAnsi="Arial" w:cs="Arial"/>
        </w:rPr>
        <w:t xml:space="preserve">The macro marketing environment is vital to strategic decision making because external forces like change in technology and economic conditions greatly influence market opportunities, threats and </w:t>
      </w:r>
      <w:r w:rsidR="00574861" w:rsidRPr="00BC2A3C">
        <w:rPr>
          <w:rFonts w:ascii="Arial" w:hAnsi="Arial" w:cs="Arial"/>
        </w:rPr>
        <w:t>long-term</w:t>
      </w:r>
      <w:r w:rsidRPr="00BC2A3C">
        <w:rPr>
          <w:rFonts w:ascii="Arial" w:hAnsi="Arial" w:cs="Arial"/>
        </w:rPr>
        <w:t xml:space="preserve"> positioning. The tools like PESTLE allow organisations to evaluate these forces systematically and adapt them.</w:t>
      </w:r>
    </w:p>
    <w:p w14:paraId="53FB47A6" w14:textId="78F1C66F" w:rsidR="00423514" w:rsidRPr="00BC2A3C" w:rsidRDefault="00423514" w:rsidP="00BC2A3C">
      <w:pPr>
        <w:spacing w:line="360" w:lineRule="auto"/>
        <w:jc w:val="both"/>
        <w:rPr>
          <w:rFonts w:ascii="Arial" w:hAnsi="Arial" w:cs="Arial"/>
        </w:rPr>
      </w:pPr>
      <w:r w:rsidRPr="00BC2A3C">
        <w:rPr>
          <w:rFonts w:ascii="Arial" w:hAnsi="Arial" w:cs="Arial"/>
        </w:rPr>
        <w:t xml:space="preserve">The report is divided into two main tasks. Task 1 critically examines two main macro environment factors and how they have affected Tesla and BYD. Task 2 compares strategic responses of the two organisations to the corresponding strategic frameworks </w:t>
      </w:r>
      <w:r w:rsidR="00574861" w:rsidRPr="00BC2A3C">
        <w:rPr>
          <w:rFonts w:ascii="Arial" w:hAnsi="Arial" w:cs="Arial"/>
        </w:rPr>
        <w:t>to</w:t>
      </w:r>
      <w:r w:rsidRPr="00BC2A3C">
        <w:rPr>
          <w:rFonts w:ascii="Arial" w:hAnsi="Arial" w:cs="Arial"/>
        </w:rPr>
        <w:t xml:space="preserve"> evaluate their competitiveness sustainability.</w:t>
      </w:r>
    </w:p>
    <w:p w14:paraId="3E7AAF97" w14:textId="77777777" w:rsidR="00574861" w:rsidRPr="00BC2A3C" w:rsidRDefault="00574861" w:rsidP="00BC2A3C">
      <w:pPr>
        <w:spacing w:line="360" w:lineRule="auto"/>
        <w:jc w:val="both"/>
        <w:rPr>
          <w:rFonts w:ascii="Arial" w:hAnsi="Arial" w:cs="Arial"/>
        </w:rPr>
      </w:pPr>
    </w:p>
    <w:p w14:paraId="6E4B5038" w14:textId="77777777" w:rsidR="00574861" w:rsidRPr="00BC2A3C" w:rsidRDefault="00574861" w:rsidP="00BC2A3C">
      <w:pPr>
        <w:spacing w:line="360" w:lineRule="auto"/>
        <w:jc w:val="both"/>
        <w:rPr>
          <w:rFonts w:ascii="Arial" w:hAnsi="Arial" w:cs="Arial"/>
        </w:rPr>
      </w:pPr>
    </w:p>
    <w:p w14:paraId="119CD0FD" w14:textId="77777777" w:rsidR="00574861" w:rsidRPr="00BC2A3C" w:rsidRDefault="00574861" w:rsidP="00BC2A3C">
      <w:pPr>
        <w:spacing w:line="360" w:lineRule="auto"/>
        <w:jc w:val="both"/>
        <w:rPr>
          <w:rFonts w:ascii="Arial" w:hAnsi="Arial" w:cs="Arial"/>
        </w:rPr>
      </w:pPr>
    </w:p>
    <w:p w14:paraId="42237FD8" w14:textId="77777777" w:rsidR="00574861" w:rsidRPr="00BC2A3C" w:rsidRDefault="00574861" w:rsidP="00BC2A3C">
      <w:pPr>
        <w:spacing w:line="360" w:lineRule="auto"/>
        <w:jc w:val="both"/>
        <w:rPr>
          <w:rFonts w:ascii="Arial" w:hAnsi="Arial" w:cs="Arial"/>
        </w:rPr>
      </w:pPr>
    </w:p>
    <w:p w14:paraId="55EBE20A" w14:textId="77777777" w:rsidR="00574861" w:rsidRPr="00BC2A3C" w:rsidRDefault="00574861" w:rsidP="00BC2A3C">
      <w:pPr>
        <w:spacing w:line="360" w:lineRule="auto"/>
        <w:jc w:val="both"/>
        <w:rPr>
          <w:rFonts w:ascii="Arial" w:hAnsi="Arial" w:cs="Arial"/>
        </w:rPr>
      </w:pPr>
    </w:p>
    <w:p w14:paraId="1BB5E907" w14:textId="77777777" w:rsidR="00574861" w:rsidRPr="00BC2A3C" w:rsidRDefault="00574861" w:rsidP="00BC2A3C">
      <w:pPr>
        <w:spacing w:line="360" w:lineRule="auto"/>
        <w:jc w:val="both"/>
        <w:rPr>
          <w:rFonts w:ascii="Arial" w:hAnsi="Arial" w:cs="Arial"/>
        </w:rPr>
      </w:pPr>
    </w:p>
    <w:p w14:paraId="7E44C636" w14:textId="77777777" w:rsidR="00574861" w:rsidRPr="00BC2A3C" w:rsidRDefault="00574861" w:rsidP="00BC2A3C">
      <w:pPr>
        <w:spacing w:line="360" w:lineRule="auto"/>
        <w:jc w:val="both"/>
        <w:rPr>
          <w:rFonts w:ascii="Arial" w:hAnsi="Arial" w:cs="Arial"/>
        </w:rPr>
      </w:pPr>
    </w:p>
    <w:p w14:paraId="169E4018" w14:textId="77777777" w:rsidR="00574861" w:rsidRPr="00BC2A3C" w:rsidRDefault="00574861" w:rsidP="00BC2A3C">
      <w:pPr>
        <w:spacing w:line="360" w:lineRule="auto"/>
        <w:jc w:val="both"/>
        <w:rPr>
          <w:rFonts w:ascii="Arial" w:hAnsi="Arial" w:cs="Arial"/>
        </w:rPr>
      </w:pPr>
    </w:p>
    <w:p w14:paraId="410C2E93" w14:textId="77777777" w:rsidR="00574861" w:rsidRPr="00BC2A3C" w:rsidRDefault="00574861" w:rsidP="00BC2A3C">
      <w:pPr>
        <w:spacing w:line="360" w:lineRule="auto"/>
        <w:jc w:val="both"/>
        <w:rPr>
          <w:rFonts w:ascii="Arial" w:hAnsi="Arial" w:cs="Arial"/>
        </w:rPr>
      </w:pPr>
    </w:p>
    <w:p w14:paraId="2B69489D" w14:textId="0C919D92" w:rsidR="00F4799C" w:rsidRPr="00BC2A3C" w:rsidRDefault="00F4799C" w:rsidP="00BC2A3C">
      <w:pPr>
        <w:pStyle w:val="Heading1"/>
        <w:spacing w:line="360" w:lineRule="auto"/>
        <w:jc w:val="both"/>
        <w:rPr>
          <w:rFonts w:ascii="Arial" w:hAnsi="Arial" w:cs="Arial"/>
          <w:b/>
          <w:bCs/>
          <w:sz w:val="32"/>
          <w:szCs w:val="32"/>
        </w:rPr>
      </w:pPr>
      <w:bookmarkStart w:id="1" w:name="_Toc225205305"/>
      <w:r w:rsidRPr="00BC2A3C">
        <w:rPr>
          <w:rFonts w:ascii="Arial" w:hAnsi="Arial" w:cs="Arial"/>
          <w:b/>
          <w:bCs/>
          <w:sz w:val="32"/>
          <w:szCs w:val="32"/>
        </w:rPr>
        <w:lastRenderedPageBreak/>
        <w:t>2. Task 1: Critical Analysis of the Macro Marketing Environment</w:t>
      </w:r>
      <w:bookmarkEnd w:id="1"/>
      <w:r w:rsidRPr="00BC2A3C">
        <w:rPr>
          <w:rFonts w:ascii="Arial" w:hAnsi="Arial" w:cs="Arial"/>
          <w:b/>
          <w:bCs/>
          <w:sz w:val="32"/>
          <w:szCs w:val="32"/>
        </w:rPr>
        <w:t xml:space="preserve"> </w:t>
      </w:r>
    </w:p>
    <w:p w14:paraId="01137DB7" w14:textId="77777777" w:rsidR="00F4799C" w:rsidRPr="00BC2A3C" w:rsidRDefault="00F4799C" w:rsidP="00BC2A3C">
      <w:pPr>
        <w:pStyle w:val="Heading2"/>
        <w:spacing w:line="360" w:lineRule="auto"/>
        <w:jc w:val="both"/>
        <w:rPr>
          <w:rFonts w:ascii="Arial" w:hAnsi="Arial" w:cs="Arial"/>
          <w:b/>
          <w:bCs/>
          <w:sz w:val="28"/>
          <w:szCs w:val="28"/>
        </w:rPr>
      </w:pPr>
      <w:bookmarkStart w:id="2" w:name="_Toc225205306"/>
      <w:r w:rsidRPr="00BC2A3C">
        <w:rPr>
          <w:rFonts w:ascii="Arial" w:hAnsi="Arial" w:cs="Arial"/>
          <w:b/>
          <w:bCs/>
          <w:sz w:val="28"/>
          <w:szCs w:val="28"/>
        </w:rPr>
        <w:t>2.1 Macro Marketing Environment</w:t>
      </w:r>
      <w:bookmarkEnd w:id="2"/>
    </w:p>
    <w:p w14:paraId="07881550" w14:textId="4D23D49F" w:rsidR="00016A2A" w:rsidRPr="00BC2A3C" w:rsidRDefault="00016A2A" w:rsidP="00BC2A3C">
      <w:pPr>
        <w:spacing w:line="360" w:lineRule="auto"/>
        <w:jc w:val="both"/>
        <w:rPr>
          <w:rFonts w:ascii="Arial" w:hAnsi="Arial" w:cs="Arial"/>
          <w:b/>
          <w:bCs/>
        </w:rPr>
      </w:pPr>
      <w:r w:rsidRPr="00BC2A3C">
        <w:rPr>
          <w:rFonts w:ascii="Arial" w:hAnsi="Arial" w:cs="Arial"/>
          <w:b/>
          <w:bCs/>
        </w:rPr>
        <w:t>PESTLE Framework as Analysing Tool</w:t>
      </w:r>
    </w:p>
    <w:p w14:paraId="0EA537D7" w14:textId="5F17C2D3" w:rsidR="006E02B2" w:rsidRDefault="00016A2A" w:rsidP="00BC2A3C">
      <w:pPr>
        <w:spacing w:line="360" w:lineRule="auto"/>
        <w:jc w:val="both"/>
        <w:rPr>
          <w:rFonts w:ascii="Arial" w:hAnsi="Arial" w:cs="Arial"/>
        </w:rPr>
      </w:pPr>
      <w:r w:rsidRPr="00BC2A3C">
        <w:rPr>
          <w:rFonts w:ascii="Arial" w:hAnsi="Arial" w:cs="Arial"/>
        </w:rPr>
        <w:t>The PESTEL model offers the systematised analysis of macro environmental forces that influence industry dynamics, such as political, economic, social, technological, legal, and environmental forces. It allows a firm to predict complexly external opportunities and threats out of their control that are vital in strategic marketing decision making</w:t>
      </w:r>
      <w:r w:rsidR="006445B7">
        <w:rPr>
          <w:rFonts w:ascii="Arial" w:hAnsi="Arial" w:cs="Arial"/>
        </w:rPr>
        <w:t xml:space="preserve"> </w:t>
      </w:r>
      <w:r w:rsidR="006E02B2" w:rsidRPr="006E02B2">
        <w:rPr>
          <w:rFonts w:ascii="Arial" w:hAnsi="Arial" w:cs="Arial"/>
        </w:rPr>
        <w:t>(Pérez-Belis, et al., 2022)</w:t>
      </w:r>
      <w:r w:rsidRPr="00BC2A3C">
        <w:rPr>
          <w:rFonts w:ascii="Arial" w:hAnsi="Arial" w:cs="Arial"/>
        </w:rPr>
        <w:t xml:space="preserve">. </w:t>
      </w:r>
    </w:p>
    <w:p w14:paraId="28A6A86C" w14:textId="25A7C1CF" w:rsidR="006E02B2" w:rsidRDefault="006E02B2" w:rsidP="00BC2A3C">
      <w:pPr>
        <w:spacing w:line="360" w:lineRule="auto"/>
        <w:jc w:val="both"/>
        <w:rPr>
          <w:rFonts w:ascii="Arial" w:hAnsi="Arial" w:cs="Arial"/>
        </w:rPr>
      </w:pPr>
      <w:r>
        <w:rPr>
          <w:rFonts w:ascii="Arial" w:hAnsi="Arial" w:cs="Arial"/>
          <w:noProof/>
        </w:rPr>
        <w:drawing>
          <wp:inline distT="0" distB="0" distL="0" distR="0" wp14:anchorId="0E2D7619" wp14:editId="693588F5">
            <wp:extent cx="5763141" cy="3331596"/>
            <wp:effectExtent l="0" t="0" r="0" b="2540"/>
            <wp:docPr id="11268731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2643" cy="3348651"/>
                    </a:xfrm>
                    <a:prstGeom prst="rect">
                      <a:avLst/>
                    </a:prstGeom>
                    <a:noFill/>
                  </pic:spPr>
                </pic:pic>
              </a:graphicData>
            </a:graphic>
          </wp:inline>
        </w:drawing>
      </w:r>
    </w:p>
    <w:p w14:paraId="74C6D10B" w14:textId="309D4BE8" w:rsidR="006E02B2" w:rsidRDefault="006E02B2" w:rsidP="006E02B2">
      <w:pPr>
        <w:spacing w:line="360" w:lineRule="auto"/>
        <w:jc w:val="center"/>
        <w:rPr>
          <w:rFonts w:ascii="Arial" w:hAnsi="Arial" w:cs="Arial"/>
        </w:rPr>
      </w:pPr>
      <w:r>
        <w:rPr>
          <w:rFonts w:ascii="Arial" w:hAnsi="Arial" w:cs="Arial"/>
        </w:rPr>
        <w:t xml:space="preserve">Figure: </w:t>
      </w:r>
      <w:r w:rsidRPr="006E02B2">
        <w:rPr>
          <w:rFonts w:ascii="Arial" w:hAnsi="Arial" w:cs="Arial"/>
        </w:rPr>
        <w:t>PESTLE Framework</w:t>
      </w:r>
      <w:r>
        <w:rPr>
          <w:rFonts w:ascii="Arial" w:hAnsi="Arial" w:cs="Arial"/>
        </w:rPr>
        <w:t xml:space="preserve"> </w:t>
      </w:r>
      <w:r w:rsidRPr="006E02B2">
        <w:rPr>
          <w:rFonts w:ascii="Arial" w:hAnsi="Arial" w:cs="Arial"/>
        </w:rPr>
        <w:t>(</w:t>
      </w:r>
      <w:proofErr w:type="spellStart"/>
      <w:r w:rsidRPr="006E02B2">
        <w:rPr>
          <w:rFonts w:ascii="Arial" w:hAnsi="Arial" w:cs="Arial"/>
        </w:rPr>
        <w:t>Priporas</w:t>
      </w:r>
      <w:proofErr w:type="spellEnd"/>
      <w:r w:rsidRPr="006E02B2">
        <w:rPr>
          <w:rFonts w:ascii="Arial" w:hAnsi="Arial" w:cs="Arial"/>
        </w:rPr>
        <w:t xml:space="preserve"> et al., 2020)</w:t>
      </w:r>
    </w:p>
    <w:p w14:paraId="28599AE7" w14:textId="235FA259" w:rsidR="00016A2A" w:rsidRPr="00BC2A3C" w:rsidRDefault="00016A2A" w:rsidP="00BC2A3C">
      <w:pPr>
        <w:spacing w:line="360" w:lineRule="auto"/>
        <w:jc w:val="both"/>
        <w:rPr>
          <w:rFonts w:ascii="Arial" w:hAnsi="Arial" w:cs="Arial"/>
        </w:rPr>
      </w:pPr>
      <w:r w:rsidRPr="00BC2A3C">
        <w:rPr>
          <w:rFonts w:ascii="Arial" w:hAnsi="Arial" w:cs="Arial"/>
        </w:rPr>
        <w:t>These frameworks are anticipated to exhibit critical awareness of dynamic external conditions as opposed to description. PESTLE is especially applicable in the electric vehicle sector as it is heavily regulated and technologically disrupted</w:t>
      </w:r>
      <w:r w:rsidR="006E02B2">
        <w:rPr>
          <w:rFonts w:ascii="Arial" w:hAnsi="Arial" w:cs="Arial"/>
        </w:rPr>
        <w:t>.</w:t>
      </w:r>
    </w:p>
    <w:p w14:paraId="1EBFB71E" w14:textId="77777777" w:rsidR="00016A2A" w:rsidRPr="00BC2A3C" w:rsidRDefault="00016A2A" w:rsidP="00BC2A3C">
      <w:pPr>
        <w:spacing w:line="360" w:lineRule="auto"/>
        <w:jc w:val="both"/>
        <w:rPr>
          <w:rFonts w:ascii="Arial" w:hAnsi="Arial" w:cs="Arial"/>
          <w:b/>
          <w:bCs/>
        </w:rPr>
      </w:pPr>
      <w:r w:rsidRPr="00BC2A3C">
        <w:rPr>
          <w:rFonts w:ascii="Arial" w:hAnsi="Arial" w:cs="Arial"/>
          <w:b/>
          <w:bCs/>
        </w:rPr>
        <w:t>Justification for Selected Macro Factors</w:t>
      </w:r>
    </w:p>
    <w:p w14:paraId="40607D32" w14:textId="5D87C56F" w:rsidR="00016A2A" w:rsidRPr="00BC2A3C" w:rsidRDefault="00016A2A" w:rsidP="00BC2A3C">
      <w:pPr>
        <w:spacing w:line="360" w:lineRule="auto"/>
        <w:jc w:val="both"/>
        <w:rPr>
          <w:rFonts w:ascii="Arial" w:hAnsi="Arial" w:cs="Arial"/>
          <w:lang w:eastAsia="zh-CN"/>
        </w:rPr>
      </w:pPr>
      <w:r w:rsidRPr="00BC2A3C">
        <w:rPr>
          <w:rFonts w:ascii="Arial" w:hAnsi="Arial" w:cs="Arial"/>
        </w:rPr>
        <w:t>This report centres on the political and technological factors because they have disproportional influence on Tesla as an innovator and BYD as a follower. Government incentives, carbon regulations, and trade policies are directly involved in the rates of EV adoption and accessibility to the market. Competitive advantage is determined by technological innovation of battery, software and production efficiency</w:t>
      </w:r>
      <w:r w:rsidR="006445B7">
        <w:rPr>
          <w:rFonts w:ascii="Arial" w:hAnsi="Arial" w:cs="Arial"/>
        </w:rPr>
        <w:t xml:space="preserve"> </w:t>
      </w:r>
      <w:r w:rsidR="006445B7" w:rsidRPr="00BC2A3C">
        <w:rPr>
          <w:rFonts w:ascii="Arial" w:hAnsi="Arial" w:cs="Arial"/>
          <w:lang w:eastAsia="zh-CN"/>
        </w:rPr>
        <w:t>(</w:t>
      </w:r>
      <w:r w:rsidR="00E751A4" w:rsidRPr="00E751A4">
        <w:rPr>
          <w:rFonts w:ascii="Arial" w:hAnsi="Arial" w:cs="Arial"/>
          <w:lang w:eastAsia="zh-CN"/>
        </w:rPr>
        <w:t>Debnath</w:t>
      </w:r>
      <w:r w:rsidR="00E751A4">
        <w:rPr>
          <w:rFonts w:ascii="Arial" w:hAnsi="Arial" w:cs="Arial"/>
          <w:lang w:eastAsia="zh-CN"/>
        </w:rPr>
        <w:t xml:space="preserve"> et al.,</w:t>
      </w:r>
      <w:r w:rsidR="006445B7" w:rsidRPr="00BC2A3C">
        <w:rPr>
          <w:rFonts w:ascii="Arial" w:hAnsi="Arial" w:cs="Arial"/>
          <w:lang w:eastAsia="zh-CN"/>
        </w:rPr>
        <w:t xml:space="preserve"> </w:t>
      </w:r>
      <w:r w:rsidR="006445B7" w:rsidRPr="00BC2A3C">
        <w:rPr>
          <w:rFonts w:ascii="Arial" w:hAnsi="Arial" w:cs="Arial"/>
          <w:lang w:eastAsia="zh-CN"/>
        </w:rPr>
        <w:lastRenderedPageBreak/>
        <w:t>202</w:t>
      </w:r>
      <w:r w:rsidR="00E751A4">
        <w:rPr>
          <w:rFonts w:ascii="Arial" w:hAnsi="Arial" w:cs="Arial"/>
          <w:lang w:eastAsia="zh-CN"/>
        </w:rPr>
        <w:t>1</w:t>
      </w:r>
      <w:r w:rsidR="006445B7" w:rsidRPr="00BC2A3C">
        <w:rPr>
          <w:rFonts w:ascii="Arial" w:hAnsi="Arial" w:cs="Arial"/>
          <w:lang w:eastAsia="zh-CN"/>
        </w:rPr>
        <w:t>).</w:t>
      </w:r>
      <w:r w:rsidR="006445B7">
        <w:rPr>
          <w:rFonts w:ascii="Arial" w:hAnsi="Arial" w:cs="Arial"/>
          <w:lang w:eastAsia="zh-CN"/>
        </w:rPr>
        <w:t xml:space="preserve"> </w:t>
      </w:r>
      <w:r w:rsidRPr="00BC2A3C">
        <w:rPr>
          <w:rFonts w:ascii="Arial" w:hAnsi="Arial" w:cs="Arial"/>
        </w:rPr>
        <w:t>These are chosen as they not only perpetuate market growth but also generate asymmetric benefits between first movers and fast followers.</w:t>
      </w:r>
    </w:p>
    <w:p w14:paraId="2DE37D42" w14:textId="77777777" w:rsidR="00016A2A" w:rsidRPr="00BC2A3C" w:rsidRDefault="00016A2A" w:rsidP="00BC2A3C">
      <w:pPr>
        <w:spacing w:line="360" w:lineRule="auto"/>
        <w:jc w:val="both"/>
        <w:rPr>
          <w:rFonts w:ascii="Arial" w:hAnsi="Arial" w:cs="Arial"/>
          <w:b/>
          <w:bCs/>
        </w:rPr>
      </w:pPr>
      <w:r w:rsidRPr="00BC2A3C">
        <w:rPr>
          <w:rFonts w:ascii="Arial" w:hAnsi="Arial" w:cs="Arial"/>
          <w:b/>
          <w:bCs/>
        </w:rPr>
        <w:t>Strategic Significance in the Industry</w:t>
      </w:r>
    </w:p>
    <w:p w14:paraId="58271D62" w14:textId="34CDEBBE" w:rsidR="00016A2A" w:rsidRPr="00BC2A3C" w:rsidRDefault="00016A2A" w:rsidP="00BC2A3C">
      <w:pPr>
        <w:spacing w:line="360" w:lineRule="auto"/>
        <w:jc w:val="both"/>
        <w:rPr>
          <w:rFonts w:ascii="Arial" w:hAnsi="Arial" w:cs="Arial"/>
        </w:rPr>
      </w:pPr>
      <w:r w:rsidRPr="00BC2A3C">
        <w:rPr>
          <w:rFonts w:ascii="Arial" w:hAnsi="Arial" w:cs="Arial"/>
        </w:rPr>
        <w:t>In the context of Tesla, technological leadership has the effect of enhancing its differentiation strategy and political incentives have the effect of hastening early market penetration. On the other hand, BYD utilises politically supported by state aid and gradual technological scale to build speedily. Importantly, pioneers enjoy innovation driven advantage, but followers may gain economies of regulation alignment and cost, making it look like macro forces do not equally favour all firms but dynamically re-position competitively</w:t>
      </w:r>
      <w:r w:rsidR="006445B7">
        <w:rPr>
          <w:rFonts w:ascii="Arial" w:hAnsi="Arial" w:cs="Arial"/>
        </w:rPr>
        <w:t xml:space="preserve"> (</w:t>
      </w:r>
      <w:r w:rsidR="006445B7" w:rsidRPr="00BC2A3C">
        <w:rPr>
          <w:rFonts w:ascii="Arial" w:hAnsi="Arial" w:cs="Arial"/>
          <w:lang w:eastAsia="zh-CN"/>
        </w:rPr>
        <w:t>EV Magazine, 2024</w:t>
      </w:r>
      <w:r w:rsidR="006445B7">
        <w:rPr>
          <w:rFonts w:ascii="Arial" w:hAnsi="Arial" w:cs="Arial"/>
          <w:lang w:eastAsia="zh-CN"/>
        </w:rPr>
        <w:t>)</w:t>
      </w:r>
      <w:r w:rsidRPr="00BC2A3C">
        <w:rPr>
          <w:rFonts w:ascii="Arial" w:hAnsi="Arial" w:cs="Arial"/>
        </w:rPr>
        <w:t>.</w:t>
      </w:r>
    </w:p>
    <w:p w14:paraId="0F739FCF" w14:textId="77777777" w:rsidR="00F4799C" w:rsidRPr="00BC2A3C" w:rsidRDefault="00F4799C" w:rsidP="00BC2A3C">
      <w:pPr>
        <w:pStyle w:val="Heading2"/>
        <w:spacing w:line="360" w:lineRule="auto"/>
        <w:jc w:val="both"/>
        <w:rPr>
          <w:rFonts w:ascii="Arial" w:hAnsi="Arial" w:cs="Arial"/>
          <w:b/>
          <w:bCs/>
          <w:sz w:val="28"/>
          <w:szCs w:val="28"/>
        </w:rPr>
      </w:pPr>
      <w:bookmarkStart w:id="3" w:name="_Toc225205307"/>
      <w:r w:rsidRPr="00BC2A3C">
        <w:rPr>
          <w:rFonts w:ascii="Arial" w:hAnsi="Arial" w:cs="Arial"/>
          <w:b/>
          <w:bCs/>
          <w:sz w:val="28"/>
          <w:szCs w:val="28"/>
        </w:rPr>
        <w:t>2.2 Analysis of Macro Factor 1</w:t>
      </w:r>
      <w:bookmarkEnd w:id="3"/>
    </w:p>
    <w:p w14:paraId="61C68497" w14:textId="22F41DF1" w:rsidR="00F4799C" w:rsidRPr="00BC2A3C" w:rsidRDefault="00F4799C" w:rsidP="00BC2A3C">
      <w:pPr>
        <w:pStyle w:val="Heading3"/>
        <w:spacing w:line="360" w:lineRule="auto"/>
        <w:jc w:val="both"/>
        <w:rPr>
          <w:rFonts w:ascii="Arial" w:hAnsi="Arial" w:cs="Arial"/>
          <w:b/>
          <w:bCs/>
          <w:sz w:val="24"/>
          <w:szCs w:val="24"/>
        </w:rPr>
      </w:pPr>
      <w:bookmarkStart w:id="4" w:name="_Toc225205308"/>
      <w:r w:rsidRPr="00BC2A3C">
        <w:rPr>
          <w:rFonts w:ascii="Arial" w:hAnsi="Arial" w:cs="Arial"/>
          <w:b/>
          <w:bCs/>
          <w:sz w:val="24"/>
          <w:szCs w:val="24"/>
        </w:rPr>
        <w:t xml:space="preserve">2.2.1 Impact on the Pioneer Organisation </w:t>
      </w:r>
      <w:r w:rsidR="00EF5824" w:rsidRPr="00BC2A3C">
        <w:rPr>
          <w:rFonts w:ascii="Arial" w:hAnsi="Arial" w:cs="Arial"/>
          <w:b/>
          <w:bCs/>
          <w:sz w:val="24"/>
          <w:szCs w:val="24"/>
        </w:rPr>
        <w:t>(Tesla)</w:t>
      </w:r>
      <w:bookmarkEnd w:id="4"/>
    </w:p>
    <w:p w14:paraId="76E8EA95" w14:textId="314F8619" w:rsidR="00EF5824" w:rsidRPr="00BC2A3C" w:rsidRDefault="00EF5824" w:rsidP="00BC2A3C">
      <w:pPr>
        <w:spacing w:line="360" w:lineRule="auto"/>
        <w:jc w:val="both"/>
        <w:rPr>
          <w:rFonts w:ascii="Arial" w:hAnsi="Arial" w:cs="Arial"/>
          <w:lang w:eastAsia="zh-CN"/>
        </w:rPr>
      </w:pPr>
      <w:r w:rsidRPr="00BC2A3C">
        <w:rPr>
          <w:rFonts w:ascii="Arial" w:hAnsi="Arial" w:cs="Arial"/>
          <w:lang w:eastAsia="zh-CN"/>
        </w:rPr>
        <w:t xml:space="preserve">Political elements </w:t>
      </w:r>
      <w:r w:rsidR="00F8206C" w:rsidRPr="00BC2A3C">
        <w:rPr>
          <w:rFonts w:ascii="Arial" w:hAnsi="Arial" w:cs="Arial"/>
          <w:lang w:eastAsia="zh-CN"/>
        </w:rPr>
        <w:t>present</w:t>
      </w:r>
      <w:r w:rsidRPr="00BC2A3C">
        <w:rPr>
          <w:rFonts w:ascii="Arial" w:hAnsi="Arial" w:cs="Arial"/>
          <w:lang w:eastAsia="zh-CN"/>
        </w:rPr>
        <w:t xml:space="preserve"> a </w:t>
      </w:r>
      <w:r w:rsidR="00F8206C" w:rsidRPr="00BC2A3C">
        <w:rPr>
          <w:rFonts w:ascii="Arial" w:hAnsi="Arial" w:cs="Arial"/>
          <w:lang w:eastAsia="zh-CN"/>
        </w:rPr>
        <w:t xml:space="preserve">dual edged dynamic </w:t>
      </w:r>
      <w:r w:rsidRPr="00BC2A3C">
        <w:rPr>
          <w:rFonts w:ascii="Arial" w:hAnsi="Arial" w:cs="Arial"/>
          <w:lang w:eastAsia="zh-CN"/>
        </w:rPr>
        <w:t>to Tesla, which allows it to dominate the market as early as possibly but binds its competitive stance increasingly. Government subsidies, tax incentives and emission regulations, on the opportunity side, have been used historically to rapidly scale EV adoption, bringing the Tesla company to first mover advantage. An example is the sale of more than 14 million EVs globally in 2023 most of which were promoted by policies in the US, Europe, and China (IEA, 2024). Such regulating pressure has strengthened the differentiation approach of Tesla by innovating and having premium positioning (</w:t>
      </w:r>
      <w:proofErr w:type="spellStart"/>
      <w:r w:rsidRPr="00BC2A3C">
        <w:rPr>
          <w:rFonts w:ascii="Arial" w:hAnsi="Arial" w:cs="Arial"/>
          <w:lang w:eastAsia="zh-CN"/>
        </w:rPr>
        <w:t>Shivasharana</w:t>
      </w:r>
      <w:proofErr w:type="spellEnd"/>
      <w:r w:rsidRPr="00BC2A3C">
        <w:rPr>
          <w:rFonts w:ascii="Arial" w:hAnsi="Arial" w:cs="Arial"/>
          <w:lang w:eastAsia="zh-CN"/>
        </w:rPr>
        <w:t xml:space="preserve"> et al., 2023).</w:t>
      </w:r>
    </w:p>
    <w:p w14:paraId="40EEC40F" w14:textId="3E13516B" w:rsidR="00EF5824" w:rsidRPr="00BC2A3C" w:rsidRDefault="00EF5824" w:rsidP="00BC2A3C">
      <w:pPr>
        <w:spacing w:line="360" w:lineRule="auto"/>
        <w:jc w:val="both"/>
        <w:rPr>
          <w:rFonts w:ascii="Arial" w:hAnsi="Arial" w:cs="Arial"/>
          <w:lang w:eastAsia="zh-CN"/>
        </w:rPr>
      </w:pPr>
      <w:r w:rsidRPr="00BC2A3C">
        <w:rPr>
          <w:rFonts w:ascii="Arial" w:hAnsi="Arial" w:cs="Arial"/>
          <w:lang w:eastAsia="zh-CN"/>
        </w:rPr>
        <w:t>This political environment however has grown to be a structural threat. Growing trade tensions and localisation policies especially in China and the EU have diminished Tesla relative advantage and raised compliance costs. Furthermore, subsidies are also coming more towards domestic producers, weakening the pricing power of Tesla. According to Foley and Lardner LLP (2024), global deployment of EVs still faces problems due to gaps in regulatory fragmentation and gaps in infrastructures. Most importantly, although Tesla has enjoyed the policy catalysed market creation in the early stages, geopolitical risk and decreasing marginal returns are currently manifested due to regulatory framework maturation and undermine its long-term competitive advantage.</w:t>
      </w:r>
    </w:p>
    <w:p w14:paraId="6805FED8" w14:textId="4712A779" w:rsidR="00F4799C" w:rsidRPr="00BC2A3C" w:rsidRDefault="00F4799C" w:rsidP="00BC2A3C">
      <w:pPr>
        <w:pStyle w:val="Heading3"/>
        <w:spacing w:line="360" w:lineRule="auto"/>
        <w:jc w:val="both"/>
        <w:rPr>
          <w:rFonts w:ascii="Arial" w:hAnsi="Arial" w:cs="Arial"/>
          <w:b/>
          <w:bCs/>
          <w:sz w:val="24"/>
          <w:szCs w:val="24"/>
        </w:rPr>
      </w:pPr>
      <w:bookmarkStart w:id="5" w:name="_Toc225205309"/>
      <w:r w:rsidRPr="00BC2A3C">
        <w:rPr>
          <w:rFonts w:ascii="Arial" w:hAnsi="Arial" w:cs="Arial"/>
          <w:b/>
          <w:bCs/>
          <w:sz w:val="24"/>
          <w:szCs w:val="24"/>
        </w:rPr>
        <w:lastRenderedPageBreak/>
        <w:t xml:space="preserve">2.2.2 Impact on the Follower Organisation </w:t>
      </w:r>
      <w:r w:rsidR="00EF5824" w:rsidRPr="00BC2A3C">
        <w:rPr>
          <w:rFonts w:ascii="Arial" w:hAnsi="Arial" w:cs="Arial"/>
          <w:b/>
          <w:bCs/>
          <w:sz w:val="24"/>
          <w:szCs w:val="24"/>
        </w:rPr>
        <w:t>(BYD)</w:t>
      </w:r>
      <w:bookmarkEnd w:id="5"/>
    </w:p>
    <w:p w14:paraId="71DC6520" w14:textId="6D8351B4" w:rsidR="00EF5824" w:rsidRPr="00BC2A3C" w:rsidRDefault="00EF5824" w:rsidP="00BC2A3C">
      <w:pPr>
        <w:spacing w:line="360" w:lineRule="auto"/>
        <w:jc w:val="both"/>
        <w:rPr>
          <w:rFonts w:ascii="Arial" w:hAnsi="Arial" w:cs="Arial"/>
          <w:lang w:eastAsia="zh-CN"/>
        </w:rPr>
      </w:pPr>
      <w:r w:rsidRPr="00BC2A3C">
        <w:rPr>
          <w:rFonts w:ascii="Arial" w:hAnsi="Arial" w:cs="Arial"/>
          <w:lang w:eastAsia="zh-CN"/>
        </w:rPr>
        <w:t>In the case of BYD, political factors have acted as a strategic facilitator rather than a restriction, albeit with its own set of risks. BYD has enjoyed rapid scale and cost leadership due to strong state support in China, such as subsidies, favourable industrial policies and supply chain integration. This is demonstrated by its worldwide performance with BYD outselling Tesla in EV sales, selling more than 3 million vehicles in 2025 to Tesla which is lower (CNN Business, 2026). This metric policy congruence has enabled BYD to leverage the late mover characteristics of uniting government support and effective production infrastructures (Automotive Manufacturing Solutions, 2025).</w:t>
      </w:r>
    </w:p>
    <w:p w14:paraId="2B7A9E31" w14:textId="524E23E3" w:rsidR="00EF5824" w:rsidRPr="00BC2A3C" w:rsidRDefault="00EF5824" w:rsidP="00BC2A3C">
      <w:pPr>
        <w:spacing w:line="360" w:lineRule="auto"/>
        <w:jc w:val="both"/>
        <w:rPr>
          <w:rFonts w:ascii="Arial" w:hAnsi="Arial" w:cs="Arial"/>
          <w:lang w:eastAsia="zh-CN"/>
        </w:rPr>
      </w:pPr>
      <w:r w:rsidRPr="00BC2A3C">
        <w:rPr>
          <w:rFonts w:ascii="Arial" w:hAnsi="Arial" w:cs="Arial"/>
          <w:lang w:eastAsia="zh-CN"/>
        </w:rPr>
        <w:t>However, this reliance on political backing has its own points of weakness. With global markets growing protectionist, western markets have continued to present more challenges to BYD by imposing tariffs and regulations in its operations. Also, it might be constrained by its exclusivity to local policy in environments that are less favourable. According to ABI Research (2024), global expansion is asymmetrical, even though BYD growth is policy driven. More crucially, political embeddedness improves the short-term market stance of BYD but can limit long term strategic flexibility, which implies the success rate of followers is contingent as opposed to being architecturally determined.</w:t>
      </w:r>
    </w:p>
    <w:p w14:paraId="298C562B" w14:textId="77777777" w:rsidR="00F4799C" w:rsidRPr="00BC2A3C" w:rsidRDefault="00F4799C" w:rsidP="00BC2A3C">
      <w:pPr>
        <w:pStyle w:val="Heading2"/>
        <w:spacing w:line="360" w:lineRule="auto"/>
        <w:jc w:val="both"/>
        <w:rPr>
          <w:rFonts w:ascii="Arial" w:hAnsi="Arial" w:cs="Arial"/>
          <w:b/>
          <w:bCs/>
          <w:sz w:val="28"/>
          <w:szCs w:val="28"/>
        </w:rPr>
      </w:pPr>
      <w:bookmarkStart w:id="6" w:name="_Toc225205310"/>
      <w:r w:rsidRPr="00BC2A3C">
        <w:rPr>
          <w:rFonts w:ascii="Arial" w:hAnsi="Arial" w:cs="Arial"/>
          <w:b/>
          <w:bCs/>
          <w:sz w:val="28"/>
          <w:szCs w:val="28"/>
        </w:rPr>
        <w:t>2.3 Analysis of Macro Factor 2</w:t>
      </w:r>
      <w:bookmarkEnd w:id="6"/>
    </w:p>
    <w:p w14:paraId="17796374" w14:textId="033C1D8E" w:rsidR="00736584" w:rsidRPr="00BC2A3C" w:rsidRDefault="00F4799C" w:rsidP="00BC2A3C">
      <w:pPr>
        <w:pStyle w:val="Heading3"/>
        <w:spacing w:line="360" w:lineRule="auto"/>
        <w:jc w:val="both"/>
        <w:rPr>
          <w:rFonts w:ascii="Arial" w:hAnsi="Arial" w:cs="Arial"/>
          <w:b/>
          <w:bCs/>
          <w:sz w:val="24"/>
          <w:szCs w:val="24"/>
        </w:rPr>
      </w:pPr>
      <w:bookmarkStart w:id="7" w:name="_Toc225205311"/>
      <w:r w:rsidRPr="00BC2A3C">
        <w:rPr>
          <w:rFonts w:ascii="Arial" w:hAnsi="Arial" w:cs="Arial"/>
          <w:b/>
          <w:bCs/>
          <w:sz w:val="24"/>
          <w:szCs w:val="24"/>
        </w:rPr>
        <w:t xml:space="preserve">2.3.1 </w:t>
      </w:r>
      <w:r w:rsidR="00736584" w:rsidRPr="00BC2A3C">
        <w:rPr>
          <w:rFonts w:ascii="Arial" w:hAnsi="Arial" w:cs="Arial"/>
          <w:b/>
          <w:bCs/>
          <w:sz w:val="24"/>
          <w:szCs w:val="24"/>
        </w:rPr>
        <w:t>Impact for the Pioneer Organisation (Tesla)</w:t>
      </w:r>
      <w:bookmarkEnd w:id="7"/>
    </w:p>
    <w:p w14:paraId="43444F03" w14:textId="77777777" w:rsidR="006E02B2" w:rsidRDefault="00736584" w:rsidP="006445B7">
      <w:pPr>
        <w:spacing w:line="360" w:lineRule="auto"/>
        <w:jc w:val="both"/>
        <w:rPr>
          <w:rFonts w:ascii="Arial" w:eastAsia="Times New Roman" w:hAnsi="Arial" w:cs="Arial"/>
          <w:kern w:val="0"/>
          <w:lang w:eastAsia="zh-CN"/>
          <w14:ligatures w14:val="none"/>
        </w:rPr>
      </w:pPr>
      <w:r w:rsidRPr="00BC2A3C">
        <w:rPr>
          <w:rFonts w:ascii="Arial" w:eastAsia="Times New Roman" w:hAnsi="Arial" w:cs="Arial"/>
          <w:kern w:val="0"/>
          <w:lang w:eastAsia="zh-CN"/>
          <w14:ligatures w14:val="none"/>
        </w:rPr>
        <w:t>Technological factors continue to be key to Tesla's competitive positioning, presenting both sustaining opportunity and emerging strategic threats</w:t>
      </w:r>
      <w:r w:rsidR="006445B7">
        <w:rPr>
          <w:rFonts w:ascii="Arial" w:eastAsia="Times New Roman" w:hAnsi="Arial" w:cs="Arial"/>
          <w:kern w:val="0"/>
          <w:lang w:eastAsia="zh-CN"/>
          <w14:ligatures w14:val="none"/>
        </w:rPr>
        <w:t xml:space="preserve"> </w:t>
      </w:r>
      <w:r w:rsidR="006445B7" w:rsidRPr="00BC2A3C">
        <w:rPr>
          <w:rFonts w:ascii="Arial" w:hAnsi="Arial" w:cs="Arial"/>
        </w:rPr>
        <w:t>(IEA, 202</w:t>
      </w:r>
      <w:r w:rsidR="006445B7">
        <w:rPr>
          <w:rFonts w:ascii="Arial" w:hAnsi="Arial" w:cs="Arial"/>
        </w:rPr>
        <w:t>3</w:t>
      </w:r>
      <w:r w:rsidR="006445B7" w:rsidRPr="00BC2A3C">
        <w:rPr>
          <w:rFonts w:ascii="Arial" w:hAnsi="Arial" w:cs="Arial"/>
        </w:rPr>
        <w:t>)</w:t>
      </w:r>
      <w:r w:rsidRPr="00BC2A3C">
        <w:rPr>
          <w:rFonts w:ascii="Arial" w:eastAsia="Times New Roman" w:hAnsi="Arial" w:cs="Arial"/>
          <w:kern w:val="0"/>
          <w:lang w:eastAsia="zh-CN"/>
          <w14:ligatures w14:val="none"/>
        </w:rPr>
        <w:t>. As a pioneer, Tesla has used advanced battery innovation, software integration and autonomous driving capabilities to create differentiation and brand dominance. Its early investment in gigafactories and proprietary battery technologies helped to reduce costs and scale-up the technology, strengthening its leadership position in high performance EV segments (</w:t>
      </w:r>
      <w:proofErr w:type="spellStart"/>
      <w:r w:rsidRPr="00BC2A3C">
        <w:rPr>
          <w:rFonts w:ascii="Arial" w:eastAsia="Times New Roman" w:hAnsi="Arial" w:cs="Arial"/>
          <w:kern w:val="0"/>
          <w:lang w:eastAsia="zh-CN"/>
          <w14:ligatures w14:val="none"/>
        </w:rPr>
        <w:t>Shivasharana</w:t>
      </w:r>
      <w:proofErr w:type="spellEnd"/>
      <w:r w:rsidRPr="00BC2A3C">
        <w:rPr>
          <w:rFonts w:ascii="Arial" w:eastAsia="Times New Roman" w:hAnsi="Arial" w:cs="Arial"/>
          <w:kern w:val="0"/>
          <w:lang w:eastAsia="zh-CN"/>
          <w14:ligatures w14:val="none"/>
        </w:rPr>
        <w:t xml:space="preserve"> et al., 2023). </w:t>
      </w:r>
    </w:p>
    <w:p w14:paraId="16DACF4D" w14:textId="5F82B72F" w:rsidR="006E02B2" w:rsidRDefault="006E02B2" w:rsidP="006E02B2">
      <w:pPr>
        <w:spacing w:line="360" w:lineRule="auto"/>
        <w:jc w:val="center"/>
        <w:rPr>
          <w:rFonts w:ascii="Arial" w:eastAsia="Times New Roman" w:hAnsi="Arial" w:cs="Arial"/>
          <w:kern w:val="0"/>
          <w:lang w:eastAsia="zh-CN"/>
          <w14:ligatures w14:val="none"/>
        </w:rPr>
      </w:pPr>
      <w:r w:rsidRPr="006E02B2">
        <w:rPr>
          <w:rFonts w:ascii="Arial" w:eastAsia="Times New Roman" w:hAnsi="Arial" w:cs="Arial"/>
          <w:noProof/>
          <w:kern w:val="0"/>
          <w:lang w:eastAsia="zh-CN"/>
          <w14:ligatures w14:val="none"/>
        </w:rPr>
        <w:lastRenderedPageBreak/>
        <w:drawing>
          <wp:inline distT="0" distB="0" distL="0" distR="0" wp14:anchorId="34BA7651" wp14:editId="36D2BDAA">
            <wp:extent cx="5731510" cy="2857500"/>
            <wp:effectExtent l="0" t="0" r="2540" b="0"/>
            <wp:docPr id="241245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245245" name=""/>
                    <pic:cNvPicPr/>
                  </pic:nvPicPr>
                  <pic:blipFill>
                    <a:blip r:embed="rId10"/>
                    <a:stretch>
                      <a:fillRect/>
                    </a:stretch>
                  </pic:blipFill>
                  <pic:spPr>
                    <a:xfrm>
                      <a:off x="0" y="0"/>
                      <a:ext cx="5731510" cy="2857500"/>
                    </a:xfrm>
                    <a:prstGeom prst="rect">
                      <a:avLst/>
                    </a:prstGeom>
                  </pic:spPr>
                </pic:pic>
              </a:graphicData>
            </a:graphic>
          </wp:inline>
        </w:drawing>
      </w:r>
    </w:p>
    <w:p w14:paraId="4B22399C" w14:textId="5EBD9FEC" w:rsidR="006E02B2" w:rsidRDefault="006E02B2" w:rsidP="006E02B2">
      <w:pPr>
        <w:spacing w:line="360" w:lineRule="auto"/>
        <w:jc w:val="center"/>
        <w:rPr>
          <w:rFonts w:ascii="Arial" w:eastAsia="Times New Roman" w:hAnsi="Arial" w:cs="Arial"/>
          <w:kern w:val="0"/>
          <w:lang w:eastAsia="zh-CN"/>
          <w14:ligatures w14:val="none"/>
        </w:rPr>
      </w:pPr>
      <w:r>
        <w:rPr>
          <w:rFonts w:ascii="Arial" w:eastAsia="Times New Roman" w:hAnsi="Arial" w:cs="Arial"/>
          <w:kern w:val="0"/>
          <w:lang w:eastAsia="zh-CN"/>
          <w14:ligatures w14:val="none"/>
        </w:rPr>
        <w:t xml:space="preserve">Figure: </w:t>
      </w:r>
      <w:r w:rsidRPr="006E02B2">
        <w:rPr>
          <w:rFonts w:ascii="Arial" w:eastAsia="Times New Roman" w:hAnsi="Arial" w:cs="Arial"/>
          <w:kern w:val="0"/>
          <w:lang w:eastAsia="zh-CN"/>
          <w14:ligatures w14:val="none"/>
        </w:rPr>
        <w:t>Technological</w:t>
      </w:r>
      <w:r>
        <w:rPr>
          <w:rFonts w:ascii="Arial" w:eastAsia="Times New Roman" w:hAnsi="Arial" w:cs="Arial"/>
          <w:kern w:val="0"/>
          <w:lang w:eastAsia="zh-CN"/>
          <w14:ligatures w14:val="none"/>
        </w:rPr>
        <w:t xml:space="preserve"> impact on Tesla </w:t>
      </w:r>
      <w:r w:rsidR="001C11C3">
        <w:rPr>
          <w:rFonts w:ascii="Arial" w:eastAsia="Times New Roman" w:hAnsi="Arial" w:cs="Arial"/>
          <w:kern w:val="0"/>
          <w:lang w:eastAsia="zh-CN"/>
          <w14:ligatures w14:val="none"/>
        </w:rPr>
        <w:t>(</w:t>
      </w:r>
      <w:r w:rsidR="001C11C3" w:rsidRPr="00BC2A3C">
        <w:rPr>
          <w:rFonts w:ascii="Arial" w:eastAsia="Times New Roman" w:hAnsi="Arial" w:cs="Arial"/>
          <w:kern w:val="0"/>
          <w:lang w:eastAsia="zh-CN"/>
          <w14:ligatures w14:val="none"/>
        </w:rPr>
        <w:t>EV Magazine, 2024</w:t>
      </w:r>
      <w:r w:rsidR="001C11C3">
        <w:rPr>
          <w:rFonts w:ascii="Arial" w:eastAsia="Times New Roman" w:hAnsi="Arial" w:cs="Arial"/>
          <w:kern w:val="0"/>
          <w:lang w:eastAsia="zh-CN"/>
          <w14:ligatures w14:val="none"/>
        </w:rPr>
        <w:t>)</w:t>
      </w:r>
    </w:p>
    <w:p w14:paraId="1C42D870" w14:textId="2E97F690" w:rsidR="00F4799C" w:rsidRPr="006445B7" w:rsidRDefault="00736584" w:rsidP="006445B7">
      <w:pPr>
        <w:spacing w:line="360" w:lineRule="auto"/>
        <w:jc w:val="both"/>
        <w:rPr>
          <w:rFonts w:ascii="Arial" w:hAnsi="Arial" w:cs="Arial"/>
        </w:rPr>
      </w:pPr>
      <w:r w:rsidRPr="00BC2A3C">
        <w:rPr>
          <w:rFonts w:ascii="Arial" w:eastAsia="Times New Roman" w:hAnsi="Arial" w:cs="Arial"/>
          <w:kern w:val="0"/>
          <w:lang w:eastAsia="zh-CN"/>
          <w14:ligatures w14:val="none"/>
        </w:rPr>
        <w:t>Furthermore, ongoing innovation has aided in premium pricing and generous margins as compared to conventional car makers. However, this technological advantage is increasingly challenged. Industry data suggests that technological convergence is accelerating, with competitors rapidly closing the innovation gap. For example, technologies such as Blade Battery developed by BYD along with vertical integrated production have led to a drastic cost reduction and enhanced safety, exerting severe competitive pressure (Automotive Manufacturing Solutions, 2025). Additionally, Tesla's constant reliance on innovation leads to high R&amp;D costs and operational risk, especially as technological advances are less unique. ABI Research (2024) states that AI innovation advantage is no longer unique, with the imitators replicating and scaling up similar technologies. Critically, although technology initially supported Tesla's dominance, the spread of technology throughout the industry is destroying differentiation, which challenges the sustainable nature of its competitive advantage.</w:t>
      </w:r>
    </w:p>
    <w:p w14:paraId="0C0EA50E" w14:textId="07374B2A" w:rsidR="00736584" w:rsidRPr="00BC2A3C" w:rsidRDefault="00F4799C" w:rsidP="00BC2A3C">
      <w:pPr>
        <w:pStyle w:val="Heading3"/>
        <w:spacing w:line="360" w:lineRule="auto"/>
        <w:jc w:val="both"/>
        <w:rPr>
          <w:rFonts w:ascii="Arial" w:hAnsi="Arial" w:cs="Arial"/>
          <w:b/>
          <w:bCs/>
          <w:sz w:val="22"/>
          <w:szCs w:val="22"/>
        </w:rPr>
      </w:pPr>
      <w:bookmarkStart w:id="8" w:name="_Toc225205312"/>
      <w:r w:rsidRPr="00BC2A3C">
        <w:rPr>
          <w:rFonts w:ascii="Arial" w:hAnsi="Arial" w:cs="Arial"/>
          <w:b/>
          <w:bCs/>
          <w:sz w:val="24"/>
          <w:szCs w:val="24"/>
        </w:rPr>
        <w:t>2.3.2 Impact on the Follower Organisation</w:t>
      </w:r>
      <w:r w:rsidR="00736584" w:rsidRPr="00BC2A3C">
        <w:rPr>
          <w:rFonts w:ascii="Arial" w:hAnsi="Arial" w:cs="Arial"/>
        </w:rPr>
        <w:t xml:space="preserve"> </w:t>
      </w:r>
      <w:r w:rsidR="00736584" w:rsidRPr="00BC2A3C">
        <w:rPr>
          <w:rFonts w:ascii="Arial" w:eastAsia="Times New Roman" w:hAnsi="Arial" w:cs="Arial"/>
          <w:b/>
          <w:bCs/>
          <w:kern w:val="0"/>
          <w:sz w:val="24"/>
          <w:szCs w:val="24"/>
          <w:lang w:eastAsia="zh-CN"/>
          <w14:ligatures w14:val="none"/>
        </w:rPr>
        <w:t>(BYD)</w:t>
      </w:r>
      <w:bookmarkEnd w:id="8"/>
    </w:p>
    <w:p w14:paraId="63C42E01" w14:textId="39A94CEF" w:rsidR="00F4799C" w:rsidRPr="00BC2A3C" w:rsidRDefault="00736584" w:rsidP="00BC2A3C">
      <w:pPr>
        <w:spacing w:before="100" w:beforeAutospacing="1" w:after="100" w:afterAutospacing="1" w:line="360" w:lineRule="auto"/>
        <w:jc w:val="both"/>
        <w:rPr>
          <w:rFonts w:ascii="Arial" w:eastAsia="Times New Roman" w:hAnsi="Arial" w:cs="Arial"/>
          <w:kern w:val="0"/>
          <w:lang w:eastAsia="zh-CN"/>
          <w14:ligatures w14:val="none"/>
        </w:rPr>
      </w:pPr>
      <w:r w:rsidRPr="00BC2A3C">
        <w:rPr>
          <w:rFonts w:ascii="Arial" w:eastAsia="Times New Roman" w:hAnsi="Arial" w:cs="Arial"/>
          <w:kern w:val="0"/>
          <w:lang w:eastAsia="zh-CN"/>
          <w14:ligatures w14:val="none"/>
        </w:rPr>
        <w:t xml:space="preserve">For BYD, the technological factors are a strategic opportunity based on adaptation and cost efficiency as opposed to radical innovation. Unlike Tesla, BYD has been more central in perfecting existing technologies through vertical integration, especially in battery production and semiconductor control, so that it can lower costs and enhance supply chain resiliency. This approach has helped it grow quickly, as BYD outpaced Tesla in sales of electric vehicles (EV) in the first three quarters of 2024 and continues </w:t>
      </w:r>
      <w:r w:rsidRPr="00BC2A3C">
        <w:rPr>
          <w:rFonts w:ascii="Arial" w:eastAsia="Times New Roman" w:hAnsi="Arial" w:cs="Arial"/>
          <w:kern w:val="0"/>
          <w:lang w:eastAsia="zh-CN"/>
          <w14:ligatures w14:val="none"/>
        </w:rPr>
        <w:lastRenderedPageBreak/>
        <w:t xml:space="preserve">to surge since then (CNN Business, 2026). Moreover, its Blade Battery technology has improved its safety and cost aspects, placing BYD in a favourable competitive position in the mass market </w:t>
      </w:r>
      <w:proofErr w:type="spellStart"/>
      <w:r w:rsidRPr="00BC2A3C">
        <w:rPr>
          <w:rFonts w:ascii="Arial" w:eastAsia="Times New Roman" w:hAnsi="Arial" w:cs="Arial"/>
          <w:kern w:val="0"/>
          <w:lang w:eastAsia="zh-CN"/>
          <w14:ligatures w14:val="none"/>
        </w:rPr>
        <w:t>segments.This</w:t>
      </w:r>
      <w:proofErr w:type="spellEnd"/>
      <w:r w:rsidRPr="00BC2A3C">
        <w:rPr>
          <w:rFonts w:ascii="Arial" w:eastAsia="Times New Roman" w:hAnsi="Arial" w:cs="Arial"/>
          <w:kern w:val="0"/>
          <w:lang w:eastAsia="zh-CN"/>
          <w14:ligatures w14:val="none"/>
        </w:rPr>
        <w:t xml:space="preserve"> strategy, however, has its limitations as well. BYD's technological model, while efficient, is not linked to breakthrough innovation to the extent that its brand may be in the premium markets. Additionally, focus on incremental innovation carries the risk that disruptive technologies will emerge that the firm has not pioneered. International Banker (2025) notes that while BYD's scale driven model allows for fast growth, it might enter a problem of maintaining differentiation in technologically saturated markets. Critically, BYD's technological adaptability is helping it reinforce its current position in the market, but its longer-term competitiveness is tied to balancing between efficiency and innovation leadership.</w:t>
      </w:r>
    </w:p>
    <w:p w14:paraId="7825BA78" w14:textId="313F3592" w:rsidR="00F4799C" w:rsidRPr="00BC2A3C" w:rsidRDefault="00F4799C" w:rsidP="00BC2A3C">
      <w:pPr>
        <w:pStyle w:val="Heading1"/>
        <w:spacing w:line="360" w:lineRule="auto"/>
        <w:jc w:val="both"/>
        <w:rPr>
          <w:rFonts w:ascii="Arial" w:hAnsi="Arial" w:cs="Arial"/>
          <w:b/>
          <w:bCs/>
          <w:sz w:val="32"/>
          <w:szCs w:val="32"/>
        </w:rPr>
      </w:pPr>
      <w:bookmarkStart w:id="9" w:name="_Toc225205313"/>
      <w:r w:rsidRPr="00BC2A3C">
        <w:rPr>
          <w:rFonts w:ascii="Arial" w:hAnsi="Arial" w:cs="Arial"/>
          <w:b/>
          <w:bCs/>
          <w:sz w:val="32"/>
          <w:szCs w:val="32"/>
        </w:rPr>
        <w:t>3. Task 2: Strategic Responses of Pioneering and Follower Organisations</w:t>
      </w:r>
      <w:bookmarkEnd w:id="9"/>
      <w:r w:rsidRPr="00BC2A3C">
        <w:rPr>
          <w:rFonts w:ascii="Arial" w:hAnsi="Arial" w:cs="Arial"/>
          <w:b/>
          <w:bCs/>
          <w:sz w:val="32"/>
          <w:szCs w:val="32"/>
        </w:rPr>
        <w:t xml:space="preserve"> </w:t>
      </w:r>
    </w:p>
    <w:p w14:paraId="5A6F9331" w14:textId="5EAEF9ED" w:rsidR="00F4799C" w:rsidRPr="00BC2A3C" w:rsidRDefault="00F4799C" w:rsidP="00BC2A3C">
      <w:pPr>
        <w:pStyle w:val="Heading2"/>
        <w:spacing w:line="360" w:lineRule="auto"/>
        <w:jc w:val="both"/>
        <w:rPr>
          <w:rFonts w:ascii="Arial" w:hAnsi="Arial" w:cs="Arial"/>
          <w:b/>
          <w:bCs/>
          <w:sz w:val="28"/>
          <w:szCs w:val="28"/>
        </w:rPr>
      </w:pPr>
      <w:bookmarkStart w:id="10" w:name="_Toc225205314"/>
      <w:r w:rsidRPr="00BC2A3C">
        <w:rPr>
          <w:rFonts w:ascii="Arial" w:hAnsi="Arial" w:cs="Arial"/>
          <w:b/>
          <w:bCs/>
          <w:sz w:val="28"/>
          <w:szCs w:val="28"/>
        </w:rPr>
        <w:t>3.1 Pioneering Organisation’s Strategic Responses</w:t>
      </w:r>
      <w:r w:rsidR="007F1B18" w:rsidRPr="00BC2A3C">
        <w:rPr>
          <w:rFonts w:ascii="Arial" w:hAnsi="Arial" w:cs="Arial"/>
          <w:b/>
          <w:bCs/>
          <w:sz w:val="28"/>
          <w:szCs w:val="28"/>
        </w:rPr>
        <w:t xml:space="preserve"> (Tesla)</w:t>
      </w:r>
      <w:bookmarkEnd w:id="10"/>
    </w:p>
    <w:p w14:paraId="2DD33A30" w14:textId="7D92DEBF" w:rsidR="00E22C8F" w:rsidRPr="00BC2A3C" w:rsidRDefault="00E22C8F" w:rsidP="00BC2A3C">
      <w:pPr>
        <w:spacing w:line="360" w:lineRule="auto"/>
        <w:jc w:val="both"/>
        <w:rPr>
          <w:rFonts w:ascii="Arial" w:hAnsi="Arial" w:cs="Arial"/>
          <w:b/>
          <w:bCs/>
          <w:u w:val="single"/>
        </w:rPr>
      </w:pPr>
      <w:r w:rsidRPr="00BC2A3C">
        <w:rPr>
          <w:rFonts w:ascii="Arial" w:hAnsi="Arial" w:cs="Arial"/>
          <w:b/>
          <w:bCs/>
          <w:u w:val="single"/>
        </w:rPr>
        <w:t xml:space="preserve">Critical </w:t>
      </w:r>
      <w:r w:rsidR="007F1B18" w:rsidRPr="00BC2A3C">
        <w:rPr>
          <w:rFonts w:ascii="Arial" w:hAnsi="Arial" w:cs="Arial"/>
          <w:b/>
          <w:bCs/>
          <w:u w:val="single"/>
        </w:rPr>
        <w:t>Evaluation of Strategic Response to External Challenges and Opportunities</w:t>
      </w:r>
    </w:p>
    <w:p w14:paraId="1B6C07ED" w14:textId="41126132" w:rsidR="00E22C8F" w:rsidRPr="00BC2A3C" w:rsidRDefault="00E22C8F" w:rsidP="00BC2A3C">
      <w:pPr>
        <w:spacing w:line="360" w:lineRule="auto"/>
        <w:jc w:val="both"/>
        <w:rPr>
          <w:rFonts w:ascii="Arial" w:hAnsi="Arial" w:cs="Arial"/>
        </w:rPr>
      </w:pPr>
      <w:r w:rsidRPr="00BC2A3C">
        <w:rPr>
          <w:rFonts w:ascii="Arial" w:hAnsi="Arial" w:cs="Arial"/>
        </w:rPr>
        <w:t>Tesla is responding to structural tension by adapting to external threats like increasing competition, changing regulations, and technological convergence. Tesla has taken the initiative to react to slow demand growth and increased competition through global price cuts and increased production volumes</w:t>
      </w:r>
      <w:r w:rsidR="00E751A4">
        <w:rPr>
          <w:rFonts w:ascii="Arial" w:hAnsi="Arial" w:cs="Arial"/>
        </w:rPr>
        <w:t xml:space="preserve"> (</w:t>
      </w:r>
      <w:proofErr w:type="spellStart"/>
      <w:r w:rsidR="00E751A4" w:rsidRPr="00BC2A3C">
        <w:rPr>
          <w:rFonts w:ascii="Arial" w:hAnsi="Arial" w:cs="Arial"/>
          <w:lang w:eastAsia="zh-CN"/>
        </w:rPr>
        <w:t>Panmore</w:t>
      </w:r>
      <w:proofErr w:type="spellEnd"/>
      <w:r w:rsidR="00E751A4" w:rsidRPr="00BC2A3C">
        <w:rPr>
          <w:rFonts w:ascii="Arial" w:hAnsi="Arial" w:cs="Arial"/>
          <w:lang w:eastAsia="zh-CN"/>
        </w:rPr>
        <w:t xml:space="preserve"> Institute</w:t>
      </w:r>
      <w:r w:rsidR="00E751A4">
        <w:rPr>
          <w:rFonts w:ascii="Arial" w:hAnsi="Arial" w:cs="Arial"/>
          <w:lang w:eastAsia="zh-CN"/>
        </w:rPr>
        <w:t xml:space="preserve">, </w:t>
      </w:r>
      <w:r w:rsidR="00E751A4" w:rsidRPr="00BC2A3C">
        <w:rPr>
          <w:rFonts w:ascii="Arial" w:hAnsi="Arial" w:cs="Arial"/>
          <w:lang w:eastAsia="zh-CN"/>
        </w:rPr>
        <w:t>2024</w:t>
      </w:r>
      <w:r w:rsidR="00E751A4">
        <w:rPr>
          <w:rFonts w:ascii="Arial" w:hAnsi="Arial" w:cs="Arial"/>
          <w:lang w:eastAsia="zh-CN"/>
        </w:rPr>
        <w:t>)</w:t>
      </w:r>
      <w:r w:rsidRPr="00BC2A3C">
        <w:rPr>
          <w:rFonts w:ascii="Arial" w:hAnsi="Arial" w:cs="Arial"/>
        </w:rPr>
        <w:t>. As an example, in 2023-2025, several price reductions were to continue sales volumes due to growing competition with BYD and other EV producers (CNN Business, 2026). This is a show of strategic responsiveness to saturation and price pressure in the market as captured in the EV industry (IEA, 2024).</w:t>
      </w:r>
    </w:p>
    <w:p w14:paraId="428F00A9" w14:textId="7BBB5A3D" w:rsidR="00334B6C" w:rsidRPr="00BC2A3C" w:rsidRDefault="00E22C8F" w:rsidP="00BC2A3C">
      <w:pPr>
        <w:spacing w:line="360" w:lineRule="auto"/>
        <w:jc w:val="both"/>
        <w:rPr>
          <w:rFonts w:ascii="Arial" w:hAnsi="Arial" w:cs="Arial"/>
        </w:rPr>
      </w:pPr>
      <w:r w:rsidRPr="00BC2A3C">
        <w:rPr>
          <w:rFonts w:ascii="Arial" w:hAnsi="Arial" w:cs="Arial"/>
        </w:rPr>
        <w:t xml:space="preserve">Nevertheless, this reaction also indicates some hidden weaknesses. The price cuts have shrunk margins and undermined Tesla premium standing, indicating reactive, rather than proactive strategy. Moreover, the innovation advantage of Tesla is getting diluted as more companies replicate core technologies (ABI Research, 2024). More importantly, Tesla evidence dynamism in its reaction to external forces but reactions </w:t>
      </w:r>
      <w:r w:rsidRPr="00BC2A3C">
        <w:rPr>
          <w:rFonts w:ascii="Arial" w:hAnsi="Arial" w:cs="Arial"/>
        </w:rPr>
        <w:lastRenderedPageBreak/>
        <w:t>are such that Tesla is progressing market-shaping pioneer to market-defending incumbent burdening long term strategic sustainability.</w:t>
      </w:r>
    </w:p>
    <w:p w14:paraId="4268324B" w14:textId="77777777" w:rsidR="00334B6C" w:rsidRPr="00BC2A3C" w:rsidRDefault="00334B6C" w:rsidP="00BC2A3C">
      <w:pPr>
        <w:spacing w:before="100" w:beforeAutospacing="1" w:after="100" w:afterAutospacing="1" w:line="360" w:lineRule="auto"/>
        <w:jc w:val="both"/>
        <w:rPr>
          <w:rFonts w:ascii="Arial" w:eastAsia="Times New Roman" w:hAnsi="Arial" w:cs="Arial"/>
          <w:b/>
          <w:bCs/>
          <w:kern w:val="0"/>
          <w:u w:val="single"/>
          <w:lang w:eastAsia="zh-CN"/>
          <w14:ligatures w14:val="none"/>
        </w:rPr>
      </w:pPr>
      <w:r w:rsidRPr="00BC2A3C">
        <w:rPr>
          <w:rFonts w:ascii="Arial" w:hAnsi="Arial" w:cs="Arial"/>
          <w:b/>
          <w:bCs/>
          <w:u w:val="single"/>
        </w:rPr>
        <w:t xml:space="preserve">Application of </w:t>
      </w:r>
      <w:r w:rsidRPr="00BC2A3C">
        <w:rPr>
          <w:rFonts w:ascii="Arial" w:eastAsia="Times New Roman" w:hAnsi="Arial" w:cs="Arial"/>
          <w:b/>
          <w:bCs/>
          <w:kern w:val="0"/>
          <w:u w:val="single"/>
          <w:lang w:eastAsia="zh-CN"/>
          <w14:ligatures w14:val="none"/>
        </w:rPr>
        <w:t>Porter’s Generic Strategies</w:t>
      </w:r>
    </w:p>
    <w:p w14:paraId="1503CCFD" w14:textId="2BAD17B9" w:rsidR="00334B6C" w:rsidRPr="001C11C3" w:rsidRDefault="00334B6C" w:rsidP="001C11C3">
      <w:pPr>
        <w:spacing w:before="100" w:beforeAutospacing="1" w:after="100" w:afterAutospacing="1" w:line="360" w:lineRule="auto"/>
        <w:jc w:val="both"/>
        <w:rPr>
          <w:rFonts w:ascii="Arial" w:eastAsia="Times New Roman" w:hAnsi="Arial" w:cs="Arial"/>
          <w:kern w:val="0"/>
          <w:lang w:eastAsia="zh-CN"/>
          <w14:ligatures w14:val="none"/>
        </w:rPr>
      </w:pPr>
      <w:r w:rsidRPr="00BC2A3C">
        <w:rPr>
          <w:rFonts w:ascii="Arial" w:hAnsi="Arial" w:cs="Arial"/>
        </w:rPr>
        <w:t>The strategic positioning of Tesla shows a combination of hybrid Porters Generic Strategies due to the necessity to specify the innovation leadership with rising cost pressures and a tightening EV market apparent in a fast-changing environment</w:t>
      </w:r>
      <w:r w:rsidR="00E751A4">
        <w:rPr>
          <w:rFonts w:ascii="Arial" w:hAnsi="Arial" w:cs="Arial"/>
        </w:rPr>
        <w:t xml:space="preserve"> (</w:t>
      </w:r>
      <w:r w:rsidR="00E751A4" w:rsidRPr="00E751A4">
        <w:rPr>
          <w:rFonts w:ascii="Arial" w:hAnsi="Arial" w:cs="Arial"/>
          <w:lang w:eastAsia="zh-CN"/>
        </w:rPr>
        <w:t>Fedotov, 2022</w:t>
      </w:r>
      <w:r w:rsidR="00E751A4">
        <w:rPr>
          <w:rFonts w:ascii="Arial" w:hAnsi="Arial" w:cs="Arial"/>
          <w:lang w:eastAsia="zh-CN"/>
        </w:rPr>
        <w:t>)</w:t>
      </w:r>
      <w:r w:rsidRPr="00BC2A3C">
        <w:rPr>
          <w:rFonts w:ascii="Arial" w:hAnsi="Arial" w:cs="Arial"/>
        </w:rPr>
        <w:t>.</w:t>
      </w:r>
    </w:p>
    <w:p w14:paraId="4DDBB291" w14:textId="77777777" w:rsidR="00334B6C" w:rsidRPr="00BC2A3C" w:rsidRDefault="00334B6C" w:rsidP="00BC2A3C">
      <w:pPr>
        <w:spacing w:line="360" w:lineRule="auto"/>
        <w:jc w:val="both"/>
        <w:rPr>
          <w:rFonts w:ascii="Arial" w:hAnsi="Arial" w:cs="Arial"/>
          <w:b/>
          <w:bCs/>
        </w:rPr>
      </w:pPr>
      <w:r w:rsidRPr="00BC2A3C">
        <w:rPr>
          <w:rFonts w:ascii="Arial" w:hAnsi="Arial" w:cs="Arial"/>
          <w:b/>
          <w:bCs/>
        </w:rPr>
        <w:t xml:space="preserve">Cost Leadership: </w:t>
      </w:r>
      <w:r w:rsidRPr="00BC2A3C">
        <w:rPr>
          <w:rFonts w:ascii="Arial" w:hAnsi="Arial" w:cs="Arial"/>
        </w:rPr>
        <w:t>To remain in demand and protect market share, Tesla has recently introduced the aspects of cost leadership by reducing prices worldwide (CNN Business, 2026). Although this improves accessibility and sales volume, Tesla does not have structural cost efficiencies as competitors such as BYD. More importantly, this strategy condenses margins without developing a sustainable cost leadership.</w:t>
      </w:r>
    </w:p>
    <w:p w14:paraId="005E4869" w14:textId="77777777" w:rsidR="00334B6C" w:rsidRPr="00BC2A3C" w:rsidRDefault="00334B6C" w:rsidP="00BC2A3C">
      <w:pPr>
        <w:spacing w:line="360" w:lineRule="auto"/>
        <w:jc w:val="both"/>
        <w:rPr>
          <w:rFonts w:ascii="Arial" w:hAnsi="Arial" w:cs="Arial"/>
          <w:b/>
          <w:bCs/>
        </w:rPr>
      </w:pPr>
      <w:r w:rsidRPr="00BC2A3C">
        <w:rPr>
          <w:rFonts w:ascii="Arial" w:hAnsi="Arial" w:cs="Arial"/>
          <w:b/>
          <w:bCs/>
        </w:rPr>
        <w:t xml:space="preserve">Differentiation: </w:t>
      </w:r>
      <w:r w:rsidRPr="00BC2A3C">
        <w:rPr>
          <w:rFonts w:ascii="Arial" w:hAnsi="Arial" w:cs="Arial"/>
        </w:rPr>
        <w:t>The core strategy of Tesla is still differentiation, which relies on software development, autonomous driving, and high brand equity. Its ability to provide premium prices and customer retention is made possible (</w:t>
      </w:r>
      <w:proofErr w:type="spellStart"/>
      <w:r w:rsidRPr="00BC2A3C">
        <w:rPr>
          <w:rFonts w:ascii="Arial" w:hAnsi="Arial" w:cs="Arial"/>
        </w:rPr>
        <w:t>Shivasharana</w:t>
      </w:r>
      <w:proofErr w:type="spellEnd"/>
      <w:r w:rsidRPr="00BC2A3C">
        <w:rPr>
          <w:rFonts w:ascii="Arial" w:hAnsi="Arial" w:cs="Arial"/>
        </w:rPr>
        <w:t xml:space="preserve"> et al., 2023). Nevertheless, technological imitation is becoming more frequent, negatively affecting its distinctness and reducing long-term differentiation benefits (Kotler et al., 2020).</w:t>
      </w:r>
    </w:p>
    <w:p w14:paraId="3C0C8E8E" w14:textId="77777777" w:rsidR="00334B6C" w:rsidRPr="00BC2A3C" w:rsidRDefault="00334B6C" w:rsidP="00BC2A3C">
      <w:pPr>
        <w:spacing w:line="360" w:lineRule="auto"/>
        <w:jc w:val="both"/>
        <w:rPr>
          <w:rFonts w:ascii="Arial" w:hAnsi="Arial" w:cs="Arial"/>
          <w:b/>
          <w:bCs/>
        </w:rPr>
      </w:pPr>
      <w:r w:rsidRPr="00BC2A3C">
        <w:rPr>
          <w:rFonts w:ascii="Arial" w:hAnsi="Arial" w:cs="Arial"/>
          <w:b/>
          <w:bCs/>
        </w:rPr>
        <w:t xml:space="preserve">Cost Focus: </w:t>
      </w:r>
      <w:r w:rsidRPr="00BC2A3C">
        <w:rPr>
          <w:rFonts w:ascii="Arial" w:hAnsi="Arial" w:cs="Arial"/>
        </w:rPr>
        <w:t>Cost focus is not a primary goal in Tesla, however, its diversification into mid-range vehicles indicates a partial shift to wider affordability. This puts Tesla in head-on rivalry with cost effective companies, in which it has little leverage (ABI Research, 2024).</w:t>
      </w:r>
    </w:p>
    <w:p w14:paraId="16B00280" w14:textId="38036857" w:rsidR="00E22C8F" w:rsidRPr="00BC2A3C" w:rsidRDefault="00334B6C" w:rsidP="00BC2A3C">
      <w:pPr>
        <w:spacing w:line="360" w:lineRule="auto"/>
        <w:jc w:val="both"/>
        <w:rPr>
          <w:rFonts w:ascii="Arial" w:hAnsi="Arial" w:cs="Arial"/>
          <w:b/>
          <w:bCs/>
        </w:rPr>
      </w:pPr>
      <w:r w:rsidRPr="00BC2A3C">
        <w:rPr>
          <w:rFonts w:ascii="Arial" w:hAnsi="Arial" w:cs="Arial"/>
          <w:b/>
          <w:bCs/>
        </w:rPr>
        <w:t xml:space="preserve">Differentiation Focus: </w:t>
      </w:r>
      <w:r w:rsidRPr="00BC2A3C">
        <w:rPr>
          <w:rFonts w:ascii="Arial" w:hAnsi="Arial" w:cs="Arial"/>
        </w:rPr>
        <w:t>Tesla has a differentiation focus, consisting of their ecosystem and premium targeting. However, the move to mass markets is a threat to this positioning, as it reflects the conflict in its hybrid strategy.</w:t>
      </w:r>
    </w:p>
    <w:p w14:paraId="057CEC2A" w14:textId="77777777" w:rsidR="0036311A" w:rsidRPr="00BC2A3C" w:rsidRDefault="0036311A" w:rsidP="00BC2A3C">
      <w:pPr>
        <w:spacing w:line="360" w:lineRule="auto"/>
        <w:jc w:val="both"/>
        <w:rPr>
          <w:rFonts w:ascii="Arial" w:hAnsi="Arial" w:cs="Arial"/>
          <w:b/>
          <w:bCs/>
          <w:u w:val="single"/>
        </w:rPr>
      </w:pPr>
      <w:r w:rsidRPr="00BC2A3C">
        <w:rPr>
          <w:rFonts w:ascii="Arial" w:hAnsi="Arial" w:cs="Arial"/>
          <w:b/>
          <w:bCs/>
          <w:u w:val="single"/>
        </w:rPr>
        <w:t>Industry Examples Supporting Strategic Response</w:t>
      </w:r>
    </w:p>
    <w:p w14:paraId="68E3FA25" w14:textId="38147FF0" w:rsidR="00E22C8F" w:rsidRPr="00BC2A3C" w:rsidRDefault="00E22C8F" w:rsidP="00BC2A3C">
      <w:pPr>
        <w:spacing w:line="360" w:lineRule="auto"/>
        <w:jc w:val="both"/>
        <w:rPr>
          <w:rFonts w:ascii="Arial" w:hAnsi="Arial" w:cs="Arial"/>
        </w:rPr>
      </w:pPr>
      <w:r w:rsidRPr="00BC2A3C">
        <w:rPr>
          <w:rFonts w:ascii="Arial" w:hAnsi="Arial" w:cs="Arial"/>
        </w:rPr>
        <w:t>The strategic behaviour of Tesla can be seen in the operational and market choices. As an illustration, the recent growth of Gigafactories in Berlin and Texas can be seen as its effort to scale and cut costs without sacrificing technological advantage. Also, Tesla Supercharger network offers ecosystem-based differentiation through increased customer convenience and brand lock in.</w:t>
      </w:r>
    </w:p>
    <w:p w14:paraId="5DE804B9" w14:textId="180C866C" w:rsidR="00E22C8F" w:rsidRPr="00BC2A3C" w:rsidRDefault="00E22C8F" w:rsidP="00BC2A3C">
      <w:pPr>
        <w:spacing w:line="360" w:lineRule="auto"/>
        <w:jc w:val="both"/>
        <w:rPr>
          <w:rFonts w:ascii="Arial" w:hAnsi="Arial" w:cs="Arial"/>
        </w:rPr>
      </w:pPr>
      <w:r w:rsidRPr="00BC2A3C">
        <w:rPr>
          <w:rFonts w:ascii="Arial" w:hAnsi="Arial" w:cs="Arial"/>
        </w:rPr>
        <w:t xml:space="preserve">Nevertheless, practise in the industry indicates that these strategies are becoming more controversial. The cost focused strategies have proven to be effective with BYD </w:t>
      </w:r>
      <w:r w:rsidRPr="00BC2A3C">
        <w:rPr>
          <w:rFonts w:ascii="Arial" w:hAnsi="Arial" w:cs="Arial"/>
        </w:rPr>
        <w:lastRenderedPageBreak/>
        <w:t>surpassing Tesla in terms of EV sales quarterly in 2024, due to its vertically integrated production and Blade Battery innovation (EV Magazine, 2024).</w:t>
      </w:r>
    </w:p>
    <w:p w14:paraId="06F6E0C2" w14:textId="51A7FC19" w:rsidR="00E22C8F" w:rsidRPr="00BC2A3C" w:rsidRDefault="00E22C8F" w:rsidP="00BC2A3C">
      <w:pPr>
        <w:spacing w:line="360" w:lineRule="auto"/>
        <w:jc w:val="both"/>
        <w:rPr>
          <w:rFonts w:ascii="Arial" w:hAnsi="Arial" w:cs="Arial"/>
        </w:rPr>
      </w:pPr>
      <w:r w:rsidRPr="00BC2A3C">
        <w:rPr>
          <w:rFonts w:ascii="Arial" w:hAnsi="Arial" w:cs="Arial"/>
        </w:rPr>
        <w:t>Most importantly, although Tesla strategic answers are still innovative and influential, the industry changes show that its competitive advantage is dwindling as the followers manage to integrate cost leadership with technological adaptation</w:t>
      </w:r>
      <w:r w:rsidR="00E751A4">
        <w:rPr>
          <w:rFonts w:ascii="Arial" w:hAnsi="Arial" w:cs="Arial"/>
        </w:rPr>
        <w:t xml:space="preserve"> (</w:t>
      </w:r>
      <w:r w:rsidR="00E751A4" w:rsidRPr="00BC2A3C">
        <w:rPr>
          <w:rFonts w:ascii="Arial" w:hAnsi="Arial" w:cs="Arial"/>
          <w:lang w:eastAsia="zh-CN"/>
        </w:rPr>
        <w:t>Whittington</w:t>
      </w:r>
      <w:r w:rsidR="00E751A4">
        <w:rPr>
          <w:rFonts w:ascii="Arial" w:hAnsi="Arial" w:cs="Arial"/>
          <w:lang w:eastAsia="zh-CN"/>
        </w:rPr>
        <w:t xml:space="preserve"> et al., 2023)</w:t>
      </w:r>
      <w:r w:rsidRPr="00BC2A3C">
        <w:rPr>
          <w:rFonts w:ascii="Arial" w:hAnsi="Arial" w:cs="Arial"/>
        </w:rPr>
        <w:t>.</w:t>
      </w:r>
    </w:p>
    <w:p w14:paraId="336C5916" w14:textId="5D162741" w:rsidR="00F4799C" w:rsidRPr="00BC2A3C" w:rsidRDefault="00F4799C" w:rsidP="00BC2A3C">
      <w:pPr>
        <w:pStyle w:val="Heading2"/>
        <w:spacing w:line="360" w:lineRule="auto"/>
        <w:jc w:val="both"/>
        <w:rPr>
          <w:rFonts w:ascii="Arial" w:hAnsi="Arial" w:cs="Arial"/>
          <w:b/>
          <w:bCs/>
          <w:sz w:val="28"/>
          <w:szCs w:val="28"/>
        </w:rPr>
      </w:pPr>
      <w:bookmarkStart w:id="11" w:name="_Toc225205315"/>
      <w:r w:rsidRPr="00BC2A3C">
        <w:rPr>
          <w:rFonts w:ascii="Arial" w:hAnsi="Arial" w:cs="Arial"/>
          <w:b/>
          <w:bCs/>
          <w:sz w:val="28"/>
          <w:szCs w:val="28"/>
        </w:rPr>
        <w:t>3.2 Follower Organisation’s Strategic Responses</w:t>
      </w:r>
      <w:r w:rsidR="00BC2A3C" w:rsidRPr="00BC2A3C">
        <w:rPr>
          <w:rFonts w:ascii="Arial" w:hAnsi="Arial" w:cs="Arial"/>
          <w:b/>
          <w:bCs/>
          <w:sz w:val="28"/>
          <w:szCs w:val="28"/>
        </w:rPr>
        <w:t xml:space="preserve"> (BYD)</w:t>
      </w:r>
      <w:bookmarkEnd w:id="11"/>
    </w:p>
    <w:p w14:paraId="7242A004" w14:textId="2FD9C8F8" w:rsidR="001859F3" w:rsidRPr="00BC2A3C" w:rsidRDefault="001859F3" w:rsidP="00BC2A3C">
      <w:pPr>
        <w:spacing w:line="360" w:lineRule="auto"/>
        <w:jc w:val="both"/>
        <w:rPr>
          <w:rFonts w:ascii="Arial" w:hAnsi="Arial" w:cs="Arial"/>
          <w:b/>
          <w:bCs/>
          <w:u w:val="single"/>
        </w:rPr>
      </w:pPr>
      <w:r w:rsidRPr="00BC2A3C">
        <w:rPr>
          <w:rFonts w:ascii="Arial" w:hAnsi="Arial" w:cs="Arial"/>
          <w:b/>
          <w:bCs/>
          <w:u w:val="single"/>
        </w:rPr>
        <w:t>Critical Assessment of BYD’s Strategic Adaptation for Sustaining Competitiveness</w:t>
      </w:r>
    </w:p>
    <w:p w14:paraId="10EF104E" w14:textId="42D6AF5D" w:rsidR="001859F3" w:rsidRPr="00BC2A3C" w:rsidRDefault="001859F3" w:rsidP="00BC2A3C">
      <w:pPr>
        <w:spacing w:line="360" w:lineRule="auto"/>
        <w:jc w:val="both"/>
        <w:rPr>
          <w:rFonts w:ascii="Arial" w:hAnsi="Arial" w:cs="Arial"/>
        </w:rPr>
      </w:pPr>
      <w:r w:rsidRPr="00BC2A3C">
        <w:rPr>
          <w:rFonts w:ascii="Arial" w:hAnsi="Arial" w:cs="Arial"/>
        </w:rPr>
        <w:t>BYD is flexible in its approach to remain competitive by maintaining cost led and scale-based strategy that allows it to quickly adapt to fluctuations in market conditions. The combination of its affordability that is aided by vertical integration of battery manufacture and supply chain management enable BYD to continue driving pricing advantages in scaling the company (</w:t>
      </w:r>
      <w:proofErr w:type="spellStart"/>
      <w:r w:rsidR="006445B7" w:rsidRPr="006445B7">
        <w:rPr>
          <w:rFonts w:ascii="Arial" w:hAnsi="Arial" w:cs="Arial"/>
        </w:rPr>
        <w:t>Mastoi</w:t>
      </w:r>
      <w:proofErr w:type="spellEnd"/>
      <w:r w:rsidR="006445B7">
        <w:rPr>
          <w:rFonts w:ascii="Arial" w:hAnsi="Arial" w:cs="Arial"/>
        </w:rPr>
        <w:t xml:space="preserve"> et al</w:t>
      </w:r>
      <w:r w:rsidRPr="00BC2A3C">
        <w:rPr>
          <w:rFonts w:ascii="Arial" w:hAnsi="Arial" w:cs="Arial"/>
        </w:rPr>
        <w:t>, 202</w:t>
      </w:r>
      <w:r w:rsidR="006445B7">
        <w:rPr>
          <w:rFonts w:ascii="Arial" w:hAnsi="Arial" w:cs="Arial"/>
        </w:rPr>
        <w:t>2</w:t>
      </w:r>
      <w:r w:rsidRPr="00BC2A3C">
        <w:rPr>
          <w:rFonts w:ascii="Arial" w:hAnsi="Arial" w:cs="Arial"/>
        </w:rPr>
        <w:t xml:space="preserve">). This has seen the company outshine Tesla in the global electric car sales, with a high degree of compatibility with the growing popularity of affordable electric vehicles (CNN Business, 2026). </w:t>
      </w:r>
      <w:r w:rsidR="001C11C3">
        <w:rPr>
          <w:rFonts w:ascii="Arial" w:hAnsi="Arial" w:cs="Arial"/>
        </w:rPr>
        <w:t>M</w:t>
      </w:r>
      <w:r w:rsidRPr="00BC2A3C">
        <w:rPr>
          <w:rFonts w:ascii="Arial" w:hAnsi="Arial" w:cs="Arial"/>
        </w:rPr>
        <w:t>arket goal and value creation play a key role in remaining competitive.</w:t>
      </w:r>
    </w:p>
    <w:p w14:paraId="30D0E3BC" w14:textId="4391FDCA" w:rsidR="0036311A" w:rsidRPr="00BC2A3C" w:rsidRDefault="001859F3" w:rsidP="00BC2A3C">
      <w:pPr>
        <w:spacing w:line="360" w:lineRule="auto"/>
        <w:jc w:val="both"/>
        <w:rPr>
          <w:rFonts w:ascii="Arial" w:hAnsi="Arial" w:cs="Arial"/>
        </w:rPr>
      </w:pPr>
      <w:r w:rsidRPr="00BC2A3C">
        <w:rPr>
          <w:rFonts w:ascii="Arial" w:hAnsi="Arial" w:cs="Arial"/>
        </w:rPr>
        <w:t>But there are limitations of this adaptation. The dependence of BYD on low prices and domestic policy should also limit its competitiveness in the high-end markets and the international brand equity. As pointed out by ABI Research (2024), its growth is more efficiency-driven than innovation-driven. Importantly, although BYD is highly adaptive in its ability to capitalise on the existing market conditions, its long-term competitiveness relies on intensification of differentiation to stop overreliance on price-based competition</w:t>
      </w:r>
      <w:r w:rsidR="0036311A" w:rsidRPr="00BC2A3C">
        <w:rPr>
          <w:rFonts w:ascii="Arial" w:hAnsi="Arial" w:cs="Arial"/>
        </w:rPr>
        <w:t>.</w:t>
      </w:r>
    </w:p>
    <w:p w14:paraId="45D834DD" w14:textId="77777777" w:rsidR="007F1B18" w:rsidRPr="00BC2A3C" w:rsidRDefault="007F1B18" w:rsidP="00BC2A3C">
      <w:pPr>
        <w:spacing w:before="100" w:beforeAutospacing="1" w:after="100" w:afterAutospacing="1" w:line="360" w:lineRule="auto"/>
        <w:jc w:val="both"/>
        <w:rPr>
          <w:rFonts w:ascii="Arial" w:eastAsia="Times New Roman" w:hAnsi="Arial" w:cs="Arial"/>
          <w:b/>
          <w:bCs/>
          <w:kern w:val="0"/>
          <w:u w:val="single"/>
          <w:lang w:eastAsia="zh-CN"/>
          <w14:ligatures w14:val="none"/>
        </w:rPr>
      </w:pPr>
      <w:r w:rsidRPr="00BC2A3C">
        <w:rPr>
          <w:rFonts w:ascii="Arial" w:hAnsi="Arial" w:cs="Arial"/>
          <w:b/>
          <w:bCs/>
          <w:u w:val="single"/>
        </w:rPr>
        <w:t xml:space="preserve">Application of </w:t>
      </w:r>
      <w:r w:rsidRPr="00BC2A3C">
        <w:rPr>
          <w:rFonts w:ascii="Arial" w:eastAsia="Times New Roman" w:hAnsi="Arial" w:cs="Arial"/>
          <w:b/>
          <w:bCs/>
          <w:kern w:val="0"/>
          <w:u w:val="single"/>
          <w:lang w:eastAsia="zh-CN"/>
          <w14:ligatures w14:val="none"/>
        </w:rPr>
        <w:t>Porter’s Generic Strategies</w:t>
      </w:r>
    </w:p>
    <w:p w14:paraId="54F71EBA" w14:textId="09DD1C9D" w:rsidR="007F1B18" w:rsidRDefault="007F1B18" w:rsidP="00BC2A3C">
      <w:pPr>
        <w:spacing w:before="100" w:beforeAutospacing="1" w:after="100" w:afterAutospacing="1" w:line="360" w:lineRule="auto"/>
        <w:jc w:val="both"/>
        <w:rPr>
          <w:rFonts w:ascii="Arial" w:hAnsi="Arial" w:cs="Arial"/>
        </w:rPr>
      </w:pPr>
      <w:r w:rsidRPr="00BC2A3C">
        <w:rPr>
          <w:rFonts w:ascii="Arial" w:hAnsi="Arial" w:cs="Arial"/>
        </w:rPr>
        <w:t>The competitive strategy of BYD can be critically comprehended in terms of Porters Generic Strategies, with the prevailing cost leadership and selective and chosen differentiation strategies</w:t>
      </w:r>
      <w:r w:rsidR="006445B7">
        <w:rPr>
          <w:rFonts w:ascii="Arial" w:hAnsi="Arial" w:cs="Arial"/>
        </w:rPr>
        <w:t xml:space="preserve"> (</w:t>
      </w:r>
      <w:r w:rsidR="006445B7" w:rsidRPr="00BC2A3C">
        <w:rPr>
          <w:rFonts w:ascii="Arial" w:hAnsi="Arial" w:cs="Arial"/>
          <w:lang w:eastAsia="zh-CN"/>
        </w:rPr>
        <w:t>Islami</w:t>
      </w:r>
      <w:r w:rsidR="006445B7">
        <w:rPr>
          <w:rFonts w:ascii="Arial" w:hAnsi="Arial" w:cs="Arial"/>
          <w:lang w:eastAsia="zh-CN"/>
        </w:rPr>
        <w:t xml:space="preserve"> et al., 2020)</w:t>
      </w:r>
      <w:r w:rsidRPr="00BC2A3C">
        <w:rPr>
          <w:rFonts w:ascii="Arial" w:hAnsi="Arial" w:cs="Arial"/>
        </w:rPr>
        <w:t>.</w:t>
      </w:r>
    </w:p>
    <w:p w14:paraId="7CF3D5CA" w14:textId="03865161" w:rsidR="00E751A4" w:rsidRPr="00BC2A3C" w:rsidRDefault="005404EB" w:rsidP="005404EB">
      <w:pPr>
        <w:spacing w:before="100" w:beforeAutospacing="1" w:after="100" w:afterAutospacing="1" w:line="360" w:lineRule="auto"/>
        <w:jc w:val="center"/>
        <w:rPr>
          <w:rFonts w:ascii="Arial" w:eastAsia="Times New Roman" w:hAnsi="Arial" w:cs="Arial"/>
          <w:b/>
          <w:bCs/>
          <w:kern w:val="0"/>
          <w:u w:val="single"/>
          <w:lang w:eastAsia="zh-CN"/>
          <w14:ligatures w14:val="none"/>
        </w:rPr>
      </w:pPr>
      <w:r w:rsidRPr="005404EB">
        <w:rPr>
          <w:rFonts w:ascii="Arial" w:eastAsia="Times New Roman" w:hAnsi="Arial" w:cs="Arial"/>
          <w:noProof/>
          <w:kern w:val="0"/>
          <w:lang w:eastAsia="zh-CN"/>
          <w14:ligatures w14:val="none"/>
        </w:rPr>
        <w:lastRenderedPageBreak/>
        <w:drawing>
          <wp:inline distT="0" distB="0" distL="0" distR="0" wp14:anchorId="5D0CAA5E" wp14:editId="29AC3037">
            <wp:extent cx="4445757" cy="3983603"/>
            <wp:effectExtent l="0" t="0" r="0" b="0"/>
            <wp:docPr id="17152066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5312" cy="3992165"/>
                    </a:xfrm>
                    <a:prstGeom prst="rect">
                      <a:avLst/>
                    </a:prstGeom>
                    <a:noFill/>
                  </pic:spPr>
                </pic:pic>
              </a:graphicData>
            </a:graphic>
          </wp:inline>
        </w:drawing>
      </w:r>
    </w:p>
    <w:p w14:paraId="1116A7F4" w14:textId="6DD3B674" w:rsidR="007F1B18" w:rsidRPr="00BC2A3C" w:rsidRDefault="005404EB" w:rsidP="005404EB">
      <w:pPr>
        <w:spacing w:line="360" w:lineRule="auto"/>
        <w:jc w:val="center"/>
        <w:rPr>
          <w:rFonts w:ascii="Arial" w:hAnsi="Arial" w:cs="Arial"/>
        </w:rPr>
      </w:pPr>
      <w:r>
        <w:rPr>
          <w:rFonts w:ascii="Arial" w:hAnsi="Arial" w:cs="Arial"/>
        </w:rPr>
        <w:t>Figure:</w:t>
      </w:r>
      <w:r w:rsidRPr="005404EB">
        <w:t xml:space="preserve"> </w:t>
      </w:r>
      <w:r w:rsidRPr="005404EB">
        <w:rPr>
          <w:rFonts w:ascii="Arial" w:hAnsi="Arial" w:cs="Arial"/>
        </w:rPr>
        <w:t>Porter’s Generic Strategies</w:t>
      </w:r>
      <w:r>
        <w:rPr>
          <w:rFonts w:ascii="Arial" w:hAnsi="Arial" w:cs="Arial"/>
        </w:rPr>
        <w:t xml:space="preserve"> </w:t>
      </w:r>
      <w:r w:rsidRPr="005404EB">
        <w:rPr>
          <w:rFonts w:ascii="Arial" w:hAnsi="Arial" w:cs="Arial"/>
        </w:rPr>
        <w:t>(Islami et al., 2020)</w:t>
      </w:r>
    </w:p>
    <w:p w14:paraId="767EFCD8" w14:textId="002B5CE2" w:rsidR="0036311A" w:rsidRPr="00BC2A3C" w:rsidRDefault="0036311A" w:rsidP="00BC2A3C">
      <w:pPr>
        <w:spacing w:line="360" w:lineRule="auto"/>
        <w:jc w:val="both"/>
        <w:rPr>
          <w:rFonts w:ascii="Arial" w:hAnsi="Arial" w:cs="Arial"/>
          <w:b/>
          <w:bCs/>
        </w:rPr>
      </w:pPr>
      <w:r w:rsidRPr="00BC2A3C">
        <w:rPr>
          <w:rFonts w:ascii="Arial" w:hAnsi="Arial" w:cs="Arial"/>
          <w:b/>
          <w:bCs/>
        </w:rPr>
        <w:t>Cost Leadership:</w:t>
      </w:r>
    </w:p>
    <w:p w14:paraId="00B6D7F1" w14:textId="77777777" w:rsidR="0036311A" w:rsidRPr="00BC2A3C" w:rsidRDefault="0036311A" w:rsidP="00BC2A3C">
      <w:pPr>
        <w:spacing w:line="360" w:lineRule="auto"/>
        <w:jc w:val="both"/>
        <w:rPr>
          <w:rFonts w:ascii="Arial" w:hAnsi="Arial" w:cs="Arial"/>
        </w:rPr>
      </w:pPr>
      <w:r w:rsidRPr="00BC2A3C">
        <w:rPr>
          <w:rFonts w:ascii="Arial" w:hAnsi="Arial" w:cs="Arial"/>
        </w:rPr>
        <w:t>Cost leadership is highly present in BYD since it manufactures affordable EVs in large quantities. Battery manufacturing and supply chains give it a large portion of control, which results in the ability to lower costs and provide competitive prices, but not eliminate profitability (BYD vs Tesla, 2024). This gives it a sharp competitive edge in price sensitive markets.</w:t>
      </w:r>
    </w:p>
    <w:p w14:paraId="32474121" w14:textId="06EE5479" w:rsidR="0036311A" w:rsidRPr="00BC2A3C" w:rsidRDefault="0036311A" w:rsidP="00BC2A3C">
      <w:pPr>
        <w:spacing w:line="360" w:lineRule="auto"/>
        <w:jc w:val="both"/>
        <w:rPr>
          <w:rFonts w:ascii="Arial" w:hAnsi="Arial" w:cs="Arial"/>
          <w:b/>
          <w:bCs/>
        </w:rPr>
      </w:pPr>
      <w:r w:rsidRPr="00BC2A3C">
        <w:rPr>
          <w:rFonts w:ascii="Arial" w:hAnsi="Arial" w:cs="Arial"/>
          <w:b/>
          <w:bCs/>
        </w:rPr>
        <w:t xml:space="preserve">Differentiation: </w:t>
      </w:r>
      <w:r w:rsidRPr="00BC2A3C">
        <w:rPr>
          <w:rFonts w:ascii="Arial" w:hAnsi="Arial" w:cs="Arial"/>
        </w:rPr>
        <w:t>BYD lacks significant differentiation, being mostly driven by incremental innovation like the Blade Battery that enhances safety and efficiency. Nonetheless, these technologies are not enough to build a good brand differentiation against Tesla (Automotive Manufacturing Solutions, 2025).</w:t>
      </w:r>
    </w:p>
    <w:p w14:paraId="25883C39" w14:textId="15B2F0B8" w:rsidR="0036311A" w:rsidRPr="00BC2A3C" w:rsidRDefault="0036311A" w:rsidP="00BC2A3C">
      <w:pPr>
        <w:spacing w:line="360" w:lineRule="auto"/>
        <w:jc w:val="both"/>
        <w:rPr>
          <w:rFonts w:ascii="Arial" w:hAnsi="Arial" w:cs="Arial"/>
          <w:b/>
          <w:bCs/>
        </w:rPr>
      </w:pPr>
      <w:r w:rsidRPr="00BC2A3C">
        <w:rPr>
          <w:rFonts w:ascii="Arial" w:hAnsi="Arial" w:cs="Arial"/>
          <w:b/>
          <w:bCs/>
        </w:rPr>
        <w:t xml:space="preserve">Cost Focus: </w:t>
      </w:r>
      <w:r w:rsidRPr="00BC2A3C">
        <w:rPr>
          <w:rFonts w:ascii="Arial" w:hAnsi="Arial" w:cs="Arial"/>
        </w:rPr>
        <w:t>BYD employs cost focus as well since it focuses on price sensitive segments, most specifically in China and emerging markets. This makes it difficult to get into the market quickly and limit its competitiveness in the high-end market (ABI Research, 2024).</w:t>
      </w:r>
    </w:p>
    <w:p w14:paraId="1578F6A0" w14:textId="148A6D5E" w:rsidR="0036311A" w:rsidRPr="00BC2A3C" w:rsidRDefault="0036311A" w:rsidP="00BC2A3C">
      <w:pPr>
        <w:spacing w:line="360" w:lineRule="auto"/>
        <w:jc w:val="both"/>
        <w:rPr>
          <w:rFonts w:ascii="Arial" w:hAnsi="Arial" w:cs="Arial"/>
          <w:b/>
          <w:bCs/>
        </w:rPr>
      </w:pPr>
      <w:r w:rsidRPr="00BC2A3C">
        <w:rPr>
          <w:rFonts w:ascii="Arial" w:hAnsi="Arial" w:cs="Arial"/>
          <w:b/>
          <w:bCs/>
        </w:rPr>
        <w:lastRenderedPageBreak/>
        <w:t xml:space="preserve">Differentiation Focus: </w:t>
      </w:r>
      <w:r w:rsidRPr="00BC2A3C">
        <w:rPr>
          <w:rFonts w:ascii="Arial" w:hAnsi="Arial" w:cs="Arial"/>
        </w:rPr>
        <w:t>BYD is weakly involved in differentiation focus, being not a strong player in niche premium segments. This restricts its capacity on generating strong brand loyalty other than cost benefit.</w:t>
      </w:r>
    </w:p>
    <w:p w14:paraId="1D208018" w14:textId="35EC7C60" w:rsidR="0036311A" w:rsidRPr="00BC2A3C" w:rsidRDefault="0036311A" w:rsidP="00BC2A3C">
      <w:pPr>
        <w:spacing w:line="360" w:lineRule="auto"/>
        <w:jc w:val="both"/>
        <w:rPr>
          <w:rFonts w:ascii="Arial" w:hAnsi="Arial" w:cs="Arial"/>
          <w:b/>
          <w:bCs/>
          <w:u w:val="single"/>
        </w:rPr>
      </w:pPr>
      <w:r w:rsidRPr="00BC2A3C">
        <w:rPr>
          <w:rFonts w:ascii="Arial" w:hAnsi="Arial" w:cs="Arial"/>
          <w:b/>
          <w:bCs/>
          <w:u w:val="single"/>
        </w:rPr>
        <w:t>Industry Examples Supporting Strategic Response</w:t>
      </w:r>
    </w:p>
    <w:p w14:paraId="02DED4F7" w14:textId="77777777" w:rsidR="0036311A" w:rsidRPr="00BC2A3C" w:rsidRDefault="0036311A" w:rsidP="00BC2A3C">
      <w:pPr>
        <w:spacing w:line="360" w:lineRule="auto"/>
        <w:jc w:val="both"/>
        <w:rPr>
          <w:rFonts w:ascii="Arial" w:hAnsi="Arial" w:cs="Arial"/>
        </w:rPr>
      </w:pPr>
      <w:r w:rsidRPr="00BC2A3C">
        <w:rPr>
          <w:rFonts w:ascii="Arial" w:hAnsi="Arial" w:cs="Arial"/>
        </w:rPr>
        <w:t>The power of BYD strategy is reflected on the performance in the market. As an illustration, its capacity to exceed Tesla in EV sales in the quarter of 2024 is an indicator of the success of its cost leadership strategy (EV Magazine, 2024). Moreover, it has a vertically integrated model production that contributes to scalability and pricing power.</w:t>
      </w:r>
    </w:p>
    <w:p w14:paraId="13F69547" w14:textId="74BD47C7" w:rsidR="00334B6C" w:rsidRPr="00BC2A3C" w:rsidRDefault="0036311A" w:rsidP="00BC2A3C">
      <w:pPr>
        <w:spacing w:line="360" w:lineRule="auto"/>
        <w:jc w:val="both"/>
        <w:rPr>
          <w:rFonts w:ascii="Arial" w:hAnsi="Arial" w:cs="Arial"/>
          <w:b/>
          <w:bCs/>
        </w:rPr>
      </w:pPr>
      <w:r w:rsidRPr="00BC2A3C">
        <w:rPr>
          <w:rFonts w:ascii="Arial" w:hAnsi="Arial" w:cs="Arial"/>
        </w:rPr>
        <w:t>But the global expansion brings challenges. The competitiveness in the Western market is constrained by regulatory obstacles and the low strength of brand perception (International Banker, 2025). Most importantly, although BYD is currently heavily relying on their strategy to achieve high growth rates due to its focus on cost leadership, its long-term competitive stance relies in creating even greater differentiation coupled with efficiency</w:t>
      </w:r>
      <w:r w:rsidR="00334B6C" w:rsidRPr="00BC2A3C">
        <w:rPr>
          <w:rFonts w:ascii="Arial" w:hAnsi="Arial" w:cs="Arial"/>
        </w:rPr>
        <w:t>.</w:t>
      </w:r>
    </w:p>
    <w:p w14:paraId="39E26403" w14:textId="52206F96" w:rsidR="00F4799C" w:rsidRPr="00BC2A3C" w:rsidRDefault="00F4799C" w:rsidP="00BC2A3C">
      <w:pPr>
        <w:pStyle w:val="Heading1"/>
        <w:spacing w:line="360" w:lineRule="auto"/>
        <w:jc w:val="both"/>
        <w:rPr>
          <w:rFonts w:ascii="Arial" w:hAnsi="Arial" w:cs="Arial"/>
          <w:b/>
          <w:bCs/>
          <w:sz w:val="32"/>
          <w:szCs w:val="32"/>
        </w:rPr>
      </w:pPr>
      <w:bookmarkStart w:id="12" w:name="_Toc225205316"/>
      <w:r w:rsidRPr="00BC2A3C">
        <w:rPr>
          <w:rFonts w:ascii="Arial" w:hAnsi="Arial" w:cs="Arial"/>
          <w:b/>
          <w:bCs/>
          <w:sz w:val="32"/>
          <w:szCs w:val="32"/>
        </w:rPr>
        <w:t>4. Conclusion</w:t>
      </w:r>
      <w:bookmarkEnd w:id="12"/>
      <w:r w:rsidRPr="00BC2A3C">
        <w:rPr>
          <w:rFonts w:ascii="Arial" w:hAnsi="Arial" w:cs="Arial"/>
          <w:b/>
          <w:bCs/>
          <w:sz w:val="32"/>
          <w:szCs w:val="32"/>
        </w:rPr>
        <w:t xml:space="preserve"> </w:t>
      </w:r>
    </w:p>
    <w:p w14:paraId="784573EA" w14:textId="1EC51483" w:rsidR="00F4799C" w:rsidRPr="00BC2A3C" w:rsidRDefault="00E333EF" w:rsidP="00BC2A3C">
      <w:pPr>
        <w:spacing w:before="100" w:beforeAutospacing="1" w:after="100" w:afterAutospacing="1" w:line="360" w:lineRule="auto"/>
        <w:jc w:val="both"/>
        <w:rPr>
          <w:rFonts w:ascii="Arial" w:eastAsia="Times New Roman" w:hAnsi="Arial" w:cs="Arial"/>
          <w:kern w:val="0"/>
          <w:lang w:eastAsia="zh-CN"/>
          <w14:ligatures w14:val="none"/>
        </w:rPr>
      </w:pPr>
      <w:r w:rsidRPr="00BC2A3C">
        <w:rPr>
          <w:rFonts w:ascii="Arial" w:hAnsi="Arial" w:cs="Arial"/>
        </w:rPr>
        <w:t>T</w:t>
      </w:r>
      <w:r w:rsidRPr="00BC2A3C">
        <w:rPr>
          <w:rFonts w:ascii="Arial" w:eastAsia="Times New Roman" w:hAnsi="Arial" w:cs="Arial"/>
          <w:kern w:val="0"/>
          <w:lang w:eastAsia="zh-CN"/>
          <w14:ligatures w14:val="none"/>
        </w:rPr>
        <w:t xml:space="preserve">his report has critically discussed the role of macro environmental factors in determining the competition between Tesla company as a pioneer and BYD as a follower in the EV industry. The analysis indicated the political and technological as major drivers that play a role in creating opportunity as well as in exerting competitive pressure. To create differentiation, Tesla first counted on the leverage of regulatory support and technological innovativeness, but the changing policies and diffusion of technology has diluted its sustainable capability. On the contrary, BYD took advantage of the state subsidies and cost-effective technological adjustment to realise large scale and a market leadership. In strategic terms, the hybrid strategy at Tesla is an indication of a shift of differentiation to cost responsiveness, whereas at BYD, the strategy is highly rooted in the cost leadership approach with low differentiation. Evidence in the industry shows that followers could effectively oppose pioneers by matching it with market affordability and performance efficiency. </w:t>
      </w:r>
      <w:r w:rsidR="001C11C3">
        <w:rPr>
          <w:rFonts w:ascii="Arial" w:eastAsia="Times New Roman" w:hAnsi="Arial" w:cs="Arial"/>
          <w:kern w:val="0"/>
          <w:lang w:eastAsia="zh-CN"/>
          <w14:ligatures w14:val="none"/>
        </w:rPr>
        <w:t>Th</w:t>
      </w:r>
      <w:r w:rsidRPr="00BC2A3C">
        <w:rPr>
          <w:rFonts w:ascii="Arial" w:eastAsia="Times New Roman" w:hAnsi="Arial" w:cs="Arial"/>
          <w:kern w:val="0"/>
          <w:lang w:eastAsia="zh-CN"/>
          <w14:ligatures w14:val="none"/>
        </w:rPr>
        <w:t>e re</w:t>
      </w:r>
      <w:r w:rsidR="001C11C3">
        <w:rPr>
          <w:rFonts w:ascii="Arial" w:eastAsia="Times New Roman" w:hAnsi="Arial" w:cs="Arial"/>
          <w:kern w:val="0"/>
          <w:lang w:eastAsia="zh-CN"/>
          <w14:ligatures w14:val="none"/>
        </w:rPr>
        <w:t>port</w:t>
      </w:r>
      <w:r w:rsidRPr="00BC2A3C">
        <w:rPr>
          <w:rFonts w:ascii="Arial" w:eastAsia="Times New Roman" w:hAnsi="Arial" w:cs="Arial"/>
          <w:kern w:val="0"/>
          <w:lang w:eastAsia="zh-CN"/>
          <w14:ligatures w14:val="none"/>
        </w:rPr>
        <w:t xml:space="preserve"> highlight the importance of the environmental scanning to predict the external changes and make strategic decisions. Companies that constantly adjust marketing strategies based on macro environmental changes are more likely to remain competitive. Competitive advantage </w:t>
      </w:r>
      <w:r w:rsidRPr="00BC2A3C">
        <w:rPr>
          <w:rFonts w:ascii="Arial" w:eastAsia="Times New Roman" w:hAnsi="Arial" w:cs="Arial"/>
          <w:kern w:val="0"/>
          <w:lang w:eastAsia="zh-CN"/>
          <w14:ligatures w14:val="none"/>
        </w:rPr>
        <w:lastRenderedPageBreak/>
        <w:t>in dynamic industries like EVs is dynamic and changes along with the capacity of the firm to balance innovation, cost efficiency, and responsiveness to external forces.</w:t>
      </w:r>
    </w:p>
    <w:p w14:paraId="0AA6D594" w14:textId="77777777" w:rsidR="008E6ED3" w:rsidRPr="00BC2A3C" w:rsidRDefault="008E6ED3" w:rsidP="00BC2A3C">
      <w:pPr>
        <w:spacing w:before="100" w:beforeAutospacing="1" w:after="100" w:afterAutospacing="1" w:line="360" w:lineRule="auto"/>
        <w:jc w:val="both"/>
        <w:rPr>
          <w:rFonts w:ascii="Arial" w:eastAsia="Times New Roman" w:hAnsi="Arial" w:cs="Arial"/>
          <w:kern w:val="0"/>
          <w:lang w:eastAsia="zh-CN"/>
          <w14:ligatures w14:val="none"/>
        </w:rPr>
      </w:pPr>
    </w:p>
    <w:p w14:paraId="19F578B6"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370439C0"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1340A6C6"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3B5D75AE"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3E6A75F4"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5C2F16B8"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2463758A" w14:textId="77777777" w:rsidR="008E6ED3" w:rsidRPr="00BC2A3C"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6191649C" w14:textId="77777777" w:rsidR="008E6ED3" w:rsidRDefault="008E6ED3" w:rsidP="00E333EF">
      <w:pPr>
        <w:spacing w:before="100" w:beforeAutospacing="1" w:after="100" w:afterAutospacing="1" w:line="360" w:lineRule="auto"/>
        <w:jc w:val="both"/>
        <w:rPr>
          <w:rFonts w:ascii="Arial" w:eastAsia="Times New Roman" w:hAnsi="Arial" w:cs="Arial"/>
          <w:kern w:val="0"/>
          <w:lang w:eastAsia="zh-CN"/>
          <w14:ligatures w14:val="none"/>
        </w:rPr>
      </w:pPr>
    </w:p>
    <w:p w14:paraId="6C5679EC"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555DAEDE"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3EA06D11"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4280BFCF"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4634FD00"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7D778D3B"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291F7DC2" w14:textId="77777777" w:rsidR="001C11C3"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6B826B4F" w14:textId="77777777" w:rsidR="001C11C3" w:rsidRPr="00BC2A3C" w:rsidRDefault="001C11C3" w:rsidP="00E333EF">
      <w:pPr>
        <w:spacing w:before="100" w:beforeAutospacing="1" w:after="100" w:afterAutospacing="1" w:line="360" w:lineRule="auto"/>
        <w:jc w:val="both"/>
        <w:rPr>
          <w:rFonts w:ascii="Arial" w:eastAsia="Times New Roman" w:hAnsi="Arial" w:cs="Arial"/>
          <w:kern w:val="0"/>
          <w:lang w:eastAsia="zh-CN"/>
          <w14:ligatures w14:val="none"/>
        </w:rPr>
      </w:pPr>
    </w:p>
    <w:p w14:paraId="1B7CD84A" w14:textId="7E492252" w:rsidR="00F4799C" w:rsidRPr="00BC2A3C" w:rsidRDefault="00F4799C" w:rsidP="00E73758">
      <w:pPr>
        <w:pStyle w:val="Heading1"/>
        <w:rPr>
          <w:rFonts w:ascii="Arial" w:hAnsi="Arial" w:cs="Arial"/>
          <w:b/>
          <w:bCs/>
          <w:sz w:val="32"/>
          <w:szCs w:val="32"/>
        </w:rPr>
      </w:pPr>
      <w:bookmarkStart w:id="13" w:name="_Toc225205317"/>
      <w:r w:rsidRPr="00BC2A3C">
        <w:rPr>
          <w:rFonts w:ascii="Arial" w:hAnsi="Arial" w:cs="Arial"/>
          <w:b/>
          <w:bCs/>
          <w:sz w:val="32"/>
          <w:szCs w:val="32"/>
        </w:rPr>
        <w:lastRenderedPageBreak/>
        <w:t>5. References</w:t>
      </w:r>
      <w:bookmarkEnd w:id="13"/>
      <w:r w:rsidRPr="00BC2A3C">
        <w:rPr>
          <w:rFonts w:ascii="Arial" w:hAnsi="Arial" w:cs="Arial"/>
          <w:b/>
          <w:bCs/>
          <w:sz w:val="32"/>
          <w:szCs w:val="32"/>
        </w:rPr>
        <w:t xml:space="preserve"> </w:t>
      </w:r>
    </w:p>
    <w:p w14:paraId="713DF8A8"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ABI Research (2024) Upset Alert: How BYD Sidestepped Tesla to Become EV Market Leader. Available at: </w:t>
      </w:r>
      <w:hyperlink r:id="rId12" w:history="1">
        <w:r w:rsidRPr="00BC2A3C">
          <w:rPr>
            <w:rStyle w:val="Hyperlink"/>
            <w:rFonts w:ascii="Arial" w:hAnsi="Arial" w:cs="Arial"/>
            <w:lang w:eastAsia="zh-CN"/>
          </w:rPr>
          <w:t>https://www.abiresearch.com/blog/how-byd-passed-tesla-as-ev-market-leader</w:t>
        </w:r>
      </w:hyperlink>
      <w:r w:rsidRPr="00BC2A3C">
        <w:rPr>
          <w:rFonts w:ascii="Arial" w:hAnsi="Arial" w:cs="Arial"/>
          <w:lang w:eastAsia="zh-CN"/>
        </w:rPr>
        <w:t xml:space="preserve">  (Accessed: 20 March 2026).</w:t>
      </w:r>
    </w:p>
    <w:p w14:paraId="717943BB" w14:textId="77777777" w:rsidR="001C11C3"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Automotive Manufacturing Solutions (2025) How China's BYD Surpassed Tesla with Production and Battery Tech. Available at: </w:t>
      </w:r>
      <w:hyperlink r:id="rId13" w:history="1">
        <w:r w:rsidRPr="00BC2A3C">
          <w:rPr>
            <w:rStyle w:val="Hyperlink"/>
            <w:rFonts w:ascii="Arial" w:hAnsi="Arial" w:cs="Arial"/>
            <w:lang w:eastAsia="zh-CN"/>
          </w:rPr>
          <w:t>https://www.automotivemanufacturingsolutions.com/electrification/how-chinas-byd-surpassed-tesla-with-production-and-battery-tech-reshaping-the-global-ev-market/304649</w:t>
        </w:r>
      </w:hyperlink>
      <w:r w:rsidRPr="00BC2A3C">
        <w:rPr>
          <w:rFonts w:ascii="Arial" w:hAnsi="Arial" w:cs="Arial"/>
          <w:lang w:eastAsia="zh-CN"/>
        </w:rPr>
        <w:t xml:space="preserve">  (Accessed: 20 March 2026).</w:t>
      </w:r>
    </w:p>
    <w:p w14:paraId="54286321"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BYD vs. Tesla: A Comprehensive Financial Analysis and Investment Outlook (2024) Available at: </w:t>
      </w:r>
      <w:hyperlink r:id="rId14" w:history="1">
        <w:r w:rsidRPr="00BC2A3C">
          <w:rPr>
            <w:rStyle w:val="Hyperlink"/>
            <w:rFonts w:ascii="Arial" w:hAnsi="Arial" w:cs="Arial"/>
            <w:lang w:eastAsia="zh-CN"/>
          </w:rPr>
          <w:t>https://www.kavout.com/market-lens/byd-vs-tesla-a-comprehensive-financial-analysis-and-investment-outlook</w:t>
        </w:r>
      </w:hyperlink>
      <w:r w:rsidRPr="00BC2A3C">
        <w:rPr>
          <w:rFonts w:ascii="Arial" w:hAnsi="Arial" w:cs="Arial"/>
          <w:lang w:eastAsia="zh-CN"/>
        </w:rPr>
        <w:t xml:space="preserve">  (Accessed: 20 March 2026).</w:t>
      </w:r>
    </w:p>
    <w:p w14:paraId="2C6FCF1E"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CNN Business (2026) The World Has a New EV King. It's Not Tesla. Available at: </w:t>
      </w:r>
      <w:hyperlink r:id="rId15" w:history="1">
        <w:r w:rsidRPr="00BC2A3C">
          <w:rPr>
            <w:rStyle w:val="Hyperlink"/>
            <w:rFonts w:ascii="Arial" w:hAnsi="Arial" w:cs="Arial"/>
            <w:lang w:eastAsia="zh-CN"/>
          </w:rPr>
          <w:t>https://www.cnn.com/2026/01/02/business/tesla-byd-ev</w:t>
        </w:r>
      </w:hyperlink>
      <w:r w:rsidRPr="00BC2A3C">
        <w:rPr>
          <w:rFonts w:ascii="Arial" w:hAnsi="Arial" w:cs="Arial"/>
          <w:lang w:eastAsia="zh-CN"/>
        </w:rPr>
        <w:t xml:space="preserve">  (Accessed: 2 January 2026).</w:t>
      </w:r>
    </w:p>
    <w:p w14:paraId="58697B7A" w14:textId="77777777" w:rsidR="001C11C3" w:rsidRPr="00BC2A3C" w:rsidRDefault="001C11C3" w:rsidP="008E6ED3">
      <w:pPr>
        <w:spacing w:line="360" w:lineRule="auto"/>
        <w:ind w:left="720" w:hanging="720"/>
        <w:jc w:val="both"/>
        <w:rPr>
          <w:rFonts w:ascii="Arial" w:hAnsi="Arial" w:cs="Arial"/>
          <w:lang w:eastAsia="zh-CN"/>
        </w:rPr>
      </w:pPr>
      <w:r w:rsidRPr="00E751A4">
        <w:rPr>
          <w:rFonts w:ascii="Arial" w:hAnsi="Arial" w:cs="Arial"/>
          <w:lang w:eastAsia="zh-CN"/>
        </w:rPr>
        <w:t>Debnath, R., Bardhan, R., Reiner, D.M. and Miller, J.R., 2021. Political, economic, social, technological, legal and environmental dimensions of electric vehicle adoption in the United States: A social-media interaction analysis. Renewable and Sustainable Energy Reviews, 152, p.111707.</w:t>
      </w:r>
    </w:p>
    <w:p w14:paraId="61B2DF65"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EV Magazine (2024) BYD Surpasses Tesla in Quarterly Sales Amid EV Market Shakeup. Available at: </w:t>
      </w:r>
      <w:hyperlink r:id="rId16" w:history="1">
        <w:r w:rsidRPr="00BC2A3C">
          <w:rPr>
            <w:rStyle w:val="Hyperlink"/>
            <w:rFonts w:ascii="Arial" w:hAnsi="Arial" w:cs="Arial"/>
            <w:lang w:eastAsia="zh-CN"/>
          </w:rPr>
          <w:t>https://evmagazine.com/news/byd-surpasses-tesla-in-quarterly-sales-amid-ev-market-shakeu</w:t>
        </w:r>
      </w:hyperlink>
      <w:r w:rsidRPr="00BC2A3C">
        <w:rPr>
          <w:rFonts w:ascii="Arial" w:hAnsi="Arial" w:cs="Arial"/>
          <w:lang w:eastAsia="zh-CN"/>
        </w:rPr>
        <w:t xml:space="preserve">  (Accessed: 20 March 2026).</w:t>
      </w:r>
    </w:p>
    <w:p w14:paraId="26310AFF" w14:textId="77777777" w:rsidR="001C11C3" w:rsidRPr="00BC2A3C" w:rsidRDefault="001C11C3" w:rsidP="008E6ED3">
      <w:pPr>
        <w:spacing w:line="360" w:lineRule="auto"/>
        <w:ind w:left="720" w:hanging="720"/>
        <w:jc w:val="both"/>
        <w:rPr>
          <w:rFonts w:ascii="Arial" w:hAnsi="Arial" w:cs="Arial"/>
          <w:lang w:eastAsia="zh-CN"/>
        </w:rPr>
      </w:pPr>
      <w:r w:rsidRPr="00E751A4">
        <w:rPr>
          <w:rFonts w:ascii="Arial" w:hAnsi="Arial" w:cs="Arial"/>
          <w:lang w:eastAsia="zh-CN"/>
        </w:rPr>
        <w:t>Fedotov, P., 2022. Critical Analysis of the Electric Vehicle Industry: Five forces and strategic action fields. Exchanges: The Interdisciplinary Research Journal, 10(1), pp.43-56.</w:t>
      </w:r>
    </w:p>
    <w:p w14:paraId="427FA24B"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Foley &amp; Lardner LLP (2024) EV and EV-Infrastructure Deployment Encounters Regulatory, Political, and Market Challenges in 2024. Available at: </w:t>
      </w:r>
      <w:hyperlink r:id="rId17" w:history="1">
        <w:r w:rsidRPr="00BC2A3C">
          <w:rPr>
            <w:rStyle w:val="Hyperlink"/>
            <w:rFonts w:ascii="Arial" w:hAnsi="Arial" w:cs="Arial"/>
            <w:lang w:eastAsia="zh-CN"/>
          </w:rPr>
          <w:t>https://www.foley.com/insights/publications/2024/11/ev-infrastructure-deployment-regulatory-political-market-challenges/</w:t>
        </w:r>
      </w:hyperlink>
      <w:r w:rsidRPr="00BC2A3C">
        <w:rPr>
          <w:rFonts w:ascii="Arial" w:hAnsi="Arial" w:cs="Arial"/>
          <w:lang w:eastAsia="zh-CN"/>
        </w:rPr>
        <w:t xml:space="preserve">  (Accessed: 20 March 2026).</w:t>
      </w:r>
    </w:p>
    <w:p w14:paraId="3581DFED"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International Banker (2025) As Tesla Falters, BYD Steps Up to Assert Its Global EV Market Dominance. Available at: </w:t>
      </w:r>
      <w:hyperlink r:id="rId18" w:history="1">
        <w:r w:rsidRPr="00BC2A3C">
          <w:rPr>
            <w:rStyle w:val="Hyperlink"/>
            <w:rFonts w:ascii="Arial" w:hAnsi="Arial" w:cs="Arial"/>
            <w:lang w:eastAsia="zh-CN"/>
          </w:rPr>
          <w:t>https://internationalbanker.com/finance/as-</w:t>
        </w:r>
        <w:r w:rsidRPr="00BC2A3C">
          <w:rPr>
            <w:rStyle w:val="Hyperlink"/>
            <w:rFonts w:ascii="Arial" w:hAnsi="Arial" w:cs="Arial"/>
            <w:lang w:eastAsia="zh-CN"/>
          </w:rPr>
          <w:lastRenderedPageBreak/>
          <w:t>tesla-falters-byd-steps-up-to-assert-its-global-ev-market-dominance</w:t>
        </w:r>
      </w:hyperlink>
      <w:r w:rsidRPr="00BC2A3C">
        <w:rPr>
          <w:rFonts w:ascii="Arial" w:hAnsi="Arial" w:cs="Arial"/>
          <w:lang w:eastAsia="zh-CN"/>
        </w:rPr>
        <w:t xml:space="preserve"> / (Accessed: 20 March 2026).</w:t>
      </w:r>
    </w:p>
    <w:p w14:paraId="52786847"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International Energy Agency (IEA) (2023) Policy Developments – Global EV Outlook 2023. Paris: IEA. Available at: </w:t>
      </w:r>
      <w:hyperlink r:id="rId19" w:history="1">
        <w:r w:rsidRPr="00BC2A3C">
          <w:rPr>
            <w:rStyle w:val="Hyperlink"/>
            <w:rFonts w:ascii="Arial" w:hAnsi="Arial" w:cs="Arial"/>
            <w:lang w:eastAsia="zh-CN"/>
          </w:rPr>
          <w:t>https://www.iea.org/reports/global-ev-outlook-2023/policy-developments</w:t>
        </w:r>
      </w:hyperlink>
      <w:r w:rsidRPr="00BC2A3C">
        <w:rPr>
          <w:rFonts w:ascii="Arial" w:hAnsi="Arial" w:cs="Arial"/>
          <w:lang w:eastAsia="zh-CN"/>
        </w:rPr>
        <w:t xml:space="preserve">  (Accessed: 20 March 2026).</w:t>
      </w:r>
    </w:p>
    <w:p w14:paraId="70455C2F"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International Energy Agency (IEA) (2024) Global EV Outlook 2024: Moving Towards Increased Affordability. Paris: IEA. Available at: </w:t>
      </w:r>
      <w:hyperlink r:id="rId20" w:history="1">
        <w:r w:rsidRPr="00BC2A3C">
          <w:rPr>
            <w:rStyle w:val="Hyperlink"/>
            <w:rFonts w:ascii="Arial" w:hAnsi="Arial" w:cs="Arial"/>
            <w:lang w:eastAsia="zh-CN"/>
          </w:rPr>
          <w:t>https://www.iea.org/reports/global-ev-outlook-2024</w:t>
        </w:r>
      </w:hyperlink>
      <w:r w:rsidRPr="00BC2A3C">
        <w:rPr>
          <w:rFonts w:ascii="Arial" w:hAnsi="Arial" w:cs="Arial"/>
          <w:lang w:eastAsia="zh-CN"/>
        </w:rPr>
        <w:t xml:space="preserve">  (Accessed: 20 March 2026).</w:t>
      </w:r>
    </w:p>
    <w:p w14:paraId="2FEE6299"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Islami, X., Mustafa, N. and </w:t>
      </w:r>
      <w:proofErr w:type="spellStart"/>
      <w:r w:rsidRPr="00BC2A3C">
        <w:rPr>
          <w:rFonts w:ascii="Arial" w:hAnsi="Arial" w:cs="Arial"/>
          <w:lang w:eastAsia="zh-CN"/>
        </w:rPr>
        <w:t>Topuzovska</w:t>
      </w:r>
      <w:proofErr w:type="spellEnd"/>
      <w:r w:rsidRPr="00BC2A3C">
        <w:rPr>
          <w:rFonts w:ascii="Arial" w:hAnsi="Arial" w:cs="Arial"/>
          <w:lang w:eastAsia="zh-CN"/>
        </w:rPr>
        <w:t xml:space="preserve"> </w:t>
      </w:r>
      <w:proofErr w:type="spellStart"/>
      <w:r w:rsidRPr="00BC2A3C">
        <w:rPr>
          <w:rFonts w:ascii="Arial" w:hAnsi="Arial" w:cs="Arial"/>
          <w:lang w:eastAsia="zh-CN"/>
        </w:rPr>
        <w:t>Latkovikj</w:t>
      </w:r>
      <w:proofErr w:type="spellEnd"/>
      <w:r w:rsidRPr="00BC2A3C">
        <w:rPr>
          <w:rFonts w:ascii="Arial" w:hAnsi="Arial" w:cs="Arial"/>
          <w:lang w:eastAsia="zh-CN"/>
        </w:rPr>
        <w:t xml:space="preserve">, M. (2020) 'Linking Porter's Generic Strategies to Firm Performance', Future Business Journal, 6(1), pp. 1–15. Available at: </w:t>
      </w:r>
      <w:hyperlink r:id="rId21" w:history="1">
        <w:r w:rsidRPr="00BC2A3C">
          <w:rPr>
            <w:rStyle w:val="Hyperlink"/>
            <w:rFonts w:ascii="Arial" w:hAnsi="Arial" w:cs="Arial"/>
            <w:lang w:eastAsia="zh-CN"/>
          </w:rPr>
          <w:t>https://doi.org/10.1186/s43093-020-0009-1</w:t>
        </w:r>
      </w:hyperlink>
      <w:r w:rsidRPr="00BC2A3C">
        <w:rPr>
          <w:rFonts w:ascii="Arial" w:hAnsi="Arial" w:cs="Arial"/>
          <w:lang w:eastAsia="zh-CN"/>
        </w:rPr>
        <w:t xml:space="preserve">  (Accessed: 20 March 2026).</w:t>
      </w:r>
    </w:p>
    <w:p w14:paraId="6749543B"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Kotler, P., Armstrong, G., Harris, L. and Piercy, N. (2020) Principles of marketing. 8th European </w:t>
      </w:r>
      <w:proofErr w:type="spellStart"/>
      <w:r w:rsidRPr="00BC2A3C">
        <w:rPr>
          <w:rFonts w:ascii="Arial" w:hAnsi="Arial" w:cs="Arial"/>
          <w:lang w:eastAsia="zh-CN"/>
        </w:rPr>
        <w:t>edn</w:t>
      </w:r>
      <w:proofErr w:type="spellEnd"/>
      <w:r w:rsidRPr="00BC2A3C">
        <w:rPr>
          <w:rFonts w:ascii="Arial" w:hAnsi="Arial" w:cs="Arial"/>
          <w:lang w:eastAsia="zh-CN"/>
        </w:rPr>
        <w:t>. Harlow: Pearson.</w:t>
      </w:r>
    </w:p>
    <w:p w14:paraId="033154AC" w14:textId="77777777" w:rsidR="001C11C3" w:rsidRPr="00BC2A3C" w:rsidRDefault="001C11C3" w:rsidP="008E6ED3">
      <w:pPr>
        <w:spacing w:line="360" w:lineRule="auto"/>
        <w:ind w:left="720" w:hanging="720"/>
        <w:jc w:val="both"/>
        <w:rPr>
          <w:rFonts w:ascii="Arial" w:hAnsi="Arial" w:cs="Arial"/>
          <w:lang w:eastAsia="zh-CN"/>
        </w:rPr>
      </w:pPr>
      <w:proofErr w:type="spellStart"/>
      <w:r w:rsidRPr="00BC2A3C">
        <w:rPr>
          <w:rFonts w:ascii="Arial" w:hAnsi="Arial" w:cs="Arial"/>
          <w:lang w:eastAsia="zh-CN"/>
        </w:rPr>
        <w:t>Mastoi</w:t>
      </w:r>
      <w:proofErr w:type="spellEnd"/>
      <w:r w:rsidRPr="00BC2A3C">
        <w:rPr>
          <w:rFonts w:ascii="Arial" w:hAnsi="Arial" w:cs="Arial"/>
          <w:lang w:eastAsia="zh-CN"/>
        </w:rPr>
        <w:t xml:space="preserve">, M.S., Zhuang, S., Munir, H.M., Haris, M., Hassan, M., Usman, M., Bukhari, S.S.H. and Ro, J.-S. (2022) 'An In-Depth Analysis of Electric Vehicle Charging Station Infrastructure, Policy Implications, and Future Trends', Energy Reports, 8, pp. 11504–11529. Available at: </w:t>
      </w:r>
      <w:hyperlink r:id="rId22" w:history="1">
        <w:r w:rsidRPr="00BC2A3C">
          <w:rPr>
            <w:rStyle w:val="Hyperlink"/>
            <w:rFonts w:ascii="Arial" w:hAnsi="Arial" w:cs="Arial"/>
            <w:lang w:eastAsia="zh-CN"/>
          </w:rPr>
          <w:t>https://doi.org/10.1016/j.egyr.2022.09.011</w:t>
        </w:r>
      </w:hyperlink>
      <w:r w:rsidRPr="00BC2A3C">
        <w:rPr>
          <w:rFonts w:ascii="Arial" w:hAnsi="Arial" w:cs="Arial"/>
          <w:lang w:eastAsia="zh-CN"/>
        </w:rPr>
        <w:t xml:space="preserve">  (Accessed: 20 March 2026).</w:t>
      </w:r>
    </w:p>
    <w:p w14:paraId="1689F9EB" w14:textId="77777777" w:rsidR="001C11C3" w:rsidRPr="00BC2A3C" w:rsidRDefault="001C11C3" w:rsidP="008E6ED3">
      <w:pPr>
        <w:spacing w:line="360" w:lineRule="auto"/>
        <w:ind w:left="720" w:hanging="720"/>
        <w:jc w:val="both"/>
        <w:rPr>
          <w:rFonts w:ascii="Arial" w:hAnsi="Arial" w:cs="Arial"/>
          <w:lang w:eastAsia="zh-CN"/>
        </w:rPr>
      </w:pPr>
      <w:proofErr w:type="spellStart"/>
      <w:r w:rsidRPr="00BC2A3C">
        <w:rPr>
          <w:rFonts w:ascii="Arial" w:hAnsi="Arial" w:cs="Arial"/>
          <w:lang w:eastAsia="zh-CN"/>
        </w:rPr>
        <w:t>Panmore</w:t>
      </w:r>
      <w:proofErr w:type="spellEnd"/>
      <w:r w:rsidRPr="00BC2A3C">
        <w:rPr>
          <w:rFonts w:ascii="Arial" w:hAnsi="Arial" w:cs="Arial"/>
          <w:lang w:eastAsia="zh-CN"/>
        </w:rPr>
        <w:t xml:space="preserve"> Institute (2024) Tesla's Generic Competitive Strategy and Growth Strategies. Available at: </w:t>
      </w:r>
      <w:hyperlink r:id="rId23" w:history="1">
        <w:r w:rsidRPr="00BC2A3C">
          <w:rPr>
            <w:rStyle w:val="Hyperlink"/>
            <w:rFonts w:ascii="Arial" w:hAnsi="Arial" w:cs="Arial"/>
            <w:lang w:eastAsia="zh-CN"/>
          </w:rPr>
          <w:t>https://panmore.com/tesla-motors-inc-generic-strategy-intensive-growth-strategies-analysis</w:t>
        </w:r>
      </w:hyperlink>
      <w:r w:rsidRPr="00BC2A3C">
        <w:rPr>
          <w:rFonts w:ascii="Arial" w:hAnsi="Arial" w:cs="Arial"/>
          <w:lang w:eastAsia="zh-CN"/>
        </w:rPr>
        <w:t xml:space="preserve">  (Accessed: 20 March 2026).</w:t>
      </w:r>
    </w:p>
    <w:p w14:paraId="46455F06" w14:textId="77777777" w:rsidR="001C11C3"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Pérez-Belis, V., Alcaide, M.A., González-Medina, M. and Gadea, E. (2022) 'Measuring the Sustainability of Electric Vehicles in Cyprus Using PESTEL Analysis', Transportation Research Procedia, [Online]. Available at: </w:t>
      </w:r>
      <w:hyperlink r:id="rId24" w:history="1">
        <w:r w:rsidRPr="00BC2A3C">
          <w:rPr>
            <w:rStyle w:val="Hyperlink"/>
            <w:rFonts w:ascii="Arial" w:hAnsi="Arial" w:cs="Arial"/>
            <w:lang w:eastAsia="zh-CN"/>
          </w:rPr>
          <w:t>https://www.sciencedirect.com/science/article/abs/pii/S2213624X24001524</w:t>
        </w:r>
      </w:hyperlink>
      <w:r w:rsidRPr="00BC2A3C">
        <w:rPr>
          <w:rFonts w:ascii="Arial" w:hAnsi="Arial" w:cs="Arial"/>
          <w:lang w:eastAsia="zh-CN"/>
        </w:rPr>
        <w:t xml:space="preserve">  (Accessed: 20 March 2026).</w:t>
      </w:r>
    </w:p>
    <w:p w14:paraId="6E5B51ED" w14:textId="77777777" w:rsidR="001C11C3" w:rsidRPr="00BC2A3C" w:rsidRDefault="001C11C3" w:rsidP="008E6ED3">
      <w:pPr>
        <w:spacing w:line="360" w:lineRule="auto"/>
        <w:ind w:left="720" w:hanging="720"/>
        <w:jc w:val="both"/>
        <w:rPr>
          <w:rFonts w:ascii="Arial" w:hAnsi="Arial" w:cs="Arial"/>
          <w:lang w:eastAsia="zh-CN"/>
        </w:rPr>
      </w:pPr>
      <w:proofErr w:type="spellStart"/>
      <w:r w:rsidRPr="006445B7">
        <w:rPr>
          <w:rFonts w:ascii="Arial" w:hAnsi="Arial" w:cs="Arial"/>
          <w:lang w:eastAsia="zh-CN"/>
        </w:rPr>
        <w:t>Priporas</w:t>
      </w:r>
      <w:proofErr w:type="spellEnd"/>
      <w:r w:rsidRPr="006445B7">
        <w:rPr>
          <w:rFonts w:ascii="Arial" w:hAnsi="Arial" w:cs="Arial"/>
          <w:lang w:eastAsia="zh-CN"/>
        </w:rPr>
        <w:t xml:space="preserve">, C.V., </w:t>
      </w:r>
      <w:proofErr w:type="spellStart"/>
      <w:r w:rsidRPr="006445B7">
        <w:rPr>
          <w:rFonts w:ascii="Arial" w:hAnsi="Arial" w:cs="Arial"/>
          <w:lang w:eastAsia="zh-CN"/>
        </w:rPr>
        <w:t>Kamenidou</w:t>
      </w:r>
      <w:proofErr w:type="spellEnd"/>
      <w:r w:rsidRPr="006445B7">
        <w:rPr>
          <w:rFonts w:ascii="Arial" w:hAnsi="Arial" w:cs="Arial"/>
          <w:lang w:eastAsia="zh-CN"/>
        </w:rPr>
        <w:t>, I., Nguyen, N. and Shams, R., 2020. The impact of the macro-environment on consumer scepticism towards cause-related marketing: Insights from an economic crisis setting. International Marketing Review, 37(5), pp.841-861.</w:t>
      </w:r>
    </w:p>
    <w:p w14:paraId="4062EEC1" w14:textId="77777777" w:rsidR="001C11C3" w:rsidRPr="00BC2A3C" w:rsidRDefault="001C11C3" w:rsidP="008E6ED3">
      <w:pPr>
        <w:spacing w:line="360" w:lineRule="auto"/>
        <w:ind w:left="720" w:hanging="720"/>
        <w:jc w:val="both"/>
        <w:rPr>
          <w:rFonts w:ascii="Arial" w:hAnsi="Arial" w:cs="Arial"/>
          <w:lang w:eastAsia="zh-CN"/>
        </w:rPr>
      </w:pPr>
      <w:proofErr w:type="spellStart"/>
      <w:r w:rsidRPr="00BC2A3C">
        <w:rPr>
          <w:rFonts w:ascii="Arial" w:hAnsi="Arial" w:cs="Arial"/>
          <w:lang w:eastAsia="zh-CN"/>
        </w:rPr>
        <w:t>Shivasharana</w:t>
      </w:r>
      <w:proofErr w:type="spellEnd"/>
      <w:r w:rsidRPr="00BC2A3C">
        <w:rPr>
          <w:rFonts w:ascii="Arial" w:hAnsi="Arial" w:cs="Arial"/>
          <w:lang w:eastAsia="zh-CN"/>
        </w:rPr>
        <w:t xml:space="preserve">, S. et al. (2023) 'A Case Study of Tesla's Operations and Marketing Strategies', Frontiers in Business, Economics and Management, pp. 1–15. </w:t>
      </w:r>
      <w:r w:rsidRPr="00BC2A3C">
        <w:rPr>
          <w:rFonts w:ascii="Arial" w:hAnsi="Arial" w:cs="Arial"/>
          <w:lang w:eastAsia="zh-CN"/>
        </w:rPr>
        <w:lastRenderedPageBreak/>
        <w:t xml:space="preserve">Available at: </w:t>
      </w:r>
      <w:hyperlink r:id="rId25" w:history="1">
        <w:r w:rsidRPr="00BC2A3C">
          <w:rPr>
            <w:rStyle w:val="Hyperlink"/>
            <w:rFonts w:ascii="Arial" w:hAnsi="Arial" w:cs="Arial"/>
            <w:lang w:eastAsia="zh-CN"/>
          </w:rPr>
          <w:t>https://journals.bohrpub.com/index.php/bjfmcf/article/download/365/3055/3464</w:t>
        </w:r>
      </w:hyperlink>
      <w:r w:rsidRPr="00BC2A3C">
        <w:rPr>
          <w:rFonts w:ascii="Arial" w:hAnsi="Arial" w:cs="Arial"/>
          <w:lang w:eastAsia="zh-CN"/>
        </w:rPr>
        <w:t xml:space="preserve">  (Accessed: 20 March 2026).</w:t>
      </w:r>
    </w:p>
    <w:p w14:paraId="2E6E2D1E" w14:textId="77777777" w:rsidR="001C11C3"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Tesla vs BYD (2025) Who Is Leading the Global EV Market in 2025? Available at: </w:t>
      </w:r>
      <w:hyperlink r:id="rId26" w:history="1">
        <w:r w:rsidRPr="00BC2A3C">
          <w:rPr>
            <w:rStyle w:val="Hyperlink"/>
            <w:rFonts w:ascii="Arial" w:hAnsi="Arial" w:cs="Arial"/>
            <w:lang w:eastAsia="zh-CN"/>
          </w:rPr>
          <w:t>https://techresearchonline.com/blog/tesla-vs-byd-the-global-ev-race/</w:t>
        </w:r>
      </w:hyperlink>
      <w:r w:rsidRPr="00BC2A3C">
        <w:rPr>
          <w:rFonts w:ascii="Arial" w:hAnsi="Arial" w:cs="Arial"/>
          <w:lang w:eastAsia="zh-CN"/>
        </w:rPr>
        <w:t xml:space="preserve">  (Accessed: 20 March 2026).</w:t>
      </w:r>
    </w:p>
    <w:p w14:paraId="53C5AAEB" w14:textId="77777777" w:rsidR="001C11C3" w:rsidRPr="00BC2A3C" w:rsidRDefault="001C11C3" w:rsidP="008E6ED3">
      <w:pPr>
        <w:spacing w:line="360" w:lineRule="auto"/>
        <w:ind w:left="720" w:hanging="720"/>
        <w:jc w:val="both"/>
        <w:rPr>
          <w:rFonts w:ascii="Arial" w:hAnsi="Arial" w:cs="Arial"/>
          <w:lang w:eastAsia="zh-CN"/>
        </w:rPr>
      </w:pPr>
      <w:r w:rsidRPr="00BC2A3C">
        <w:rPr>
          <w:rFonts w:ascii="Arial" w:hAnsi="Arial" w:cs="Arial"/>
          <w:lang w:eastAsia="zh-CN"/>
        </w:rPr>
        <w:t xml:space="preserve">Whittington, R., </w:t>
      </w:r>
      <w:proofErr w:type="spellStart"/>
      <w:r w:rsidRPr="00BC2A3C">
        <w:rPr>
          <w:rFonts w:ascii="Arial" w:hAnsi="Arial" w:cs="Arial"/>
          <w:lang w:eastAsia="zh-CN"/>
        </w:rPr>
        <w:t>Regnér</w:t>
      </w:r>
      <w:proofErr w:type="spellEnd"/>
      <w:r w:rsidRPr="00BC2A3C">
        <w:rPr>
          <w:rFonts w:ascii="Arial" w:hAnsi="Arial" w:cs="Arial"/>
          <w:lang w:eastAsia="zh-CN"/>
        </w:rPr>
        <w:t>, P., Angwin, D., Johnson, G., &amp; Scholes, K. (2023) Exploring strategy : text and cases. Thirteenth edition. Harlow, England: Pearson.</w:t>
      </w:r>
    </w:p>
    <w:p w14:paraId="7D18DBD4" w14:textId="2855F4DC" w:rsidR="00646406" w:rsidRPr="00BC2A3C" w:rsidRDefault="00646406" w:rsidP="00A60CC1">
      <w:pPr>
        <w:rPr>
          <w:rFonts w:ascii="Arial" w:hAnsi="Arial" w:cs="Arial"/>
        </w:rPr>
      </w:pPr>
    </w:p>
    <w:sectPr w:rsidR="00646406" w:rsidRPr="00BC2A3C">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63208" w14:textId="77777777" w:rsidR="001E7FFA" w:rsidRDefault="001E7FFA" w:rsidP="00F4799C">
      <w:r>
        <w:separator/>
      </w:r>
    </w:p>
  </w:endnote>
  <w:endnote w:type="continuationSeparator" w:id="0">
    <w:p w14:paraId="33FDB6E4" w14:textId="77777777" w:rsidR="001E7FFA" w:rsidRDefault="001E7FFA" w:rsidP="00F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3085836"/>
      <w:docPartObj>
        <w:docPartGallery w:val="Page Numbers (Bottom of Page)"/>
        <w:docPartUnique/>
      </w:docPartObj>
    </w:sdtPr>
    <w:sdtContent>
      <w:p w14:paraId="24DA9DDC" w14:textId="1AE6533E" w:rsidR="00F4799C" w:rsidRDefault="00F4799C">
        <w:pPr>
          <w:pStyle w:val="Footer"/>
        </w:pPr>
        <w:r>
          <w:fldChar w:fldCharType="begin"/>
        </w:r>
        <w:r>
          <w:instrText>PAGE   \* MERGEFORMAT</w:instrText>
        </w:r>
        <w:r>
          <w:fldChar w:fldCharType="separate"/>
        </w:r>
        <w:r>
          <w:t>2</w:t>
        </w:r>
        <w:r>
          <w:fldChar w:fldCharType="end"/>
        </w:r>
      </w:p>
    </w:sdtContent>
  </w:sdt>
  <w:p w14:paraId="573B818F" w14:textId="77777777" w:rsidR="00F4799C" w:rsidRDefault="00F47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9DDD1" w14:textId="77777777" w:rsidR="001E7FFA" w:rsidRDefault="001E7FFA" w:rsidP="00F4799C">
      <w:r>
        <w:separator/>
      </w:r>
    </w:p>
  </w:footnote>
  <w:footnote w:type="continuationSeparator" w:id="0">
    <w:p w14:paraId="003E4B91" w14:textId="77777777" w:rsidR="001E7FFA" w:rsidRDefault="001E7FFA" w:rsidP="00F47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26296"/>
    <w:multiLevelType w:val="hybridMultilevel"/>
    <w:tmpl w:val="408C905A"/>
    <w:lvl w:ilvl="0" w:tplc="14B85EB8">
      <w:start w:val="1"/>
      <w:numFmt w:val="decimal"/>
      <w:lvlText w:val="%1."/>
      <w:lvlJc w:val="left"/>
      <w:pPr>
        <w:ind w:left="720" w:hanging="360"/>
      </w:pPr>
      <w:rPr>
        <w:rFonts w:asciiTheme="majorHAnsi" w:hAnsiTheme="majorHAnsi" w:cstheme="majorBidi" w:hint="default"/>
        <w:b w:val="0"/>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C3599A"/>
    <w:multiLevelType w:val="multilevel"/>
    <w:tmpl w:val="539E2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F7127"/>
    <w:multiLevelType w:val="hybridMultilevel"/>
    <w:tmpl w:val="080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435D6"/>
    <w:multiLevelType w:val="multilevel"/>
    <w:tmpl w:val="25AA6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195692"/>
    <w:multiLevelType w:val="multilevel"/>
    <w:tmpl w:val="DAB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5C480B"/>
    <w:multiLevelType w:val="multilevel"/>
    <w:tmpl w:val="0E9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F3563C"/>
    <w:multiLevelType w:val="multilevel"/>
    <w:tmpl w:val="082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7432BD"/>
    <w:multiLevelType w:val="multilevel"/>
    <w:tmpl w:val="4FB8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BA6136"/>
    <w:multiLevelType w:val="multilevel"/>
    <w:tmpl w:val="335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BA1130"/>
    <w:multiLevelType w:val="multilevel"/>
    <w:tmpl w:val="28D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70F1D84"/>
    <w:multiLevelType w:val="hybridMultilevel"/>
    <w:tmpl w:val="8182EB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D5351B"/>
    <w:multiLevelType w:val="multilevel"/>
    <w:tmpl w:val="F06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AF7EB6"/>
    <w:multiLevelType w:val="multilevel"/>
    <w:tmpl w:val="C336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113446"/>
    <w:multiLevelType w:val="multilevel"/>
    <w:tmpl w:val="4A8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6C0C1E"/>
    <w:multiLevelType w:val="multilevel"/>
    <w:tmpl w:val="0E76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6E76CD"/>
    <w:multiLevelType w:val="multilevel"/>
    <w:tmpl w:val="CBB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DD1493"/>
    <w:multiLevelType w:val="multilevel"/>
    <w:tmpl w:val="E26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12"/>
  </w:num>
  <w:num w:numId="2" w16cid:durableId="966158073">
    <w:abstractNumId w:val="16"/>
  </w:num>
  <w:num w:numId="3" w16cid:durableId="877475478">
    <w:abstractNumId w:val="34"/>
  </w:num>
  <w:num w:numId="4" w16cid:durableId="1865439684">
    <w:abstractNumId w:val="35"/>
  </w:num>
  <w:num w:numId="5" w16cid:durableId="296037109">
    <w:abstractNumId w:val="41"/>
  </w:num>
  <w:num w:numId="6" w16cid:durableId="1857650049">
    <w:abstractNumId w:val="18"/>
  </w:num>
  <w:num w:numId="7" w16cid:durableId="1295714836">
    <w:abstractNumId w:val="2"/>
  </w:num>
  <w:num w:numId="8" w16cid:durableId="1104423434">
    <w:abstractNumId w:val="23"/>
  </w:num>
  <w:num w:numId="9" w16cid:durableId="785196607">
    <w:abstractNumId w:val="43"/>
  </w:num>
  <w:num w:numId="10" w16cid:durableId="1805731991">
    <w:abstractNumId w:val="42"/>
  </w:num>
  <w:num w:numId="11" w16cid:durableId="508838147">
    <w:abstractNumId w:val="6"/>
  </w:num>
  <w:num w:numId="12" w16cid:durableId="477303180">
    <w:abstractNumId w:val="30"/>
  </w:num>
  <w:num w:numId="13" w16cid:durableId="1043408458">
    <w:abstractNumId w:val="27"/>
  </w:num>
  <w:num w:numId="14" w16cid:durableId="453400969">
    <w:abstractNumId w:val="3"/>
  </w:num>
  <w:num w:numId="15" w16cid:durableId="1524706236">
    <w:abstractNumId w:val="44"/>
  </w:num>
  <w:num w:numId="16" w16cid:durableId="1474368624">
    <w:abstractNumId w:val="20"/>
  </w:num>
  <w:num w:numId="17" w16cid:durableId="1082482068">
    <w:abstractNumId w:val="17"/>
  </w:num>
  <w:num w:numId="18" w16cid:durableId="356203542">
    <w:abstractNumId w:val="32"/>
  </w:num>
  <w:num w:numId="19" w16cid:durableId="207844578">
    <w:abstractNumId w:val="9"/>
  </w:num>
  <w:num w:numId="20" w16cid:durableId="1398867505">
    <w:abstractNumId w:val="33"/>
  </w:num>
  <w:num w:numId="21" w16cid:durableId="780687429">
    <w:abstractNumId w:val="15"/>
  </w:num>
  <w:num w:numId="22" w16cid:durableId="1166899088">
    <w:abstractNumId w:val="14"/>
  </w:num>
  <w:num w:numId="23" w16cid:durableId="455174308">
    <w:abstractNumId w:val="10"/>
  </w:num>
  <w:num w:numId="24" w16cid:durableId="603149070">
    <w:abstractNumId w:val="13"/>
  </w:num>
  <w:num w:numId="25" w16cid:durableId="390542811">
    <w:abstractNumId w:val="4"/>
  </w:num>
  <w:num w:numId="26" w16cid:durableId="562985041">
    <w:abstractNumId w:val="21"/>
  </w:num>
  <w:num w:numId="27" w16cid:durableId="590622514">
    <w:abstractNumId w:val="7"/>
  </w:num>
  <w:num w:numId="28" w16cid:durableId="413863525">
    <w:abstractNumId w:val="22"/>
  </w:num>
  <w:num w:numId="29" w16cid:durableId="643969134">
    <w:abstractNumId w:val="36"/>
  </w:num>
  <w:num w:numId="30" w16cid:durableId="1021586810">
    <w:abstractNumId w:val="19"/>
  </w:num>
  <w:num w:numId="31" w16cid:durableId="1633365764">
    <w:abstractNumId w:val="31"/>
  </w:num>
  <w:num w:numId="32" w16cid:durableId="159463930">
    <w:abstractNumId w:val="39"/>
  </w:num>
  <w:num w:numId="33" w16cid:durableId="485391099">
    <w:abstractNumId w:val="24"/>
  </w:num>
  <w:num w:numId="34" w16cid:durableId="780539743">
    <w:abstractNumId w:val="28"/>
  </w:num>
  <w:num w:numId="35" w16cid:durableId="425730874">
    <w:abstractNumId w:val="26"/>
  </w:num>
  <w:num w:numId="36" w16cid:durableId="357195548">
    <w:abstractNumId w:val="11"/>
  </w:num>
  <w:num w:numId="37" w16cid:durableId="1140222020">
    <w:abstractNumId w:val="40"/>
  </w:num>
  <w:num w:numId="38" w16cid:durableId="1341738302">
    <w:abstractNumId w:val="25"/>
  </w:num>
  <w:num w:numId="39" w16cid:durableId="960771239">
    <w:abstractNumId w:val="1"/>
  </w:num>
  <w:num w:numId="40" w16cid:durableId="1341397419">
    <w:abstractNumId w:val="8"/>
  </w:num>
  <w:num w:numId="41" w16cid:durableId="1455295184">
    <w:abstractNumId w:val="37"/>
  </w:num>
  <w:num w:numId="42" w16cid:durableId="535849291">
    <w:abstractNumId w:val="38"/>
  </w:num>
  <w:num w:numId="43" w16cid:durableId="1651901666">
    <w:abstractNumId w:val="5"/>
  </w:num>
  <w:num w:numId="44" w16cid:durableId="1006982327">
    <w:abstractNumId w:val="29"/>
  </w:num>
  <w:num w:numId="45" w16cid:durableId="1135105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16A2A"/>
    <w:rsid w:val="00033869"/>
    <w:rsid w:val="001003E8"/>
    <w:rsid w:val="00136289"/>
    <w:rsid w:val="00182FA5"/>
    <w:rsid w:val="001859F3"/>
    <w:rsid w:val="001C11C3"/>
    <w:rsid w:val="001E7FFA"/>
    <w:rsid w:val="002513DC"/>
    <w:rsid w:val="002D68FB"/>
    <w:rsid w:val="00325A3E"/>
    <w:rsid w:val="00334B6C"/>
    <w:rsid w:val="0036311A"/>
    <w:rsid w:val="00410D3C"/>
    <w:rsid w:val="00423514"/>
    <w:rsid w:val="004F2663"/>
    <w:rsid w:val="005404EB"/>
    <w:rsid w:val="00574861"/>
    <w:rsid w:val="005A570C"/>
    <w:rsid w:val="00617CF1"/>
    <w:rsid w:val="006445B7"/>
    <w:rsid w:val="00646406"/>
    <w:rsid w:val="00675F02"/>
    <w:rsid w:val="006E02B2"/>
    <w:rsid w:val="007035F7"/>
    <w:rsid w:val="00736584"/>
    <w:rsid w:val="0073681E"/>
    <w:rsid w:val="0078259E"/>
    <w:rsid w:val="007F1B18"/>
    <w:rsid w:val="008E6ED3"/>
    <w:rsid w:val="00984C7C"/>
    <w:rsid w:val="009E58AF"/>
    <w:rsid w:val="00A60CC1"/>
    <w:rsid w:val="00BC2A3C"/>
    <w:rsid w:val="00BD1F8B"/>
    <w:rsid w:val="00BE29C7"/>
    <w:rsid w:val="00C57D61"/>
    <w:rsid w:val="00CB01F0"/>
    <w:rsid w:val="00D86054"/>
    <w:rsid w:val="00DE5D5B"/>
    <w:rsid w:val="00E21E02"/>
    <w:rsid w:val="00E22C8F"/>
    <w:rsid w:val="00E333EF"/>
    <w:rsid w:val="00E44E8E"/>
    <w:rsid w:val="00E73758"/>
    <w:rsid w:val="00E751A4"/>
    <w:rsid w:val="00EC6978"/>
    <w:rsid w:val="00EF5824"/>
    <w:rsid w:val="00F4799C"/>
    <w:rsid w:val="00F51DF2"/>
    <w:rsid w:val="00F57C03"/>
    <w:rsid w:val="00F8206C"/>
    <w:rsid w:val="00FB28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C3C7A81A-47B3-4C0D-8336-990E4A4DD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 w:type="character" w:styleId="UnresolvedMention">
    <w:name w:val="Unresolved Mention"/>
    <w:basedOn w:val="DefaultParagraphFont"/>
    <w:uiPriority w:val="99"/>
    <w:semiHidden/>
    <w:unhideWhenUsed/>
    <w:rsid w:val="00BE29C7"/>
    <w:rPr>
      <w:color w:val="605E5C"/>
      <w:shd w:val="clear" w:color="auto" w:fill="E1DFDD"/>
    </w:rPr>
  </w:style>
  <w:style w:type="character" w:styleId="FollowedHyperlink">
    <w:name w:val="FollowedHyperlink"/>
    <w:basedOn w:val="DefaultParagraphFont"/>
    <w:uiPriority w:val="99"/>
    <w:semiHidden/>
    <w:unhideWhenUsed/>
    <w:rsid w:val="00BE29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028995447">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674960892">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019356644">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utomotivemanufacturingsolutions.com/electrification/how-chinas-byd-surpassed-tesla-with-production-and-battery-tech-reshaping-the-global-ev-market/304649" TargetMode="External"/><Relationship Id="rId18" Type="http://schemas.openxmlformats.org/officeDocument/2006/relationships/hyperlink" Target="https://internationalbanker.com/finance/as-tesla-falters-byd-steps-up-to-assert-its-global-ev-market-dominance" TargetMode="External"/><Relationship Id="rId26" Type="http://schemas.openxmlformats.org/officeDocument/2006/relationships/hyperlink" Target="https://techresearchonline.com/blog/tesla-vs-byd-the-global-ev-race/" TargetMode="External"/><Relationship Id="rId3" Type="http://schemas.openxmlformats.org/officeDocument/2006/relationships/styles" Target="styles.xml"/><Relationship Id="rId21" Type="http://schemas.openxmlformats.org/officeDocument/2006/relationships/hyperlink" Target="https://doi.org/10.1186/s43093-020-0009-1" TargetMode="External"/><Relationship Id="rId7" Type="http://schemas.openxmlformats.org/officeDocument/2006/relationships/endnotes" Target="endnotes.xml"/><Relationship Id="rId12" Type="http://schemas.openxmlformats.org/officeDocument/2006/relationships/hyperlink" Target="https://www.abiresearch.com/blog/how-byd-passed-tesla-as-ev-market-leader" TargetMode="External"/><Relationship Id="rId17" Type="http://schemas.openxmlformats.org/officeDocument/2006/relationships/hyperlink" Target="https://www.foley.com/insights/publications/2024/11/ev-infrastructure-deployment-regulatory-political-market-challenges/" TargetMode="External"/><Relationship Id="rId25" Type="http://schemas.openxmlformats.org/officeDocument/2006/relationships/hyperlink" Target="https://journals.bohrpub.com/index.php/bjfmcf/article/download/365/3055/3464" TargetMode="External"/><Relationship Id="rId2" Type="http://schemas.openxmlformats.org/officeDocument/2006/relationships/numbering" Target="numbering.xml"/><Relationship Id="rId16" Type="http://schemas.openxmlformats.org/officeDocument/2006/relationships/hyperlink" Target="https://evmagazine.com/news/byd-surpasses-tesla-in-quarterly-sales-amid-ev-market-shakeu" TargetMode="External"/><Relationship Id="rId20" Type="http://schemas.openxmlformats.org/officeDocument/2006/relationships/hyperlink" Target="https://www.iea.org/reports/global-ev-outlook-202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ciencedirect.com/science/article/abs/pii/S2213624X24001524" TargetMode="External"/><Relationship Id="rId5" Type="http://schemas.openxmlformats.org/officeDocument/2006/relationships/webSettings" Target="webSettings.xml"/><Relationship Id="rId15" Type="http://schemas.openxmlformats.org/officeDocument/2006/relationships/hyperlink" Target="https://www.cnn.com/2026/01/02/business/tesla-byd-ev" TargetMode="External"/><Relationship Id="rId23" Type="http://schemas.openxmlformats.org/officeDocument/2006/relationships/hyperlink" Target="https://panmore.com/tesla-motors-inc-generic-strategy-intensive-growth-strategies-analysi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iea.org/reports/global-ev-outlook-2023/policy-developmen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avout.com/market-lens/byd-vs-tesla-a-comprehensive-financial-analysis-and-investment-outlook" TargetMode="External"/><Relationship Id="rId22" Type="http://schemas.openxmlformats.org/officeDocument/2006/relationships/hyperlink" Target="https://doi.org/10.1016/j.egyr.2022.09.011"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16</Pages>
  <Words>4082</Words>
  <Characters>23268</Characters>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2026-02-23T09:48:00Z</dcterms:created>
  <dcterms:modified xsi:type="dcterms:W3CDTF">2026-03-23T19:01:00Z</dcterms:modified>
</cp:coreProperties>
</file>