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DB728A" w14:paraId="68D9C766" wp14:textId="3A6DDCA1">
      <w:pPr>
        <w:jc w:val="center"/>
      </w:pPr>
      <w:r w:rsidRPr="1EDB728A" w:rsidR="1EDB728A">
        <w:rPr>
          <w:rFonts w:ascii="Calibri" w:hAnsi="Calibri" w:eastAsia="Calibri" w:cs="Calibri"/>
          <w:b w:val="1"/>
          <w:bCs w:val="1"/>
          <w:noProof w:val="0"/>
          <w:sz w:val="28"/>
          <w:szCs w:val="28"/>
          <w:lang w:val="en-US"/>
        </w:rPr>
        <w:t>Student Name: George Giuliano Mihai</w:t>
      </w:r>
      <w:r w:rsidRPr="1EDB728A" w:rsidR="1EDB728A">
        <w:rPr>
          <w:rFonts w:ascii="Calibri" w:hAnsi="Calibri" w:eastAsia="Calibri" w:cs="Calibri"/>
          <w:noProof w:val="0"/>
          <w:sz w:val="22"/>
          <w:szCs w:val="22"/>
          <w:lang w:val="en-US"/>
        </w:rPr>
        <w:t xml:space="preserve"> </w:t>
      </w:r>
    </w:p>
    <w:p xmlns:wp14="http://schemas.microsoft.com/office/word/2010/wordml" w:rsidP="1EDB728A" w14:paraId="7433A0CA" wp14:textId="7C4E35C8">
      <w:pPr>
        <w:jc w:val="center"/>
      </w:pPr>
      <w:r w:rsidRPr="1EDB728A" w:rsidR="1EDB728A">
        <w:rPr>
          <w:rFonts w:ascii="Calibri" w:hAnsi="Calibri" w:eastAsia="Calibri" w:cs="Calibri"/>
          <w:b w:val="1"/>
          <w:bCs w:val="1"/>
          <w:noProof w:val="0"/>
          <w:sz w:val="28"/>
          <w:szCs w:val="28"/>
          <w:lang w:val="en-US"/>
        </w:rPr>
        <w:t>Student ID: 2027230</w:t>
      </w:r>
      <w:r w:rsidRPr="1EDB728A" w:rsidR="1EDB728A">
        <w:rPr>
          <w:rFonts w:ascii="Calibri" w:hAnsi="Calibri" w:eastAsia="Calibri" w:cs="Calibri"/>
          <w:noProof w:val="0"/>
          <w:sz w:val="22"/>
          <w:szCs w:val="22"/>
          <w:lang w:val="en-US"/>
        </w:rPr>
        <w:t xml:space="preserve"> </w:t>
      </w:r>
    </w:p>
    <w:p xmlns:wp14="http://schemas.microsoft.com/office/word/2010/wordml" w:rsidP="1EDB728A" w14:paraId="5BA434E0" wp14:textId="26996429">
      <w:pPr>
        <w:jc w:val="center"/>
      </w:pPr>
      <w:r w:rsidRPr="1EDB728A" w:rsidR="1EDB728A">
        <w:rPr>
          <w:rFonts w:ascii="Calibri" w:hAnsi="Calibri" w:eastAsia="Calibri" w:cs="Calibri"/>
          <w:b w:val="1"/>
          <w:bCs w:val="1"/>
          <w:noProof w:val="0"/>
          <w:sz w:val="28"/>
          <w:szCs w:val="28"/>
          <w:lang w:val="en-US"/>
        </w:rPr>
        <w:t>Module Code: BMSW4006</w:t>
      </w:r>
      <w:r w:rsidRPr="1EDB728A" w:rsidR="1EDB728A">
        <w:rPr>
          <w:rFonts w:ascii="Calibri" w:hAnsi="Calibri" w:eastAsia="Calibri" w:cs="Calibri"/>
          <w:noProof w:val="0"/>
          <w:sz w:val="22"/>
          <w:szCs w:val="22"/>
          <w:lang w:val="en-US"/>
        </w:rPr>
        <w:t xml:space="preserve"> </w:t>
      </w:r>
    </w:p>
    <w:p xmlns:wp14="http://schemas.microsoft.com/office/word/2010/wordml" w:rsidP="1EDB728A" w14:paraId="0661C0F6" wp14:textId="06503CBE">
      <w:pPr>
        <w:jc w:val="center"/>
      </w:pPr>
      <w:r w:rsidRPr="1EDB728A" w:rsidR="1EDB728A">
        <w:rPr>
          <w:rFonts w:ascii="Calibri" w:hAnsi="Calibri" w:eastAsia="Calibri" w:cs="Calibri"/>
          <w:b w:val="1"/>
          <w:bCs w:val="1"/>
          <w:noProof w:val="0"/>
          <w:sz w:val="28"/>
          <w:szCs w:val="28"/>
          <w:lang w:val="en-US"/>
        </w:rPr>
        <w:t>Lecturer Name: Yohan Mendis</w:t>
      </w:r>
      <w:r w:rsidRPr="1EDB728A" w:rsidR="1EDB728A">
        <w:rPr>
          <w:rFonts w:ascii="Calibri" w:hAnsi="Calibri" w:eastAsia="Calibri" w:cs="Calibri"/>
          <w:noProof w:val="0"/>
          <w:sz w:val="22"/>
          <w:szCs w:val="22"/>
          <w:lang w:val="en-US"/>
        </w:rPr>
        <w:t xml:space="preserve"> </w:t>
      </w:r>
    </w:p>
    <w:p xmlns:wp14="http://schemas.microsoft.com/office/word/2010/wordml" w:rsidP="1EDB728A" w14:paraId="76FA65F0" wp14:textId="6CA1CBC4">
      <w:pPr>
        <w:jc w:val="center"/>
      </w:pPr>
      <w:r>
        <w:br/>
      </w:r>
    </w:p>
    <w:p xmlns:wp14="http://schemas.microsoft.com/office/word/2010/wordml" w:rsidP="1EDB728A" w14:paraId="3129FFF4" wp14:textId="0CC093EE">
      <w:pPr>
        <w:jc w:val="center"/>
      </w:pPr>
      <w:r>
        <w:br/>
      </w:r>
    </w:p>
    <w:p xmlns:wp14="http://schemas.microsoft.com/office/word/2010/wordml" w:rsidP="1EDB728A" w14:paraId="16A8EEFB" wp14:textId="7519BCE2">
      <w:pPr>
        <w:jc w:val="center"/>
      </w:pPr>
      <w:r>
        <w:br/>
      </w:r>
    </w:p>
    <w:p xmlns:wp14="http://schemas.microsoft.com/office/word/2010/wordml" w:rsidP="1EDB728A" w14:paraId="18054F2F" wp14:textId="184DCD81">
      <w:pPr>
        <w:jc w:val="center"/>
      </w:pPr>
      <w:r>
        <w:br/>
      </w:r>
    </w:p>
    <w:p xmlns:wp14="http://schemas.microsoft.com/office/word/2010/wordml" w:rsidP="1EDB728A" w14:paraId="366FC2E4" wp14:textId="5EFD80C9">
      <w:pPr>
        <w:jc w:val="center"/>
      </w:pPr>
      <w:r>
        <w:br/>
      </w:r>
    </w:p>
    <w:p xmlns:wp14="http://schemas.microsoft.com/office/word/2010/wordml" w:rsidP="1EDB728A" w14:paraId="3DBC4DD9" wp14:textId="5C39D2C2">
      <w:pPr>
        <w:jc w:val="center"/>
      </w:pPr>
      <w:r>
        <w:br/>
      </w:r>
    </w:p>
    <w:p xmlns:wp14="http://schemas.microsoft.com/office/word/2010/wordml" w:rsidP="1EDB728A" w14:paraId="692CFA6C" wp14:textId="6BB7B3BF">
      <w:pPr>
        <w:jc w:val="center"/>
      </w:pPr>
      <w:r>
        <w:br/>
      </w:r>
    </w:p>
    <w:p xmlns:wp14="http://schemas.microsoft.com/office/word/2010/wordml" w:rsidP="1EDB728A" w14:paraId="2E851284" wp14:textId="51AD4C63">
      <w:pPr>
        <w:jc w:val="center"/>
      </w:pPr>
      <w:r>
        <w:br/>
      </w:r>
    </w:p>
    <w:p xmlns:wp14="http://schemas.microsoft.com/office/word/2010/wordml" w:rsidP="1EDB728A" w14:paraId="6FC4237D" wp14:textId="717E4806">
      <w:pPr>
        <w:jc w:val="center"/>
      </w:pPr>
      <w:r w:rsidRPr="1EDB728A" w:rsidR="1EDB728A">
        <w:rPr>
          <w:rFonts w:ascii="Calibri" w:hAnsi="Calibri" w:eastAsia="Calibri" w:cs="Calibri"/>
          <w:b w:val="1"/>
          <w:bCs w:val="1"/>
          <w:noProof w:val="0"/>
          <w:sz w:val="28"/>
          <w:szCs w:val="28"/>
          <w:lang w:val="en-US"/>
        </w:rPr>
        <w:t>Reflective Report</w:t>
      </w:r>
      <w:r w:rsidRPr="1EDB728A" w:rsidR="1EDB728A">
        <w:rPr>
          <w:rFonts w:ascii="Calibri" w:hAnsi="Calibri" w:eastAsia="Calibri" w:cs="Calibri"/>
          <w:noProof w:val="0"/>
          <w:sz w:val="22"/>
          <w:szCs w:val="22"/>
          <w:lang w:val="en-US"/>
        </w:rPr>
        <w:t xml:space="preserve"> </w:t>
      </w:r>
    </w:p>
    <w:p xmlns:wp14="http://schemas.microsoft.com/office/word/2010/wordml" w:rsidP="1EDB728A" w14:paraId="12889736" wp14:textId="3E63E29E">
      <w:pPr>
        <w:jc w:val="center"/>
      </w:pPr>
      <w:r>
        <w:br/>
      </w:r>
    </w:p>
    <w:p xmlns:wp14="http://schemas.microsoft.com/office/word/2010/wordml" w:rsidP="1EDB728A" w14:paraId="0E44087A" wp14:textId="651DB285">
      <w:pPr>
        <w:jc w:val="center"/>
      </w:pPr>
      <w:r>
        <w:br/>
      </w:r>
    </w:p>
    <w:p xmlns:wp14="http://schemas.microsoft.com/office/word/2010/wordml" w:rsidP="1EDB728A" w14:paraId="404752DD" wp14:textId="1674A08E">
      <w:pPr>
        <w:jc w:val="center"/>
      </w:pPr>
      <w:r>
        <w:br/>
      </w:r>
    </w:p>
    <w:p xmlns:wp14="http://schemas.microsoft.com/office/word/2010/wordml" w:rsidP="1EDB728A" w14:paraId="4DE3B990" wp14:textId="7C1F0CE3">
      <w:pPr>
        <w:jc w:val="center"/>
      </w:pPr>
      <w:r>
        <w:br/>
      </w:r>
    </w:p>
    <w:p xmlns:wp14="http://schemas.microsoft.com/office/word/2010/wordml" w:rsidP="1EDB728A" w14:paraId="734EA462" wp14:textId="00E492D4">
      <w:pPr>
        <w:jc w:val="both"/>
      </w:pPr>
      <w:r>
        <w:br/>
      </w:r>
    </w:p>
    <w:p xmlns:wp14="http://schemas.microsoft.com/office/word/2010/wordml" w:rsidP="1EDB728A" w14:paraId="411D8390" wp14:textId="5B4E7FBA">
      <w:pPr>
        <w:jc w:val="both"/>
      </w:pPr>
      <w:r w:rsidRPr="1EDB728A" w:rsidR="1EDB728A">
        <w:rPr>
          <w:rFonts w:ascii="Calibri" w:hAnsi="Calibri" w:eastAsia="Calibri" w:cs="Calibri"/>
          <w:noProof w:val="0"/>
          <w:sz w:val="28"/>
          <w:szCs w:val="28"/>
          <w:lang w:val="en-US"/>
        </w:rPr>
        <w:t xml:space="preserve">For every business firm, it is crucial that the operations are done well. This also implies that the people of that firm should be engaged in productivity in order to reach its goal. The profit-seeking organizations' first criterion is to make or to seek profit in everything. In this individual report, the organization is going to be </w:t>
      </w:r>
      <w:r w:rsidRPr="1EDB728A" w:rsidR="1EDB728A">
        <w:rPr>
          <w:rFonts w:ascii="Calibri" w:hAnsi="Calibri" w:eastAsia="Calibri" w:cs="Calibri"/>
          <w:b w:val="1"/>
          <w:bCs w:val="1"/>
          <w:i w:val="1"/>
          <w:iCs w:val="1"/>
          <w:noProof w:val="0"/>
          <w:sz w:val="28"/>
          <w:szCs w:val="28"/>
          <w:lang w:val="en-US"/>
        </w:rPr>
        <w:t xml:space="preserve">ICE WORLD. </w:t>
      </w:r>
      <w:r w:rsidRPr="1EDB728A" w:rsidR="1EDB728A">
        <w:rPr>
          <w:rFonts w:ascii="Calibri" w:hAnsi="Calibri" w:eastAsia="Calibri" w:cs="Calibri"/>
          <w:noProof w:val="0"/>
          <w:sz w:val="28"/>
          <w:szCs w:val="28"/>
          <w:lang w:val="en-US"/>
        </w:rPr>
        <w:t xml:space="preserve">The working of the firm is related to </w:t>
      </w:r>
      <w:r w:rsidRPr="1EDB728A" w:rsidR="1EDB728A">
        <w:rPr>
          <w:rFonts w:ascii="Calibri" w:hAnsi="Calibri" w:eastAsia="Calibri" w:cs="Calibri"/>
          <w:noProof w:val="0"/>
          <w:color w:val="222222"/>
          <w:sz w:val="28"/>
          <w:szCs w:val="28"/>
          <w:lang w:val="en-US"/>
        </w:rPr>
        <w:t>air soft and escape room activity.</w:t>
      </w:r>
      <w:r w:rsidRPr="1EDB728A" w:rsidR="1EDB728A">
        <w:rPr>
          <w:rFonts w:ascii="Calibri" w:hAnsi="Calibri" w:eastAsia="Calibri" w:cs="Calibri"/>
          <w:noProof w:val="0"/>
          <w:sz w:val="28"/>
          <w:szCs w:val="28"/>
          <w:lang w:val="en-US"/>
        </w:rPr>
        <w:t xml:space="preserve"> This assessment is a brief structure of the strengths and weaknesses of the business area and also, it's about the set of skills and qualities needed in order to run a well planned business.</w:t>
      </w:r>
      <w:r w:rsidRPr="1EDB728A" w:rsidR="1EDB728A">
        <w:rPr>
          <w:rFonts w:ascii="Calibri" w:hAnsi="Calibri" w:eastAsia="Calibri" w:cs="Calibri"/>
          <w:noProof w:val="0"/>
          <w:sz w:val="22"/>
          <w:szCs w:val="22"/>
          <w:lang w:val="en-US"/>
        </w:rPr>
        <w:t xml:space="preserve"> </w:t>
      </w:r>
    </w:p>
    <w:p xmlns:wp14="http://schemas.microsoft.com/office/word/2010/wordml" w:rsidP="1EDB728A" w14:paraId="4C9E5A59" wp14:textId="377CCA8B">
      <w:pPr>
        <w:jc w:val="both"/>
      </w:pPr>
      <w:r w:rsidRPr="1EDB728A" w:rsidR="1EDB728A">
        <w:rPr>
          <w:rFonts w:ascii="Calibri" w:hAnsi="Calibri" w:eastAsia="Calibri" w:cs="Calibri"/>
          <w:b w:val="1"/>
          <w:bCs w:val="1"/>
          <w:noProof w:val="0"/>
          <w:sz w:val="28"/>
          <w:szCs w:val="28"/>
          <w:lang w:val="en-US"/>
        </w:rPr>
        <w:t xml:space="preserve">Motivation </w:t>
      </w:r>
      <w:r w:rsidRPr="1EDB728A" w:rsidR="1EDB728A">
        <w:rPr>
          <w:rFonts w:ascii="Calibri" w:hAnsi="Calibri" w:eastAsia="Calibri" w:cs="Calibri"/>
          <w:noProof w:val="0"/>
          <w:sz w:val="28"/>
          <w:szCs w:val="28"/>
          <w:lang w:val="en-US"/>
        </w:rPr>
        <w:t xml:space="preserve">is very important in order to achieve the desired output. People who are willing to attain a certain product, also sometimes results in losing their self-esteem (scitation, 2022). For me motivation means to be focused while doing something. Staying focused helps me, to stay aware of the fact that I need to bring the output of it, and it keeps me positive. It is very important for a person to have a set of </w:t>
      </w:r>
      <w:r w:rsidRPr="1EDB728A" w:rsidR="1EDB728A">
        <w:rPr>
          <w:rFonts w:ascii="Calibri" w:hAnsi="Calibri" w:eastAsia="Calibri" w:cs="Calibri"/>
          <w:b w:val="1"/>
          <w:bCs w:val="1"/>
          <w:noProof w:val="0"/>
          <w:sz w:val="28"/>
          <w:szCs w:val="28"/>
          <w:lang w:val="en-US"/>
        </w:rPr>
        <w:t>skills and qualities.</w:t>
      </w:r>
      <w:r w:rsidRPr="1EDB728A" w:rsidR="1EDB728A">
        <w:rPr>
          <w:rFonts w:ascii="Calibri" w:hAnsi="Calibri" w:eastAsia="Calibri" w:cs="Calibri"/>
          <w:noProof w:val="0"/>
          <w:sz w:val="22"/>
          <w:szCs w:val="22"/>
          <w:lang w:val="en-US"/>
        </w:rPr>
        <w:t xml:space="preserve"> </w:t>
      </w:r>
    </w:p>
    <w:p xmlns:wp14="http://schemas.microsoft.com/office/word/2010/wordml" w:rsidP="1EDB728A" w14:paraId="7E789C7D" wp14:textId="36C31DAD">
      <w:pPr>
        <w:jc w:val="both"/>
      </w:pPr>
      <w:r w:rsidRPr="1EDB728A" w:rsidR="1EDB728A">
        <w:rPr>
          <w:rFonts w:ascii="Calibri" w:hAnsi="Calibri" w:eastAsia="Calibri" w:cs="Calibri"/>
          <w:noProof w:val="0"/>
          <w:sz w:val="28"/>
          <w:szCs w:val="28"/>
          <w:lang w:val="en-US"/>
        </w:rPr>
        <w:t xml:space="preserve">These skills and qualities enable him or her to reach the goal that he or she wants to achieve (ed, 2022). Some of the skills, and qualities that I have mainly, I am very focused about my work and nobody and move my focused. But this somehow, sometimes creates problems for me as I get fully engaged with my work and results sometimes breaking connections with my near ones. Another skill is I can work very well individually, this needs to be changed. Working in a team results in better results compared to working individually. For having skills in their workings, a person needs to have good qualifications. </w:t>
      </w:r>
      <w:r w:rsidRPr="1EDB728A" w:rsidR="1EDB728A">
        <w:rPr>
          <w:rFonts w:ascii="Calibri" w:hAnsi="Calibri" w:eastAsia="Calibri" w:cs="Calibri"/>
          <w:b w:val="1"/>
          <w:bCs w:val="1"/>
          <w:noProof w:val="0"/>
          <w:sz w:val="28"/>
          <w:szCs w:val="28"/>
          <w:lang w:val="en-US"/>
        </w:rPr>
        <w:t>Qualification</w:t>
      </w:r>
      <w:r w:rsidRPr="1EDB728A" w:rsidR="1EDB728A">
        <w:rPr>
          <w:rFonts w:ascii="Calibri" w:hAnsi="Calibri" w:eastAsia="Calibri" w:cs="Calibri"/>
          <w:noProof w:val="0"/>
          <w:sz w:val="28"/>
          <w:szCs w:val="28"/>
          <w:lang w:val="en-US"/>
        </w:rPr>
        <w:t xml:space="preserve"> is the stair that takes a person upward in their lives (researchgate, 2022). To take up this business plan, I had to study a lot about the workings of the chosen sector. </w:t>
      </w:r>
    </w:p>
    <w:p xmlns:wp14="http://schemas.microsoft.com/office/word/2010/wordml" w:rsidP="1EDB728A" w14:paraId="66E4A8E6" wp14:textId="60CDC421">
      <w:pPr>
        <w:jc w:val="both"/>
      </w:pPr>
      <w:r w:rsidRPr="1EDB728A" w:rsidR="1EDB728A">
        <w:rPr>
          <w:rFonts w:ascii="Calibri" w:hAnsi="Calibri" w:eastAsia="Calibri" w:cs="Calibri"/>
          <w:noProof w:val="0"/>
          <w:sz w:val="28"/>
          <w:szCs w:val="28"/>
          <w:lang w:val="en-US"/>
        </w:rPr>
        <w:t>Moreover, I had to take up some practical classes in order to provide the same services to other people so that they don't find any difficulties while performing such things (idpublications.org, 2022).</w:t>
      </w:r>
      <w:r w:rsidRPr="1EDB728A" w:rsidR="1EDB728A">
        <w:rPr>
          <w:rFonts w:ascii="Calibri" w:hAnsi="Calibri" w:eastAsia="Calibri" w:cs="Calibri"/>
          <w:noProof w:val="0"/>
          <w:sz w:val="22"/>
          <w:szCs w:val="22"/>
          <w:lang w:val="en-US"/>
        </w:rPr>
        <w:t xml:space="preserve"> </w:t>
      </w:r>
    </w:p>
    <w:p xmlns:wp14="http://schemas.microsoft.com/office/word/2010/wordml" w:rsidP="1EDB728A" w14:paraId="6AE9520F" wp14:textId="2C14B96E">
      <w:pPr>
        <w:jc w:val="both"/>
      </w:pPr>
      <w:r w:rsidRPr="1EDB728A" w:rsidR="1EDB728A">
        <w:rPr>
          <w:rFonts w:ascii="Calibri" w:hAnsi="Calibri" w:eastAsia="Calibri" w:cs="Calibri"/>
          <w:b w:val="1"/>
          <w:bCs w:val="1"/>
          <w:noProof w:val="0"/>
          <w:sz w:val="28"/>
          <w:szCs w:val="28"/>
          <w:lang w:val="en-US"/>
        </w:rPr>
        <w:t xml:space="preserve">Strength and weakness </w:t>
      </w:r>
    </w:p>
    <w:p xmlns:wp14="http://schemas.microsoft.com/office/word/2010/wordml" w:rsidP="1EDB728A" w14:paraId="2B7C30B1" wp14:textId="421B3A34">
      <w:pPr>
        <w:jc w:val="both"/>
      </w:pPr>
      <w:r w:rsidRPr="1EDB728A" w:rsidR="1EDB728A">
        <w:rPr>
          <w:rFonts w:ascii="Calibri" w:hAnsi="Calibri" w:eastAsia="Calibri" w:cs="Calibri"/>
          <w:noProof w:val="0"/>
          <w:sz w:val="28"/>
          <w:szCs w:val="28"/>
          <w:lang w:val="en-US"/>
        </w:rPr>
        <w:t>I have enough strength to be able to get what I really want, as well as with this I am also aware of my weaknesses too. Some of my strengths are, staying focused in order to achieve the furnished services or products, work really well in individual work, stay aware and alert. I keep myself motivated and also practice many acts that make me self motivated or help me in building my self-esteem positively. I get fully engaged in doing my own thing so that nobody can break my concentration. With strengths, there are also some of my weaknesses in which I must be working, like, I cannot work in a team rather I am an expert in handling individual works. Working in a team results in better results compared to working individually. Another is, I get fully engaged with my work and results sometimes breaking connections with my near ones.</w:t>
      </w:r>
      <w:r w:rsidRPr="1EDB728A" w:rsidR="1EDB728A">
        <w:rPr>
          <w:rFonts w:ascii="Calibri" w:hAnsi="Calibri" w:eastAsia="Calibri" w:cs="Calibri"/>
          <w:noProof w:val="0"/>
          <w:sz w:val="22"/>
          <w:szCs w:val="22"/>
          <w:lang w:val="en-US"/>
        </w:rPr>
        <w:t xml:space="preserve"> </w:t>
      </w:r>
    </w:p>
    <w:p xmlns:wp14="http://schemas.microsoft.com/office/word/2010/wordml" w14:paraId="3F2843F0" wp14:textId="34401CFD">
      <w:r>
        <w:br/>
      </w:r>
    </w:p>
    <w:p xmlns:wp14="http://schemas.microsoft.com/office/word/2010/wordml" w14:paraId="2535FD35" wp14:textId="48452E30">
      <w:r w:rsidRPr="1EDB728A" w:rsidR="1EDB728A">
        <w:rPr>
          <w:rFonts w:ascii="Calibri" w:hAnsi="Calibri" w:eastAsia="Calibri" w:cs="Calibri"/>
          <w:b w:val="1"/>
          <w:bCs w:val="1"/>
          <w:noProof w:val="0"/>
          <w:sz w:val="28"/>
          <w:szCs w:val="28"/>
          <w:lang w:val="en-US"/>
        </w:rPr>
        <w:t>References</w:t>
      </w:r>
      <w:r w:rsidRPr="1EDB728A" w:rsidR="1EDB728A">
        <w:rPr>
          <w:rFonts w:ascii="Calibri" w:hAnsi="Calibri" w:eastAsia="Calibri" w:cs="Calibri"/>
          <w:noProof w:val="0"/>
          <w:sz w:val="22"/>
          <w:szCs w:val="22"/>
          <w:lang w:val="en-US"/>
        </w:rPr>
        <w:t xml:space="preserve"> </w:t>
      </w:r>
    </w:p>
    <w:p xmlns:wp14="http://schemas.microsoft.com/office/word/2010/wordml" w14:paraId="1F948268" wp14:textId="540AD8FB">
      <w:r w:rsidRPr="1EDB728A" w:rsidR="1EDB728A">
        <w:rPr>
          <w:rFonts w:ascii="Calibri" w:hAnsi="Calibri" w:eastAsia="Calibri" w:cs="Calibri"/>
          <w:noProof w:val="0"/>
          <w:sz w:val="28"/>
          <w:szCs w:val="28"/>
          <w:lang w:val="en-US"/>
        </w:rPr>
        <w:t xml:space="preserve">ed.gov , 2022. </w:t>
      </w:r>
      <w:r w:rsidRPr="1EDB728A" w:rsidR="1EDB728A">
        <w:rPr>
          <w:rFonts w:ascii="Calibri" w:hAnsi="Calibri" w:eastAsia="Calibri" w:cs="Calibri"/>
          <w:i w:val="1"/>
          <w:iCs w:val="1"/>
          <w:noProof w:val="0"/>
          <w:sz w:val="28"/>
          <w:szCs w:val="28"/>
          <w:lang w:val="en-US"/>
        </w:rPr>
        <w:t>Leggio, J.C. and Terras, K.L., 2019. An Investigation of the Qualities, Knowledge, and Skills of Effective Teachers for Students with Emotional/Behavioral Disorders: The Teacher Perspective. Journal of Special Education Apprenticeship, 8(1), p.n1.</w:t>
      </w:r>
      <w:r w:rsidRPr="1EDB728A" w:rsidR="1EDB728A">
        <w:rPr>
          <w:rFonts w:ascii="Calibri" w:hAnsi="Calibri" w:eastAsia="Calibri" w:cs="Calibri"/>
          <w:noProof w:val="0"/>
          <w:sz w:val="28"/>
          <w:szCs w:val="28"/>
          <w:lang w:val="en-US"/>
        </w:rPr>
        <w:t xml:space="preserve"> </w:t>
      </w:r>
      <w:hyperlink r:id="R3b2ce84574a34488">
        <w:r w:rsidRPr="1EDB728A" w:rsidR="1EDB728A">
          <w:rPr>
            <w:rStyle w:val="Hyperlink"/>
            <w:rFonts w:ascii="Calibri" w:hAnsi="Calibri" w:eastAsia="Calibri" w:cs="Calibri"/>
            <w:noProof w:val="0"/>
            <w:sz w:val="28"/>
            <w:szCs w:val="28"/>
            <w:lang w:val="en-US"/>
          </w:rPr>
          <w:t>https://files.eric.ed.gov/fulltext/EJ1223988.pdf</w:t>
        </w:r>
      </w:hyperlink>
      <w:r w:rsidRPr="1EDB728A" w:rsidR="1EDB728A">
        <w:rPr>
          <w:rFonts w:ascii="Calibri" w:hAnsi="Calibri" w:eastAsia="Calibri" w:cs="Calibri"/>
          <w:noProof w:val="0"/>
          <w:sz w:val="22"/>
          <w:szCs w:val="22"/>
          <w:lang w:val="en-US"/>
        </w:rPr>
        <w:t xml:space="preserve"> </w:t>
      </w:r>
    </w:p>
    <w:p xmlns:wp14="http://schemas.microsoft.com/office/word/2010/wordml" w14:paraId="7191CB33" wp14:textId="0900F66F">
      <w:r>
        <w:br/>
      </w:r>
    </w:p>
    <w:p xmlns:wp14="http://schemas.microsoft.com/office/word/2010/wordml" w14:paraId="008AD82D" wp14:textId="4CC4C45B">
      <w:r w:rsidRPr="1EDB728A" w:rsidR="1EDB728A">
        <w:rPr>
          <w:rFonts w:ascii="Calibri" w:hAnsi="Calibri" w:eastAsia="Calibri" w:cs="Calibri"/>
          <w:noProof w:val="0"/>
          <w:sz w:val="28"/>
          <w:szCs w:val="28"/>
          <w:lang w:val="en-US"/>
        </w:rPr>
        <w:t xml:space="preserve">idpublications.org , 2022. </w:t>
      </w:r>
      <w:r w:rsidRPr="1EDB728A" w:rsidR="1EDB728A">
        <w:rPr>
          <w:rFonts w:ascii="Calibri" w:hAnsi="Calibri" w:eastAsia="Calibri" w:cs="Calibri"/>
          <w:i w:val="1"/>
          <w:iCs w:val="1"/>
          <w:noProof w:val="0"/>
          <w:sz w:val="28"/>
          <w:szCs w:val="28"/>
          <w:lang w:val="en-US"/>
        </w:rPr>
        <w:t>Alikulovich, M.K. and Yuldashevich, T.D., 2020. Development of physical training skills and formation of willpower qualities in extracurricular activities. European Journal of Research and Reflection in Educational Sciences Vol, 8(3).</w:t>
      </w:r>
      <w:r w:rsidRPr="1EDB728A" w:rsidR="1EDB728A">
        <w:rPr>
          <w:rFonts w:ascii="Calibri" w:hAnsi="Calibri" w:eastAsia="Calibri" w:cs="Calibri"/>
          <w:noProof w:val="0"/>
          <w:sz w:val="28"/>
          <w:szCs w:val="28"/>
          <w:lang w:val="en-US"/>
        </w:rPr>
        <w:t xml:space="preserve"> </w:t>
      </w:r>
      <w:hyperlink r:id="Rcc1110eb948d4ed5">
        <w:r w:rsidRPr="1EDB728A" w:rsidR="1EDB728A">
          <w:rPr>
            <w:rStyle w:val="Hyperlink"/>
            <w:rFonts w:ascii="Calibri" w:hAnsi="Calibri" w:eastAsia="Calibri" w:cs="Calibri"/>
            <w:noProof w:val="0"/>
            <w:sz w:val="28"/>
            <w:szCs w:val="28"/>
            <w:lang w:val="en-US"/>
          </w:rPr>
          <w:t>http://www.idpublications.org/wp-content/uploads/2020/04/Full-Paper-DEVELOPMENT-OF-PHYSICAL-TRAINING-SKILLS-AND-FORMATION-OF-WILLPOWER-QUALITIES.pdf</w:t>
        </w:r>
      </w:hyperlink>
      <w:r w:rsidRPr="1EDB728A" w:rsidR="1EDB728A">
        <w:rPr>
          <w:rFonts w:ascii="Calibri" w:hAnsi="Calibri" w:eastAsia="Calibri" w:cs="Calibri"/>
          <w:noProof w:val="0"/>
          <w:sz w:val="22"/>
          <w:szCs w:val="22"/>
          <w:lang w:val="en-US"/>
        </w:rPr>
        <w:t xml:space="preserve"> </w:t>
      </w:r>
    </w:p>
    <w:p xmlns:wp14="http://schemas.microsoft.com/office/word/2010/wordml" w14:paraId="4F1D3E5A" wp14:textId="030758BD">
      <w:r>
        <w:br/>
      </w:r>
    </w:p>
    <w:p xmlns:wp14="http://schemas.microsoft.com/office/word/2010/wordml" w14:paraId="50132CDE" wp14:textId="1A749460">
      <w:r w:rsidRPr="1EDB728A" w:rsidR="1EDB728A">
        <w:rPr>
          <w:rFonts w:ascii="Calibri" w:hAnsi="Calibri" w:eastAsia="Calibri" w:cs="Calibri"/>
          <w:noProof w:val="0"/>
          <w:sz w:val="28"/>
          <w:szCs w:val="28"/>
          <w:lang w:val="en-US"/>
        </w:rPr>
        <w:t xml:space="preserve">researchgate.net , 2022. </w:t>
      </w:r>
      <w:r w:rsidRPr="1EDB728A" w:rsidR="1EDB728A">
        <w:rPr>
          <w:rFonts w:ascii="Calibri" w:hAnsi="Calibri" w:eastAsia="Calibri" w:cs="Calibri"/>
          <w:i w:val="1"/>
          <w:iCs w:val="1"/>
          <w:noProof w:val="0"/>
          <w:sz w:val="28"/>
          <w:szCs w:val="28"/>
          <w:lang w:val="en-US"/>
        </w:rPr>
        <w:t>Wheelahan, L. and Moodie, G., 2017. Vocational education qualifications’ roles in pathways to work in liberal market economies. Journal of Vocational Education &amp; Training, 69(1), pp.10-27.</w:t>
      </w:r>
      <w:r w:rsidRPr="1EDB728A" w:rsidR="1EDB728A">
        <w:rPr>
          <w:rFonts w:ascii="Calibri" w:hAnsi="Calibri" w:eastAsia="Calibri" w:cs="Calibri"/>
          <w:noProof w:val="0"/>
          <w:sz w:val="28"/>
          <w:szCs w:val="28"/>
          <w:lang w:val="en-US"/>
        </w:rPr>
        <w:t xml:space="preserve"> </w:t>
      </w:r>
      <w:hyperlink r:id="R5da56b1e717e4996">
        <w:r w:rsidRPr="1EDB728A" w:rsidR="1EDB728A">
          <w:rPr>
            <w:rStyle w:val="Hyperlink"/>
            <w:rFonts w:ascii="Calibri" w:hAnsi="Calibri" w:eastAsia="Calibri" w:cs="Calibri"/>
            <w:noProof w:val="0"/>
            <w:sz w:val="28"/>
            <w:szCs w:val="28"/>
            <w:lang w:val="en-US"/>
          </w:rPr>
          <w:t>https://www.researchgate.net/profile/Leesa-Wheelahan/publication/315597064_Vocational_education_qualifications%27_roles_in_pathways_to_work_in_liberal_market_economies/links/5b030f310f7e9be94bdabb4f/Vocational-education-qualifications-roles-in-pathways-to-work-in-liberal-market-economies.pdf</w:t>
        </w:r>
      </w:hyperlink>
      <w:r w:rsidRPr="1EDB728A" w:rsidR="1EDB728A">
        <w:rPr>
          <w:rFonts w:ascii="Calibri" w:hAnsi="Calibri" w:eastAsia="Calibri" w:cs="Calibri"/>
          <w:noProof w:val="0"/>
          <w:sz w:val="22"/>
          <w:szCs w:val="22"/>
          <w:lang w:val="en-US"/>
        </w:rPr>
        <w:t xml:space="preserve"> </w:t>
      </w:r>
    </w:p>
    <w:p xmlns:wp14="http://schemas.microsoft.com/office/word/2010/wordml" w14:paraId="11C9009B" wp14:textId="0499E399">
      <w:r>
        <w:br/>
      </w:r>
    </w:p>
    <w:p xmlns:wp14="http://schemas.microsoft.com/office/word/2010/wordml" w14:paraId="0493667F" wp14:textId="03A907FC">
      <w:r>
        <w:br/>
      </w:r>
    </w:p>
    <w:p xmlns:wp14="http://schemas.microsoft.com/office/word/2010/wordml" w14:paraId="3F2F783C" wp14:textId="2E1F9A1B">
      <w:r w:rsidRPr="1EDB728A" w:rsidR="1EDB728A">
        <w:rPr>
          <w:rFonts w:ascii="Calibri" w:hAnsi="Calibri" w:eastAsia="Calibri" w:cs="Calibri"/>
          <w:noProof w:val="0"/>
          <w:sz w:val="28"/>
          <w:szCs w:val="28"/>
          <w:lang w:val="en-US"/>
        </w:rPr>
        <w:t xml:space="preserve">scitation.org , 2022. </w:t>
      </w:r>
      <w:r w:rsidRPr="1EDB728A" w:rsidR="1EDB728A">
        <w:rPr>
          <w:rFonts w:ascii="Calibri" w:hAnsi="Calibri" w:eastAsia="Calibri" w:cs="Calibri"/>
          <w:i w:val="1"/>
          <w:iCs w:val="1"/>
          <w:noProof w:val="0"/>
          <w:sz w:val="28"/>
          <w:szCs w:val="28"/>
          <w:lang w:val="en-US"/>
        </w:rPr>
        <w:t>Gopalan, V., Bakar, J.A.A., Zulkifli, A.N., Alwi, A. and Mat, R.C., 2017, October. A review of the motivation theories in learning. In AIP Conference Proceedings (Vol. 1891, No. 1, p. 020043). AIP Publishing LLC.</w:t>
      </w:r>
      <w:r w:rsidRPr="1EDB728A" w:rsidR="1EDB728A">
        <w:rPr>
          <w:rFonts w:ascii="Calibri" w:hAnsi="Calibri" w:eastAsia="Calibri" w:cs="Calibri"/>
          <w:noProof w:val="0"/>
          <w:sz w:val="28"/>
          <w:szCs w:val="28"/>
          <w:lang w:val="en-US"/>
        </w:rPr>
        <w:t xml:space="preserve"> </w:t>
      </w:r>
      <w:hyperlink r:id="Rf09a6b83e7f24a1c">
        <w:r w:rsidRPr="1EDB728A" w:rsidR="1EDB728A">
          <w:rPr>
            <w:rStyle w:val="Hyperlink"/>
            <w:rFonts w:ascii="Calibri" w:hAnsi="Calibri" w:eastAsia="Calibri" w:cs="Calibri"/>
            <w:noProof w:val="0"/>
            <w:sz w:val="28"/>
            <w:szCs w:val="28"/>
            <w:lang w:val="en-US"/>
          </w:rPr>
          <w:t>https://aip.scitation.org/doi/pdf/10.1063/1.5005376</w:t>
        </w:r>
      </w:hyperlink>
      <w:r w:rsidRPr="1EDB728A" w:rsidR="1EDB728A">
        <w:rPr>
          <w:rFonts w:ascii="Calibri" w:hAnsi="Calibri" w:eastAsia="Calibri" w:cs="Calibri"/>
          <w:noProof w:val="0"/>
          <w:sz w:val="22"/>
          <w:szCs w:val="22"/>
          <w:lang w:val="en-US"/>
        </w:rPr>
        <w:t xml:space="preserve"> </w:t>
      </w:r>
    </w:p>
    <w:p xmlns:wp14="http://schemas.microsoft.com/office/word/2010/wordml" w:rsidP="1EDB728A" w14:paraId="7610C193" wp14:textId="78EBDA52">
      <w:pPr>
        <w:jc w:val="both"/>
      </w:pPr>
      <w:r>
        <w:br/>
      </w:r>
    </w:p>
    <w:p xmlns:wp14="http://schemas.microsoft.com/office/word/2010/wordml" w:rsidP="1EDB728A" w14:paraId="1C3A85DD" wp14:textId="15090E17">
      <w:pPr>
        <w:jc w:val="both"/>
      </w:pPr>
      <w:r>
        <w:br/>
      </w:r>
    </w:p>
    <w:p xmlns:wp14="http://schemas.microsoft.com/office/word/2010/wordml" w:rsidP="1EDB728A" w14:paraId="7EB57E39" wp14:textId="75A7B237">
      <w:pPr>
        <w:jc w:val="both"/>
      </w:pPr>
      <w:r>
        <w:br/>
      </w:r>
    </w:p>
    <w:p xmlns:wp14="http://schemas.microsoft.com/office/word/2010/wordml" w:rsidP="1EDB728A" w14:paraId="03F3F24A" wp14:textId="310FFFF2">
      <w:pPr>
        <w:jc w:val="both"/>
      </w:pPr>
      <w:r>
        <w:br/>
      </w:r>
    </w:p>
    <w:p xmlns:wp14="http://schemas.microsoft.com/office/word/2010/wordml" w:rsidP="1EDB728A" w14:paraId="74D3B39E" wp14:textId="2FB798A7">
      <w:pPr>
        <w:jc w:val="both"/>
      </w:pPr>
      <w:r>
        <w:br/>
      </w:r>
    </w:p>
    <w:p xmlns:wp14="http://schemas.microsoft.com/office/word/2010/wordml" w:rsidP="1EDB728A" w14:paraId="2C078E63" wp14:textId="6873670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7FF29F"/>
    <w:rsid w:val="1EDB728A"/>
    <w:rsid w:val="767FF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F29F"/>
  <w15:chartTrackingRefBased/>
  <w15:docId w15:val="{00EB5E8D-8DDE-4774-A35D-B681714850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files.eric.ed.gov/fulltext/EJ1223988.pdf" TargetMode="External" Id="R3b2ce84574a34488" /><Relationship Type="http://schemas.openxmlformats.org/officeDocument/2006/relationships/hyperlink" Target="http://www.idpublications.org/wp-content/uploads/2020/04/Full-Paper-DEVELOPMENT-OF-PHYSICAL-TRAINING-SKILLS-AND-FORMATION-OF-WILLPOWER-QUALITIES.pdf" TargetMode="External" Id="Rcc1110eb948d4ed5" /><Relationship Type="http://schemas.openxmlformats.org/officeDocument/2006/relationships/hyperlink" Target="https://www.researchgate.net/profile/Leesa-Wheelahan/publication/315597064_Vocational_education_qualifications%27_roles_in_pathways_to_work_in_liberal_market_economies/links/5b030f310f7e9be94bdabb4f/Vocational-education-qualifications-roles-in-pathways-to-work-in-liberal-market-economies.pdf" TargetMode="External" Id="R5da56b1e717e4996" /><Relationship Type="http://schemas.openxmlformats.org/officeDocument/2006/relationships/hyperlink" Target="https://aip.scitation.org/doi/pdf/10.1063/1.5005376" TargetMode="External" Id="Rf09a6b83e7f24a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2022-03-18T13:57:19.1674011Z</dcterms:created>
  <dcterms:modified xsi:type="dcterms:W3CDTF">2022-03-18T13:58:00.2339740Z</dcterms:modified>
  <dc:creator>George Giuliano Mihai (2027230)</dc:creator>
  <lastModifiedBy>George Giuliano Mihai (2027230)</lastModifiedBy>
</coreProperties>
</file>