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04214585"/>
        <w:docPartObj>
          <w:docPartGallery w:val="Cover Pages"/>
          <w:docPartUnique/>
        </w:docPartObj>
      </w:sdtPr>
      <w:sdtEndPr>
        <w:rPr>
          <w:rFonts w:ascii="Arial" w:eastAsia="Times New Roman" w:hAnsi="Arial" w:cs="Arial"/>
          <w:b/>
          <w:bCs/>
          <w:color w:val="000000"/>
          <w:sz w:val="24"/>
          <w:szCs w:val="24"/>
          <w:u w:val="single"/>
          <w:lang w:eastAsia="en-GB"/>
        </w:rPr>
      </w:sdtEndPr>
      <w:sdtContent>
        <w:p w14:paraId="25C6AB44" w14:textId="6F261CD7" w:rsidR="009A290F" w:rsidRDefault="009A290F">
          <w:r>
            <w:rPr>
              <w:noProof/>
            </w:rPr>
            <mc:AlternateContent>
              <mc:Choice Requires="wpg">
                <w:drawing>
                  <wp:anchor distT="0" distB="0" distL="114300" distR="114300" simplePos="0" relativeHeight="251659264" behindDoc="1" locked="0" layoutInCell="1" allowOverlap="1" wp14:anchorId="44AFAE90" wp14:editId="76F6A508">
                    <wp:simplePos x="0" y="0"/>
                    <wp:positionH relativeFrom="page">
                      <wp:align>center</wp:align>
                    </wp:positionH>
                    <wp:positionV relativeFrom="page">
                      <wp:align>center</wp:align>
                    </wp:positionV>
                    <wp:extent cx="6665595" cy="971804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5595" cy="9718040"/>
                              <a:chOff x="0" y="0"/>
                              <a:chExt cx="6864824" cy="9123528"/>
                            </a:xfrm>
                          </wpg:grpSpPr>
                          <wps:wsp>
                            <wps:cNvPr id="2"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B77636" w14:textId="77777777" w:rsidR="009A290F" w:rsidRDefault="009A290F">
                                  <w:pPr>
                                    <w:pStyle w:val="NoSpacing"/>
                                    <w:spacing w:before="120"/>
                                    <w:jc w:val="center"/>
                                    <w:rPr>
                                      <w:color w:val="FFFFFF" w:themeColor="background1"/>
                                    </w:rPr>
                                  </w:pPr>
                                  <w:r>
                                    <w:rPr>
                                      <w:color w:val="FFFFFF" w:themeColor="background1"/>
                                    </w:rPr>
                                    <w:t>Name: Anna Lewis</w:t>
                                  </w:r>
                                </w:p>
                                <w:p w14:paraId="37CF09EA" w14:textId="77777777" w:rsidR="009A290F" w:rsidRDefault="009A290F">
                                  <w:pPr>
                                    <w:pStyle w:val="NoSpacing"/>
                                    <w:spacing w:before="120"/>
                                    <w:jc w:val="center"/>
                                    <w:rPr>
                                      <w:color w:val="FFFFFF" w:themeColor="background1"/>
                                    </w:rPr>
                                  </w:pPr>
                                  <w:r>
                                    <w:rPr>
                                      <w:color w:val="FFFFFF" w:themeColor="background1"/>
                                    </w:rPr>
                                    <w:t>ID: 1905097</w:t>
                                  </w:r>
                                </w:p>
                                <w:p w14:paraId="145D0AE2" w14:textId="77777777" w:rsidR="009A290F" w:rsidRDefault="009A290F">
                                  <w:pPr>
                                    <w:pStyle w:val="NoSpacing"/>
                                    <w:spacing w:before="120"/>
                                    <w:jc w:val="center"/>
                                    <w:rPr>
                                      <w:color w:val="FFFFFF" w:themeColor="background1"/>
                                    </w:rPr>
                                  </w:pPr>
                                  <w:r>
                                    <w:rPr>
                                      <w:color w:val="FFFFFF" w:themeColor="background1"/>
                                    </w:rPr>
                                    <w:t>Module Code: BMPS6009</w:t>
                                  </w:r>
                                </w:p>
                                <w:p w14:paraId="78D38B03" w14:textId="6502793B" w:rsidR="009A290F" w:rsidRDefault="009A290F">
                                  <w:pPr>
                                    <w:pStyle w:val="NoSpacing"/>
                                    <w:spacing w:before="120"/>
                                    <w:jc w:val="center"/>
                                    <w:rPr>
                                      <w:color w:val="FFFFFF" w:themeColor="background1"/>
                                    </w:rPr>
                                  </w:pPr>
                                  <w:r>
                                    <w:rPr>
                                      <w:color w:val="FFFFFF" w:themeColor="background1"/>
                                    </w:rPr>
                                    <w:t>Word Count: 2,750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4"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2B82BA" w14:textId="3A6ACFDA" w:rsidR="009A290F" w:rsidRPr="009A290F" w:rsidRDefault="009A290F">
                                  <w:pPr>
                                    <w:pStyle w:val="NoSpacing"/>
                                    <w:jc w:val="center"/>
                                    <w:rPr>
                                      <w:rFonts w:asciiTheme="majorHAnsi" w:eastAsiaTheme="majorEastAsia" w:hAnsiTheme="majorHAnsi" w:cstheme="majorBidi"/>
                                      <w:caps/>
                                      <w:color w:val="4472C4" w:themeColor="accent1"/>
                                      <w:sz w:val="144"/>
                                      <w:szCs w:val="144"/>
                                    </w:rPr>
                                  </w:pPr>
                                  <w:sdt>
                                    <w:sdtPr>
                                      <w:rPr>
                                        <w:rFonts w:ascii="Arial" w:eastAsia="Times New Roman" w:hAnsi="Arial" w:cs="Arial"/>
                                        <w:b/>
                                        <w:bCs/>
                                        <w:color w:val="000000"/>
                                        <w:sz w:val="32"/>
                                        <w:szCs w:val="32"/>
                                        <w:u w:val="single"/>
                                        <w:lang w:eastAsia="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Pr="009A290F">
                                        <w:rPr>
                                          <w:rFonts w:ascii="Arial" w:eastAsia="Times New Roman" w:hAnsi="Arial" w:cs="Arial"/>
                                          <w:b/>
                                          <w:bCs/>
                                          <w:color w:val="000000"/>
                                          <w:sz w:val="32"/>
                                          <w:szCs w:val="32"/>
                                          <w:u w:val="single"/>
                                          <w:lang w:eastAsia="en-GB"/>
                                        </w:rPr>
                                        <w:t>C</w:t>
                                      </w:r>
                                      <w:r w:rsidRPr="009A290F">
                                        <w:rPr>
                                          <w:rFonts w:ascii="Arial" w:eastAsia="Times New Roman" w:hAnsi="Arial" w:cs="Arial"/>
                                          <w:b/>
                                          <w:bCs/>
                                          <w:color w:val="000000"/>
                                          <w:sz w:val="32"/>
                                          <w:szCs w:val="32"/>
                                          <w:u w:val="single"/>
                                          <w:lang w:eastAsia="en-GB"/>
                                        </w:rPr>
                                        <w:t>ritical evaluation of the Procedures carried out by First Attending Officer (FAO) to a crime scene to prevent cross contamination of evidence</w:t>
                                      </w:r>
                                    </w:sdtContent>
                                  </w:sdt>
                                  <w:r w:rsidRPr="009A290F">
                                    <w:rPr>
                                      <w:rFonts w:ascii="Arial" w:eastAsia="Times New Roman" w:hAnsi="Arial" w:cs="Arial"/>
                                      <w:b/>
                                      <w:bCs/>
                                      <w:color w:val="000000"/>
                                      <w:sz w:val="32"/>
                                      <w:szCs w:val="32"/>
                                      <w:u w:val="single"/>
                                      <w:lang w:eastAsia="en-GB"/>
                                    </w:rPr>
                                    <w:t xml:space="preserve"> and an analysis of the methods used in practice to examine and recover forensic evidence at a crime scene</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4AFAE90" id="Group 1" o:spid="_x0000_s1026" style="position:absolute;margin-left:0;margin-top:0;width:524.85pt;height:765.2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" fillcolor="#4472c4 [3204]" stroked="f" strokeweight="1pt">
                      <v:textbox inset="36pt,57.6pt,36pt,36pt">
                        <w:txbxContent>
                          <w:p w14:paraId="29B77636" w14:textId="77777777" w:rsidR="009A290F" w:rsidRDefault="009A290F">
                            <w:pPr>
                              <w:pStyle w:val="NoSpacing"/>
                              <w:spacing w:before="120"/>
                              <w:jc w:val="center"/>
                              <w:rPr>
                                <w:color w:val="FFFFFF" w:themeColor="background1"/>
                              </w:rPr>
                            </w:pPr>
                            <w:r>
                              <w:rPr>
                                <w:color w:val="FFFFFF" w:themeColor="background1"/>
                              </w:rPr>
                              <w:t>Name: Anna Lewis</w:t>
                            </w:r>
                          </w:p>
                          <w:p w14:paraId="37CF09EA" w14:textId="77777777" w:rsidR="009A290F" w:rsidRDefault="009A290F">
                            <w:pPr>
                              <w:pStyle w:val="NoSpacing"/>
                              <w:spacing w:before="120"/>
                              <w:jc w:val="center"/>
                              <w:rPr>
                                <w:color w:val="FFFFFF" w:themeColor="background1"/>
                              </w:rPr>
                            </w:pPr>
                            <w:r>
                              <w:rPr>
                                <w:color w:val="FFFFFF" w:themeColor="background1"/>
                              </w:rPr>
                              <w:t>ID: 1905097</w:t>
                            </w:r>
                          </w:p>
                          <w:p w14:paraId="145D0AE2" w14:textId="77777777" w:rsidR="009A290F" w:rsidRDefault="009A290F">
                            <w:pPr>
                              <w:pStyle w:val="NoSpacing"/>
                              <w:spacing w:before="120"/>
                              <w:jc w:val="center"/>
                              <w:rPr>
                                <w:color w:val="FFFFFF" w:themeColor="background1"/>
                              </w:rPr>
                            </w:pPr>
                            <w:r>
                              <w:rPr>
                                <w:color w:val="FFFFFF" w:themeColor="background1"/>
                              </w:rPr>
                              <w:t>Module Code: BMPS6009</w:t>
                            </w:r>
                          </w:p>
                          <w:p w14:paraId="78D38B03" w14:textId="6502793B" w:rsidR="009A290F" w:rsidRDefault="009A290F">
                            <w:pPr>
                              <w:pStyle w:val="NoSpacing"/>
                              <w:spacing w:before="120"/>
                              <w:jc w:val="center"/>
                              <w:rPr>
                                <w:color w:val="FFFFFF" w:themeColor="background1"/>
                              </w:rPr>
                            </w:pPr>
                            <w:r>
                              <w:rPr>
                                <w:color w:val="FFFFFF" w:themeColor="background1"/>
                              </w:rPr>
                              <w:t>Word Count: 2,750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" fillcolor="white [3212]" stroked="f" strokeweight=".5pt">
                      <v:textbox inset="36pt,7.2pt,36pt,7.2pt">
                        <w:txbxContent>
                          <w:p w14:paraId="2F2B82BA" w14:textId="3A6ACFDA" w:rsidR="009A290F" w:rsidRPr="009A290F" w:rsidRDefault="009A290F">
                            <w:pPr>
                              <w:pStyle w:val="NoSpacing"/>
                              <w:jc w:val="center"/>
                              <w:rPr>
                                <w:rFonts w:asciiTheme="majorHAnsi" w:eastAsiaTheme="majorEastAsia" w:hAnsiTheme="majorHAnsi" w:cstheme="majorBidi"/>
                                <w:caps/>
                                <w:color w:val="4472C4" w:themeColor="accent1"/>
                                <w:sz w:val="144"/>
                                <w:szCs w:val="144"/>
                              </w:rPr>
                            </w:pPr>
                            <w:sdt>
                              <w:sdtPr>
                                <w:rPr>
                                  <w:rFonts w:ascii="Arial" w:eastAsia="Times New Roman" w:hAnsi="Arial" w:cs="Arial"/>
                                  <w:b/>
                                  <w:bCs/>
                                  <w:color w:val="000000"/>
                                  <w:sz w:val="32"/>
                                  <w:szCs w:val="32"/>
                                  <w:u w:val="single"/>
                                  <w:lang w:eastAsia="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Pr="009A290F">
                                  <w:rPr>
                                    <w:rFonts w:ascii="Arial" w:eastAsia="Times New Roman" w:hAnsi="Arial" w:cs="Arial"/>
                                    <w:b/>
                                    <w:bCs/>
                                    <w:color w:val="000000"/>
                                    <w:sz w:val="32"/>
                                    <w:szCs w:val="32"/>
                                    <w:u w:val="single"/>
                                    <w:lang w:eastAsia="en-GB"/>
                                  </w:rPr>
                                  <w:t>C</w:t>
                                </w:r>
                                <w:r w:rsidRPr="009A290F">
                                  <w:rPr>
                                    <w:rFonts w:ascii="Arial" w:eastAsia="Times New Roman" w:hAnsi="Arial" w:cs="Arial"/>
                                    <w:b/>
                                    <w:bCs/>
                                    <w:color w:val="000000"/>
                                    <w:sz w:val="32"/>
                                    <w:szCs w:val="32"/>
                                    <w:u w:val="single"/>
                                    <w:lang w:eastAsia="en-GB"/>
                                  </w:rPr>
                                  <w:t>ritical evaluation of the Procedures carried out by First Attending Officer (FAO) to a crime scene to prevent cross contamination of evidence</w:t>
                                </w:r>
                              </w:sdtContent>
                            </w:sdt>
                            <w:r w:rsidRPr="009A290F">
                              <w:rPr>
                                <w:rFonts w:ascii="Arial" w:eastAsia="Times New Roman" w:hAnsi="Arial" w:cs="Arial"/>
                                <w:b/>
                                <w:bCs/>
                                <w:color w:val="000000"/>
                                <w:sz w:val="32"/>
                                <w:szCs w:val="32"/>
                                <w:u w:val="single"/>
                                <w:lang w:eastAsia="en-GB"/>
                              </w:rPr>
                              <w:t xml:space="preserve"> and an analysis of the methods used in practice to examine and recover forensic evidence at a crime scene</w:t>
                            </w:r>
                          </w:p>
                        </w:txbxContent>
                      </v:textbox>
                    </v:shape>
                    <w10:wrap anchorx="page" anchory="page"/>
                  </v:group>
                </w:pict>
              </mc:Fallback>
            </mc:AlternateContent>
          </w:r>
        </w:p>
        <w:p w14:paraId="52B005CD" w14:textId="062E9F44" w:rsidR="009A290F" w:rsidRDefault="009A290F">
          <w:pPr>
            <w:rPr>
              <w:rFonts w:ascii="Arial" w:eastAsia="Times New Roman" w:hAnsi="Arial" w:cs="Arial"/>
              <w:b/>
              <w:bCs/>
              <w:color w:val="000000"/>
              <w:sz w:val="24"/>
              <w:szCs w:val="24"/>
              <w:u w:val="single"/>
              <w:lang w:eastAsia="en-GB"/>
            </w:rPr>
          </w:pPr>
          <w:r>
            <w:rPr>
              <w:rFonts w:ascii="Arial" w:eastAsia="Times New Roman" w:hAnsi="Arial" w:cs="Arial"/>
              <w:b/>
              <w:bCs/>
              <w:color w:val="000000"/>
              <w:sz w:val="24"/>
              <w:szCs w:val="24"/>
              <w:u w:val="single"/>
              <w:lang w:eastAsia="en-GB"/>
            </w:rPr>
            <w:br w:type="page"/>
          </w:r>
        </w:p>
      </w:sdtContent>
    </w:sdt>
    <w:p w14:paraId="064185FC" w14:textId="77777777" w:rsidR="00E94916" w:rsidRPr="009A290F" w:rsidRDefault="00E94916" w:rsidP="009A290F">
      <w:pPr>
        <w:spacing w:after="0" w:line="480" w:lineRule="auto"/>
        <w:rPr>
          <w:rFonts w:ascii="Arial" w:eastAsia="Times New Roman" w:hAnsi="Arial" w:cs="Arial"/>
          <w:sz w:val="24"/>
          <w:szCs w:val="24"/>
          <w:lang w:eastAsia="en-GB"/>
        </w:rPr>
      </w:pPr>
    </w:p>
    <w:p w14:paraId="0C27899E" w14:textId="418E745C" w:rsidR="00E94916" w:rsidRPr="009A290F" w:rsidRDefault="009A290F" w:rsidP="009A290F">
      <w:pPr>
        <w:spacing w:after="240" w:line="480" w:lineRule="auto"/>
        <w:rPr>
          <w:rFonts w:ascii="Arial" w:eastAsia="Times New Roman" w:hAnsi="Arial" w:cs="Arial"/>
          <w:sz w:val="24"/>
          <w:szCs w:val="24"/>
          <w:u w:val="single"/>
          <w:lang w:eastAsia="en-GB"/>
        </w:rPr>
      </w:pPr>
      <w:r w:rsidRPr="009A290F">
        <w:rPr>
          <w:rFonts w:ascii="Arial" w:eastAsia="Times New Roman" w:hAnsi="Arial" w:cs="Arial"/>
          <w:sz w:val="24"/>
          <w:szCs w:val="24"/>
          <w:u w:val="single"/>
          <w:lang w:eastAsia="en-GB"/>
        </w:rPr>
        <w:t>Part A</w:t>
      </w:r>
    </w:p>
    <w:p w14:paraId="63D72DF7" w14:textId="77777777" w:rsidR="00E94916" w:rsidRPr="009A290F" w:rsidRDefault="00E94916"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As a first attending officer to the scene of a crime there are many cautional procedures that have to be followed to ensure safety to yourself and others. These procedures also ensure that sufficient evidence is preserved to ensure a strong case is held in court to achieve justice. The First Attending Officer has the crucial role of ensuring all procedures are followed. In any crime scene there is always some evidence which is left behind. As mentioned by pepper (2010, p. 45-103) there are three main types of forensic evidence, which are Trace evidence, impressions and DNA. Along with this there are other types of evidence such as photographs, firearms, injuries of the victims, digital evidence, witness evidence and intelligence.</w:t>
      </w:r>
    </w:p>
    <w:p w14:paraId="510B4614" w14:textId="77777777" w:rsidR="00E94916" w:rsidRPr="009A290F" w:rsidRDefault="00E94916"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This essay aims to evaluate the procedures that are carried out by a First attending Officer to prevent cross contamination of crucial evidence. To ensure this aim is achieved, this document will identify the procedures and provide a better understanding of what each procedure entails and identification of the effectiveness of these procedures to prevent cross contamination of evidence. </w:t>
      </w:r>
    </w:p>
    <w:p w14:paraId="388C55F1" w14:textId="77777777" w:rsidR="00E94916" w:rsidRPr="009A290F" w:rsidRDefault="00E94916" w:rsidP="009A290F">
      <w:pPr>
        <w:spacing w:after="0" w:line="480" w:lineRule="auto"/>
        <w:rPr>
          <w:rFonts w:ascii="Arial" w:eastAsia="Times New Roman" w:hAnsi="Arial" w:cs="Arial"/>
          <w:sz w:val="24"/>
          <w:szCs w:val="24"/>
          <w:lang w:eastAsia="en-GB"/>
        </w:rPr>
      </w:pPr>
    </w:p>
    <w:p w14:paraId="7AC9CEDF" w14:textId="77777777" w:rsidR="00E94916" w:rsidRPr="009A290F" w:rsidRDefault="00E94916"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When attending a crime scene there is a set period of time which is the golden hour which is the most important hour after arriving at a crime scene. There are a number of things that need to be done once the first attending officer arrives at a crime scene. These are known as the Golden Hour Principles. </w:t>
      </w:r>
    </w:p>
    <w:p w14:paraId="2B12366D" w14:textId="77777777" w:rsidR="00E94916" w:rsidRPr="009A290F" w:rsidRDefault="00E94916"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 xml:space="preserve">Bryant and Bryant (2019, p. 225) states that the golden hour Principle is a term which is used to describe the period of time which has occurred after a major crime has been committed. The main considerations that are required to focus on are the victims, scenes, suspects, witnesses, log, family/community, Physical evidence, </w:t>
      </w:r>
      <w:r w:rsidRPr="009A290F">
        <w:rPr>
          <w:rFonts w:ascii="Arial" w:eastAsia="Times New Roman" w:hAnsi="Arial" w:cs="Arial"/>
          <w:color w:val="000000"/>
          <w:sz w:val="24"/>
          <w:szCs w:val="24"/>
          <w:lang w:eastAsia="en-GB"/>
        </w:rPr>
        <w:lastRenderedPageBreak/>
        <w:t>Intelligence, Prevent contamination, Lines of responsibility ((1)College of Policing, 2021). These principles are put in place to strongly reduce any possibilities of cross contamination of evidence. The main 3 considerations which are crucial in preventing contamination are the Log, the Physical Evidence and The Lines of responsibility. </w:t>
      </w:r>
    </w:p>
    <w:p w14:paraId="74BEBF59" w14:textId="77777777" w:rsidR="00E94916" w:rsidRPr="009A290F" w:rsidRDefault="00E94916"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During investigations which contain evidence, along with cordons, there are Personnel logs. This is a log to keep track of who enters and leaves the inner cordon. When entering, all personnel must note their name, rank, grade, number (in block numbers), date and time of entry, reason for entry and a list of PPE worn and their signature (Service Instruction, 2016).  The use of a crime scene log is an effective way to monitor the work that is carried out and to ensure that all members of staff are accounted for when entering the crime scene, as a precaution to ensure there is no cross contamination.</w:t>
      </w:r>
    </w:p>
    <w:p w14:paraId="54BFABAC" w14:textId="77777777" w:rsidR="00E94916" w:rsidRPr="009A290F" w:rsidRDefault="00E94916" w:rsidP="009A290F">
      <w:pPr>
        <w:spacing w:after="0" w:line="480" w:lineRule="auto"/>
        <w:rPr>
          <w:rFonts w:ascii="Arial" w:eastAsia="Times New Roman" w:hAnsi="Arial" w:cs="Arial"/>
          <w:sz w:val="24"/>
          <w:szCs w:val="24"/>
          <w:lang w:eastAsia="en-GB"/>
        </w:rPr>
      </w:pPr>
    </w:p>
    <w:p w14:paraId="5829C684" w14:textId="77777777" w:rsidR="00E94916" w:rsidRPr="009A290F" w:rsidRDefault="00E94916"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Once the first attending officer has ensured no life is in danger the main priority is to ensure police cordons are put in place. During any investigation, which has forensic evidence, there are always cordons put in place. There are two different types of police cordons that are required to be put in place which are Outer and inner cordons. </w:t>
      </w:r>
    </w:p>
    <w:p w14:paraId="55B19868" w14:textId="77777777" w:rsidR="00E94916" w:rsidRPr="009A290F" w:rsidRDefault="00E94916"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 xml:space="preserve">An outer cordon is a cordon that is put in place to prevent any unauthorised personnel from contaminating any evidence (Emergency services liaison group, 2016, p.4). According to (Castle View Forensics, 2021) an outer cordon is found in a wider area surrounding the main scene of the crime. Using the outer cordon is effective as it allows other officers and other emergency services attending the incident to be within a close range to the crime scene without having to battle their </w:t>
      </w:r>
      <w:r w:rsidRPr="009A290F">
        <w:rPr>
          <w:rFonts w:ascii="Arial" w:eastAsia="Times New Roman" w:hAnsi="Arial" w:cs="Arial"/>
          <w:color w:val="000000"/>
          <w:sz w:val="24"/>
          <w:szCs w:val="24"/>
          <w:lang w:eastAsia="en-GB"/>
        </w:rPr>
        <w:lastRenderedPageBreak/>
        <w:t>way through onlookers and allows emergency services to be at the scene of the crime but not close enough that cross contamination of evidence occurs.  </w:t>
      </w:r>
    </w:p>
    <w:p w14:paraId="1930C18C" w14:textId="77777777" w:rsidR="00E94916" w:rsidRPr="009A290F" w:rsidRDefault="00E94916"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According to ((2)College of Policing, 2021) the inner cordons are in place to ensure that any areas containing hazards, or where contamination is possible, is identified to reduce cross contamination. According to (Castle View Forensics, 2021) inner cordons are found at the core of the crime scene. The use of these cordons is highly effective in avoiding any cross contamination as both cordons are controlled by police personnel, therefore is limited to who can access areas within these cordons. This cordon is effective in avoiding cross contamination of evidence, for the reason that only authorised personnel who wear the correct garments and provide the correct equipment are authorised to go into this cordoned area. </w:t>
      </w:r>
    </w:p>
    <w:p w14:paraId="7E7DE3AF" w14:textId="77777777" w:rsidR="00E94916" w:rsidRPr="009A290F" w:rsidRDefault="00E94916" w:rsidP="009A290F">
      <w:pPr>
        <w:spacing w:after="0" w:line="480" w:lineRule="auto"/>
        <w:rPr>
          <w:rFonts w:ascii="Arial" w:eastAsia="Times New Roman" w:hAnsi="Arial" w:cs="Arial"/>
          <w:sz w:val="24"/>
          <w:szCs w:val="24"/>
          <w:lang w:eastAsia="en-GB"/>
        </w:rPr>
      </w:pPr>
    </w:p>
    <w:p w14:paraId="3E94A9E2" w14:textId="77777777" w:rsidR="00E94916" w:rsidRPr="009A290F" w:rsidRDefault="00E94916"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When entering a crime scene with forensic evidence, all personnel must wear the correct PPE before entering the inner cordon. PPE is Personal Protective Equipment which is used in hospitals, crime scenes, laboratories and other places (Oxford University Hospitals, 2021). There is a specific sequence on how to change into PPE. This is as follows: Face mask, mob cap, first pair of gloves, over-suit, overshoes and then the second pair of gloves (Forensic Science Regulator, 2015). The use of this sequence is effective in reducing the chances of contamination during forensic investigation. In their research (Rutty et al. 2003) found that it is suggested that the use of PPE reduces any risk of cross contamination during the investigation at a crime scene.</w:t>
      </w:r>
    </w:p>
    <w:p w14:paraId="68461FF0" w14:textId="77777777" w:rsidR="00E94916" w:rsidRPr="009A290F" w:rsidRDefault="00E94916"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 xml:space="preserve">When using gloves at a crime scene they must be disposable, powder free and latex or nitrile to ensure no cross contamination occurs (Forensic Science Regulator, 2015). When the first attending officer responds to the call, they must ensure that </w:t>
      </w:r>
      <w:r w:rsidRPr="009A290F">
        <w:rPr>
          <w:rFonts w:ascii="Arial" w:eastAsia="Times New Roman" w:hAnsi="Arial" w:cs="Arial"/>
          <w:color w:val="000000"/>
          <w:sz w:val="24"/>
          <w:szCs w:val="24"/>
          <w:lang w:eastAsia="en-GB"/>
        </w:rPr>
        <w:lastRenderedPageBreak/>
        <w:t>they are wearing gloves to any incident that has been reported. First attending officers must ensure that all staff use the correct PPE when dealing with evidence.</w:t>
      </w:r>
    </w:p>
    <w:p w14:paraId="6544160C" w14:textId="77777777" w:rsidR="00E94916" w:rsidRPr="009A290F" w:rsidRDefault="00E94916"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As stated by (Forensic Science Regulator, 2015) the use of facemasks, mob caps and gloves prevents leaving any DNA, from the Forensic investigators, at the scene of a crime which then is cross contamination. (Forensic Science Regulator, 2015) also suggests that the use of body suits prevent any cross contamination through leaving any fibre materials from any investigating team members, and the use of overshoes prevent any contamination from soil from other areas and destroying footprints left by the perpetrator. If PPE was not used there would be cross contamination on all the evidence gathered, which would result in the evidence being irrelevant during a court case. This strongly shows that the use of PPE has a positive impact in avoiding cross contamination at a crime scene.  </w:t>
      </w:r>
    </w:p>
    <w:p w14:paraId="000EBEBA" w14:textId="77777777" w:rsidR="00E94916" w:rsidRPr="009A290F" w:rsidRDefault="00E94916" w:rsidP="009A290F">
      <w:pPr>
        <w:spacing w:after="0" w:line="480" w:lineRule="auto"/>
        <w:rPr>
          <w:rFonts w:ascii="Arial" w:eastAsia="Times New Roman" w:hAnsi="Arial" w:cs="Arial"/>
          <w:sz w:val="24"/>
          <w:szCs w:val="24"/>
          <w:lang w:eastAsia="en-GB"/>
        </w:rPr>
      </w:pPr>
    </w:p>
    <w:p w14:paraId="50B79C6B" w14:textId="77777777" w:rsidR="00E94916" w:rsidRPr="009A290F" w:rsidRDefault="00E94916"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Once evidence has been identified and the Crime Scene Investigators have arrived at the scene, they have to ensure all evidence is gathered correctly. There is a specific process that evidence must be collected. </w:t>
      </w:r>
    </w:p>
    <w:p w14:paraId="2EF88D37" w14:textId="77777777" w:rsidR="00E94916" w:rsidRPr="009A290F" w:rsidRDefault="00E94916"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When gathering evidence there are specific ways of storing evidence. Harfield (2014, p.29) demonstrates that clothing must be stored in paper bags, paper exhibits and small freezable items must be stored in polythene bags, any weapons which are sharp must be stored in plastic screw threaded tubes and articles which believe to have ignitable liquids must be stored in nylon bags. This strongly suggests that the use of specific bags to store forensic evidence reduces the possibilities of leakage of any bodily fluids and contamination of other pieces of evidence. Therefore this strongly shows that the use of forensic packaging is effective in reducing cross contamination. </w:t>
      </w:r>
    </w:p>
    <w:p w14:paraId="104E3E04" w14:textId="77777777" w:rsidR="00E94916" w:rsidRPr="009A290F" w:rsidRDefault="00E94916"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lastRenderedPageBreak/>
        <w:t>When evidence is being placed into evidence bags they must be sealed and labelled correctly. There must be specific information on the labels for evidence bags. According to (ENFSI, No date, p. 17) each label for forensic evidence must have a unique identification mark, the name of the person or organisation who collected the piece of evidence, an accurate description of the material, location from where the material has been seized, the time and date the item was seized and the protective clothing worn when recovering and packaging process. The use of a detailed labelling is highly effective to ensure that no cross contamination occurs, for the reason that all members of the forensic examination team are aware of the process that has occurred when collecting evidence at crime scene. </w:t>
      </w:r>
    </w:p>
    <w:p w14:paraId="24ADDA6C" w14:textId="77777777" w:rsidR="00E94916" w:rsidRPr="009A290F" w:rsidRDefault="00E94916" w:rsidP="009A290F">
      <w:pPr>
        <w:spacing w:after="0" w:line="480" w:lineRule="auto"/>
        <w:rPr>
          <w:rFonts w:ascii="Arial" w:eastAsia="Times New Roman" w:hAnsi="Arial" w:cs="Arial"/>
          <w:sz w:val="24"/>
          <w:szCs w:val="24"/>
          <w:lang w:eastAsia="en-GB"/>
        </w:rPr>
      </w:pPr>
    </w:p>
    <w:p w14:paraId="3CA13933" w14:textId="77777777" w:rsidR="00E94916" w:rsidRPr="009A290F" w:rsidRDefault="00E94916"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The research found above strongly shows that the use of the golden hour principles has a positive impact on prevention of cross contamination. The research above also strongly suggests that the use of personal protective equipment is strongly effective in preventing cross contamination. The use of different types of evidence bags is effective in avoiding cross contamination as certain bags are suitable for certain forms of evidence. The use of outer and inner cordons are both highly effective as it prevents any unauthorised personnel from accessing areas with forensic evidence and causes cross contamination. </w:t>
      </w:r>
    </w:p>
    <w:p w14:paraId="101C3CD0" w14:textId="77777777" w:rsidR="00E94916" w:rsidRPr="009A290F" w:rsidRDefault="00E94916"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To conclude, the research found above strongly suggests that the procedures that are used for forensic evidence are highly effective in reducing cross contamination.</w:t>
      </w:r>
    </w:p>
    <w:p w14:paraId="2D689ED1" w14:textId="0ED1826E" w:rsidR="00597589" w:rsidRPr="009A290F" w:rsidRDefault="00597589" w:rsidP="009A290F">
      <w:pPr>
        <w:spacing w:line="480" w:lineRule="auto"/>
        <w:rPr>
          <w:rFonts w:ascii="Arial" w:hAnsi="Arial" w:cs="Arial"/>
          <w:sz w:val="24"/>
          <w:szCs w:val="24"/>
        </w:rPr>
      </w:pPr>
    </w:p>
    <w:p w14:paraId="16857D12" w14:textId="2E1D1C5B" w:rsidR="00E94916" w:rsidRPr="009A290F" w:rsidRDefault="009A290F" w:rsidP="009A290F">
      <w:pPr>
        <w:spacing w:line="480" w:lineRule="auto"/>
        <w:rPr>
          <w:rFonts w:ascii="Arial" w:hAnsi="Arial" w:cs="Arial"/>
          <w:sz w:val="24"/>
          <w:szCs w:val="24"/>
        </w:rPr>
      </w:pPr>
      <w:r>
        <w:rPr>
          <w:rFonts w:ascii="Arial" w:hAnsi="Arial" w:cs="Arial"/>
          <w:b/>
          <w:bCs/>
          <w:color w:val="000000"/>
          <w:sz w:val="24"/>
          <w:szCs w:val="24"/>
          <w:u w:val="single"/>
        </w:rPr>
        <w:t>Part B</w:t>
      </w:r>
    </w:p>
    <w:p w14:paraId="4FEBC2E4" w14:textId="22A094EC" w:rsidR="00E94916" w:rsidRPr="009A290F" w:rsidRDefault="00E94916" w:rsidP="009A290F">
      <w:pPr>
        <w:spacing w:line="480" w:lineRule="auto"/>
        <w:jc w:val="center"/>
        <w:rPr>
          <w:rFonts w:ascii="Arial" w:hAnsi="Arial" w:cs="Arial"/>
          <w:sz w:val="24"/>
          <w:szCs w:val="24"/>
        </w:rPr>
      </w:pPr>
    </w:p>
    <w:p w14:paraId="59AC6ACD"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lastRenderedPageBreak/>
        <w:t>In any scene of crime there is always some form of evidence which provides the Police with the answer to the question, who? According to Horswell and Fowler (2004, p.45) Dr Edward Locard developed the principle of exchange which states that “every contact leaves a trace”. But to carry out the important research of an investigation there are procedures that have to be followed in order to carry out forensic examination lawfully. This section of the essay will aim to focus on Digital Forensics and the legislation used during forensic examination. </w:t>
      </w:r>
    </w:p>
    <w:p w14:paraId="468A10B7"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Digital Forensics is defined by the (National Police Chiefs’ council, 2020, p. 12) as the “examination of digital evidence to support investigations and prosecutions”. </w:t>
      </w:r>
    </w:p>
    <w:p w14:paraId="39B018F1" w14:textId="77777777" w:rsidR="009A290F" w:rsidRPr="009A290F" w:rsidRDefault="009A290F" w:rsidP="009A290F">
      <w:pPr>
        <w:spacing w:after="240" w:line="480" w:lineRule="auto"/>
        <w:rPr>
          <w:rFonts w:ascii="Arial" w:eastAsia="Times New Roman" w:hAnsi="Arial" w:cs="Arial"/>
          <w:sz w:val="24"/>
          <w:szCs w:val="24"/>
          <w:lang w:eastAsia="en-GB"/>
        </w:rPr>
      </w:pPr>
    </w:p>
    <w:p w14:paraId="33B9B4F0"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One of the most serious crimes that is a problem in the UK currently, is Drug misuse and drug trafficking. Identified in research (United Nations Office on Drugs and Crime, 2018) there were a total of 322,224 Cannabis Plants, 779,160 Benzodiazepines and 56,318 methadone tablets seized in 2016, in the UK. This strongly suggests that drugs are one of the biggest problems in the UK.  </w:t>
      </w:r>
    </w:p>
    <w:p w14:paraId="765F176D"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 </w:t>
      </w:r>
    </w:p>
    <w:p w14:paraId="3912B24D"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 xml:space="preserve">When attending a scene of crime, there is a procedure to follow when gathering any items which could be evidence. This is through the power of seizure. In the ((1) Police and Criminal Evidence Act 1984) section 19 states that a constable has the power to seize anything which is on the premises if he has reasonable grounds to believe that it is at risk of being concealed, destroyed, lost, or altered. This section also states that a constable has the power to seize if he/she has reasonable grounds to believe that the item is in relation to the offence. There are two other pieces of legislation that justify the legal rights of a police officer to seize. The (College of Policing, 2016) states that in the Misuse of Drugs Act 1971 constables have the </w:t>
      </w:r>
      <w:r w:rsidRPr="009A290F">
        <w:rPr>
          <w:rFonts w:ascii="Arial" w:eastAsia="Times New Roman" w:hAnsi="Arial" w:cs="Arial"/>
          <w:color w:val="000000"/>
          <w:sz w:val="24"/>
          <w:szCs w:val="24"/>
          <w:lang w:eastAsia="en-GB"/>
        </w:rPr>
        <w:lastRenderedPageBreak/>
        <w:t>power to detain any controlled drug or mobile phone which is in the possession of a suspect. Another piece of legislation that gives officers that legal right to seize any digital forensics is the Terrorism Act 2000. According to the (UK Government, 2012, p.8) under section 43 of the Terrorism Act 2000 constables have the right to stop and search a person and anything they have on them such as a bag, container or other object. </w:t>
      </w:r>
    </w:p>
    <w:p w14:paraId="1D4EF7A3"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When attending an incident when there is digital evidence, the attending digital forensic unit has the ability to retain any evidence which is on any digital item which is suspected to be involved in the crime committed. A digital Forensic unit, also known as Digital Computer Unit, Wood et al. (2021, p. 535) states that when a Digital forensic unit personnel is retaining evidence at a crime scene they must take into consideration Section 19 and 20 of PACE. </w:t>
      </w:r>
    </w:p>
    <w:p w14:paraId="797EDC83"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As previously stated Section 19 of the legislation ((1) The Police and Criminal Evidence Act 1984) gives the power of seizure if there is reasonable grounds which are divided into 2 subsections. Subsection 2b states that if there is anything which is at risk of being lost, damaged, or destroyed then it may be seized. </w:t>
      </w:r>
    </w:p>
    <w:p w14:paraId="12DE858E"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In section 20 of the legislation ((2) The Police and Criminal Evidence Act 1984) is the extension of powers of seizure to computerised information, which entails the power to access to any computer stored information. </w:t>
      </w:r>
    </w:p>
    <w:p w14:paraId="7DB644B7"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Once digital devices have been seized according to the (Parliamentary office of science and technology, 2016, p.1) they are taken to law enforcement personnel to ensure they get digitally analysed for forensic evidence. </w:t>
      </w:r>
    </w:p>
    <w:p w14:paraId="54772028" w14:textId="77777777" w:rsidR="009A290F" w:rsidRPr="009A290F" w:rsidRDefault="009A290F" w:rsidP="009A290F">
      <w:pPr>
        <w:spacing w:after="0" w:line="480" w:lineRule="auto"/>
        <w:rPr>
          <w:rFonts w:ascii="Arial" w:eastAsia="Times New Roman" w:hAnsi="Arial" w:cs="Arial"/>
          <w:sz w:val="24"/>
          <w:szCs w:val="24"/>
          <w:lang w:eastAsia="en-GB"/>
        </w:rPr>
      </w:pPr>
    </w:p>
    <w:p w14:paraId="79198C26"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 xml:space="preserve">Digital evidence can be provided by many different forms. The National Policing Improvement Agency (2007. p.18-24) lists where digital imaging can be obtained, </w:t>
      </w:r>
      <w:r w:rsidRPr="009A290F">
        <w:rPr>
          <w:rFonts w:ascii="Arial" w:eastAsia="Times New Roman" w:hAnsi="Arial" w:cs="Arial"/>
          <w:color w:val="000000"/>
          <w:sz w:val="24"/>
          <w:szCs w:val="24"/>
          <w:lang w:eastAsia="en-GB"/>
        </w:rPr>
        <w:lastRenderedPageBreak/>
        <w:t>which includes Automatic Number Plate Recognition (ANPR), Body worn Video Devices and Facial Recognition among others. </w:t>
      </w:r>
    </w:p>
    <w:p w14:paraId="6422840A"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There is one category of digital forensic evidence which is called passive data generators. Research found by (college of policing, 2020) states that digital evidence which are Passive data generators are any data which has financial information, Closed Circuit Television (CCTV), other digital images, any computer based electronic evidence, telecommunications information and customer information and subscriber information. </w:t>
      </w:r>
    </w:p>
    <w:p w14:paraId="1B3065C0"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The use of Passive data evidence must be lawful by Section 21 of Regulation of investigatory Powers Act 2000. In Regulation of investigatory Powers Act (2000) it states that Section 21 applies to any telecommunications, traffic data and communication data. </w:t>
      </w:r>
    </w:p>
    <w:p w14:paraId="2ABC42BB"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Another use of digital forensic evidence is Mobile Phones.  Mobile phones are a big factor in drug trafficking or drug supplying. Casey and Turnbull (2011, p.1) states that mobile phones are crucial parts of evidence to drug crimes, terorrism and child sexual exploitation. Like previously mentioned, mobile devices can be seized under section 43 of the Terrorism Act 2000 and the Misuse of Drugs Act 1971. </w:t>
      </w:r>
    </w:p>
    <w:p w14:paraId="1358BA75"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 xml:space="preserve">In terror related incidents once a suspect has been identifyied, or an accosiate which may be a threat to life, the investigation officers are allowed to seize any item which is believed to be in connection to the crime or is a possible danger. There are specific rules to follow when gathering digital evidence from the scene of a terror related crime. There are two types of evidence collection, which are volatile and non-volatile. Agarwal et al. (2011) describes Volatile evidence as mobile devices which have a limited battery life which then may mean gathering evidence once it is found </w:t>
      </w:r>
      <w:r w:rsidRPr="009A290F">
        <w:rPr>
          <w:rFonts w:ascii="Arial" w:eastAsia="Times New Roman" w:hAnsi="Arial" w:cs="Arial"/>
          <w:color w:val="000000"/>
          <w:sz w:val="24"/>
          <w:szCs w:val="24"/>
          <w:lang w:eastAsia="en-GB"/>
        </w:rPr>
        <w:lastRenderedPageBreak/>
        <w:t>or waiting until it arrives to a digital forensic investigator, Whereas non-volatile evidence is collected from external storage. </w:t>
      </w:r>
    </w:p>
    <w:p w14:paraId="4DF5C8A9"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Once all evidence is gathered there is legislation to conduct the code of Practice. This legislation is section 23 of The Criminal Investigations and Procedure Act 1996. In this section of the legislation (The Criminal Investigations and Procedure Act 1996) it states that the code of practice should be made by the secretary of states which covers a selection of factors, but most importantly a record of information is retained, a record of all evidence which is gathered during the investigation and the nature of the evidence. The use of the Criminal Investigations and procedure Act 1996 is used in many different cases when it comes to gathering any evidence including digital forensics.  </w:t>
      </w:r>
    </w:p>
    <w:p w14:paraId="691FD109"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When gathering evidence from any technology there are some aspects which are considered as evidence. One example of evidence is any message, letter or email which is sent to the victim from the perpetrator or suspect. In Section 43 of the (Criminal Justice and Police Act 2001) it states that a malicious communication is if the police have reasonable grounds to believe that a letter or any electronic communication, including a threat, was a genuine way of presenting a threat to the victim. When investigating a crime the use of section 43 of this act is used if there is malicious communication between a suspect and the victim.  </w:t>
      </w:r>
    </w:p>
    <w:p w14:paraId="04A337B7" w14:textId="77777777" w:rsidR="009A290F" w:rsidRPr="009A290F" w:rsidRDefault="009A290F" w:rsidP="009A290F">
      <w:pPr>
        <w:spacing w:after="0" w:line="480" w:lineRule="auto"/>
        <w:rPr>
          <w:rFonts w:ascii="Arial" w:eastAsia="Times New Roman" w:hAnsi="Arial" w:cs="Arial"/>
          <w:sz w:val="24"/>
          <w:szCs w:val="24"/>
          <w:lang w:eastAsia="en-GB"/>
        </w:rPr>
      </w:pPr>
    </w:p>
    <w:p w14:paraId="049D1B1C"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 xml:space="preserve">To conclude, the research found throughout this paper strongly shows that all police personnel follow strict guidance on how to deal with a crime scene. When gathering forensic evidence they follow the correct legislation to ensure that all they do during the process of investigation is lawful. When seizing evidence such as technology they ensure they use Section 19 and 20 of the Police and Criminal Evidence Act </w:t>
      </w:r>
      <w:r w:rsidRPr="009A290F">
        <w:rPr>
          <w:rFonts w:ascii="Arial" w:eastAsia="Times New Roman" w:hAnsi="Arial" w:cs="Arial"/>
          <w:color w:val="000000"/>
          <w:sz w:val="24"/>
          <w:szCs w:val="24"/>
          <w:lang w:eastAsia="en-GB"/>
        </w:rPr>
        <w:lastRenderedPageBreak/>
        <w:t>1984, or under section 43 of the terrorism Act 2000 and the Misuse of Drugs Act 1971. When the police use Passive Data Evidence they take into consideration section 21 of the Regulations of Investigatory Powers Act 2000. When carrying out the criminal investigation they are to follow the code of practice to ensure that all evidence is accounted for and is recorded. When investigating digital communication the police use the criminal Justice and Police Act 2001 to determine whether any communication sent between suspect and victim is intended to be malicious. The overall research found strongly shows that the police use numerous pieces of legislation during the recovery of digital forensics and in any incident of crime.  </w:t>
      </w:r>
    </w:p>
    <w:p w14:paraId="1A25BA6B" w14:textId="77777777" w:rsidR="009A290F" w:rsidRPr="009A290F" w:rsidRDefault="009A290F" w:rsidP="009A290F">
      <w:pPr>
        <w:spacing w:after="0" w:line="480" w:lineRule="auto"/>
        <w:rPr>
          <w:rFonts w:ascii="Arial" w:eastAsia="Times New Roman" w:hAnsi="Arial" w:cs="Arial"/>
          <w:sz w:val="24"/>
          <w:szCs w:val="24"/>
          <w:lang w:eastAsia="en-GB"/>
        </w:rPr>
      </w:pPr>
    </w:p>
    <w:p w14:paraId="346D6C05"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b/>
          <w:bCs/>
          <w:color w:val="000000"/>
          <w:sz w:val="24"/>
          <w:szCs w:val="24"/>
          <w:u w:val="single"/>
          <w:lang w:eastAsia="en-GB"/>
        </w:rPr>
        <w:t>Reference List </w:t>
      </w:r>
    </w:p>
    <w:p w14:paraId="64D5CACA" w14:textId="77777777" w:rsidR="009A290F" w:rsidRPr="009A290F" w:rsidRDefault="009A290F" w:rsidP="009A290F">
      <w:pPr>
        <w:spacing w:after="0" w:line="480" w:lineRule="auto"/>
        <w:rPr>
          <w:rFonts w:ascii="Arial" w:eastAsia="Times New Roman" w:hAnsi="Arial" w:cs="Arial"/>
          <w:sz w:val="24"/>
          <w:szCs w:val="24"/>
          <w:lang w:eastAsia="en-GB"/>
        </w:rPr>
      </w:pPr>
    </w:p>
    <w:p w14:paraId="78D19274"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 xml:space="preserve">Agarwal, A. et al. (2011) ‘Systematic Digital Forensic Investigation Model’, </w:t>
      </w:r>
      <w:r w:rsidRPr="009A290F">
        <w:rPr>
          <w:rFonts w:ascii="Arial" w:eastAsia="Times New Roman" w:hAnsi="Arial" w:cs="Arial"/>
          <w:i/>
          <w:iCs/>
          <w:color w:val="000000"/>
          <w:sz w:val="24"/>
          <w:szCs w:val="24"/>
          <w:lang w:eastAsia="en-GB"/>
        </w:rPr>
        <w:t>International Journal of COmputer Science and Security (IJCSS),</w:t>
      </w:r>
      <w:r w:rsidRPr="009A290F">
        <w:rPr>
          <w:rFonts w:ascii="Arial" w:eastAsia="Times New Roman" w:hAnsi="Arial" w:cs="Arial"/>
          <w:color w:val="000000"/>
          <w:sz w:val="24"/>
          <w:szCs w:val="24"/>
          <w:lang w:eastAsia="en-GB"/>
        </w:rPr>
        <w:t xml:space="preserve"> 5(1), PP.118-131. Available at: </w:t>
      </w:r>
      <w:hyperlink r:id="rId5" w:history="1">
        <w:r w:rsidRPr="009A290F">
          <w:rPr>
            <w:rFonts w:ascii="Arial" w:eastAsia="Times New Roman" w:hAnsi="Arial" w:cs="Arial"/>
            <w:color w:val="1155CC"/>
            <w:sz w:val="24"/>
            <w:szCs w:val="24"/>
            <w:u w:val="single"/>
            <w:lang w:eastAsia="en-GB"/>
          </w:rPr>
          <w:t>https://www.researchgate.net/profile/Yatendra-Gupta/publication/228410430_Systematic_Digital_Forensic_Investigation_Model/links/56ea8cd208ae95bddc2bcc6b/Systematic-Digital-Forensic-Investigation-Model.pdf</w:t>
        </w:r>
      </w:hyperlink>
      <w:r w:rsidRPr="009A290F">
        <w:rPr>
          <w:rFonts w:ascii="Arial" w:eastAsia="Times New Roman" w:hAnsi="Arial" w:cs="Arial"/>
          <w:color w:val="000000"/>
          <w:sz w:val="24"/>
          <w:szCs w:val="24"/>
          <w:lang w:eastAsia="en-GB"/>
        </w:rPr>
        <w:t xml:space="preserve"> (Accessed: 28th February 2022)</w:t>
      </w:r>
    </w:p>
    <w:p w14:paraId="1AEC5BA3" w14:textId="77777777" w:rsidR="009A290F" w:rsidRPr="009A290F" w:rsidRDefault="009A290F" w:rsidP="009A290F">
      <w:pPr>
        <w:spacing w:after="0" w:line="480" w:lineRule="auto"/>
        <w:rPr>
          <w:rFonts w:ascii="Arial" w:eastAsia="Times New Roman" w:hAnsi="Arial" w:cs="Arial"/>
          <w:sz w:val="24"/>
          <w:szCs w:val="24"/>
          <w:lang w:eastAsia="en-GB"/>
        </w:rPr>
      </w:pPr>
    </w:p>
    <w:p w14:paraId="78843A7A"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 xml:space="preserve">Bryant, R. and Bryant, S. (2019) </w:t>
      </w:r>
      <w:r w:rsidRPr="009A290F">
        <w:rPr>
          <w:rFonts w:ascii="Arial" w:eastAsia="Times New Roman" w:hAnsi="Arial" w:cs="Arial"/>
          <w:i/>
          <w:iCs/>
          <w:color w:val="000000"/>
          <w:sz w:val="24"/>
          <w:szCs w:val="24"/>
          <w:lang w:eastAsia="en-GB"/>
        </w:rPr>
        <w:t xml:space="preserve">Blackstone’s Handbook for policing Students 2020. </w:t>
      </w:r>
      <w:r w:rsidRPr="009A290F">
        <w:rPr>
          <w:rFonts w:ascii="Arial" w:eastAsia="Times New Roman" w:hAnsi="Arial" w:cs="Arial"/>
          <w:color w:val="000000"/>
          <w:sz w:val="24"/>
          <w:szCs w:val="24"/>
          <w:lang w:eastAsia="en-GB"/>
        </w:rPr>
        <w:t>Oxford: Oxford University Press. </w:t>
      </w:r>
    </w:p>
    <w:p w14:paraId="03C4585B" w14:textId="77777777" w:rsidR="009A290F" w:rsidRPr="009A290F" w:rsidRDefault="009A290F" w:rsidP="009A290F">
      <w:pPr>
        <w:spacing w:after="0" w:line="480" w:lineRule="auto"/>
        <w:rPr>
          <w:rFonts w:ascii="Arial" w:eastAsia="Times New Roman" w:hAnsi="Arial" w:cs="Arial"/>
          <w:sz w:val="24"/>
          <w:szCs w:val="24"/>
          <w:lang w:eastAsia="en-GB"/>
        </w:rPr>
      </w:pPr>
    </w:p>
    <w:p w14:paraId="1E7E3C41"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 xml:space="preserve">Casey, E. and Turnbull, B. (2011) ‘ Digital Evidence on Mobile devices’, in Casey, E. (3rd ed) </w:t>
      </w:r>
      <w:r w:rsidRPr="009A290F">
        <w:rPr>
          <w:rFonts w:ascii="Arial" w:eastAsia="Times New Roman" w:hAnsi="Arial" w:cs="Arial"/>
          <w:i/>
          <w:iCs/>
          <w:color w:val="000000"/>
          <w:sz w:val="24"/>
          <w:szCs w:val="24"/>
          <w:lang w:eastAsia="en-GB"/>
        </w:rPr>
        <w:t xml:space="preserve">Digital Evidence and Computer Crime. </w:t>
      </w:r>
      <w:r w:rsidRPr="009A290F">
        <w:rPr>
          <w:rFonts w:ascii="Arial" w:eastAsia="Times New Roman" w:hAnsi="Arial" w:cs="Arial"/>
          <w:color w:val="000000"/>
          <w:sz w:val="24"/>
          <w:szCs w:val="24"/>
          <w:lang w:eastAsia="en-GB"/>
        </w:rPr>
        <w:t xml:space="preserve">Available at: </w:t>
      </w:r>
      <w:hyperlink r:id="rId6" w:history="1">
        <w:r w:rsidRPr="009A290F">
          <w:rPr>
            <w:rFonts w:ascii="Arial" w:eastAsia="Times New Roman" w:hAnsi="Arial" w:cs="Arial"/>
            <w:color w:val="1155CC"/>
            <w:sz w:val="24"/>
            <w:szCs w:val="24"/>
            <w:u w:val="single"/>
            <w:lang w:eastAsia="en-GB"/>
          </w:rPr>
          <w:t>https://booksite.elsevier.com/9780123742681/Chapter_20_Final.pdf</w:t>
        </w:r>
      </w:hyperlink>
      <w:r w:rsidRPr="009A290F">
        <w:rPr>
          <w:rFonts w:ascii="Arial" w:eastAsia="Times New Roman" w:hAnsi="Arial" w:cs="Arial"/>
          <w:color w:val="000000"/>
          <w:sz w:val="24"/>
          <w:szCs w:val="24"/>
          <w:lang w:eastAsia="en-GB"/>
        </w:rPr>
        <w:t xml:space="preserve"> (Accessed: 28th February 2022) </w:t>
      </w:r>
    </w:p>
    <w:p w14:paraId="6BDA4EFF" w14:textId="77777777" w:rsidR="009A290F" w:rsidRPr="009A290F" w:rsidRDefault="009A290F" w:rsidP="009A290F">
      <w:pPr>
        <w:spacing w:after="0" w:line="480" w:lineRule="auto"/>
        <w:rPr>
          <w:rFonts w:ascii="Arial" w:eastAsia="Times New Roman" w:hAnsi="Arial" w:cs="Arial"/>
          <w:sz w:val="24"/>
          <w:szCs w:val="24"/>
          <w:lang w:eastAsia="en-GB"/>
        </w:rPr>
      </w:pPr>
    </w:p>
    <w:p w14:paraId="31156E1F"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 xml:space="preserve">Castle View Forensics (2021) </w:t>
      </w:r>
      <w:r w:rsidRPr="009A290F">
        <w:rPr>
          <w:rFonts w:ascii="Arial" w:eastAsia="Times New Roman" w:hAnsi="Arial" w:cs="Arial"/>
          <w:i/>
          <w:iCs/>
          <w:color w:val="000000"/>
          <w:sz w:val="24"/>
          <w:szCs w:val="24"/>
          <w:lang w:eastAsia="en-GB"/>
        </w:rPr>
        <w:t xml:space="preserve">Part 3) Securing the crime scene. </w:t>
      </w:r>
      <w:r w:rsidRPr="009A290F">
        <w:rPr>
          <w:rFonts w:ascii="Arial" w:eastAsia="Times New Roman" w:hAnsi="Arial" w:cs="Arial"/>
          <w:color w:val="000000"/>
          <w:sz w:val="24"/>
          <w:szCs w:val="24"/>
          <w:lang w:eastAsia="en-GB"/>
        </w:rPr>
        <w:t xml:space="preserve">Available at: </w:t>
      </w:r>
      <w:hyperlink r:id="rId7" w:history="1">
        <w:r w:rsidRPr="009A290F">
          <w:rPr>
            <w:rFonts w:ascii="Arial" w:eastAsia="Times New Roman" w:hAnsi="Arial" w:cs="Arial"/>
            <w:color w:val="1155CC"/>
            <w:sz w:val="24"/>
            <w:szCs w:val="24"/>
            <w:u w:val="single"/>
            <w:lang w:eastAsia="en-GB"/>
          </w:rPr>
          <w:t>https://www.castleviewuk.com/ch1-securing.html</w:t>
        </w:r>
      </w:hyperlink>
      <w:r w:rsidRPr="009A290F">
        <w:rPr>
          <w:rFonts w:ascii="Arial" w:eastAsia="Times New Roman" w:hAnsi="Arial" w:cs="Arial"/>
          <w:color w:val="000000"/>
          <w:sz w:val="24"/>
          <w:szCs w:val="24"/>
          <w:lang w:eastAsia="en-GB"/>
        </w:rPr>
        <w:t xml:space="preserve"> (Accessed: 23rd February 2022)</w:t>
      </w:r>
    </w:p>
    <w:p w14:paraId="1E2E5AE1" w14:textId="77777777" w:rsidR="009A290F" w:rsidRPr="009A290F" w:rsidRDefault="009A290F" w:rsidP="009A290F">
      <w:pPr>
        <w:spacing w:after="0" w:line="480" w:lineRule="auto"/>
        <w:rPr>
          <w:rFonts w:ascii="Arial" w:eastAsia="Times New Roman" w:hAnsi="Arial" w:cs="Arial"/>
          <w:sz w:val="24"/>
          <w:szCs w:val="24"/>
          <w:lang w:eastAsia="en-GB"/>
        </w:rPr>
      </w:pPr>
    </w:p>
    <w:p w14:paraId="73612561"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 xml:space="preserve">College of Policing (2016) </w:t>
      </w:r>
      <w:r w:rsidRPr="009A290F">
        <w:rPr>
          <w:rFonts w:ascii="Arial" w:eastAsia="Times New Roman" w:hAnsi="Arial" w:cs="Arial"/>
          <w:i/>
          <w:iCs/>
          <w:color w:val="000000"/>
          <w:sz w:val="24"/>
          <w:szCs w:val="24"/>
          <w:lang w:eastAsia="en-GB"/>
        </w:rPr>
        <w:t xml:space="preserve">Legal Basis. </w:t>
      </w:r>
      <w:r w:rsidRPr="009A290F">
        <w:rPr>
          <w:rFonts w:ascii="Arial" w:eastAsia="Times New Roman" w:hAnsi="Arial" w:cs="Arial"/>
          <w:color w:val="000000"/>
          <w:sz w:val="24"/>
          <w:szCs w:val="24"/>
          <w:lang w:eastAsia="en-GB"/>
        </w:rPr>
        <w:t xml:space="preserve">Available at: </w:t>
      </w:r>
      <w:hyperlink r:id="rId8" w:anchor=":~:text=will%20be%20found.-,Section%2023%20of%20the%20Misuse%20of%20Drugs%20Act%201971,the%20purpose%20of%20the%20search" w:history="1">
        <w:r w:rsidRPr="009A290F">
          <w:rPr>
            <w:rFonts w:ascii="Arial" w:eastAsia="Times New Roman" w:hAnsi="Arial" w:cs="Arial"/>
            <w:color w:val="1155CC"/>
            <w:sz w:val="24"/>
            <w:szCs w:val="24"/>
            <w:u w:val="single"/>
            <w:lang w:eastAsia="en-GB"/>
          </w:rPr>
          <w:t>https://www.app.college.police.uk/app-content/stop-and-search/legal/legal-basis/#:~:text=will%20be%20found.-,Section%2023%20of%20the%20Misuse%20of%20Drugs%20Act%201971,the%20purpose%20of%20the%20search</w:t>
        </w:r>
      </w:hyperlink>
      <w:r w:rsidRPr="009A290F">
        <w:rPr>
          <w:rFonts w:ascii="Arial" w:eastAsia="Times New Roman" w:hAnsi="Arial" w:cs="Arial"/>
          <w:color w:val="000000"/>
          <w:sz w:val="24"/>
          <w:szCs w:val="24"/>
          <w:lang w:eastAsia="en-GB"/>
        </w:rPr>
        <w:t>. (Accessed: 28th February 2022) </w:t>
      </w:r>
    </w:p>
    <w:p w14:paraId="70E3EA8E" w14:textId="77777777" w:rsidR="009A290F" w:rsidRPr="009A290F" w:rsidRDefault="009A290F" w:rsidP="009A290F">
      <w:pPr>
        <w:spacing w:after="0" w:line="480" w:lineRule="auto"/>
        <w:rPr>
          <w:rFonts w:ascii="Arial" w:eastAsia="Times New Roman" w:hAnsi="Arial" w:cs="Arial"/>
          <w:sz w:val="24"/>
          <w:szCs w:val="24"/>
          <w:lang w:eastAsia="en-GB"/>
        </w:rPr>
      </w:pPr>
    </w:p>
    <w:p w14:paraId="72AA2E36"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 xml:space="preserve">College of Policing (2020) </w:t>
      </w:r>
      <w:r w:rsidRPr="009A290F">
        <w:rPr>
          <w:rFonts w:ascii="Arial" w:eastAsia="Times New Roman" w:hAnsi="Arial" w:cs="Arial"/>
          <w:i/>
          <w:iCs/>
          <w:color w:val="000000"/>
          <w:sz w:val="24"/>
          <w:szCs w:val="24"/>
          <w:lang w:eastAsia="en-GB"/>
        </w:rPr>
        <w:t xml:space="preserve">Passive Data Generators. </w:t>
      </w:r>
      <w:r w:rsidRPr="009A290F">
        <w:rPr>
          <w:rFonts w:ascii="Arial" w:eastAsia="Times New Roman" w:hAnsi="Arial" w:cs="Arial"/>
          <w:color w:val="000000"/>
          <w:sz w:val="24"/>
          <w:szCs w:val="24"/>
          <w:lang w:eastAsia="en-GB"/>
        </w:rPr>
        <w:t xml:space="preserve">Available at: </w:t>
      </w:r>
      <w:hyperlink r:id="rId9" w:history="1">
        <w:r w:rsidRPr="009A290F">
          <w:rPr>
            <w:rFonts w:ascii="Arial" w:eastAsia="Times New Roman" w:hAnsi="Arial" w:cs="Arial"/>
            <w:color w:val="1155CC"/>
            <w:sz w:val="24"/>
            <w:szCs w:val="24"/>
            <w:u w:val="single"/>
            <w:lang w:eastAsia="en-GB"/>
          </w:rPr>
          <w:t>https://www.app.college.police.uk/app-content/investigations/investigative-strategies/passive-data-generators/</w:t>
        </w:r>
      </w:hyperlink>
      <w:r w:rsidRPr="009A290F">
        <w:rPr>
          <w:rFonts w:ascii="Arial" w:eastAsia="Times New Roman" w:hAnsi="Arial" w:cs="Arial"/>
          <w:color w:val="000000"/>
          <w:sz w:val="24"/>
          <w:szCs w:val="24"/>
          <w:lang w:eastAsia="en-GB"/>
        </w:rPr>
        <w:t xml:space="preserve"> (Accessed: 28th February 2022) </w:t>
      </w:r>
    </w:p>
    <w:p w14:paraId="05BBCBBA"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sz w:val="24"/>
          <w:szCs w:val="24"/>
          <w:lang w:eastAsia="en-GB"/>
        </w:rPr>
        <w:br/>
      </w:r>
      <w:r w:rsidRPr="009A290F">
        <w:rPr>
          <w:rFonts w:ascii="Arial" w:eastAsia="Times New Roman" w:hAnsi="Arial" w:cs="Arial"/>
          <w:sz w:val="24"/>
          <w:szCs w:val="24"/>
          <w:lang w:eastAsia="en-GB"/>
        </w:rPr>
        <w:br/>
      </w:r>
    </w:p>
    <w:p w14:paraId="108346A9" w14:textId="77777777" w:rsidR="009A290F" w:rsidRPr="009A290F" w:rsidRDefault="009A290F" w:rsidP="009A290F">
      <w:pPr>
        <w:numPr>
          <w:ilvl w:val="0"/>
          <w:numId w:val="1"/>
        </w:numPr>
        <w:spacing w:after="0" w:line="480" w:lineRule="auto"/>
        <w:textAlignment w:val="baseline"/>
        <w:rPr>
          <w:rFonts w:ascii="Arial" w:eastAsia="Times New Roman" w:hAnsi="Arial" w:cs="Arial"/>
          <w:color w:val="000000"/>
          <w:sz w:val="24"/>
          <w:szCs w:val="24"/>
          <w:lang w:eastAsia="en-GB"/>
        </w:rPr>
      </w:pPr>
      <w:r w:rsidRPr="009A290F">
        <w:rPr>
          <w:rFonts w:ascii="Arial" w:eastAsia="Times New Roman" w:hAnsi="Arial" w:cs="Arial"/>
          <w:color w:val="000000"/>
          <w:sz w:val="24"/>
          <w:szCs w:val="24"/>
          <w:lang w:eastAsia="en-GB"/>
        </w:rPr>
        <w:t xml:space="preserve">College of Policing (2021) </w:t>
      </w:r>
      <w:r w:rsidRPr="009A290F">
        <w:rPr>
          <w:rFonts w:ascii="Arial" w:eastAsia="Times New Roman" w:hAnsi="Arial" w:cs="Arial"/>
          <w:i/>
          <w:iCs/>
          <w:color w:val="000000"/>
          <w:sz w:val="24"/>
          <w:szCs w:val="24"/>
          <w:lang w:eastAsia="en-GB"/>
        </w:rPr>
        <w:t xml:space="preserve">Investigation Process. </w:t>
      </w:r>
      <w:r w:rsidRPr="009A290F">
        <w:rPr>
          <w:rFonts w:ascii="Arial" w:eastAsia="Times New Roman" w:hAnsi="Arial" w:cs="Arial"/>
          <w:color w:val="000000"/>
          <w:sz w:val="24"/>
          <w:szCs w:val="24"/>
          <w:lang w:eastAsia="en-GB"/>
        </w:rPr>
        <w:t xml:space="preserve">Available at: </w:t>
      </w:r>
      <w:hyperlink r:id="rId10" w:history="1">
        <w:r w:rsidRPr="009A290F">
          <w:rPr>
            <w:rFonts w:ascii="Arial" w:eastAsia="Times New Roman" w:hAnsi="Arial" w:cs="Arial"/>
            <w:color w:val="1155CC"/>
            <w:sz w:val="24"/>
            <w:szCs w:val="24"/>
            <w:u w:val="single"/>
            <w:lang w:eastAsia="en-GB"/>
          </w:rPr>
          <w:t>https://www.app.college.police.uk/app-content/investigations/investigation-process/</w:t>
        </w:r>
      </w:hyperlink>
      <w:r w:rsidRPr="009A290F">
        <w:rPr>
          <w:rFonts w:ascii="Arial" w:eastAsia="Times New Roman" w:hAnsi="Arial" w:cs="Arial"/>
          <w:color w:val="000000"/>
          <w:sz w:val="24"/>
          <w:szCs w:val="24"/>
          <w:lang w:eastAsia="en-GB"/>
        </w:rPr>
        <w:t xml:space="preserve"> (Accessed: 21st February 2022) </w:t>
      </w:r>
    </w:p>
    <w:p w14:paraId="173A7BB1" w14:textId="77777777" w:rsidR="009A290F" w:rsidRPr="009A290F" w:rsidRDefault="009A290F" w:rsidP="009A290F">
      <w:pPr>
        <w:numPr>
          <w:ilvl w:val="0"/>
          <w:numId w:val="1"/>
        </w:numPr>
        <w:spacing w:after="0" w:line="480" w:lineRule="auto"/>
        <w:textAlignment w:val="baseline"/>
        <w:rPr>
          <w:rFonts w:ascii="Arial" w:eastAsia="Times New Roman" w:hAnsi="Arial" w:cs="Arial"/>
          <w:color w:val="000000"/>
          <w:sz w:val="24"/>
          <w:szCs w:val="24"/>
          <w:lang w:eastAsia="en-GB"/>
        </w:rPr>
      </w:pPr>
      <w:r w:rsidRPr="009A290F">
        <w:rPr>
          <w:rFonts w:ascii="Arial" w:eastAsia="Times New Roman" w:hAnsi="Arial" w:cs="Arial"/>
          <w:color w:val="000000"/>
          <w:sz w:val="24"/>
          <w:szCs w:val="24"/>
          <w:lang w:eastAsia="en-GB"/>
        </w:rPr>
        <w:t xml:space="preserve">College of Policing (2021) </w:t>
      </w:r>
      <w:r w:rsidRPr="009A290F">
        <w:rPr>
          <w:rFonts w:ascii="Arial" w:eastAsia="Times New Roman" w:hAnsi="Arial" w:cs="Arial"/>
          <w:i/>
          <w:iCs/>
          <w:color w:val="000000"/>
          <w:sz w:val="24"/>
          <w:szCs w:val="24"/>
          <w:lang w:eastAsia="en-GB"/>
        </w:rPr>
        <w:t xml:space="preserve">Response and Recovery. </w:t>
      </w:r>
      <w:r w:rsidRPr="009A290F">
        <w:rPr>
          <w:rFonts w:ascii="Arial" w:eastAsia="Times New Roman" w:hAnsi="Arial" w:cs="Arial"/>
          <w:color w:val="000000"/>
          <w:sz w:val="24"/>
          <w:szCs w:val="24"/>
          <w:lang w:eastAsia="en-GB"/>
        </w:rPr>
        <w:t xml:space="preserve">Available at: </w:t>
      </w:r>
      <w:hyperlink r:id="rId11" w:anchor="inner-cordon" w:history="1">
        <w:r w:rsidRPr="009A290F">
          <w:rPr>
            <w:rFonts w:ascii="Arial" w:eastAsia="Times New Roman" w:hAnsi="Arial" w:cs="Arial"/>
            <w:color w:val="1155CC"/>
            <w:sz w:val="24"/>
            <w:szCs w:val="24"/>
            <w:u w:val="single"/>
            <w:lang w:eastAsia="en-GB"/>
          </w:rPr>
          <w:t>https://www.app.college.police.uk/app-content/civil-emergencies/civil-contingencies/response-and-recovery/#inner-cordon</w:t>
        </w:r>
      </w:hyperlink>
      <w:r w:rsidRPr="009A290F">
        <w:rPr>
          <w:rFonts w:ascii="Arial" w:eastAsia="Times New Roman" w:hAnsi="Arial" w:cs="Arial"/>
          <w:color w:val="000000"/>
          <w:sz w:val="24"/>
          <w:szCs w:val="24"/>
          <w:lang w:eastAsia="en-GB"/>
        </w:rPr>
        <w:t xml:space="preserve"> (Accessed: 21st February 2022) </w:t>
      </w:r>
    </w:p>
    <w:p w14:paraId="39A7F4EA" w14:textId="77777777" w:rsidR="009A290F" w:rsidRPr="009A290F" w:rsidRDefault="009A290F" w:rsidP="009A290F">
      <w:pPr>
        <w:spacing w:after="0" w:line="480" w:lineRule="auto"/>
        <w:rPr>
          <w:rFonts w:ascii="Arial" w:eastAsia="Times New Roman" w:hAnsi="Arial" w:cs="Arial"/>
          <w:sz w:val="24"/>
          <w:szCs w:val="24"/>
          <w:lang w:eastAsia="en-GB"/>
        </w:rPr>
      </w:pPr>
    </w:p>
    <w:p w14:paraId="7B6B9703"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 xml:space="preserve">Criminal Investigation and Procedure Act (1996) Her majesty stationery office (the stationary office); London. Available at: </w:t>
      </w:r>
      <w:hyperlink r:id="rId12" w:history="1">
        <w:r w:rsidRPr="009A290F">
          <w:rPr>
            <w:rFonts w:ascii="Arial" w:eastAsia="Times New Roman" w:hAnsi="Arial" w:cs="Arial"/>
            <w:color w:val="1155CC"/>
            <w:sz w:val="24"/>
            <w:szCs w:val="24"/>
            <w:u w:val="single"/>
            <w:lang w:eastAsia="en-GB"/>
          </w:rPr>
          <w:t>https://www.legislation.gov.uk/ukpga/1996/25/section/23</w:t>
        </w:r>
      </w:hyperlink>
      <w:r w:rsidRPr="009A290F">
        <w:rPr>
          <w:rFonts w:ascii="Arial" w:eastAsia="Times New Roman" w:hAnsi="Arial" w:cs="Arial"/>
          <w:color w:val="000000"/>
          <w:sz w:val="24"/>
          <w:szCs w:val="24"/>
          <w:lang w:eastAsia="en-GB"/>
        </w:rPr>
        <w:t xml:space="preserve"> (Accessed: 3rd March 2022) </w:t>
      </w:r>
    </w:p>
    <w:p w14:paraId="698D3E68" w14:textId="77777777" w:rsidR="009A290F" w:rsidRPr="009A290F" w:rsidRDefault="009A290F" w:rsidP="009A290F">
      <w:pPr>
        <w:spacing w:after="0" w:line="480" w:lineRule="auto"/>
        <w:rPr>
          <w:rFonts w:ascii="Arial" w:eastAsia="Times New Roman" w:hAnsi="Arial" w:cs="Arial"/>
          <w:sz w:val="24"/>
          <w:szCs w:val="24"/>
          <w:lang w:eastAsia="en-GB"/>
        </w:rPr>
      </w:pPr>
    </w:p>
    <w:p w14:paraId="6AA00068"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 xml:space="preserve">Criminal Justice and Police Act (2001) Her majesty stationery office (the stationary office); London. Available at: </w:t>
      </w:r>
      <w:hyperlink r:id="rId13" w:anchor=":~:text=43%20Malicious%20communications&amp;text=(b)in%20paragraph%20(b)%2C%20after%20%E2%80%9Cbelieved,reasonable%20grounds%20for%20believing%2C%20%E2%80%9D.&amp;text=(b)any%20communication%20" w:history="1">
        <w:r w:rsidRPr="009A290F">
          <w:rPr>
            <w:rFonts w:ascii="Arial" w:eastAsia="Times New Roman" w:hAnsi="Arial" w:cs="Arial"/>
            <w:color w:val="1155CC"/>
            <w:sz w:val="24"/>
            <w:szCs w:val="24"/>
            <w:u w:val="single"/>
            <w:lang w:eastAsia="en-GB"/>
          </w:rPr>
          <w:t>https://www.legislation.gov.uk/ukpga/2001/16/section/43#:~:text=43%20Malicious%20communications&amp;text=(b)in%20paragraph%20(b)%2C%20after%20%E2%80%9Cbelieved,reasonable%20grounds%20for%20believing%2C%20%E2%80%9D.&amp;text=(b)any%20communication%20</w:t>
        </w:r>
      </w:hyperlink>
      <w:r w:rsidRPr="009A290F">
        <w:rPr>
          <w:rFonts w:ascii="Arial" w:eastAsia="Times New Roman" w:hAnsi="Arial" w:cs="Arial"/>
          <w:color w:val="000000"/>
          <w:sz w:val="24"/>
          <w:szCs w:val="24"/>
          <w:lang w:eastAsia="en-GB"/>
        </w:rPr>
        <w:t>(however,that%20is%20in%20electronic%20form.%E2%80%9D&amp;text=(b)for%20%E2%80%9Cor%20delivered,%E2%80%9C%20%2C%20delivered%20or%20transmitted%20%E2%80%9D. (Accessed: 3rd March 2022)</w:t>
      </w:r>
    </w:p>
    <w:p w14:paraId="173C93D0" w14:textId="77777777" w:rsidR="009A290F" w:rsidRPr="009A290F" w:rsidRDefault="009A290F" w:rsidP="009A290F">
      <w:pPr>
        <w:spacing w:after="240" w:line="480" w:lineRule="auto"/>
        <w:rPr>
          <w:rFonts w:ascii="Arial" w:eastAsia="Times New Roman" w:hAnsi="Arial" w:cs="Arial"/>
          <w:sz w:val="24"/>
          <w:szCs w:val="24"/>
          <w:lang w:eastAsia="en-GB"/>
        </w:rPr>
      </w:pPr>
    </w:p>
    <w:p w14:paraId="09FF59F9"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 xml:space="preserve">Emergency Services liaison Group (2016) </w:t>
      </w:r>
      <w:r w:rsidRPr="009A290F">
        <w:rPr>
          <w:rFonts w:ascii="Arial" w:eastAsia="Times New Roman" w:hAnsi="Arial" w:cs="Arial"/>
          <w:i/>
          <w:iCs/>
          <w:color w:val="000000"/>
          <w:sz w:val="24"/>
          <w:szCs w:val="24"/>
          <w:lang w:eastAsia="en-GB"/>
        </w:rPr>
        <w:t xml:space="preserve">Inner and Outer cordon policy Document. </w:t>
      </w:r>
      <w:r w:rsidRPr="009A290F">
        <w:rPr>
          <w:rFonts w:ascii="Arial" w:eastAsia="Times New Roman" w:hAnsi="Arial" w:cs="Arial"/>
          <w:color w:val="000000"/>
          <w:sz w:val="24"/>
          <w:szCs w:val="24"/>
          <w:lang w:eastAsia="en-GB"/>
        </w:rPr>
        <w:t xml:space="preserve">Available at: </w:t>
      </w:r>
      <w:hyperlink r:id="rId14" w:history="1">
        <w:r w:rsidRPr="009A290F">
          <w:rPr>
            <w:rFonts w:ascii="Arial" w:eastAsia="Times New Roman" w:hAnsi="Arial" w:cs="Arial"/>
            <w:color w:val="1155CC"/>
            <w:sz w:val="24"/>
            <w:szCs w:val="24"/>
            <w:u w:val="single"/>
            <w:lang w:eastAsia="en-GB"/>
          </w:rPr>
          <w:t>https://www.northumberland.gov.uk/NorthumberlandCountyCouncil/media/Local-Resilience-Forum/ESLG-Cordon-Policy-2016.doc</w:t>
        </w:r>
      </w:hyperlink>
      <w:r w:rsidRPr="009A290F">
        <w:rPr>
          <w:rFonts w:ascii="Arial" w:eastAsia="Times New Roman" w:hAnsi="Arial" w:cs="Arial"/>
          <w:color w:val="000000"/>
          <w:sz w:val="24"/>
          <w:szCs w:val="24"/>
          <w:lang w:eastAsia="en-GB"/>
        </w:rPr>
        <w:t xml:space="preserve"> (Accessed: 21st February 2022) </w:t>
      </w:r>
    </w:p>
    <w:p w14:paraId="242B5CE8" w14:textId="77777777" w:rsidR="009A290F" w:rsidRPr="009A290F" w:rsidRDefault="009A290F" w:rsidP="009A290F">
      <w:pPr>
        <w:spacing w:after="0" w:line="480" w:lineRule="auto"/>
        <w:rPr>
          <w:rFonts w:ascii="Arial" w:eastAsia="Times New Roman" w:hAnsi="Arial" w:cs="Arial"/>
          <w:sz w:val="24"/>
          <w:szCs w:val="24"/>
          <w:lang w:eastAsia="en-GB"/>
        </w:rPr>
      </w:pPr>
    </w:p>
    <w:p w14:paraId="2E97F3A5"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 xml:space="preserve">ENFSI (No date) </w:t>
      </w:r>
      <w:r w:rsidRPr="009A290F">
        <w:rPr>
          <w:rFonts w:ascii="Arial" w:eastAsia="Times New Roman" w:hAnsi="Arial" w:cs="Arial"/>
          <w:i/>
          <w:iCs/>
          <w:color w:val="000000"/>
          <w:sz w:val="24"/>
          <w:szCs w:val="24"/>
          <w:lang w:eastAsia="en-GB"/>
        </w:rPr>
        <w:t xml:space="preserve">Scenes of Crime Examination Best Practice Manual. </w:t>
      </w:r>
      <w:r w:rsidRPr="009A290F">
        <w:rPr>
          <w:rFonts w:ascii="Arial" w:eastAsia="Times New Roman" w:hAnsi="Arial" w:cs="Arial"/>
          <w:color w:val="000000"/>
          <w:sz w:val="24"/>
          <w:szCs w:val="24"/>
          <w:lang w:eastAsia="en-GB"/>
        </w:rPr>
        <w:t xml:space="preserve">Available at: </w:t>
      </w:r>
      <w:hyperlink r:id="rId15" w:history="1">
        <w:r w:rsidRPr="009A290F">
          <w:rPr>
            <w:rFonts w:ascii="Arial" w:eastAsia="Times New Roman" w:hAnsi="Arial" w:cs="Arial"/>
            <w:color w:val="1155CC"/>
            <w:sz w:val="24"/>
            <w:szCs w:val="24"/>
            <w:u w:val="single"/>
            <w:lang w:eastAsia="en-GB"/>
          </w:rPr>
          <w:t>https://moodle.uwtsd.ac.uk/pluginfile.php/574329/mod_resource/content/1/%20Scenes%20of%20Crime%20Examination%20Best%20Practice%20Manual%20%20.pdf?redirect=1</w:t>
        </w:r>
      </w:hyperlink>
      <w:r w:rsidRPr="009A290F">
        <w:rPr>
          <w:rFonts w:ascii="Arial" w:eastAsia="Times New Roman" w:hAnsi="Arial" w:cs="Arial"/>
          <w:color w:val="000000"/>
          <w:sz w:val="24"/>
          <w:szCs w:val="24"/>
          <w:lang w:eastAsia="en-GB"/>
        </w:rPr>
        <w:t xml:space="preserve"> (Accessed: 23rd February 2022) </w:t>
      </w:r>
    </w:p>
    <w:p w14:paraId="166ABFBC" w14:textId="77777777" w:rsidR="009A290F" w:rsidRPr="009A290F" w:rsidRDefault="009A290F" w:rsidP="009A290F">
      <w:pPr>
        <w:spacing w:after="240" w:line="480" w:lineRule="auto"/>
        <w:rPr>
          <w:rFonts w:ascii="Arial" w:eastAsia="Times New Roman" w:hAnsi="Arial" w:cs="Arial"/>
          <w:sz w:val="24"/>
          <w:szCs w:val="24"/>
          <w:lang w:eastAsia="en-GB"/>
        </w:rPr>
      </w:pPr>
    </w:p>
    <w:p w14:paraId="184A4B04"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lastRenderedPageBreak/>
        <w:t xml:space="preserve">Forensic Science Regulator (2015) </w:t>
      </w:r>
      <w:r w:rsidRPr="009A290F">
        <w:rPr>
          <w:rFonts w:ascii="Arial" w:eastAsia="Times New Roman" w:hAnsi="Arial" w:cs="Arial"/>
          <w:i/>
          <w:iCs/>
          <w:color w:val="000000"/>
          <w:sz w:val="24"/>
          <w:szCs w:val="24"/>
          <w:lang w:eastAsia="en-GB"/>
        </w:rPr>
        <w:t xml:space="preserve">The Control and Avoidance of Contamination in Crime Scene Examination Involving DNA Evidence Recovery. </w:t>
      </w:r>
      <w:r w:rsidRPr="009A290F">
        <w:rPr>
          <w:rFonts w:ascii="Arial" w:eastAsia="Times New Roman" w:hAnsi="Arial" w:cs="Arial"/>
          <w:color w:val="000000"/>
          <w:sz w:val="24"/>
          <w:szCs w:val="24"/>
          <w:lang w:eastAsia="en-GB"/>
        </w:rPr>
        <w:t xml:space="preserve">Available at: </w:t>
      </w:r>
      <w:hyperlink r:id="rId16" w:history="1">
        <w:r w:rsidRPr="009A290F">
          <w:rPr>
            <w:rFonts w:ascii="Arial" w:eastAsia="Times New Roman" w:hAnsi="Arial" w:cs="Arial"/>
            <w:color w:val="1155CC"/>
            <w:sz w:val="24"/>
            <w:szCs w:val="24"/>
            <w:u w:val="single"/>
            <w:lang w:eastAsia="en-GB"/>
          </w:rPr>
          <w:t>https://assets.publishing.service.gov.uk/government/uploads/system/uploads/attachment_data/file/393866/206_FSR_SOC_contamination_consultation.pdf</w:t>
        </w:r>
      </w:hyperlink>
      <w:r w:rsidRPr="009A290F">
        <w:rPr>
          <w:rFonts w:ascii="Arial" w:eastAsia="Times New Roman" w:hAnsi="Arial" w:cs="Arial"/>
          <w:color w:val="000000"/>
          <w:sz w:val="24"/>
          <w:szCs w:val="24"/>
          <w:lang w:eastAsia="en-GB"/>
        </w:rPr>
        <w:t xml:space="preserve"> (Accessed: 21st February 2022) </w:t>
      </w:r>
    </w:p>
    <w:p w14:paraId="752CA95F" w14:textId="77777777" w:rsidR="009A290F" w:rsidRPr="009A290F" w:rsidRDefault="009A290F" w:rsidP="009A290F">
      <w:pPr>
        <w:spacing w:after="0" w:line="480" w:lineRule="auto"/>
        <w:rPr>
          <w:rFonts w:ascii="Arial" w:eastAsia="Times New Roman" w:hAnsi="Arial" w:cs="Arial"/>
          <w:sz w:val="24"/>
          <w:szCs w:val="24"/>
          <w:lang w:eastAsia="en-GB"/>
        </w:rPr>
      </w:pPr>
    </w:p>
    <w:p w14:paraId="4D6AA84F"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 xml:space="preserve">Harfield, C. (2014) </w:t>
      </w:r>
      <w:r w:rsidRPr="009A290F">
        <w:rPr>
          <w:rFonts w:ascii="Arial" w:eastAsia="Times New Roman" w:hAnsi="Arial" w:cs="Arial"/>
          <w:i/>
          <w:iCs/>
          <w:color w:val="000000"/>
          <w:sz w:val="24"/>
          <w:szCs w:val="24"/>
          <w:lang w:eastAsia="en-GB"/>
        </w:rPr>
        <w:t xml:space="preserve">Blackstone’s Police Operational Handbook: Practice and Procedure. </w:t>
      </w:r>
      <w:r w:rsidRPr="009A290F">
        <w:rPr>
          <w:rFonts w:ascii="Arial" w:eastAsia="Times New Roman" w:hAnsi="Arial" w:cs="Arial"/>
          <w:color w:val="000000"/>
          <w:sz w:val="24"/>
          <w:szCs w:val="24"/>
          <w:lang w:eastAsia="en-GB"/>
        </w:rPr>
        <w:t xml:space="preserve">Available at: </w:t>
      </w:r>
      <w:hyperlink r:id="rId17" w:history="1">
        <w:r w:rsidRPr="009A290F">
          <w:rPr>
            <w:rFonts w:ascii="Arial" w:eastAsia="Times New Roman" w:hAnsi="Arial" w:cs="Arial"/>
            <w:color w:val="1155CC"/>
            <w:sz w:val="24"/>
            <w:szCs w:val="24"/>
            <w:u w:val="single"/>
            <w:lang w:eastAsia="en-GB"/>
          </w:rPr>
          <w:t>https://web-s-ebscohost-com.ezproxy.uwtsd.ac.uk/ehost/ebookviewer/ebook/bmxlYmtfXzIxMjYzMjFfX0FO0?sid=b6120099-2596-400f-963b-47edc5dc0cab@redis&amp;vid=0&amp;format=EB&amp;rid=1</w:t>
        </w:r>
      </w:hyperlink>
      <w:r w:rsidRPr="009A290F">
        <w:rPr>
          <w:rFonts w:ascii="Arial" w:eastAsia="Times New Roman" w:hAnsi="Arial" w:cs="Arial"/>
          <w:color w:val="000000"/>
          <w:sz w:val="24"/>
          <w:szCs w:val="24"/>
          <w:lang w:eastAsia="en-GB"/>
        </w:rPr>
        <w:t xml:space="preserve"> (Accessed: 23rd February 2022) </w:t>
      </w:r>
    </w:p>
    <w:p w14:paraId="0FC7AFDA" w14:textId="77777777" w:rsidR="009A290F" w:rsidRPr="009A290F" w:rsidRDefault="009A290F" w:rsidP="009A290F">
      <w:pPr>
        <w:spacing w:after="0" w:line="480" w:lineRule="auto"/>
        <w:rPr>
          <w:rFonts w:ascii="Arial" w:eastAsia="Times New Roman" w:hAnsi="Arial" w:cs="Arial"/>
          <w:sz w:val="24"/>
          <w:szCs w:val="24"/>
          <w:lang w:eastAsia="en-GB"/>
        </w:rPr>
      </w:pPr>
    </w:p>
    <w:p w14:paraId="7AB1E6CE"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 xml:space="preserve">Horswell, J. and Fowler, C. (2004) </w:t>
      </w:r>
      <w:r w:rsidRPr="009A290F">
        <w:rPr>
          <w:rFonts w:ascii="Arial" w:eastAsia="Times New Roman" w:hAnsi="Arial" w:cs="Arial"/>
          <w:i/>
          <w:iCs/>
          <w:color w:val="000000"/>
          <w:sz w:val="24"/>
          <w:szCs w:val="24"/>
          <w:lang w:eastAsia="en-GB"/>
        </w:rPr>
        <w:t xml:space="preserve">The Practice of Crime Scene Investigation. </w:t>
      </w:r>
      <w:r w:rsidRPr="009A290F">
        <w:rPr>
          <w:rFonts w:ascii="Arial" w:eastAsia="Times New Roman" w:hAnsi="Arial" w:cs="Arial"/>
          <w:color w:val="000000"/>
          <w:sz w:val="24"/>
          <w:szCs w:val="24"/>
          <w:lang w:eastAsia="en-GB"/>
        </w:rPr>
        <w:t xml:space="preserve">Available at: </w:t>
      </w:r>
      <w:hyperlink r:id="rId18" w:anchor="v=onepage&amp;q=locard's%20exchange%20principle&amp;f=false" w:history="1">
        <w:r w:rsidRPr="009A290F">
          <w:rPr>
            <w:rFonts w:ascii="Arial" w:eastAsia="Times New Roman" w:hAnsi="Arial" w:cs="Arial"/>
            <w:color w:val="1155CC"/>
            <w:sz w:val="24"/>
            <w:szCs w:val="24"/>
            <w:u w:val="single"/>
            <w:lang w:eastAsia="en-GB"/>
          </w:rPr>
          <w:t>https://books.google.co.uk/books?hl=en&amp;lr=&amp;id=vnSG4ZKVLTIC&amp;oi=fnd&amp;pg=PA45&amp;dq=locard%27s+exchange+principle&amp;ots=FXIs6TgMO_&amp;sig=GHRjfsb7QoRjn5Xe0pRWWwYdNdI#v=onepage&amp;q=locard's%20exchange%20principle&amp;f=false</w:t>
        </w:r>
      </w:hyperlink>
      <w:r w:rsidRPr="009A290F">
        <w:rPr>
          <w:rFonts w:ascii="Arial" w:eastAsia="Times New Roman" w:hAnsi="Arial" w:cs="Arial"/>
          <w:color w:val="000000"/>
          <w:sz w:val="24"/>
          <w:szCs w:val="24"/>
          <w:lang w:eastAsia="en-GB"/>
        </w:rPr>
        <w:t xml:space="preserve"> (Accessed: 21st February 2022) </w:t>
      </w:r>
    </w:p>
    <w:p w14:paraId="15F057E9" w14:textId="77777777" w:rsidR="009A290F" w:rsidRPr="009A290F" w:rsidRDefault="009A290F" w:rsidP="009A290F">
      <w:pPr>
        <w:spacing w:after="0" w:line="480" w:lineRule="auto"/>
        <w:rPr>
          <w:rFonts w:ascii="Arial" w:eastAsia="Times New Roman" w:hAnsi="Arial" w:cs="Arial"/>
          <w:sz w:val="24"/>
          <w:szCs w:val="24"/>
          <w:lang w:eastAsia="en-GB"/>
        </w:rPr>
      </w:pPr>
    </w:p>
    <w:p w14:paraId="40694EDA"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 xml:space="preserve">National Police Chiefs’ council (2020) </w:t>
      </w:r>
      <w:r w:rsidRPr="009A290F">
        <w:rPr>
          <w:rFonts w:ascii="Arial" w:eastAsia="Times New Roman" w:hAnsi="Arial" w:cs="Arial"/>
          <w:i/>
          <w:iCs/>
          <w:color w:val="000000"/>
          <w:sz w:val="24"/>
          <w:szCs w:val="24"/>
          <w:lang w:eastAsia="en-GB"/>
        </w:rPr>
        <w:t xml:space="preserve">Digital Forensic Science Strategy. </w:t>
      </w:r>
      <w:r w:rsidRPr="009A290F">
        <w:rPr>
          <w:rFonts w:ascii="Arial" w:eastAsia="Times New Roman" w:hAnsi="Arial" w:cs="Arial"/>
          <w:color w:val="000000"/>
          <w:sz w:val="24"/>
          <w:szCs w:val="24"/>
          <w:lang w:eastAsia="en-GB"/>
        </w:rPr>
        <w:t xml:space="preserve">Available at: </w:t>
      </w:r>
      <w:hyperlink r:id="rId19" w:history="1">
        <w:r w:rsidRPr="009A290F">
          <w:rPr>
            <w:rFonts w:ascii="Arial" w:eastAsia="Times New Roman" w:hAnsi="Arial" w:cs="Arial"/>
            <w:color w:val="1155CC"/>
            <w:sz w:val="24"/>
            <w:szCs w:val="24"/>
            <w:u w:val="single"/>
            <w:lang w:eastAsia="en-GB"/>
          </w:rPr>
          <w:t>https://www.npcc.police.uk/Digital%20Forensic%20Science%20Strategy%202020.pdf</w:t>
        </w:r>
      </w:hyperlink>
      <w:r w:rsidRPr="009A290F">
        <w:rPr>
          <w:rFonts w:ascii="Arial" w:eastAsia="Times New Roman" w:hAnsi="Arial" w:cs="Arial"/>
          <w:color w:val="000000"/>
          <w:sz w:val="24"/>
          <w:szCs w:val="24"/>
          <w:lang w:eastAsia="en-GB"/>
        </w:rPr>
        <w:t xml:space="preserve"> (Accessed: 27th February 2022) </w:t>
      </w:r>
    </w:p>
    <w:p w14:paraId="2302C66E" w14:textId="77777777" w:rsidR="009A290F" w:rsidRPr="009A290F" w:rsidRDefault="009A290F" w:rsidP="009A290F">
      <w:pPr>
        <w:spacing w:after="0" w:line="480" w:lineRule="auto"/>
        <w:rPr>
          <w:rFonts w:ascii="Arial" w:eastAsia="Times New Roman" w:hAnsi="Arial" w:cs="Arial"/>
          <w:sz w:val="24"/>
          <w:szCs w:val="24"/>
          <w:lang w:eastAsia="en-GB"/>
        </w:rPr>
      </w:pPr>
    </w:p>
    <w:p w14:paraId="3C833D82"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lastRenderedPageBreak/>
        <w:t xml:space="preserve">National Policing Improvement Agency (2007) </w:t>
      </w:r>
      <w:r w:rsidRPr="009A290F">
        <w:rPr>
          <w:rFonts w:ascii="Arial" w:eastAsia="Times New Roman" w:hAnsi="Arial" w:cs="Arial"/>
          <w:i/>
          <w:iCs/>
          <w:color w:val="000000"/>
          <w:sz w:val="24"/>
          <w:szCs w:val="24"/>
          <w:lang w:eastAsia="en-GB"/>
        </w:rPr>
        <w:t xml:space="preserve">Practice Advice on Police use of Digital Images. </w:t>
      </w:r>
      <w:r w:rsidRPr="009A290F">
        <w:rPr>
          <w:rFonts w:ascii="Arial" w:eastAsia="Times New Roman" w:hAnsi="Arial" w:cs="Arial"/>
          <w:color w:val="000000"/>
          <w:sz w:val="24"/>
          <w:szCs w:val="24"/>
          <w:lang w:eastAsia="en-GB"/>
        </w:rPr>
        <w:t xml:space="preserve">Available at: </w:t>
      </w:r>
      <w:hyperlink r:id="rId20" w:history="1">
        <w:r w:rsidRPr="009A290F">
          <w:rPr>
            <w:rFonts w:ascii="Arial" w:eastAsia="Times New Roman" w:hAnsi="Arial" w:cs="Arial"/>
            <w:color w:val="1155CC"/>
            <w:sz w:val="24"/>
            <w:szCs w:val="24"/>
            <w:u w:val="single"/>
            <w:lang w:eastAsia="en-GB"/>
          </w:rPr>
          <w:t>https://library.college.police.uk/docs/acpo/police-use-of-digital-images-2007.pdf</w:t>
        </w:r>
      </w:hyperlink>
      <w:r w:rsidRPr="009A290F">
        <w:rPr>
          <w:rFonts w:ascii="Arial" w:eastAsia="Times New Roman" w:hAnsi="Arial" w:cs="Arial"/>
          <w:color w:val="000000"/>
          <w:sz w:val="24"/>
          <w:szCs w:val="24"/>
          <w:lang w:eastAsia="en-GB"/>
        </w:rPr>
        <w:t xml:space="preserve"> (Accessed: 28th February 2022) </w:t>
      </w:r>
    </w:p>
    <w:p w14:paraId="11DB6C03" w14:textId="77777777" w:rsidR="009A290F" w:rsidRPr="009A290F" w:rsidRDefault="009A290F" w:rsidP="009A290F">
      <w:pPr>
        <w:spacing w:after="0" w:line="480" w:lineRule="auto"/>
        <w:rPr>
          <w:rFonts w:ascii="Arial" w:eastAsia="Times New Roman" w:hAnsi="Arial" w:cs="Arial"/>
          <w:sz w:val="24"/>
          <w:szCs w:val="24"/>
          <w:lang w:eastAsia="en-GB"/>
        </w:rPr>
      </w:pPr>
    </w:p>
    <w:p w14:paraId="29CB6304"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 xml:space="preserve">Oxford University Hospitals (2021) </w:t>
      </w:r>
      <w:r w:rsidRPr="009A290F">
        <w:rPr>
          <w:rFonts w:ascii="Arial" w:eastAsia="Times New Roman" w:hAnsi="Arial" w:cs="Arial"/>
          <w:i/>
          <w:iCs/>
          <w:color w:val="000000"/>
          <w:sz w:val="24"/>
          <w:szCs w:val="24"/>
          <w:lang w:eastAsia="en-GB"/>
        </w:rPr>
        <w:t xml:space="preserve">PPE- Covid-19 staff FAQ. </w:t>
      </w:r>
      <w:r w:rsidRPr="009A290F">
        <w:rPr>
          <w:rFonts w:ascii="Arial" w:eastAsia="Times New Roman" w:hAnsi="Arial" w:cs="Arial"/>
          <w:color w:val="000000"/>
          <w:sz w:val="24"/>
          <w:szCs w:val="24"/>
          <w:lang w:eastAsia="en-GB"/>
        </w:rPr>
        <w:t>Available at:</w:t>
      </w:r>
      <w:hyperlink r:id="rId21" w:history="1">
        <w:r w:rsidRPr="009A290F">
          <w:rPr>
            <w:rFonts w:ascii="Arial" w:eastAsia="Times New Roman" w:hAnsi="Arial" w:cs="Arial"/>
            <w:color w:val="1155CC"/>
            <w:sz w:val="24"/>
            <w:szCs w:val="24"/>
            <w:u w:val="single"/>
            <w:lang w:eastAsia="en-GB"/>
          </w:rPr>
          <w:t>https://www.ouh.nhs.uk/working-for-us/staff/covid-staff-faqs-ppe.aspx</w:t>
        </w:r>
      </w:hyperlink>
      <w:r w:rsidRPr="009A290F">
        <w:rPr>
          <w:rFonts w:ascii="Arial" w:eastAsia="Times New Roman" w:hAnsi="Arial" w:cs="Arial"/>
          <w:color w:val="000000"/>
          <w:sz w:val="24"/>
          <w:szCs w:val="24"/>
          <w:lang w:eastAsia="en-GB"/>
        </w:rPr>
        <w:t xml:space="preserve"> (Accessed: 21st February 2022) </w:t>
      </w:r>
    </w:p>
    <w:p w14:paraId="7AA26592" w14:textId="77777777" w:rsidR="009A290F" w:rsidRPr="009A290F" w:rsidRDefault="009A290F" w:rsidP="009A290F">
      <w:pPr>
        <w:spacing w:after="0" w:line="480" w:lineRule="auto"/>
        <w:rPr>
          <w:rFonts w:ascii="Arial" w:eastAsia="Times New Roman" w:hAnsi="Arial" w:cs="Arial"/>
          <w:sz w:val="24"/>
          <w:szCs w:val="24"/>
          <w:lang w:eastAsia="en-GB"/>
        </w:rPr>
      </w:pPr>
    </w:p>
    <w:p w14:paraId="431F7911"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 xml:space="preserve">Parliamentary office of science and technology (2016) </w:t>
      </w:r>
      <w:r w:rsidRPr="009A290F">
        <w:rPr>
          <w:rFonts w:ascii="Arial" w:eastAsia="Times New Roman" w:hAnsi="Arial" w:cs="Arial"/>
          <w:i/>
          <w:iCs/>
          <w:color w:val="000000"/>
          <w:sz w:val="24"/>
          <w:szCs w:val="24"/>
          <w:lang w:eastAsia="en-GB"/>
        </w:rPr>
        <w:t xml:space="preserve">Digital forensic and crime. </w:t>
      </w:r>
      <w:r w:rsidRPr="009A290F">
        <w:rPr>
          <w:rFonts w:ascii="Arial" w:eastAsia="Times New Roman" w:hAnsi="Arial" w:cs="Arial"/>
          <w:color w:val="000000"/>
          <w:sz w:val="24"/>
          <w:szCs w:val="24"/>
          <w:lang w:eastAsia="en-GB"/>
        </w:rPr>
        <w:t xml:space="preserve">Available at: </w:t>
      </w:r>
      <w:hyperlink r:id="rId22" w:history="1">
        <w:r w:rsidRPr="009A290F">
          <w:rPr>
            <w:rFonts w:ascii="Arial" w:eastAsia="Times New Roman" w:hAnsi="Arial" w:cs="Arial"/>
            <w:color w:val="1155CC"/>
            <w:sz w:val="24"/>
            <w:szCs w:val="24"/>
            <w:u w:val="single"/>
            <w:lang w:eastAsia="en-GB"/>
          </w:rPr>
          <w:t>https://researchbriefings.files.parliament.uk/documents/POST-PN-0520/POST-PN-0520.pdf</w:t>
        </w:r>
      </w:hyperlink>
      <w:r w:rsidRPr="009A290F">
        <w:rPr>
          <w:rFonts w:ascii="Arial" w:eastAsia="Times New Roman" w:hAnsi="Arial" w:cs="Arial"/>
          <w:color w:val="000000"/>
          <w:sz w:val="24"/>
          <w:szCs w:val="24"/>
          <w:lang w:eastAsia="en-GB"/>
        </w:rPr>
        <w:t xml:space="preserve"> (Accessed: 27th February 2022) </w:t>
      </w:r>
    </w:p>
    <w:p w14:paraId="297451BA" w14:textId="77777777" w:rsidR="009A290F" w:rsidRPr="009A290F" w:rsidRDefault="009A290F" w:rsidP="009A290F">
      <w:pPr>
        <w:spacing w:after="0" w:line="480" w:lineRule="auto"/>
        <w:rPr>
          <w:rFonts w:ascii="Arial" w:eastAsia="Times New Roman" w:hAnsi="Arial" w:cs="Arial"/>
          <w:sz w:val="24"/>
          <w:szCs w:val="24"/>
          <w:lang w:eastAsia="en-GB"/>
        </w:rPr>
      </w:pPr>
    </w:p>
    <w:p w14:paraId="6E700A29"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 xml:space="preserve">Pepper, I. (2010) </w:t>
      </w:r>
      <w:r w:rsidRPr="009A290F">
        <w:rPr>
          <w:rFonts w:ascii="Arial" w:eastAsia="Times New Roman" w:hAnsi="Arial" w:cs="Arial"/>
          <w:i/>
          <w:iCs/>
          <w:color w:val="000000"/>
          <w:sz w:val="24"/>
          <w:szCs w:val="24"/>
          <w:lang w:eastAsia="en-GB"/>
        </w:rPr>
        <w:t xml:space="preserve">Crime Scene Investigation: Methods and Procedures. </w:t>
      </w:r>
      <w:r w:rsidRPr="009A290F">
        <w:rPr>
          <w:rFonts w:ascii="Arial" w:eastAsia="Times New Roman" w:hAnsi="Arial" w:cs="Arial"/>
          <w:color w:val="000000"/>
          <w:sz w:val="24"/>
          <w:szCs w:val="24"/>
          <w:lang w:eastAsia="en-GB"/>
        </w:rPr>
        <w:t xml:space="preserve">Available at: </w:t>
      </w:r>
      <w:hyperlink r:id="rId23" w:anchor="v=onepage&amp;q=crime%20scene%20investigation%3A%20methods%20and%20procedures&amp;f=false" w:history="1">
        <w:r w:rsidRPr="009A290F">
          <w:rPr>
            <w:rFonts w:ascii="Arial" w:eastAsia="Times New Roman" w:hAnsi="Arial" w:cs="Arial"/>
            <w:color w:val="1155CC"/>
            <w:sz w:val="24"/>
            <w:szCs w:val="24"/>
            <w:u w:val="single"/>
            <w:lang w:eastAsia="en-GB"/>
          </w:rPr>
          <w:t>https://books.google.co.uk/books?hl=en&amp;lr=&amp;id=-LsWte7rUAEC&amp;oi=fnd&amp;pg=PP1&amp;dq=crime+scene+investigation:+methods+and+procedures&amp;ots=k0Dpc6BNq4&amp;sig=UmJXBvgCMeI4UwI_4yFRUpBev18#v=onepage&amp;q=crime%20scene%20investigation%3A%20methods%20and%20procedures&amp;f=false</w:t>
        </w:r>
      </w:hyperlink>
      <w:r w:rsidRPr="009A290F">
        <w:rPr>
          <w:rFonts w:ascii="Arial" w:eastAsia="Times New Roman" w:hAnsi="Arial" w:cs="Arial"/>
          <w:color w:val="000000"/>
          <w:sz w:val="24"/>
          <w:szCs w:val="24"/>
          <w:lang w:eastAsia="en-GB"/>
        </w:rPr>
        <w:t xml:space="preserve"> (Accessed: 22nd February 2022) </w:t>
      </w:r>
    </w:p>
    <w:p w14:paraId="5B42AC92"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sz w:val="24"/>
          <w:szCs w:val="24"/>
          <w:lang w:eastAsia="en-GB"/>
        </w:rPr>
        <w:br/>
      </w:r>
    </w:p>
    <w:p w14:paraId="27E3499D" w14:textId="77777777" w:rsidR="009A290F" w:rsidRPr="009A290F" w:rsidRDefault="009A290F" w:rsidP="009A290F">
      <w:pPr>
        <w:numPr>
          <w:ilvl w:val="0"/>
          <w:numId w:val="2"/>
        </w:numPr>
        <w:spacing w:after="0" w:line="480" w:lineRule="auto"/>
        <w:textAlignment w:val="baseline"/>
        <w:rPr>
          <w:rFonts w:ascii="Arial" w:eastAsia="Times New Roman" w:hAnsi="Arial" w:cs="Arial"/>
          <w:color w:val="000000"/>
          <w:sz w:val="24"/>
          <w:szCs w:val="24"/>
          <w:lang w:eastAsia="en-GB"/>
        </w:rPr>
      </w:pPr>
      <w:r w:rsidRPr="009A290F">
        <w:rPr>
          <w:rFonts w:ascii="Arial" w:eastAsia="Times New Roman" w:hAnsi="Arial" w:cs="Arial"/>
          <w:color w:val="000000"/>
          <w:sz w:val="24"/>
          <w:szCs w:val="24"/>
          <w:lang w:eastAsia="en-GB"/>
        </w:rPr>
        <w:t xml:space="preserve">Police and Criminal Evidence Act (1984) Her Majesty Stationery Office (The Stationary Office); London. Available at: </w:t>
      </w:r>
      <w:hyperlink r:id="rId24" w:history="1">
        <w:r w:rsidRPr="009A290F">
          <w:rPr>
            <w:rFonts w:ascii="Arial" w:eastAsia="Times New Roman" w:hAnsi="Arial" w:cs="Arial"/>
            <w:color w:val="1155CC"/>
            <w:sz w:val="24"/>
            <w:szCs w:val="24"/>
            <w:u w:val="single"/>
            <w:lang w:eastAsia="en-GB"/>
          </w:rPr>
          <w:t>https://www.legislation.gov.uk/ukpga/1984/60/section/19</w:t>
        </w:r>
      </w:hyperlink>
      <w:r w:rsidRPr="009A290F">
        <w:rPr>
          <w:rFonts w:ascii="Arial" w:eastAsia="Times New Roman" w:hAnsi="Arial" w:cs="Arial"/>
          <w:color w:val="000000"/>
          <w:sz w:val="24"/>
          <w:szCs w:val="24"/>
          <w:lang w:eastAsia="en-GB"/>
        </w:rPr>
        <w:t xml:space="preserve"> (Accessed: 27th February 2022) </w:t>
      </w:r>
    </w:p>
    <w:p w14:paraId="558BC714"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sz w:val="24"/>
          <w:szCs w:val="24"/>
          <w:lang w:eastAsia="en-GB"/>
        </w:rPr>
        <w:lastRenderedPageBreak/>
        <w:br/>
      </w:r>
    </w:p>
    <w:p w14:paraId="6E612932" w14:textId="77777777" w:rsidR="009A290F" w:rsidRPr="009A290F" w:rsidRDefault="009A290F" w:rsidP="009A290F">
      <w:pPr>
        <w:numPr>
          <w:ilvl w:val="0"/>
          <w:numId w:val="3"/>
        </w:numPr>
        <w:spacing w:after="0" w:line="480" w:lineRule="auto"/>
        <w:textAlignment w:val="baseline"/>
        <w:rPr>
          <w:rFonts w:ascii="Arial" w:eastAsia="Times New Roman" w:hAnsi="Arial" w:cs="Arial"/>
          <w:color w:val="000000"/>
          <w:sz w:val="24"/>
          <w:szCs w:val="24"/>
          <w:lang w:eastAsia="en-GB"/>
        </w:rPr>
      </w:pPr>
      <w:r w:rsidRPr="009A290F">
        <w:rPr>
          <w:rFonts w:ascii="Arial" w:eastAsia="Times New Roman" w:hAnsi="Arial" w:cs="Arial"/>
          <w:color w:val="000000"/>
          <w:sz w:val="24"/>
          <w:szCs w:val="24"/>
          <w:lang w:eastAsia="en-GB"/>
        </w:rPr>
        <w:t xml:space="preserve">Police and Criminal Evidence Act (1984) Her Majesty Stationary Office (The Stationary Office); London: Available at: </w:t>
      </w:r>
      <w:hyperlink r:id="rId25" w:history="1">
        <w:r w:rsidRPr="009A290F">
          <w:rPr>
            <w:rFonts w:ascii="Arial" w:eastAsia="Times New Roman" w:hAnsi="Arial" w:cs="Arial"/>
            <w:color w:val="1155CC"/>
            <w:sz w:val="24"/>
            <w:szCs w:val="24"/>
            <w:u w:val="single"/>
            <w:lang w:eastAsia="en-GB"/>
          </w:rPr>
          <w:t>https://www.legislation.gov.uk/ukpga/1984/60/section/20</w:t>
        </w:r>
      </w:hyperlink>
      <w:r w:rsidRPr="009A290F">
        <w:rPr>
          <w:rFonts w:ascii="Arial" w:eastAsia="Times New Roman" w:hAnsi="Arial" w:cs="Arial"/>
          <w:color w:val="000000"/>
          <w:sz w:val="24"/>
          <w:szCs w:val="24"/>
          <w:lang w:eastAsia="en-GB"/>
        </w:rPr>
        <w:t xml:space="preserve"> (Accessed: 3rd March 2022)  </w:t>
      </w:r>
    </w:p>
    <w:p w14:paraId="207668B0" w14:textId="77777777" w:rsidR="009A290F" w:rsidRPr="009A290F" w:rsidRDefault="009A290F" w:rsidP="009A290F">
      <w:pPr>
        <w:spacing w:after="0" w:line="480" w:lineRule="auto"/>
        <w:rPr>
          <w:rFonts w:ascii="Arial" w:eastAsia="Times New Roman" w:hAnsi="Arial" w:cs="Arial"/>
          <w:sz w:val="24"/>
          <w:szCs w:val="24"/>
          <w:lang w:eastAsia="en-GB"/>
        </w:rPr>
      </w:pPr>
    </w:p>
    <w:p w14:paraId="799AF5C9"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 xml:space="preserve">Regulation of investigatory Powers Act (2000) Her majesty stationery office (the stationary office); London. Available at: </w:t>
      </w:r>
      <w:hyperlink r:id="rId26" w:history="1">
        <w:r w:rsidRPr="009A290F">
          <w:rPr>
            <w:rFonts w:ascii="Arial" w:eastAsia="Times New Roman" w:hAnsi="Arial" w:cs="Arial"/>
            <w:color w:val="1155CC"/>
            <w:sz w:val="24"/>
            <w:szCs w:val="24"/>
            <w:u w:val="single"/>
            <w:lang w:eastAsia="en-GB"/>
          </w:rPr>
          <w:t>https://www.legislation.gov.uk/ukpga/2000/23/pdfs/ukpga_20000023_en.pdf</w:t>
        </w:r>
      </w:hyperlink>
      <w:r w:rsidRPr="009A290F">
        <w:rPr>
          <w:rFonts w:ascii="Arial" w:eastAsia="Times New Roman" w:hAnsi="Arial" w:cs="Arial"/>
          <w:color w:val="000000"/>
          <w:sz w:val="24"/>
          <w:szCs w:val="24"/>
          <w:lang w:eastAsia="en-GB"/>
        </w:rPr>
        <w:t xml:space="preserve"> (Accessed: 28th February 2022) </w:t>
      </w:r>
    </w:p>
    <w:p w14:paraId="48D415A8" w14:textId="77777777" w:rsidR="009A290F" w:rsidRPr="009A290F" w:rsidRDefault="009A290F" w:rsidP="009A290F">
      <w:pPr>
        <w:spacing w:after="0" w:line="480" w:lineRule="auto"/>
        <w:rPr>
          <w:rFonts w:ascii="Arial" w:eastAsia="Times New Roman" w:hAnsi="Arial" w:cs="Arial"/>
          <w:sz w:val="24"/>
          <w:szCs w:val="24"/>
          <w:lang w:eastAsia="en-GB"/>
        </w:rPr>
      </w:pPr>
    </w:p>
    <w:p w14:paraId="0B4FAEC4"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 xml:space="preserve">Ruttie, G. (2003) ‘The Effectiveness of protective protective clothing in the reduction of potential DNA contamination of the scene of crime’, </w:t>
      </w:r>
      <w:r w:rsidRPr="009A290F">
        <w:rPr>
          <w:rFonts w:ascii="Arial" w:eastAsia="Times New Roman" w:hAnsi="Arial" w:cs="Arial"/>
          <w:i/>
          <w:iCs/>
          <w:color w:val="000000"/>
          <w:sz w:val="24"/>
          <w:szCs w:val="24"/>
          <w:lang w:eastAsia="en-GB"/>
        </w:rPr>
        <w:t xml:space="preserve">International Journal of Legal Medicine, </w:t>
      </w:r>
      <w:r w:rsidRPr="009A290F">
        <w:rPr>
          <w:rFonts w:ascii="Arial" w:eastAsia="Times New Roman" w:hAnsi="Arial" w:cs="Arial"/>
          <w:color w:val="000000"/>
          <w:sz w:val="24"/>
          <w:szCs w:val="24"/>
          <w:lang w:eastAsia="en-GB"/>
        </w:rPr>
        <w:t xml:space="preserve">117(3), pp. 170-174. Available at: </w:t>
      </w:r>
      <w:hyperlink r:id="rId27" w:history="1">
        <w:r w:rsidRPr="009A290F">
          <w:rPr>
            <w:rFonts w:ascii="Arial" w:eastAsia="Times New Roman" w:hAnsi="Arial" w:cs="Arial"/>
            <w:color w:val="1155CC"/>
            <w:sz w:val="24"/>
            <w:szCs w:val="24"/>
            <w:u w:val="single"/>
            <w:lang w:eastAsia="en-GB"/>
          </w:rPr>
          <w:t>https://pubmed.ncbi.nlm.nih.gov/12684818/</w:t>
        </w:r>
      </w:hyperlink>
      <w:r w:rsidRPr="009A290F">
        <w:rPr>
          <w:rFonts w:ascii="Arial" w:eastAsia="Times New Roman" w:hAnsi="Arial" w:cs="Arial"/>
          <w:color w:val="000000"/>
          <w:sz w:val="24"/>
          <w:szCs w:val="24"/>
          <w:lang w:eastAsia="en-GB"/>
        </w:rPr>
        <w:t xml:space="preserve"> (Accessed: 21st February 2022)</w:t>
      </w:r>
    </w:p>
    <w:p w14:paraId="0AF05BCA" w14:textId="77777777" w:rsidR="009A290F" w:rsidRPr="009A290F" w:rsidRDefault="009A290F" w:rsidP="009A290F">
      <w:pPr>
        <w:spacing w:after="0" w:line="480" w:lineRule="auto"/>
        <w:rPr>
          <w:rFonts w:ascii="Arial" w:eastAsia="Times New Roman" w:hAnsi="Arial" w:cs="Arial"/>
          <w:sz w:val="24"/>
          <w:szCs w:val="24"/>
          <w:lang w:eastAsia="en-GB"/>
        </w:rPr>
      </w:pPr>
    </w:p>
    <w:p w14:paraId="41FE0BE8"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 xml:space="preserve">Service Instruction (2016) </w:t>
      </w:r>
      <w:r w:rsidRPr="009A290F">
        <w:rPr>
          <w:rFonts w:ascii="Arial" w:eastAsia="Times New Roman" w:hAnsi="Arial" w:cs="Arial"/>
          <w:i/>
          <w:iCs/>
          <w:color w:val="000000"/>
          <w:sz w:val="24"/>
          <w:szCs w:val="24"/>
          <w:lang w:eastAsia="en-GB"/>
        </w:rPr>
        <w:t xml:space="preserve">Serious Crime Scenes. </w:t>
      </w:r>
      <w:r w:rsidRPr="009A290F">
        <w:rPr>
          <w:rFonts w:ascii="Arial" w:eastAsia="Times New Roman" w:hAnsi="Arial" w:cs="Arial"/>
          <w:color w:val="000000"/>
          <w:sz w:val="24"/>
          <w:szCs w:val="24"/>
          <w:lang w:eastAsia="en-GB"/>
        </w:rPr>
        <w:t xml:space="preserve">Available at: </w:t>
      </w:r>
      <w:hyperlink r:id="rId28" w:history="1">
        <w:r w:rsidRPr="009A290F">
          <w:rPr>
            <w:rFonts w:ascii="Arial" w:eastAsia="Times New Roman" w:hAnsi="Arial" w:cs="Arial"/>
            <w:color w:val="1155CC"/>
            <w:sz w:val="24"/>
            <w:szCs w:val="24"/>
            <w:u w:val="single"/>
            <w:lang w:eastAsia="en-GB"/>
          </w:rPr>
          <w:t>https://www.psni.police.uk/globalassets/advice--information/our-publications/policies-and-service-procedures/serious-crime-scenes-231116.pdf</w:t>
        </w:r>
      </w:hyperlink>
      <w:r w:rsidRPr="009A290F">
        <w:rPr>
          <w:rFonts w:ascii="Arial" w:eastAsia="Times New Roman" w:hAnsi="Arial" w:cs="Arial"/>
          <w:color w:val="000000"/>
          <w:sz w:val="24"/>
          <w:szCs w:val="24"/>
          <w:lang w:eastAsia="en-GB"/>
        </w:rPr>
        <w:t xml:space="preserve"> (Accessed: 21st February 2022)</w:t>
      </w:r>
    </w:p>
    <w:p w14:paraId="4A1B8D9C" w14:textId="77777777" w:rsidR="009A290F" w:rsidRPr="009A290F" w:rsidRDefault="009A290F" w:rsidP="009A290F">
      <w:pPr>
        <w:spacing w:after="0" w:line="480" w:lineRule="auto"/>
        <w:rPr>
          <w:rFonts w:ascii="Arial" w:eastAsia="Times New Roman" w:hAnsi="Arial" w:cs="Arial"/>
          <w:sz w:val="24"/>
          <w:szCs w:val="24"/>
          <w:lang w:eastAsia="en-GB"/>
        </w:rPr>
      </w:pPr>
    </w:p>
    <w:p w14:paraId="1E147AB5"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 xml:space="preserve">United Nations Office on Drugs and Crime (2018) </w:t>
      </w:r>
      <w:r w:rsidRPr="009A290F">
        <w:rPr>
          <w:rFonts w:ascii="Arial" w:eastAsia="Times New Roman" w:hAnsi="Arial" w:cs="Arial"/>
          <w:i/>
          <w:iCs/>
          <w:color w:val="000000"/>
          <w:sz w:val="24"/>
          <w:szCs w:val="24"/>
          <w:lang w:eastAsia="en-GB"/>
        </w:rPr>
        <w:t xml:space="preserve">Annual Drug Seizure. </w:t>
      </w:r>
      <w:r w:rsidRPr="009A290F">
        <w:rPr>
          <w:rFonts w:ascii="Arial" w:eastAsia="Times New Roman" w:hAnsi="Arial" w:cs="Arial"/>
          <w:color w:val="000000"/>
          <w:sz w:val="24"/>
          <w:szCs w:val="24"/>
          <w:lang w:eastAsia="en-GB"/>
        </w:rPr>
        <w:t xml:space="preserve">Available at: </w:t>
      </w:r>
      <w:hyperlink r:id="rId29" w:history="1">
        <w:r w:rsidRPr="009A290F">
          <w:rPr>
            <w:rFonts w:ascii="Arial" w:eastAsia="Times New Roman" w:hAnsi="Arial" w:cs="Arial"/>
            <w:color w:val="1155CC"/>
            <w:sz w:val="24"/>
            <w:szCs w:val="24"/>
            <w:u w:val="single"/>
            <w:lang w:eastAsia="en-GB"/>
          </w:rPr>
          <w:t>https://dataunodc.un.org/drugs/seizures</w:t>
        </w:r>
      </w:hyperlink>
      <w:r w:rsidRPr="009A290F">
        <w:rPr>
          <w:rFonts w:ascii="Arial" w:eastAsia="Times New Roman" w:hAnsi="Arial" w:cs="Arial"/>
          <w:color w:val="000000"/>
          <w:sz w:val="24"/>
          <w:szCs w:val="24"/>
          <w:lang w:eastAsia="en-GB"/>
        </w:rPr>
        <w:t xml:space="preserve"> (Accessed: 28th February 2022)</w:t>
      </w:r>
    </w:p>
    <w:p w14:paraId="12B42DD9" w14:textId="77777777" w:rsidR="009A290F" w:rsidRPr="009A290F" w:rsidRDefault="009A290F" w:rsidP="009A290F">
      <w:pPr>
        <w:spacing w:after="0" w:line="480" w:lineRule="auto"/>
        <w:rPr>
          <w:rFonts w:ascii="Arial" w:eastAsia="Times New Roman" w:hAnsi="Arial" w:cs="Arial"/>
          <w:sz w:val="24"/>
          <w:szCs w:val="24"/>
          <w:lang w:eastAsia="en-GB"/>
        </w:rPr>
      </w:pPr>
    </w:p>
    <w:p w14:paraId="254FAB3C"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lastRenderedPageBreak/>
        <w:t xml:space="preserve">UK Government (2012) </w:t>
      </w:r>
      <w:r w:rsidRPr="009A290F">
        <w:rPr>
          <w:rFonts w:ascii="Arial" w:eastAsia="Times New Roman" w:hAnsi="Arial" w:cs="Arial"/>
          <w:i/>
          <w:iCs/>
          <w:color w:val="000000"/>
          <w:sz w:val="24"/>
          <w:szCs w:val="24"/>
          <w:lang w:eastAsia="en-GB"/>
        </w:rPr>
        <w:t xml:space="preserve">Code of Practice. </w:t>
      </w:r>
      <w:r w:rsidRPr="009A290F">
        <w:rPr>
          <w:rFonts w:ascii="Arial" w:eastAsia="Times New Roman" w:hAnsi="Arial" w:cs="Arial"/>
          <w:color w:val="000000"/>
          <w:sz w:val="24"/>
          <w:szCs w:val="24"/>
          <w:lang w:eastAsia="en-GB"/>
        </w:rPr>
        <w:t xml:space="preserve">Available at: </w:t>
      </w:r>
      <w:hyperlink r:id="rId30" w:history="1">
        <w:r w:rsidRPr="009A290F">
          <w:rPr>
            <w:rFonts w:ascii="Arial" w:eastAsia="Times New Roman" w:hAnsi="Arial" w:cs="Arial"/>
            <w:color w:val="1155CC"/>
            <w:sz w:val="24"/>
            <w:szCs w:val="24"/>
            <w:u w:val="single"/>
            <w:lang w:eastAsia="en-GB"/>
          </w:rPr>
          <w:t>https://assets.publishing.service.gov.uk/government/uploads/system/uploads/attachment_data/file/97944/stop-search-code-of-practice.pdf</w:t>
        </w:r>
      </w:hyperlink>
      <w:r w:rsidRPr="009A290F">
        <w:rPr>
          <w:rFonts w:ascii="Arial" w:eastAsia="Times New Roman" w:hAnsi="Arial" w:cs="Arial"/>
          <w:color w:val="000000"/>
          <w:sz w:val="24"/>
          <w:szCs w:val="24"/>
          <w:lang w:eastAsia="en-GB"/>
        </w:rPr>
        <w:t xml:space="preserve"> (Accessed: 28th February 2022)</w:t>
      </w:r>
    </w:p>
    <w:p w14:paraId="7C68E89F" w14:textId="77777777" w:rsidR="009A290F" w:rsidRPr="009A290F" w:rsidRDefault="009A290F" w:rsidP="009A290F">
      <w:pPr>
        <w:spacing w:after="0" w:line="480" w:lineRule="auto"/>
        <w:rPr>
          <w:rFonts w:ascii="Arial" w:eastAsia="Times New Roman" w:hAnsi="Arial" w:cs="Arial"/>
          <w:sz w:val="24"/>
          <w:szCs w:val="24"/>
          <w:lang w:eastAsia="en-GB"/>
        </w:rPr>
      </w:pPr>
    </w:p>
    <w:p w14:paraId="5FB11512" w14:textId="77777777" w:rsidR="009A290F" w:rsidRPr="009A290F" w:rsidRDefault="009A290F" w:rsidP="009A290F">
      <w:pPr>
        <w:spacing w:after="0" w:line="480" w:lineRule="auto"/>
        <w:rPr>
          <w:rFonts w:ascii="Arial" w:eastAsia="Times New Roman" w:hAnsi="Arial" w:cs="Arial"/>
          <w:sz w:val="24"/>
          <w:szCs w:val="24"/>
          <w:lang w:eastAsia="en-GB"/>
        </w:rPr>
      </w:pPr>
      <w:r w:rsidRPr="009A290F">
        <w:rPr>
          <w:rFonts w:ascii="Arial" w:eastAsia="Times New Roman" w:hAnsi="Arial" w:cs="Arial"/>
          <w:color w:val="000000"/>
          <w:sz w:val="24"/>
          <w:szCs w:val="24"/>
          <w:lang w:eastAsia="en-GB"/>
        </w:rPr>
        <w:t xml:space="preserve">Wood, D. et al. (2021) </w:t>
      </w:r>
      <w:r w:rsidRPr="009A290F">
        <w:rPr>
          <w:rFonts w:ascii="Arial" w:eastAsia="Times New Roman" w:hAnsi="Arial" w:cs="Arial"/>
          <w:i/>
          <w:iCs/>
          <w:color w:val="000000"/>
          <w:sz w:val="24"/>
          <w:szCs w:val="24"/>
          <w:lang w:eastAsia="en-GB"/>
        </w:rPr>
        <w:t xml:space="preserve">Blackstone’s Handbook for Policing students 2022. </w:t>
      </w:r>
      <w:r w:rsidRPr="009A290F">
        <w:rPr>
          <w:rFonts w:ascii="Arial" w:eastAsia="Times New Roman" w:hAnsi="Arial" w:cs="Arial"/>
          <w:color w:val="000000"/>
          <w:sz w:val="24"/>
          <w:szCs w:val="24"/>
          <w:lang w:eastAsia="en-GB"/>
        </w:rPr>
        <w:t>Oxford: Oxford University Press. Sixteenth Edition. </w:t>
      </w:r>
    </w:p>
    <w:p w14:paraId="057DF163" w14:textId="77777777" w:rsidR="00E94916" w:rsidRDefault="00E94916" w:rsidP="00E94916"/>
    <w:sectPr w:rsidR="00E94916" w:rsidSect="009A290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517DC"/>
    <w:multiLevelType w:val="multilevel"/>
    <w:tmpl w:val="02720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E82604"/>
    <w:multiLevelType w:val="multilevel"/>
    <w:tmpl w:val="46C6A6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C6469B2"/>
    <w:multiLevelType w:val="multilevel"/>
    <w:tmpl w:val="193ED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916"/>
    <w:rsid w:val="00597589"/>
    <w:rsid w:val="009A290F"/>
    <w:rsid w:val="00E949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4A14EF68"/>
  <w15:docId w15:val="{74105CF9-A448-4CA3-9065-8ACE6F2BF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949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A290F"/>
    <w:rPr>
      <w:color w:val="0000FF"/>
      <w:u w:val="single"/>
    </w:rPr>
  </w:style>
  <w:style w:type="paragraph" w:styleId="NoSpacing">
    <w:name w:val="No Spacing"/>
    <w:link w:val="NoSpacingChar"/>
    <w:uiPriority w:val="1"/>
    <w:qFormat/>
    <w:rsid w:val="009A290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A290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68889">
      <w:bodyDiv w:val="1"/>
      <w:marLeft w:val="0"/>
      <w:marRight w:val="0"/>
      <w:marTop w:val="0"/>
      <w:marBottom w:val="0"/>
      <w:divBdr>
        <w:top w:val="none" w:sz="0" w:space="0" w:color="auto"/>
        <w:left w:val="none" w:sz="0" w:space="0" w:color="auto"/>
        <w:bottom w:val="none" w:sz="0" w:space="0" w:color="auto"/>
        <w:right w:val="none" w:sz="0" w:space="0" w:color="auto"/>
      </w:divBdr>
    </w:div>
    <w:div w:id="1443950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pp.college.police.uk/app-content/stop-and-search/legal/legal-basis/" TargetMode="External"/><Relationship Id="rId13" Type="http://schemas.openxmlformats.org/officeDocument/2006/relationships/hyperlink" Target="https://www.legislation.gov.uk/ukpga/2001/16/section/43" TargetMode="External"/><Relationship Id="rId18" Type="http://schemas.openxmlformats.org/officeDocument/2006/relationships/hyperlink" Target="https://books.google.co.uk/books?hl=en&amp;lr=&amp;id=vnSG4ZKVLTIC&amp;oi=fnd&amp;pg=PA45&amp;dq=locard%27s+exchange+principle&amp;ots=FXIs6TgMO_&amp;sig=GHRjfsb7QoRjn5Xe0pRWWwYdNdI" TargetMode="External"/><Relationship Id="rId26" Type="http://schemas.openxmlformats.org/officeDocument/2006/relationships/hyperlink" Target="https://www.legislation.gov.uk/ukpga/2000/23/pdfs/ukpga_20000023_en.pdf" TargetMode="External"/><Relationship Id="rId3" Type="http://schemas.openxmlformats.org/officeDocument/2006/relationships/settings" Target="settings.xml"/><Relationship Id="rId21" Type="http://schemas.openxmlformats.org/officeDocument/2006/relationships/hyperlink" Target="https://www.ouh.nhs.uk/working-for-us/staff/covid-staff-faqs-ppe.aspx" TargetMode="External"/><Relationship Id="rId7" Type="http://schemas.openxmlformats.org/officeDocument/2006/relationships/hyperlink" Target="https://www.castleviewuk.com/ch1-securing.html" TargetMode="External"/><Relationship Id="rId12" Type="http://schemas.openxmlformats.org/officeDocument/2006/relationships/hyperlink" Target="https://www.legislation.gov.uk/ukpga/1996/25/section/23" TargetMode="External"/><Relationship Id="rId17" Type="http://schemas.openxmlformats.org/officeDocument/2006/relationships/hyperlink" Target="https://web-s-ebscohost-com.ezproxy.uwtsd.ac.uk/ehost/ebookviewer/ebook/bmxlYmtfXzIxMjYzMjFfX0FO0?sid=b6120099-2596-400f-963b-47edc5dc0cab@redis&amp;vid=0&amp;format=EB&amp;rid=1" TargetMode="External"/><Relationship Id="rId25" Type="http://schemas.openxmlformats.org/officeDocument/2006/relationships/hyperlink" Target="https://www.legislation.gov.uk/ukpga/1984/60/section/20"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393866/206_FSR_SOC_contamination_consultation.pdf" TargetMode="External"/><Relationship Id="rId20" Type="http://schemas.openxmlformats.org/officeDocument/2006/relationships/hyperlink" Target="https://library.college.police.uk/docs/acpo/police-use-of-digital-images-2007.pdf" TargetMode="External"/><Relationship Id="rId29" Type="http://schemas.openxmlformats.org/officeDocument/2006/relationships/hyperlink" Target="https://dataunodc.un.org/drugs/seizures" TargetMode="External"/><Relationship Id="rId1" Type="http://schemas.openxmlformats.org/officeDocument/2006/relationships/numbering" Target="numbering.xml"/><Relationship Id="rId6" Type="http://schemas.openxmlformats.org/officeDocument/2006/relationships/hyperlink" Target="https://booksite.elsevier.com/9780123742681/Chapter_20_Final.pdf" TargetMode="External"/><Relationship Id="rId11" Type="http://schemas.openxmlformats.org/officeDocument/2006/relationships/hyperlink" Target="https://www.app.college.police.uk/app-content/civil-emergencies/civil-contingencies/response-and-recovery/" TargetMode="External"/><Relationship Id="rId24" Type="http://schemas.openxmlformats.org/officeDocument/2006/relationships/hyperlink" Target="https://www.legislation.gov.uk/ukpga/1984/60/section/19" TargetMode="External"/><Relationship Id="rId32" Type="http://schemas.openxmlformats.org/officeDocument/2006/relationships/theme" Target="theme/theme1.xml"/><Relationship Id="rId5" Type="http://schemas.openxmlformats.org/officeDocument/2006/relationships/hyperlink" Target="https://www.researchgate.net/profile/Yatendra-Gupta/publication/228410430_Systematic_Digital_Forensic_Investigation_Model/links/56ea8cd208ae95bddc2bcc6b/Systematic-Digital-Forensic-Investigation-Model.pdf" TargetMode="External"/><Relationship Id="rId15" Type="http://schemas.openxmlformats.org/officeDocument/2006/relationships/hyperlink" Target="https://moodle.uwtsd.ac.uk/pluginfile.php/574329/mod_resource/content/1/%20Scenes%20of%20Crime%20Examination%20Best%20Practice%20Manual%20%20.pdf?redirect=1" TargetMode="External"/><Relationship Id="rId23" Type="http://schemas.openxmlformats.org/officeDocument/2006/relationships/hyperlink" Target="https://books.google.co.uk/books?hl=en&amp;lr=&amp;id=-LsWte7rUAEC&amp;oi=fnd&amp;pg=PP1&amp;dq=crime+scene+investigation:+methods+and+procedures&amp;ots=k0Dpc6BNq4&amp;sig=UmJXBvgCMeI4UwI_4yFRUpBev18" TargetMode="External"/><Relationship Id="rId28" Type="http://schemas.openxmlformats.org/officeDocument/2006/relationships/hyperlink" Target="https://www.psni.police.uk/globalassets/advice--information/our-publications/policies-and-service-procedures/serious-crime-scenes-231116.pdf" TargetMode="External"/><Relationship Id="rId10" Type="http://schemas.openxmlformats.org/officeDocument/2006/relationships/hyperlink" Target="https://www.app.college.police.uk/app-content/investigations/investigation-process/" TargetMode="External"/><Relationship Id="rId19" Type="http://schemas.openxmlformats.org/officeDocument/2006/relationships/hyperlink" Target="https://www.npcc.police.uk/Digital%20Forensic%20Science%20Strategy%202020.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pp.college.police.uk/app-content/investigations/investigative-strategies/passive-data-generators/" TargetMode="External"/><Relationship Id="rId14" Type="http://schemas.openxmlformats.org/officeDocument/2006/relationships/hyperlink" Target="https://www.northumberland.gov.uk/NorthumberlandCountyCouncil/media/Local-Resilience-Forum/ESLG-Cordon-Policy-2016.doc" TargetMode="External"/><Relationship Id="rId22" Type="http://schemas.openxmlformats.org/officeDocument/2006/relationships/hyperlink" Target="https://researchbriefings.files.parliament.uk/documents/POST-PN-0520/POST-PN-0520.pdf" TargetMode="External"/><Relationship Id="rId27" Type="http://schemas.openxmlformats.org/officeDocument/2006/relationships/hyperlink" Target="https://pubmed.ncbi.nlm.nih.gov/12684818/" TargetMode="External"/><Relationship Id="rId30" Type="http://schemas.openxmlformats.org/officeDocument/2006/relationships/hyperlink" Target="https://assets.publishing.service.gov.uk/government/uploads/system/uploads/attachment_data/file/97944/stop-search-code-of-practi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17</Pages>
  <Words>4085</Words>
  <Characters>23291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evaluation of the Procedures carried out by First Attending Officer (FAO) to a crime scene to prevent cross contamination of evidence</dc:title>
  <dc:subject/>
  <dc:creator>Anna Lewis</dc:creator>
  <cp:keywords/>
  <dc:description/>
  <cp:lastModifiedBy>Anna Lewis</cp:lastModifiedBy>
  <cp:revision>1</cp:revision>
  <dcterms:created xsi:type="dcterms:W3CDTF">2022-03-02T14:05:00Z</dcterms:created>
  <dcterms:modified xsi:type="dcterms:W3CDTF">2022-03-03T13:34:00Z</dcterms:modified>
</cp:coreProperties>
</file>