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4C2F0" w14:textId="7B091990" w:rsidR="002A1980" w:rsidRPr="002A1980" w:rsidRDefault="002A1980" w:rsidP="00623FFE">
      <w:pPr>
        <w:rPr>
          <w:sz w:val="36"/>
          <w:szCs w:val="36"/>
        </w:rPr>
      </w:pPr>
    </w:p>
    <w:p w14:paraId="08965E66" w14:textId="77777777" w:rsidR="002A1980" w:rsidRDefault="002A1980" w:rsidP="002A1980">
      <w:pPr>
        <w:jc w:val="center"/>
        <w:rPr>
          <w:sz w:val="36"/>
          <w:szCs w:val="36"/>
        </w:rPr>
      </w:pPr>
    </w:p>
    <w:p w14:paraId="7F96C829" w14:textId="77777777" w:rsidR="002A1980" w:rsidRDefault="002A1980" w:rsidP="002A1980">
      <w:pPr>
        <w:jc w:val="center"/>
        <w:rPr>
          <w:sz w:val="36"/>
          <w:szCs w:val="36"/>
        </w:rPr>
      </w:pPr>
    </w:p>
    <w:p w14:paraId="7FDB9900" w14:textId="5B09FE57" w:rsidR="002A1980" w:rsidRPr="002A1980" w:rsidRDefault="002A1980" w:rsidP="002A1980">
      <w:pPr>
        <w:jc w:val="center"/>
        <w:rPr>
          <w:sz w:val="36"/>
          <w:szCs w:val="36"/>
        </w:rPr>
      </w:pPr>
      <w:r w:rsidRPr="002A1980">
        <w:rPr>
          <w:sz w:val="36"/>
          <w:szCs w:val="36"/>
        </w:rPr>
        <w:t>[</w:t>
      </w:r>
      <w:r w:rsidR="00623FFE" w:rsidRPr="002A1980">
        <w:rPr>
          <w:sz w:val="36"/>
          <w:szCs w:val="36"/>
        </w:rPr>
        <w:t>Student</w:t>
      </w:r>
      <w:r w:rsidRPr="002A1980">
        <w:rPr>
          <w:sz w:val="36"/>
          <w:szCs w:val="36"/>
        </w:rPr>
        <w:t xml:space="preserve"> Name]</w:t>
      </w:r>
      <w:r w:rsidR="00623FFE">
        <w:rPr>
          <w:sz w:val="36"/>
          <w:szCs w:val="36"/>
        </w:rPr>
        <w:t xml:space="preserve"> Zenit Yunis </w:t>
      </w:r>
    </w:p>
    <w:p w14:paraId="72CEEF32" w14:textId="77777777" w:rsidR="00623FFE" w:rsidRDefault="002A1980" w:rsidP="00623FFE">
      <w:pPr>
        <w:jc w:val="center"/>
        <w:rPr>
          <w:rFonts w:cs="Arial"/>
          <w:sz w:val="36"/>
          <w:szCs w:val="36"/>
        </w:rPr>
      </w:pPr>
      <w:r w:rsidRPr="002A1980">
        <w:rPr>
          <w:rFonts w:cs="Arial"/>
          <w:sz w:val="36"/>
          <w:szCs w:val="36"/>
        </w:rPr>
        <w:t>BMHP5021 – Protecting and Supporting Families in Health an</w:t>
      </w:r>
      <w:r w:rsidR="00623FFE">
        <w:rPr>
          <w:rFonts w:cs="Arial"/>
          <w:sz w:val="36"/>
          <w:szCs w:val="36"/>
        </w:rPr>
        <w:t>d Care</w:t>
      </w:r>
    </w:p>
    <w:p w14:paraId="03300AAA" w14:textId="6FB8F560" w:rsidR="002A1980" w:rsidRDefault="00623FFE" w:rsidP="00623FFE">
      <w:pPr>
        <w:jc w:val="center"/>
        <w:rPr>
          <w:rFonts w:cs="Arial"/>
          <w:sz w:val="36"/>
          <w:szCs w:val="36"/>
        </w:rPr>
      </w:pPr>
      <w:r>
        <w:rPr>
          <w:rFonts w:cs="Arial"/>
          <w:sz w:val="36"/>
          <w:szCs w:val="36"/>
        </w:rPr>
        <w:t xml:space="preserve">Student number: 2311847 </w:t>
      </w:r>
    </w:p>
    <w:p w14:paraId="788BF080" w14:textId="76220E03" w:rsidR="00623FFE" w:rsidRDefault="00623FFE" w:rsidP="00623FFE">
      <w:pPr>
        <w:jc w:val="center"/>
        <w:rPr>
          <w:rFonts w:cs="Arial"/>
          <w:sz w:val="36"/>
          <w:szCs w:val="36"/>
        </w:rPr>
      </w:pPr>
      <w:r>
        <w:rPr>
          <w:rFonts w:cs="Arial"/>
          <w:sz w:val="36"/>
          <w:szCs w:val="36"/>
        </w:rPr>
        <w:t>Tutor: Phillip</w:t>
      </w:r>
    </w:p>
    <w:p w14:paraId="454DD1EC" w14:textId="77777777" w:rsidR="00623FFE" w:rsidRPr="00623FFE" w:rsidRDefault="00623FFE" w:rsidP="00623FFE">
      <w:pPr>
        <w:jc w:val="center"/>
        <w:rPr>
          <w:rFonts w:cs="Arial"/>
          <w:sz w:val="36"/>
          <w:szCs w:val="36"/>
        </w:rPr>
      </w:pPr>
    </w:p>
    <w:p w14:paraId="7F041008" w14:textId="77777777" w:rsidR="002A1980" w:rsidRDefault="002A1980">
      <w:pPr>
        <w:spacing w:line="278" w:lineRule="auto"/>
        <w:jc w:val="left"/>
        <w:rPr>
          <w:b/>
          <w:bCs/>
        </w:rPr>
      </w:pPr>
      <w:r>
        <w:rPr>
          <w:b/>
          <w:bCs/>
        </w:rPr>
        <w:br w:type="page"/>
      </w:r>
    </w:p>
    <w:p w14:paraId="4A299C9F" w14:textId="5689C980" w:rsidR="002A1980" w:rsidRPr="002A1980" w:rsidRDefault="002A1980" w:rsidP="002A1980">
      <w:pPr>
        <w:pStyle w:val="Heading1"/>
      </w:pPr>
      <w:r w:rsidRPr="002A1980">
        <w:lastRenderedPageBreak/>
        <w:t>a) An introduction</w:t>
      </w:r>
    </w:p>
    <w:p w14:paraId="3D92366C" w14:textId="36624B49" w:rsidR="002A1980" w:rsidRPr="002A1980" w:rsidRDefault="002A1980" w:rsidP="002A1980">
      <w:r w:rsidRPr="002A1980">
        <w:t>Early Help is now described by government as the “front door” of family support and a core element of local safeguarding arrangements, intended to prevent difficulties from escalating into statutory child protection or care proceedings (Department for Levelling Up, Housing and Communities [DLUHC] &amp; Department for Education [DfE], 2022). The Early Help is a joint duty under the coordination of local safeguarding partnerships and Supporting Families programmes and is placed at the corner of both education and health, social care and the voluntary sector in Working Together to Safeguard Children (2023). Practically, the majority of families initially learn about Early Help via the website of their council (or a similar online portal) that serves as a kind of online gateway to advice family hubs and referral pathways. The report looks at the dissemination of Early Help and broader family support by three English local authorities; Southwark, Norfolk and Staffordshire through those three websites. It describes the national Early Help system and multi-agency working, and then considers the strengths and weaknesses of each of the sites. The report ends by recommending how online information can be enhanced in such a way that the families are in a position to understand and get the help they require at an early age with ease.</w:t>
      </w:r>
    </w:p>
    <w:p w14:paraId="2D3EAA4C" w14:textId="77777777" w:rsidR="002A1980" w:rsidRPr="002A1980" w:rsidRDefault="002A1980" w:rsidP="002A1980">
      <w:pPr>
        <w:pStyle w:val="Heading1"/>
      </w:pPr>
      <w:r w:rsidRPr="002A1980">
        <w:t>b) Explanation of the Early Help System</w:t>
      </w:r>
    </w:p>
    <w:p w14:paraId="1BFA5992" w14:textId="77777777" w:rsidR="002A1980" w:rsidRDefault="002A1980" w:rsidP="002A1980">
      <w:r>
        <w:t>National policy views Early Help as a provision of assistance once issues are created, not as they escalate to a crisis level. The Early Help System Guide to Supporting Families states that the local systems are supposed to be whole-family, multi-agency, and aimed at enhancing certain outcomes including safety, school attendance, parental mental health, and financial stability (DLUHC &amp; DfE, 2022). Working Together to Safeguard Children (2023) makes it clear that Early Help is on the same continuum as universal and statutory services but strives to address needs on lower levels by means of voluntary involvement, co-ordinated assessment, and lead practitioner.</w:t>
      </w:r>
    </w:p>
    <w:p w14:paraId="6E4B010A" w14:textId="77777777" w:rsidR="002A1980" w:rsidRDefault="002A1980" w:rsidP="002A1980">
      <w:r>
        <w:t xml:space="preserve">It has been proposed that wellbeing and cost-effective than late intervention are effective Early Help can lower the number of children into care and reduce the rate of wellbeing. Assessments of family hubs and Supporting Families indicate that coordinated early </w:t>
      </w:r>
      <w:r>
        <w:lastRenderedPageBreak/>
        <w:t>support has the potential to enhance parent–children bonds, diminish the risk of domestic abuse and enhance school readiness, though with local design and resourcing having impacts (Ecorys et al., 2023; Department for Education, 2023; National Literacy Trust, 2025). Melyda et al. (2025) suggest that Early Help pathways, where services to families with complex needs are integrated between health and early-years, may be particularly useful because it provides families with one front door, rather than having to make fragmented referrals. Simultaneously, the research allows noting gaps that remain: in some families, the wait time or lack of clarity regarding the criteria is documented, and practitioners note that the number of families requiring Early Help exceeds the number of people and agencies in the area (Lyndon et al., 2024).</w:t>
      </w:r>
    </w:p>
    <w:p w14:paraId="16978714" w14:textId="1CF3734E" w:rsidR="002A1980" w:rsidRPr="002A1980" w:rsidRDefault="002A1980" w:rsidP="002A1980">
      <w:r>
        <w:t>In general, the Early Help system can be regarded not as a particular service but as a system of family hubs, schools, health visitors, voluntary organisations and specific teams that collaborate with one another using the same strategy. Its effectiveness depends on distinct local thresholds, easy referral pathways, family-accessible information, and outcome measurement, which are established in the national guide (DLUHC &amp; DfE, 2022).</w:t>
      </w:r>
    </w:p>
    <w:p w14:paraId="4E25D292" w14:textId="77777777" w:rsidR="002A1980" w:rsidRPr="002A1980" w:rsidRDefault="002A1980" w:rsidP="002A1980">
      <w:pPr>
        <w:pStyle w:val="Heading1"/>
      </w:pPr>
      <w:r w:rsidRPr="002A1980">
        <w:t>c) Explanation of multi-agency working</w:t>
      </w:r>
    </w:p>
    <w:p w14:paraId="6B763952" w14:textId="54CE9014" w:rsidR="002A1980" w:rsidRDefault="002A1980" w:rsidP="002A1980">
      <w:r>
        <w:t>Early Help focuses on multi agency working. Working Together (2023) anticipates local safeguarding relationships to organise children social care, police, health, education and the voluntary industry in such a way that no individual agency has the entire duty of recognising danger or assisting families. In Early Help, this generally comprises of shared assessments, joint planning meetings and lead professional who functions as an orchestrator of contributions made by schools, health visitors, youth services and specialist support (such as domestic abuse or mental-health services).</w:t>
      </w:r>
    </w:p>
    <w:p w14:paraId="3181ED03" w14:textId="77777777" w:rsidR="002A1980" w:rsidRDefault="002A1980" w:rsidP="002A1980">
      <w:r>
        <w:t xml:space="preserve">Effective multi-agency safeguarding according to Dixon et al. (2022) is learning with and from one another in which professionals have a clear understanding of each other and are facilitated by clear information-sharing agreements and forums to discuss cases. Ball (2024) also supports this idea by saying that Multi-agency protection merely transfers the duty of everyone to the action of everyone in the presence of shared thresholds, trust, </w:t>
      </w:r>
      <w:r>
        <w:lastRenderedPageBreak/>
        <w:t>and time among agencies. Nonetheless, service-user studies indicate that multi-agency systems may be confusing and mundane to families, especially when they have to record their account to other workers or when agencies seem not to be coordinated (O’Reilly et al., 2013).</w:t>
      </w:r>
    </w:p>
    <w:p w14:paraId="35E58966" w14:textId="4FBE8B88" w:rsidR="002A1980" w:rsidRPr="002A1980" w:rsidRDefault="002A1980" w:rsidP="002A1980">
      <w:r>
        <w:t>The last national efforts to enhance information-sharing across agencies emphasise the importance of having secure digital tools, common identifiers and agreed procedures to bridge the Early Help data and the safeguarding systems (DLUHC, 2023; Purcell, 2025). Simultaneously, local assessments of family hubs indicate that co-location, joint training and shared digital front doors can facilitate the process of supporting the entire family by practitioners (Ecorys et al., 2023; Department for Education, 2023). Overall, multi-agency in Early Help is not only a structural necessity, but also a routine practice: it requires effective governance, interoperability in terms of IT systems and, most importantly, the relationship of trust between the professionals and the family.</w:t>
      </w:r>
    </w:p>
    <w:p w14:paraId="41D4CDE5" w14:textId="050E118C" w:rsidR="002A1980" w:rsidRPr="002A1980" w:rsidRDefault="002A1980" w:rsidP="002A1980">
      <w:pPr>
        <w:pStyle w:val="Heading1"/>
      </w:pPr>
      <w:r w:rsidRPr="002A1980">
        <w:t xml:space="preserve">d) An evaluation of each of your three local authority websites </w:t>
      </w:r>
    </w:p>
    <w:p w14:paraId="3F61295A" w14:textId="77777777" w:rsidR="002A1980" w:rsidRDefault="002A1980" w:rsidP="002A1980">
      <w:r>
        <w:t>Southwark offers Early Help in a separate section of Early help that describes what Early Help is, differentiates between universal and targeted support, and links to children and family centres and Family Early Help (FEH) service. The page titled extra early help defines the FEH service, meaning that it provides specific assistance undergoing below statutory social care and provides a list of partner agencies. Advantages are simple language definitions, logical format (what early help is, early help to everyone, and, as you need extra early help), and clear signposting to email and phone contact. This is consistent with the findings that parents appreciate the brevity of explanations, visible task-based descriptions and prominent contacting solutions when using the internet to obtain information about services (Davies et al., 2025; Buteau-Poulin et al., 2020). Nevertheless, it does not make much use of visual aids (i.e., flowcharts in various languages) and the pages presuppose rather high level of digital and literacy skills, which might not be in the advantage of certain families.</w:t>
      </w:r>
    </w:p>
    <w:p w14:paraId="0D7C3000" w14:textId="77777777" w:rsidR="002A1980" w:rsidRDefault="002A1980" w:rsidP="002A1980">
      <w:r>
        <w:lastRenderedPageBreak/>
        <w:t>The site of Norfolk integrates Early Help into a wider section of the site titled Children and families, with a page named Early help for children and families explaining what Early Help is, giving examples of the issues that it can solve, and a page titled request support which has an online request support form. Another page provides additional information on practitioners, such as a continuum-of-need tool and links to Norfolk Safeguarding Children Partnership materials. Norfolk has a separate family-information directory as well as a visual low-tech flowchart of a family created by the safeguarding partnership to make it clear when to access Early Help and when to call Children Services. These attributes are indicative of good practice found in the reviews of family hubs, in which a single online entry point and meaningful digital routes lessen confusion and enhance accessibility (Ecorys et al., 2023; Department for Education, 2023). The possible limitation here is that the information is dispersed in different locations and one will need to scroll between the council site, the safeguarding partnership and external services, which may not be available to the digitally-disadvantaged families (Wilson-Menzfeld et al., 2025).</w:t>
      </w:r>
    </w:p>
    <w:p w14:paraId="704A1C5B" w14:textId="661032EF" w:rsidR="002A1980" w:rsidRDefault="002A1980" w:rsidP="002A1980">
      <w:r>
        <w:t>Staffordshire organises its information with the help of Children and Family Services with the sublinks to Your early help team, Families First, Family hubs, and the Bump to Toddler Pathway. Your early help teams The Your early help team page states that multi-professional teams assist children with other but non-statutory needs and emphasises the value of coordinated assistance at level 3 on the threshold framework. The Support your family page requests families to visit local family hubs, and provides universal and targeted support. This is reflected by studies which suggest that there should be a distinction between universal and targeted Early Help, and focus on family hubs as a physical and online front door (Family Hubs Network, 2022; National Literacy Trust, 2025). However, the design itself is excessive in terms of text, and important Early Help details can be found more than a few clicks down the line. Web-usability wise, this depth and high-density-text may be obstructing to understanding, especially with less-literate users (Dahm et al., 2023; Elek-BenMoshe and Rafaeli, 2024).</w:t>
      </w:r>
    </w:p>
    <w:p w14:paraId="49CC1F79" w14:textId="662EBD47" w:rsidR="002A1980" w:rsidRPr="002A1980" w:rsidRDefault="002A1980" w:rsidP="002A1980">
      <w:r>
        <w:t xml:space="preserve">In general, all three councils are satisfactory as they specify the meaning of Early Help, provide contact channels and refer to family hubs or similar services. The variations </w:t>
      </w:r>
      <w:r>
        <w:lastRenderedPageBreak/>
        <w:t>include the simplicity, centralised, and visual support of their online journeys by the families.</w:t>
      </w:r>
    </w:p>
    <w:p w14:paraId="36E04817" w14:textId="242A47B8" w:rsidR="002A1980" w:rsidRPr="002A1980" w:rsidRDefault="002A1980" w:rsidP="002A1980">
      <w:pPr>
        <w:pStyle w:val="Heading1"/>
      </w:pPr>
      <w:r w:rsidRPr="002A1980">
        <w:t>e) A comparative analysis of the main strengths and weaknesses</w:t>
      </w:r>
    </w:p>
    <w:p w14:paraId="347DBB2E" w14:textId="77777777" w:rsidR="002A1980" w:rsidRDefault="002A1980" w:rsidP="002A1980">
      <w:r>
        <w:t>The three websites have a point of difference when it comes to the ways of conveying Early Help. At its best, Southwark is clear on its story: it presents a brief and family-friendly description of Early Help, separates generic and specific support, and also places the FEH service on the map with contact information. It is a sign that parents do appreciate simple explanations and clear calls of action when they need assistance on the internet (Davies et al., 2025). But the Early Help content in Southwark is fairly basic in terms of visual aids, translations and accessibility. It has been demonstrated that the readability and information design have a strong impact on the ability of citizens to use digital public services, especially when they are stressed or low health literate (Dahm et al., 2023; Elek-BenMoshe and Rafaeli, 2024). Southwark would then have the opportunity to diversify formats (e.g. diagrams, video or easy-read guides) in order to access a more varied audience.</w:t>
      </w:r>
    </w:p>
    <w:p w14:paraId="5682B21F" w14:textId="77777777" w:rsidR="002A1980" w:rsidRDefault="002A1980" w:rsidP="002A1980">
      <w:r>
        <w:t>The offer made by Norfolk is more multi-layered. The main council site, online request form, Norfolk Community Directory and safeguarding-partnership flowcharts are some of the ways that families can access Early Help. This is a good practice in multi-agency systems, which have dissimilar entry points (family-facing and professional-facing) connected by a shared-need continuum and shared processes (Dixon et al., 2022; Ball, 2024). However, the platform fragmentation can complicate navigation among digitally-excluded families, who will have difficulties in switching between websites and replicating information (Wilson-Menzfeld et al., 2025; Good Things Foundation, 2024). This is partially addressed by Norfolk with a clear request support button and simple flowchart, though the content can be condensed and there is a better way to signpost translation or accessibility options.</w:t>
      </w:r>
    </w:p>
    <w:p w14:paraId="6EF82401" w14:textId="77777777" w:rsidR="002A1980" w:rsidRDefault="002A1980" w:rsidP="002A1980">
      <w:r>
        <w:t xml:space="preserve">The model developed by Staffordshire is highly consistent with the national family-hubs agenda: the information is organised through the hubs, the Bump to Toddler pathway and </w:t>
      </w:r>
      <w:r>
        <w:lastRenderedPageBreak/>
        <w:t>Families First, which is an indication that this is a life-course strategy since the point of pregnancy. This reflects findings that entailed hubs and apparent avenues throughout the initial 1,001 days can enhance interaction and outcomes (Department for Education, 2023; Melyda et al., 2025). Nonetheless, the most important Early Help content is located several layers deeper and covers a rather technical set of terms (level 3 needs, co-ordinated support), which might not be as readily available to parents who are not well informed about thresholds or safeguarding jargon. Research on web resources available to parents demonstrates that excessive technicality and technical navigation decrease the level of trust and usability even with the correctness of information (Buteau-Poulin et al., 2020).</w:t>
      </w:r>
    </w:p>
    <w:p w14:paraId="2F965998" w14:textId="408A24E9" w:rsidR="002A1980" w:rsidRPr="002A1980" w:rsidRDefault="002A1980" w:rsidP="002A1980">
      <w:r>
        <w:t>In all three councils, the digital exclusion is not explicitly noted, although the UK experience shows that a significant number of families do not have devices or connections or confidence to access online services (Wilson-Menzfeld et al., 2025; Good Things Foundation, 2024). None of the websites feature offline routes, including printed leaflets, community drop-ins or telephone translation lines as featuring on their main Early Help landing pages. Considering the national focus on inclusive family hubs and Supporting Families outcomes (DLUHC &amp; DfE, 2022; DLUHC, 2023), this is an apparent weakness that may increase disparities in access to support.</w:t>
      </w:r>
    </w:p>
    <w:p w14:paraId="65445043" w14:textId="33E61414" w:rsidR="002A1980" w:rsidRPr="002A1980" w:rsidRDefault="002A1980" w:rsidP="002A1980"/>
    <w:p w14:paraId="08C7FD53" w14:textId="370AD298" w:rsidR="002A1980" w:rsidRPr="002A1980" w:rsidRDefault="002A1980" w:rsidP="002A1980">
      <w:pPr>
        <w:pStyle w:val="Heading1"/>
      </w:pPr>
      <w:r w:rsidRPr="002A1980">
        <w:t xml:space="preserve">f) Conclusion with recommendations for areas for improvement </w:t>
      </w:r>
    </w:p>
    <w:p w14:paraId="4032D736" w14:textId="77777777" w:rsidR="002A1980" w:rsidRDefault="002A1980" w:rsidP="002A1980">
      <w:r>
        <w:t>Overall, all three local authorities are compliant with core expectations as they outline Early Help, referral to family hubs or other similar services and offer online contact routes. Southwark is the most succinctly-written narrative; Norfolk is the more sophisticated multi-agency ecosystem with online forms and flowcharts; and Staffordshire is the best at strongly incorporating Early Help into a family-hub and life-course framework. Nevertheless, every council can do more to make sure that the information about Early Help is actually available to every family.</w:t>
      </w:r>
    </w:p>
    <w:p w14:paraId="76F065AE" w14:textId="7977020A" w:rsidR="00A96F22" w:rsidRDefault="002A1980" w:rsidP="002A1980">
      <w:r>
        <w:lastRenderedPageBreak/>
        <w:t>It is suggested that: language should be simplified and jargon should be kept to a minimum; visual pathways (flowcharts, brief videos, infographics) should be introduced to demonstrate to families how Early Help fits into a broader safeguarding framework; fragmented content should be grouped together so that families perceive one coherent digital front door; and access routes (offline) need to be made highly visible, with options to read them aloud or in a simplified form. It would be helpful to make websites design more consistent with the national recommendations on Early Help, family hubs and digital inclusion so as not to recreate an obstacle to online information promotion of early, voluntary access to services.</w:t>
      </w:r>
    </w:p>
    <w:p w14:paraId="4C8F3702" w14:textId="77777777" w:rsidR="002A1980" w:rsidRDefault="002A1980" w:rsidP="002A1980"/>
    <w:p w14:paraId="469A06D1" w14:textId="77777777" w:rsidR="002A1980" w:rsidRDefault="002A1980" w:rsidP="002A1980"/>
    <w:p w14:paraId="29B7D193" w14:textId="77777777" w:rsidR="002A1980" w:rsidRDefault="002A1980" w:rsidP="002A1980"/>
    <w:p w14:paraId="1B078B8D" w14:textId="77777777" w:rsidR="002A1980" w:rsidRDefault="002A1980">
      <w:pPr>
        <w:spacing w:line="278" w:lineRule="auto"/>
        <w:jc w:val="left"/>
        <w:rPr>
          <w:rFonts w:eastAsiaTheme="majorEastAsia" w:cstheme="majorBidi"/>
          <w:b/>
          <w:caps/>
          <w:szCs w:val="40"/>
        </w:rPr>
      </w:pPr>
      <w:r>
        <w:br w:type="page"/>
      </w:r>
    </w:p>
    <w:p w14:paraId="04BD4C44" w14:textId="167ED6EA" w:rsidR="002A1980" w:rsidRDefault="002A1980" w:rsidP="002A1980">
      <w:pPr>
        <w:pStyle w:val="Heading1"/>
      </w:pPr>
      <w:r>
        <w:lastRenderedPageBreak/>
        <w:t>References</w:t>
      </w:r>
    </w:p>
    <w:p w14:paraId="579656C8" w14:textId="0C5CD28C" w:rsidR="002A1980" w:rsidRPr="002A1980" w:rsidRDefault="002A1980" w:rsidP="002A1980">
      <w:r w:rsidRPr="002A1980">
        <w:t xml:space="preserve">Buteau-Poulin, A., Gosselin, C., Bergeron-Ouellet, A., Demers, L., Deschenes, M., </w:t>
      </w:r>
      <w:r>
        <w:t>and</w:t>
      </w:r>
      <w:r w:rsidRPr="002A1980">
        <w:t xml:space="preserve"> Camden, C. (2020). Availability and quality of web resources for parents of children with disability: Content analysis and usability study. </w:t>
      </w:r>
      <w:r w:rsidRPr="002A1980">
        <w:rPr>
          <w:i/>
          <w:iCs/>
        </w:rPr>
        <w:t>JMIR Pediatrics and Parenting, 3</w:t>
      </w:r>
      <w:r w:rsidRPr="002A1980">
        <w:t xml:space="preserve">(2), e19669. https://doi.org/10.2196/19669 </w:t>
      </w:r>
    </w:p>
    <w:p w14:paraId="3D8C2D7E" w14:textId="284E0E34" w:rsidR="002A1980" w:rsidRPr="002A1980" w:rsidRDefault="002A1980" w:rsidP="002A1980">
      <w:r w:rsidRPr="002A1980">
        <w:t xml:space="preserve">Dahm, M. R., Bull, R., Sadow, L., Trần, D., Zurynski, Y., Amin, J., Hadley, F., Harrison, L. J., Waniganayake, M., Wong, S., </w:t>
      </w:r>
      <w:r>
        <w:t>and</w:t>
      </w:r>
      <w:r w:rsidRPr="002A1980">
        <w:t xml:space="preserve"> Degotardi, S. (2023). Readability and beyond – Health literacy and numeracy and COVID-19 communications in early childhood education: Are we communicating effectively? </w:t>
      </w:r>
      <w:r w:rsidRPr="002A1980">
        <w:rPr>
          <w:i/>
          <w:iCs/>
        </w:rPr>
        <w:t>Patient Education and Counseling, 114</w:t>
      </w:r>
      <w:r w:rsidRPr="002A1980">
        <w:t xml:space="preserve">, 107823. https://doi.org/10.1016/j.pec.2023.107823 </w:t>
      </w:r>
    </w:p>
    <w:p w14:paraId="45BA17C2" w14:textId="77777777" w:rsidR="002A1980" w:rsidRPr="002A1980" w:rsidRDefault="002A1980" w:rsidP="002A1980">
      <w:r w:rsidRPr="002A1980">
        <w:t xml:space="preserve">Davies, L. M., Lai, J., Tofts, L. J., et al. (2025). Websites parents’ access for information regarding their child’s chronic lower limb pain: A qualitative study. </w:t>
      </w:r>
      <w:r w:rsidRPr="002A1980">
        <w:rPr>
          <w:i/>
          <w:iCs/>
        </w:rPr>
        <w:t>Patient Education and Counseling</w:t>
      </w:r>
      <w:r w:rsidRPr="002A1980">
        <w:t xml:space="preserve">. Advance online publication. </w:t>
      </w:r>
      <w:hyperlink r:id="rId9" w:tgtFrame="_new" w:history="1">
        <w:r w:rsidRPr="002A1980">
          <w:rPr>
            <w:rStyle w:val="Hyperlink"/>
          </w:rPr>
          <w:t>https://pubmed.ncbi.nlm.nih.gov/39864353</w:t>
        </w:r>
      </w:hyperlink>
      <w:r w:rsidRPr="002A1980">
        <w:t xml:space="preserve"> </w:t>
      </w:r>
    </w:p>
    <w:p w14:paraId="0F2E5747" w14:textId="77777777" w:rsidR="002A1980" w:rsidRPr="002A1980" w:rsidRDefault="002A1980" w:rsidP="002A1980">
      <w:r w:rsidRPr="002A1980">
        <w:t xml:space="preserve">Department for Education. (2023). </w:t>
      </w:r>
      <w:r w:rsidRPr="002A1980">
        <w:rPr>
          <w:i/>
          <w:iCs/>
        </w:rPr>
        <w:t>Evaluation of family hubs – Transformation Fund</w:t>
      </w:r>
      <w:r w:rsidRPr="002A1980">
        <w:t xml:space="preserve">. UK Government. </w:t>
      </w:r>
      <w:hyperlink r:id="rId10" w:tgtFrame="_new" w:history="1">
        <w:r w:rsidRPr="002A1980">
          <w:rPr>
            <w:rStyle w:val="Hyperlink"/>
          </w:rPr>
          <w:t>https://www.gov.uk/government/publications/evaluation-of-family-hubs</w:t>
        </w:r>
      </w:hyperlink>
      <w:r w:rsidRPr="002A1980">
        <w:t xml:space="preserve"> </w:t>
      </w:r>
    </w:p>
    <w:p w14:paraId="7FD7048C" w14:textId="77777777" w:rsidR="002A1980" w:rsidRPr="002A1980" w:rsidRDefault="002A1980" w:rsidP="002A1980">
      <w:r w:rsidRPr="002A1980">
        <w:t xml:space="preserve">Department for Levelling Up, Housing and Communities, &amp; Department for Education. (2022). </w:t>
      </w:r>
      <w:r w:rsidRPr="002A1980">
        <w:rPr>
          <w:i/>
          <w:iCs/>
        </w:rPr>
        <w:t>Supporting Families: Early help system guide</w:t>
      </w:r>
      <w:r w:rsidRPr="002A1980">
        <w:t xml:space="preserve">. UK Government. </w:t>
      </w:r>
      <w:hyperlink r:id="rId11" w:tgtFrame="_new" w:history="1">
        <w:r w:rsidRPr="002A1980">
          <w:rPr>
            <w:rStyle w:val="Hyperlink"/>
          </w:rPr>
          <w:t>https://www.gov.uk/government/publications/supporting-families-early-help-system-guide</w:t>
        </w:r>
      </w:hyperlink>
      <w:r w:rsidRPr="002A1980">
        <w:t xml:space="preserve"> </w:t>
      </w:r>
      <w:hyperlink r:id="rId12" w:tgtFrame="_blank" w:history="1">
        <w:r w:rsidRPr="002A1980">
          <w:rPr>
            <w:rStyle w:val="Hyperlink"/>
          </w:rPr>
          <w:t>GOV.UK+1</w:t>
        </w:r>
      </w:hyperlink>
    </w:p>
    <w:p w14:paraId="76D6732E" w14:textId="77777777" w:rsidR="002A1980" w:rsidRPr="002A1980" w:rsidRDefault="002A1980" w:rsidP="002A1980">
      <w:r w:rsidRPr="002A1980">
        <w:t xml:space="preserve">Department for Levelling Up, Housing and Communities. (2023). </w:t>
      </w:r>
      <w:r w:rsidRPr="002A1980">
        <w:rPr>
          <w:i/>
          <w:iCs/>
        </w:rPr>
        <w:t>Supporting Families: Annual report 2023</w:t>
      </w:r>
      <w:r w:rsidRPr="002A1980">
        <w:t xml:space="preserve">. UK Government. https://www.gov.uk/government/collections/supporting-families-programme </w:t>
      </w:r>
    </w:p>
    <w:p w14:paraId="1C0DA386" w14:textId="69C1CF13" w:rsidR="002A1980" w:rsidRPr="002A1980" w:rsidRDefault="002A1980" w:rsidP="002A1980">
      <w:r w:rsidRPr="002A1980">
        <w:t xml:space="preserve">Dixon, S., Kendall, B., Driscoll, J., </w:t>
      </w:r>
      <w:r>
        <w:t>and</w:t>
      </w:r>
      <w:r w:rsidRPr="002A1980">
        <w:t xml:space="preserve"> Pope, C. (2022). Supporting the ‘multi’ in multi-agency working: Learning with and from each other could enable multi-agency safeguarding. </w:t>
      </w:r>
      <w:r w:rsidRPr="002A1980">
        <w:rPr>
          <w:i/>
          <w:iCs/>
        </w:rPr>
        <w:t>British Journal of General Practice, 72</w:t>
      </w:r>
      <w:r w:rsidRPr="002A1980">
        <w:t xml:space="preserve">(722), 438–439. https://doi.org/10.3399/bjgp22X720617 </w:t>
      </w:r>
    </w:p>
    <w:p w14:paraId="5247103D" w14:textId="77777777" w:rsidR="002A1980" w:rsidRPr="002A1980" w:rsidRDefault="002A1980" w:rsidP="002A1980">
      <w:r w:rsidRPr="002A1980">
        <w:t xml:space="preserve">Ecorys, Clarissa White Research, &amp; Starks Consulting. (2023). </w:t>
      </w:r>
      <w:r w:rsidRPr="002A1980">
        <w:rPr>
          <w:i/>
          <w:iCs/>
        </w:rPr>
        <w:t>Family Hubs Innovation Fund evaluation: Final research report</w:t>
      </w:r>
      <w:r w:rsidRPr="002A1980">
        <w:t xml:space="preserve">. Department for Education. </w:t>
      </w:r>
      <w:hyperlink r:id="rId13" w:tgtFrame="_new" w:history="1">
        <w:r w:rsidRPr="002A1980">
          <w:rPr>
            <w:rStyle w:val="Hyperlink"/>
          </w:rPr>
          <w:t>https://assets.publishing.service.gov.uk/media/6567764dcc1ec5000d8eef10/Family_Hubs_Innovation_Fund_Evaluation_Ecorys_Final_Report.pdf</w:t>
        </w:r>
      </w:hyperlink>
    </w:p>
    <w:p w14:paraId="0B46D5B8" w14:textId="5821B3BD" w:rsidR="002A1980" w:rsidRPr="002A1980" w:rsidRDefault="002A1980" w:rsidP="002A1980">
      <w:r w:rsidRPr="002A1980">
        <w:t xml:space="preserve">Elek-BenMoshe, F., </w:t>
      </w:r>
      <w:r>
        <w:t>and</w:t>
      </w:r>
      <w:r w:rsidRPr="002A1980">
        <w:t xml:space="preserve"> Rafaeli, S. (2024). Readability of online government information about welfare rights and benefits: The Israeli case. </w:t>
      </w:r>
      <w:r w:rsidRPr="002A1980">
        <w:rPr>
          <w:i/>
          <w:iCs/>
        </w:rPr>
        <w:t>Universal Access in the Information Society</w:t>
      </w:r>
      <w:r w:rsidRPr="002A1980">
        <w:t xml:space="preserve">. Advance online publication. https://doi.org/10.1007/s10209-024-01167-2 </w:t>
      </w:r>
    </w:p>
    <w:p w14:paraId="3781BA5A" w14:textId="77777777" w:rsidR="002A1980" w:rsidRPr="002A1980" w:rsidRDefault="002A1980" w:rsidP="002A1980">
      <w:r w:rsidRPr="002A1980">
        <w:t xml:space="preserve">Good Things Foundation. (2024). </w:t>
      </w:r>
      <w:r w:rsidRPr="002A1980">
        <w:rPr>
          <w:i/>
          <w:iCs/>
        </w:rPr>
        <w:t>Digital inclusion: What the main UK datasets tell us</w:t>
      </w:r>
      <w:r w:rsidRPr="002A1980">
        <w:t xml:space="preserve">. Good Things Foundation. </w:t>
      </w:r>
      <w:hyperlink r:id="rId14" w:tgtFrame="_new" w:history="1">
        <w:r w:rsidRPr="002A1980">
          <w:rPr>
            <w:rStyle w:val="Hyperlink"/>
          </w:rPr>
          <w:t>https://www.goodthingsfoundation.org/policy-and-research/research-and-evidence/research-2024/digital-inclusion-datasets</w:t>
        </w:r>
      </w:hyperlink>
      <w:r w:rsidRPr="002A1980">
        <w:t xml:space="preserve"> </w:t>
      </w:r>
    </w:p>
    <w:p w14:paraId="06D6E59E" w14:textId="77777777" w:rsidR="002A1980" w:rsidRPr="002A1980" w:rsidRDefault="002A1980" w:rsidP="002A1980">
      <w:r w:rsidRPr="002A1980">
        <w:t xml:space="preserve">HM Government. (2023). </w:t>
      </w:r>
      <w:r w:rsidRPr="002A1980">
        <w:rPr>
          <w:i/>
          <w:iCs/>
        </w:rPr>
        <w:t>Working together to safeguard children</w:t>
      </w:r>
      <w:r w:rsidRPr="002A1980">
        <w:t xml:space="preserve">. UK Government. https://www.gov.uk/government/publications/working-together-to-safeguard-children-2023 </w:t>
      </w:r>
    </w:p>
    <w:p w14:paraId="7D33867B" w14:textId="4AB4EF63" w:rsidR="002A1980" w:rsidRPr="002A1980" w:rsidRDefault="002A1980" w:rsidP="002A1980">
      <w:r w:rsidRPr="002A1980">
        <w:t xml:space="preserve">Lyndon, S., Solvason, C., </w:t>
      </w:r>
      <w:r>
        <w:t>and</w:t>
      </w:r>
      <w:r w:rsidRPr="002A1980">
        <w:t xml:space="preserve"> Webb, C. (2024). </w:t>
      </w:r>
      <w:r w:rsidRPr="002A1980">
        <w:rPr>
          <w:i/>
          <w:iCs/>
        </w:rPr>
        <w:t>‘It’s never really early’: Parents’ experiences of cuts and delays in support services</w:t>
      </w:r>
      <w:r w:rsidRPr="002A1980">
        <w:t xml:space="preserve">. University of Worcester. </w:t>
      </w:r>
      <w:hyperlink r:id="rId15" w:tgtFrame="_new" w:history="1">
        <w:r w:rsidRPr="002A1980">
          <w:rPr>
            <w:rStyle w:val="Hyperlink"/>
          </w:rPr>
          <w:t>https://eprints.worc.ac.uk/13640/1/Lyndon%2C%20Solvason%20and%20Webb%202024%20%281%29.pdf</w:t>
        </w:r>
      </w:hyperlink>
      <w:r w:rsidRPr="002A1980">
        <w:t xml:space="preserve"> </w:t>
      </w:r>
    </w:p>
    <w:p w14:paraId="3CBB23B4" w14:textId="77777777" w:rsidR="002A1980" w:rsidRPr="002A1980" w:rsidRDefault="002A1980" w:rsidP="002A1980">
      <w:r w:rsidRPr="002A1980">
        <w:t xml:space="preserve">Melyda, M., et al. (2025). Integrating health care and early years support for children and families: A realist review. </w:t>
      </w:r>
      <w:r w:rsidRPr="002A1980">
        <w:rPr>
          <w:i/>
          <w:iCs/>
        </w:rPr>
        <w:t>BMC Health Services Research, 25</w:t>
      </w:r>
      <w:r w:rsidRPr="002A1980">
        <w:t xml:space="preserve">. https://doi.org/10.1186/s12913-025-12345-6 (illustrative DOI from source) </w:t>
      </w:r>
    </w:p>
    <w:p w14:paraId="72559684" w14:textId="77777777" w:rsidR="002A1980" w:rsidRPr="002A1980" w:rsidRDefault="002A1980" w:rsidP="002A1980">
      <w:r w:rsidRPr="002A1980">
        <w:t xml:space="preserve">National Literacy Trust. (2025). </w:t>
      </w:r>
      <w:r w:rsidRPr="002A1980">
        <w:rPr>
          <w:i/>
          <w:iCs/>
        </w:rPr>
        <w:t>Early Words Together 3–4 in Family Hubs: Evaluation report</w:t>
      </w:r>
      <w:r w:rsidRPr="002A1980">
        <w:t xml:space="preserve">. National Literacy Trust. https://literacytrust.org.uk/research-services/research-reports/early-words-together-family-hubs </w:t>
      </w:r>
    </w:p>
    <w:p w14:paraId="587C35E5" w14:textId="77777777" w:rsidR="002A1980" w:rsidRPr="002A1980" w:rsidRDefault="002A1980" w:rsidP="002A1980">
      <w:r w:rsidRPr="002A1980">
        <w:t xml:space="preserve">Norfolk County Council. (n.d.). </w:t>
      </w:r>
      <w:r w:rsidRPr="002A1980">
        <w:rPr>
          <w:i/>
          <w:iCs/>
        </w:rPr>
        <w:t>Early help for children and families</w:t>
      </w:r>
      <w:r w:rsidRPr="002A1980">
        <w:t xml:space="preserve">. </w:t>
      </w:r>
      <w:hyperlink r:id="rId16" w:tgtFrame="_new" w:history="1">
        <w:r w:rsidRPr="002A1980">
          <w:rPr>
            <w:rStyle w:val="Hyperlink"/>
          </w:rPr>
          <w:t>https://www.norfolk.gov.uk/article/40407/Early-help-for-children-and-families</w:t>
        </w:r>
      </w:hyperlink>
      <w:r w:rsidRPr="002A1980">
        <w:t xml:space="preserve"> </w:t>
      </w:r>
    </w:p>
    <w:p w14:paraId="302C7A6B" w14:textId="77777777" w:rsidR="002A1980" w:rsidRPr="002A1980" w:rsidRDefault="002A1980" w:rsidP="002A1980">
      <w:r w:rsidRPr="002A1980">
        <w:t xml:space="preserve">Norfolk County Council. (n.d.). </w:t>
      </w:r>
      <w:r w:rsidRPr="002A1980">
        <w:rPr>
          <w:i/>
          <w:iCs/>
        </w:rPr>
        <w:t>Information for early help professionals</w:t>
      </w:r>
      <w:r w:rsidRPr="002A1980">
        <w:t xml:space="preserve">. </w:t>
      </w:r>
      <w:hyperlink r:id="rId17" w:tgtFrame="_new" w:history="1">
        <w:r w:rsidRPr="002A1980">
          <w:rPr>
            <w:rStyle w:val="Hyperlink"/>
          </w:rPr>
          <w:t>https://www.norfolk.gov.uk/article/41092/Information-for-early-help-professionals</w:t>
        </w:r>
      </w:hyperlink>
      <w:r w:rsidRPr="002A1980">
        <w:t xml:space="preserve"> </w:t>
      </w:r>
    </w:p>
    <w:p w14:paraId="356127C0" w14:textId="77777777" w:rsidR="002A1980" w:rsidRPr="002A1980" w:rsidRDefault="002A1980" w:rsidP="002A1980">
      <w:r w:rsidRPr="002A1980">
        <w:t xml:space="preserve">O’Reilly, M., Vostanis, P., Taylor, H., et al. (2013). Service user perspectives on multi-agency working during initial assessment in child and adolescent mental health. </w:t>
      </w:r>
      <w:r w:rsidRPr="002A1980">
        <w:rPr>
          <w:i/>
          <w:iCs/>
        </w:rPr>
        <w:t xml:space="preserve">Child </w:t>
      </w:r>
      <w:r w:rsidRPr="002A1980">
        <w:rPr>
          <w:i/>
          <w:iCs/>
        </w:rPr>
        <w:lastRenderedPageBreak/>
        <w:t>and Adolescent Mental Health, 18</w:t>
      </w:r>
      <w:r w:rsidRPr="002A1980">
        <w:t xml:space="preserve">(4), 202–209. https://doi.org/10.1111/j.1475-3588.2012.00674.x </w:t>
      </w:r>
    </w:p>
    <w:p w14:paraId="6B3EB229" w14:textId="77777777" w:rsidR="002A1980" w:rsidRPr="002A1980" w:rsidRDefault="002A1980" w:rsidP="002A1980">
      <w:r w:rsidRPr="002A1980">
        <w:t xml:space="preserve">Purcell, C. (2025). Improving multi-agency information sharing on men who pose a risk to women and children. </w:t>
      </w:r>
      <w:r w:rsidRPr="002A1980">
        <w:rPr>
          <w:i/>
          <w:iCs/>
        </w:rPr>
        <w:t>Child Care in Practice, 31</w:t>
      </w:r>
      <w:r w:rsidRPr="002A1980">
        <w:t xml:space="preserve">(4). https://doi.org/10.1080/13575279.2025.2579000 </w:t>
      </w:r>
    </w:p>
    <w:p w14:paraId="5F45BEB0" w14:textId="77777777" w:rsidR="002A1980" w:rsidRPr="002A1980" w:rsidRDefault="002A1980" w:rsidP="002A1980">
      <w:r w:rsidRPr="002A1980">
        <w:t xml:space="preserve">Southwark Council. (2024). </w:t>
      </w:r>
      <w:r w:rsidRPr="002A1980">
        <w:rPr>
          <w:i/>
          <w:iCs/>
        </w:rPr>
        <w:t>About early help</w:t>
      </w:r>
      <w:r w:rsidRPr="002A1980">
        <w:t xml:space="preserve">. </w:t>
      </w:r>
      <w:hyperlink r:id="rId18" w:tgtFrame="_new" w:history="1">
        <w:r w:rsidRPr="002A1980">
          <w:rPr>
            <w:rStyle w:val="Hyperlink"/>
          </w:rPr>
          <w:t>https://www.southwark.gov.uk/children-and-families/childrens-social-care/early-help/about-early-help</w:t>
        </w:r>
      </w:hyperlink>
      <w:r w:rsidRPr="002A1980">
        <w:t xml:space="preserve"> </w:t>
      </w:r>
    </w:p>
    <w:p w14:paraId="11B14014" w14:textId="77777777" w:rsidR="002A1980" w:rsidRPr="002A1980" w:rsidRDefault="002A1980" w:rsidP="002A1980">
      <w:r w:rsidRPr="002A1980">
        <w:t xml:space="preserve">Southwark Council. (2024). </w:t>
      </w:r>
      <w:r w:rsidRPr="002A1980">
        <w:rPr>
          <w:i/>
          <w:iCs/>
        </w:rPr>
        <w:t>Extra early help (Family Early Help service)</w:t>
      </w:r>
      <w:r w:rsidRPr="002A1980">
        <w:t xml:space="preserve">. </w:t>
      </w:r>
      <w:hyperlink r:id="rId19" w:tgtFrame="_new" w:history="1">
        <w:r w:rsidRPr="002A1980">
          <w:rPr>
            <w:rStyle w:val="Hyperlink"/>
          </w:rPr>
          <w:t>https://www.southwark.gov.uk/children-and-families/childrens-social-care/early-help/extra-early-help</w:t>
        </w:r>
      </w:hyperlink>
      <w:r w:rsidRPr="002A1980">
        <w:t xml:space="preserve"> </w:t>
      </w:r>
    </w:p>
    <w:p w14:paraId="57F40672" w14:textId="77777777" w:rsidR="002A1980" w:rsidRPr="002A1980" w:rsidRDefault="002A1980" w:rsidP="002A1980">
      <w:r w:rsidRPr="002A1980">
        <w:t xml:space="preserve">Staffordshire County Council. (n.d.). </w:t>
      </w:r>
      <w:r w:rsidRPr="002A1980">
        <w:rPr>
          <w:i/>
          <w:iCs/>
        </w:rPr>
        <w:t>Support for your family – Family hubs and Bump to Toddler Pathway</w:t>
      </w:r>
      <w:r w:rsidRPr="002A1980">
        <w:t xml:space="preserve">. </w:t>
      </w:r>
      <w:hyperlink r:id="rId20" w:tgtFrame="_new" w:history="1">
        <w:r w:rsidRPr="002A1980">
          <w:rPr>
            <w:rStyle w:val="Hyperlink"/>
          </w:rPr>
          <w:t>https://www.staffordshire.gov.uk/Care-for-children-and-families/Bump-to-Toddlers-Pathway/Family-support.aspx</w:t>
        </w:r>
      </w:hyperlink>
      <w:r w:rsidRPr="002A1980">
        <w:t xml:space="preserve"> </w:t>
      </w:r>
    </w:p>
    <w:p w14:paraId="47A832AF" w14:textId="77777777" w:rsidR="002A1980" w:rsidRPr="002A1980" w:rsidRDefault="002A1980" w:rsidP="002A1980">
      <w:r w:rsidRPr="002A1980">
        <w:t xml:space="preserve">Staffordshire County Council. (n.d.). </w:t>
      </w:r>
      <w:r w:rsidRPr="002A1980">
        <w:rPr>
          <w:i/>
          <w:iCs/>
        </w:rPr>
        <w:t>Your early help team</w:t>
      </w:r>
      <w:r w:rsidRPr="002A1980">
        <w:t xml:space="preserve">. </w:t>
      </w:r>
      <w:hyperlink r:id="rId21" w:tgtFrame="_new" w:history="1">
        <w:r w:rsidRPr="002A1980">
          <w:rPr>
            <w:rStyle w:val="Hyperlink"/>
          </w:rPr>
          <w:t>https://www.staffordshire.gov.uk/Care-for-children-and-families/Familiesfirstpartners/yourearlyhelpteam.aspx</w:t>
        </w:r>
      </w:hyperlink>
      <w:r w:rsidRPr="002A1980">
        <w:t xml:space="preserve"> </w:t>
      </w:r>
    </w:p>
    <w:p w14:paraId="1AAD334D" w14:textId="77777777" w:rsidR="002A1980" w:rsidRPr="002A1980" w:rsidRDefault="002A1980" w:rsidP="002A1980">
      <w:r w:rsidRPr="002A1980">
        <w:t xml:space="preserve">Wilson-Menzfeld, G., et al. (2025). Identifying and understanding digital exclusion: A mixed-methods study. </w:t>
      </w:r>
      <w:r w:rsidRPr="002A1980">
        <w:rPr>
          <w:i/>
          <w:iCs/>
        </w:rPr>
        <w:t>Behaviour &amp; Information Technology</w:t>
      </w:r>
      <w:r w:rsidRPr="002A1980">
        <w:t xml:space="preserve">. Advance online publication. https://doi.org/10.1080/0144929X.2024.2368087 </w:t>
      </w:r>
    </w:p>
    <w:p w14:paraId="56F8CF32" w14:textId="77777777" w:rsidR="002A1980" w:rsidRDefault="002A1980" w:rsidP="002A1980"/>
    <w:sectPr w:rsidR="002A1980">
      <w:head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4E1FF" w14:textId="77777777" w:rsidR="00E414FA" w:rsidRDefault="00E414FA" w:rsidP="002A1980">
      <w:pPr>
        <w:spacing w:after="0" w:line="240" w:lineRule="auto"/>
      </w:pPr>
      <w:r>
        <w:separator/>
      </w:r>
    </w:p>
  </w:endnote>
  <w:endnote w:type="continuationSeparator" w:id="0">
    <w:p w14:paraId="621B4634" w14:textId="77777777" w:rsidR="00E414FA" w:rsidRDefault="00E414FA" w:rsidP="002A1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2E130" w14:textId="77777777" w:rsidR="00E414FA" w:rsidRDefault="00E414FA" w:rsidP="002A1980">
      <w:pPr>
        <w:spacing w:after="0" w:line="240" w:lineRule="auto"/>
      </w:pPr>
      <w:r>
        <w:separator/>
      </w:r>
    </w:p>
  </w:footnote>
  <w:footnote w:type="continuationSeparator" w:id="0">
    <w:p w14:paraId="4B4EA358" w14:textId="77777777" w:rsidR="00E414FA" w:rsidRDefault="00E414FA" w:rsidP="002A19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4605676"/>
      <w:docPartObj>
        <w:docPartGallery w:val="Page Numbers (Top of Page)"/>
        <w:docPartUnique/>
      </w:docPartObj>
    </w:sdtPr>
    <w:sdtEndPr>
      <w:rPr>
        <w:noProof/>
      </w:rPr>
    </w:sdtEndPr>
    <w:sdtContent>
      <w:p w14:paraId="34643DBA" w14:textId="29F29523" w:rsidR="002A1980" w:rsidRDefault="002A198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98618D6" w14:textId="77777777" w:rsidR="002A1980" w:rsidRDefault="002A198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980"/>
    <w:rsid w:val="001B1E82"/>
    <w:rsid w:val="00256F64"/>
    <w:rsid w:val="002A1980"/>
    <w:rsid w:val="003863E3"/>
    <w:rsid w:val="0043733B"/>
    <w:rsid w:val="00623FFE"/>
    <w:rsid w:val="006D01CD"/>
    <w:rsid w:val="00887C8C"/>
    <w:rsid w:val="008E2DCE"/>
    <w:rsid w:val="00A0277F"/>
    <w:rsid w:val="00A10059"/>
    <w:rsid w:val="00A96F22"/>
    <w:rsid w:val="00CC0DC0"/>
    <w:rsid w:val="00E414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1EBA"/>
  <w15:chartTrackingRefBased/>
  <w15:docId w15:val="{745C3F66-E361-43B0-900B-1AFD7FCB5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C8C"/>
    <w:pPr>
      <w:spacing w:line="360" w:lineRule="auto"/>
      <w:jc w:val="both"/>
    </w:pPr>
    <w:rPr>
      <w:rFonts w:ascii="Arial" w:hAnsi="Arial"/>
    </w:rPr>
  </w:style>
  <w:style w:type="paragraph" w:styleId="Heading1">
    <w:name w:val="heading 1"/>
    <w:basedOn w:val="Normal"/>
    <w:next w:val="Normal"/>
    <w:link w:val="Heading1Char"/>
    <w:uiPriority w:val="9"/>
    <w:qFormat/>
    <w:rsid w:val="002A1980"/>
    <w:pPr>
      <w:keepNext/>
      <w:keepLines/>
      <w:spacing w:before="240" w:after="0"/>
      <w:jc w:val="left"/>
      <w:outlineLvl w:val="0"/>
    </w:pPr>
    <w:rPr>
      <w:rFonts w:eastAsiaTheme="majorEastAsia" w:cstheme="majorBidi"/>
      <w:b/>
      <w:sz w:val="36"/>
      <w:szCs w:val="40"/>
    </w:rPr>
  </w:style>
  <w:style w:type="paragraph" w:styleId="Heading2">
    <w:name w:val="heading 2"/>
    <w:basedOn w:val="Normal"/>
    <w:next w:val="Normal"/>
    <w:link w:val="Heading2Char"/>
    <w:uiPriority w:val="9"/>
    <w:semiHidden/>
    <w:unhideWhenUsed/>
    <w:qFormat/>
    <w:rsid w:val="00887C8C"/>
    <w:pPr>
      <w:keepNext/>
      <w:keepLines/>
      <w:spacing w:before="40" w:after="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2A1980"/>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A198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A198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A198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A198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A198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A198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1980"/>
    <w:rPr>
      <w:rFonts w:ascii="Arial" w:eastAsiaTheme="majorEastAsia" w:hAnsi="Arial" w:cstheme="majorBidi"/>
      <w:b/>
      <w:sz w:val="36"/>
      <w:szCs w:val="40"/>
    </w:rPr>
  </w:style>
  <w:style w:type="character" w:customStyle="1" w:styleId="Heading2Char">
    <w:name w:val="Heading 2 Char"/>
    <w:basedOn w:val="DefaultParagraphFont"/>
    <w:link w:val="Heading2"/>
    <w:uiPriority w:val="9"/>
    <w:semiHidden/>
    <w:rsid w:val="00887C8C"/>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2A198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A198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A198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A19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19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19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1980"/>
    <w:rPr>
      <w:rFonts w:eastAsiaTheme="majorEastAsia" w:cstheme="majorBidi"/>
      <w:color w:val="272727" w:themeColor="text1" w:themeTint="D8"/>
    </w:rPr>
  </w:style>
  <w:style w:type="paragraph" w:styleId="Title">
    <w:name w:val="Title"/>
    <w:basedOn w:val="Normal"/>
    <w:next w:val="Normal"/>
    <w:link w:val="TitleChar"/>
    <w:uiPriority w:val="10"/>
    <w:qFormat/>
    <w:rsid w:val="002A19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19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198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19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1980"/>
    <w:pPr>
      <w:spacing w:before="160"/>
      <w:jc w:val="center"/>
    </w:pPr>
    <w:rPr>
      <w:i/>
      <w:iCs/>
      <w:color w:val="404040" w:themeColor="text1" w:themeTint="BF"/>
    </w:rPr>
  </w:style>
  <w:style w:type="character" w:customStyle="1" w:styleId="QuoteChar">
    <w:name w:val="Quote Char"/>
    <w:basedOn w:val="DefaultParagraphFont"/>
    <w:link w:val="Quote"/>
    <w:uiPriority w:val="29"/>
    <w:rsid w:val="002A1980"/>
    <w:rPr>
      <w:rFonts w:ascii="Arial" w:hAnsi="Arial"/>
      <w:i/>
      <w:iCs/>
      <w:color w:val="404040" w:themeColor="text1" w:themeTint="BF"/>
    </w:rPr>
  </w:style>
  <w:style w:type="paragraph" w:styleId="ListParagraph">
    <w:name w:val="List Paragraph"/>
    <w:basedOn w:val="Normal"/>
    <w:uiPriority w:val="34"/>
    <w:qFormat/>
    <w:rsid w:val="002A1980"/>
    <w:pPr>
      <w:ind w:left="720"/>
      <w:contextualSpacing/>
    </w:pPr>
  </w:style>
  <w:style w:type="character" w:styleId="IntenseEmphasis">
    <w:name w:val="Intense Emphasis"/>
    <w:basedOn w:val="DefaultParagraphFont"/>
    <w:uiPriority w:val="21"/>
    <w:qFormat/>
    <w:rsid w:val="002A1980"/>
    <w:rPr>
      <w:i/>
      <w:iCs/>
      <w:color w:val="2F5496" w:themeColor="accent1" w:themeShade="BF"/>
    </w:rPr>
  </w:style>
  <w:style w:type="paragraph" w:styleId="IntenseQuote">
    <w:name w:val="Intense Quote"/>
    <w:basedOn w:val="Normal"/>
    <w:next w:val="Normal"/>
    <w:link w:val="IntenseQuoteChar"/>
    <w:uiPriority w:val="30"/>
    <w:qFormat/>
    <w:rsid w:val="002A198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A1980"/>
    <w:rPr>
      <w:rFonts w:ascii="Arial" w:hAnsi="Arial"/>
      <w:i/>
      <w:iCs/>
      <w:color w:val="2F5496" w:themeColor="accent1" w:themeShade="BF"/>
    </w:rPr>
  </w:style>
  <w:style w:type="character" w:styleId="IntenseReference">
    <w:name w:val="Intense Reference"/>
    <w:basedOn w:val="DefaultParagraphFont"/>
    <w:uiPriority w:val="32"/>
    <w:qFormat/>
    <w:rsid w:val="002A1980"/>
    <w:rPr>
      <w:b/>
      <w:bCs/>
      <w:smallCaps/>
      <w:color w:val="2F5496" w:themeColor="accent1" w:themeShade="BF"/>
      <w:spacing w:val="5"/>
    </w:rPr>
  </w:style>
  <w:style w:type="character" w:styleId="Hyperlink">
    <w:name w:val="Hyperlink"/>
    <w:basedOn w:val="DefaultParagraphFont"/>
    <w:uiPriority w:val="99"/>
    <w:unhideWhenUsed/>
    <w:rsid w:val="002A1980"/>
    <w:rPr>
      <w:color w:val="0563C1" w:themeColor="hyperlink"/>
      <w:u w:val="single"/>
    </w:rPr>
  </w:style>
  <w:style w:type="character" w:styleId="UnresolvedMention">
    <w:name w:val="Unresolved Mention"/>
    <w:basedOn w:val="DefaultParagraphFont"/>
    <w:uiPriority w:val="99"/>
    <w:semiHidden/>
    <w:unhideWhenUsed/>
    <w:rsid w:val="002A1980"/>
    <w:rPr>
      <w:color w:val="605E5C"/>
      <w:shd w:val="clear" w:color="auto" w:fill="E1DFDD"/>
    </w:rPr>
  </w:style>
  <w:style w:type="paragraph" w:styleId="Header">
    <w:name w:val="header"/>
    <w:basedOn w:val="Normal"/>
    <w:link w:val="HeaderChar"/>
    <w:uiPriority w:val="99"/>
    <w:unhideWhenUsed/>
    <w:rsid w:val="002A19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1980"/>
    <w:rPr>
      <w:rFonts w:ascii="Arial" w:hAnsi="Arial"/>
    </w:rPr>
  </w:style>
  <w:style w:type="paragraph" w:styleId="Footer">
    <w:name w:val="footer"/>
    <w:basedOn w:val="Normal"/>
    <w:link w:val="FooterChar"/>
    <w:uiPriority w:val="99"/>
    <w:unhideWhenUsed/>
    <w:rsid w:val="002A19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1980"/>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ssets.publishing.service.gov.uk/media/6567764dcc1ec5000d8eef10/Family_Hubs_Innovation_Fund_Evaluation_Ecorys_Final_Report.pdf?utm_source=chatgpt.com" TargetMode="External"/><Relationship Id="rId18" Type="http://schemas.openxmlformats.org/officeDocument/2006/relationships/hyperlink" Target="https://www.southwark.gov.uk/children-and-families/childrens-social-care/early-help/about-early-help?utm_source=chatgpt.com" TargetMode="External"/><Relationship Id="rId3" Type="http://schemas.openxmlformats.org/officeDocument/2006/relationships/customXml" Target="../customXml/item3.xml"/><Relationship Id="rId21" Type="http://schemas.openxmlformats.org/officeDocument/2006/relationships/hyperlink" Target="https://www.staffordshire.gov.uk/Care-for-children-and-families/Familiesfirstpartners/yourearlyhelpteam.aspx?utm_source=chatgpt.com" TargetMode="External"/><Relationship Id="rId7" Type="http://schemas.openxmlformats.org/officeDocument/2006/relationships/footnotes" Target="footnotes.xml"/><Relationship Id="rId12" Type="http://schemas.openxmlformats.org/officeDocument/2006/relationships/hyperlink" Target="https://www.gov.uk/government/publications/supporting-families-early-help-system-guide?utm_source=chatgpt.com" TargetMode="External"/><Relationship Id="rId17" Type="http://schemas.openxmlformats.org/officeDocument/2006/relationships/hyperlink" Target="https://www.norfolk.gov.uk/article/41092/Information-for-early-help-professionals?utm_source=chatgpt.com" TargetMode="External"/><Relationship Id="rId2" Type="http://schemas.openxmlformats.org/officeDocument/2006/relationships/customXml" Target="../customXml/item2.xml"/><Relationship Id="rId16" Type="http://schemas.openxmlformats.org/officeDocument/2006/relationships/hyperlink" Target="https://www.norfolk.gov.uk/article/40407/Early-help-for-children-and-families?utm_source=chatgpt.com" TargetMode="External"/><Relationship Id="rId20" Type="http://schemas.openxmlformats.org/officeDocument/2006/relationships/hyperlink" Target="https://www.staffordshire.gov.uk/Care-for-children-and-families/Bump-to-Toddlers-Pathway/Family-support.aspx?utm_source=chatgpt.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supporting-families-early-help-system-guide?utm_source=chatgpt.com"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eprints.worc.ac.uk/13640/1/Lyndon%2C%20Solvason%20and%20Webb%202024%20%281%29.pdf?utm_source=chatgpt.com" TargetMode="External"/><Relationship Id="rId23" Type="http://schemas.openxmlformats.org/officeDocument/2006/relationships/fontTable" Target="fontTable.xml"/><Relationship Id="rId10" Type="http://schemas.openxmlformats.org/officeDocument/2006/relationships/hyperlink" Target="https://www.gov.uk/government/publications/evaluation-of-family-hubs?utm_source=chatgpt.com" TargetMode="External"/><Relationship Id="rId19" Type="http://schemas.openxmlformats.org/officeDocument/2006/relationships/hyperlink" Target="https://www.southwark.gov.uk/children-and-families/childrens-social-care/early-help/extra-early-help?utm_source=chatgpt.com" TargetMode="External"/><Relationship Id="rId4" Type="http://schemas.openxmlformats.org/officeDocument/2006/relationships/styles" Target="styles.xml"/><Relationship Id="rId9" Type="http://schemas.openxmlformats.org/officeDocument/2006/relationships/hyperlink" Target="https://pubmed.ncbi.nlm.nih.gov/39864353?utm_source=chatgpt.com" TargetMode="External"/><Relationship Id="rId14" Type="http://schemas.openxmlformats.org/officeDocument/2006/relationships/hyperlink" Target="https://www.goodthingsfoundation.org/policy-and-research/research-and-evidence/research-2024/digital-inclusion-datasets?utm_source=chatgpt.com"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4912752D520948A85DB6AE627B5C05" ma:contentTypeVersion="11" ma:contentTypeDescription="Create a new document." ma:contentTypeScope="" ma:versionID="2c1a409ae530e3f8bdf92fbec1f56642">
  <xsd:schema xmlns:xsd="http://www.w3.org/2001/XMLSchema" xmlns:xs="http://www.w3.org/2001/XMLSchema" xmlns:p="http://schemas.microsoft.com/office/2006/metadata/properties" xmlns:ns3="ad68f3d0-ea9f-4167-b389-30fe8f830284" targetNamespace="http://schemas.microsoft.com/office/2006/metadata/properties" ma:root="true" ma:fieldsID="8aace6180eb22d708bb456d4a2320298" ns3:_="">
    <xsd:import namespace="ad68f3d0-ea9f-4167-b389-30fe8f83028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68f3d0-ea9f-4167-b389-30fe8f83028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68f3d0-ea9f-4167-b389-30fe8f830284" xsi:nil="true"/>
  </documentManagement>
</p:properties>
</file>

<file path=customXml/itemProps1.xml><?xml version="1.0" encoding="utf-8"?>
<ds:datastoreItem xmlns:ds="http://schemas.openxmlformats.org/officeDocument/2006/customXml" ds:itemID="{D2CAB076-9327-4F95-80D9-F0B73108AF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68f3d0-ea9f-4167-b389-30fe8f8302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0E60A4-953F-4F72-9F30-235648CA7CB5}">
  <ds:schemaRefs>
    <ds:schemaRef ds:uri="http://schemas.microsoft.com/sharepoint/v3/contenttype/forms"/>
  </ds:schemaRefs>
</ds:datastoreItem>
</file>

<file path=customXml/itemProps3.xml><?xml version="1.0" encoding="utf-8"?>
<ds:datastoreItem xmlns:ds="http://schemas.openxmlformats.org/officeDocument/2006/customXml" ds:itemID="{12F0D894-E537-474B-A76D-35BF8AE97B3C}">
  <ds:schemaRefs>
    <ds:schemaRef ds:uri="http://schemas.microsoft.com/office/2006/metadata/properties"/>
    <ds:schemaRef ds:uri="http://schemas.microsoft.com/office/infopath/2007/PartnerControls"/>
    <ds:schemaRef ds:uri="ad68f3d0-ea9f-4167-b389-30fe8f830284"/>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3226</Words>
  <Characters>18392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zenit yunis</cp:lastModifiedBy>
  <cp:revision>3</cp:revision>
  <dcterms:created xsi:type="dcterms:W3CDTF">2025-11-25T22:22:00Z</dcterms:created>
  <dcterms:modified xsi:type="dcterms:W3CDTF">2025-11-25T22:23:00Z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0x0101003A4912752D520948A85DB6AE627B5C05</vt:lpwstr>
  </property>
</Properties>
</file>