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0C4A6C">
      <w:pPr>
        <w:rPr>
          <w:rFonts w:hint="default" w:ascii="Times New Roman Bold" w:hAnsi="Times New Roman Bold" w:cs="Times New Roman Bold"/>
          <w:b/>
          <w:bCs/>
          <w:color w:val="000000" w:themeColor="text1"/>
          <w:sz w:val="24"/>
          <w:szCs w:val="24"/>
          <w:highlight w:val="none"/>
          <w14:textFill>
            <w14:solidFill>
              <w14:schemeClr w14:val="tx1"/>
            </w14:solidFill>
          </w14:textFill>
        </w:rPr>
      </w:pPr>
      <w:r>
        <w:rPr>
          <w:rFonts w:hint="default" w:ascii="Times New Roman Bold" w:hAnsi="Times New Roman Bold" w:cs="Times New Roman Bold"/>
          <w:b/>
          <w:bCs/>
          <w:color w:val="000000" w:themeColor="text1"/>
          <w:sz w:val="24"/>
          <w:szCs w:val="24"/>
          <w:highlight w:val="none"/>
          <w14:textFill>
            <w14:solidFill>
              <w14:schemeClr w14:val="tx1"/>
            </w14:solidFill>
          </w14:textFill>
        </w:rPr>
        <w:t>Dynamization and Interactive Design of Mythological Illustrations: Exploring New Methods of Cross</w:t>
      </w:r>
      <w:r>
        <w:rPr>
          <w:rFonts w:hint="eastAsia" w:ascii="Times New Roman Bold" w:hAnsi="Times New Roman Bold" w:cs="Times New Roman Bold"/>
          <w:b/>
          <w:bCs/>
          <w:color w:val="000000" w:themeColor="text1"/>
          <w:sz w:val="24"/>
          <w:szCs w:val="24"/>
          <w:highlight w:val="none"/>
          <w:lang w:val="en-US" w:eastAsia="zh-CN"/>
          <w14:textFill>
            <w14:solidFill>
              <w14:schemeClr w14:val="tx1"/>
            </w14:solidFill>
          </w14:textFill>
        </w:rPr>
        <w:t>-</w:t>
      </w:r>
      <w:r>
        <w:rPr>
          <w:rFonts w:hint="default" w:ascii="Times New Roman Bold" w:hAnsi="Times New Roman Bold" w:cs="Times New Roman Bold"/>
          <w:b/>
          <w:bCs/>
          <w:color w:val="000000" w:themeColor="text1"/>
          <w:sz w:val="24"/>
          <w:szCs w:val="24"/>
          <w:highlight w:val="none"/>
          <w14:textFill>
            <w14:solidFill>
              <w14:schemeClr w14:val="tx1"/>
            </w14:solidFill>
          </w14:textFill>
        </w:rPr>
        <w:t>Cultural Communication in the Digital Media Era</w:t>
      </w:r>
    </w:p>
    <w:p w14:paraId="47A457EE">
      <w:pPr>
        <w:rPr>
          <w:rFonts w:hint="default" w:ascii="Times New Roman Bold" w:hAnsi="Times New Roman Bold" w:cs="Times New Roman Bold"/>
          <w:b/>
          <w:bCs/>
          <w:sz w:val="24"/>
          <w:szCs w:val="24"/>
        </w:rPr>
      </w:pPr>
    </w:p>
    <w:p w14:paraId="01DDA0F5">
      <w:pPr>
        <w:numPr>
          <w:ilvl w:val="0"/>
          <w:numId w:val="1"/>
        </w:numPr>
        <w:jc w:val="both"/>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rPr>
        <w:t>Abstract</w:t>
      </w:r>
      <w:r>
        <w:rPr>
          <w:rFonts w:hint="eastAsia" w:ascii="Times New Roman Bold" w:hAnsi="Times New Roman Bold" w:cs="Times New Roman Bold"/>
          <w:b/>
          <w:bCs/>
          <w:color w:val="auto"/>
          <w:sz w:val="24"/>
          <w:szCs w:val="24"/>
          <w:lang w:val="en-US" w:eastAsia="zh-CN"/>
        </w:rPr>
        <w:t xml:space="preserve">: </w:t>
      </w:r>
    </w:p>
    <w:p w14:paraId="5CE7ABC2">
      <w:pPr>
        <w:rPr>
          <w:rFonts w:hint="default" w:ascii="Times New Roman Regular" w:hAnsi="Times New Roman Regular" w:cs="Times New Roman Regular"/>
          <w:highlight w:val="yellow"/>
        </w:rPr>
      </w:pPr>
      <w:r>
        <w:rPr>
          <w:rFonts w:hint="default" w:ascii="Times New Roman Regular" w:hAnsi="Times New Roman Regular" w:cs="Times New Roman Regular"/>
        </w:rPr>
        <w:t xml:space="preserve">In the context of rapid development of digital media, the dissemination of traditional illustrations is facing new challenges and opportunities for transformation. Mythology, as an important carrier </w:t>
      </w:r>
      <w:r>
        <w:rPr>
          <w:rFonts w:hint="default" w:ascii="Times New Roman Regular" w:hAnsi="Times New Roman Regular" w:cs="Times New Roman Regular"/>
          <w:highlight w:val="none"/>
        </w:rPr>
        <w:t xml:space="preserve">of cultural inheritance, contains profound symbolism and regionalism, which often encounter obstacles in cross-cultural communication due to differences in interpretation. How to break through the limitations of traditional static expression through the dynamic and interactive design of illustrations has become a key </w:t>
      </w:r>
      <w:r>
        <w:rPr>
          <w:rFonts w:hint="eastAsia" w:ascii="Times New Roman Regular" w:hAnsi="Times New Roman Regular" w:cs="Times New Roman Regular"/>
          <w:highlight w:val="none"/>
          <w:lang w:val="en-US" w:eastAsia="zh-CN"/>
        </w:rPr>
        <w:t>problem</w:t>
      </w:r>
      <w:r>
        <w:rPr>
          <w:rFonts w:hint="default"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in achieving the re</w:t>
      </w:r>
      <w:r>
        <w:rPr>
          <w:rFonts w:hint="default" w:ascii="Times New Roman Regular" w:hAnsi="Times New Roman Regular" w:cs="Times New Roman Regular"/>
          <w:highlight w:val="none"/>
          <w:lang w:val="en-US" w:eastAsia="zh-CN"/>
        </w:rPr>
        <w:t>-</w:t>
      </w:r>
      <w:r>
        <w:rPr>
          <w:rFonts w:hint="default" w:ascii="Times New Roman Regular" w:hAnsi="Times New Roman Regular" w:cs="Times New Roman Regular"/>
          <w:highlight w:val="none"/>
        </w:rPr>
        <w:t>dissemination of myths and promoting cultural resonance in contemporary times.</w:t>
      </w:r>
    </w:p>
    <w:p w14:paraId="630278B0">
      <w:pPr>
        <w:rPr>
          <w:rFonts w:hint="default" w:ascii="Times New Roman Regular" w:hAnsi="Times New Roman Regular" w:cs="Times New Roman Regular"/>
        </w:rPr>
      </w:pPr>
    </w:p>
    <w:p w14:paraId="6393CEA0">
      <w:pPr>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 xml:space="preserve">This research focuses on the core </w:t>
      </w:r>
      <w:r>
        <w:rPr>
          <w:rFonts w:hint="default" w:ascii="Times New Roman Regular" w:hAnsi="Times New Roman Regular" w:cs="Times New Roman Regular"/>
          <w:highlight w:val="none"/>
          <w:lang w:val="en-US" w:eastAsia="zh-CN"/>
        </w:rPr>
        <w:t>question</w:t>
      </w:r>
      <w:r>
        <w:rPr>
          <w:rFonts w:hint="default" w:ascii="Times New Roman Regular" w:hAnsi="Times New Roman Regular" w:cs="Times New Roman Regular"/>
          <w:highlight w:val="none"/>
        </w:rPr>
        <w:t xml:space="preserve"> of "How can mythological themed illustrations </w:t>
      </w:r>
      <w:r>
        <w:rPr>
          <w:rFonts w:hint="default" w:ascii="Times New Roman Regular" w:hAnsi="Times New Roman Regular" w:cs="Times New Roman Regular"/>
          <w:highlight w:val="none"/>
          <w:lang w:val="en-US" w:eastAsia="zh-CN"/>
        </w:rPr>
        <w:t>use</w:t>
      </w:r>
      <w:r>
        <w:rPr>
          <w:rFonts w:hint="default" w:ascii="Times New Roman Regular" w:hAnsi="Times New Roman Regular" w:cs="Times New Roman Regular"/>
          <w:highlight w:val="none"/>
        </w:rPr>
        <w:t xml:space="preserve"> new technologies to enhance cross-cultural communication capabilities</w:t>
      </w:r>
      <w:r>
        <w:rPr>
          <w:rFonts w:hint="default" w:ascii="Times New Roman Regular" w:hAnsi="Times New Roman Regular" w:cs="Times New Roman Regular"/>
          <w:highlight w:val="none"/>
          <w:lang w:val="en-US" w:eastAsia="zh-CN"/>
        </w:rPr>
        <w:t>?</w:t>
      </w:r>
      <w:r>
        <w:rPr>
          <w:rFonts w:hint="default" w:ascii="Times New Roman Regular" w:hAnsi="Times New Roman Regular" w:cs="Times New Roman Regular"/>
          <w:highlight w:val="none"/>
        </w:rPr>
        <w:t>"</w:t>
      </w:r>
      <w:r>
        <w:rPr>
          <w:rFonts w:hint="default" w:ascii="Times New Roman Regular" w:hAnsi="Times New Roman Regular" w:cs="Times New Roman Regular"/>
          <w:highlight w:val="none"/>
          <w:lang w:val="en-US" w:eastAsia="zh-CN"/>
        </w:rPr>
        <w:t xml:space="preserve"> On this basis, a series of mythological themed illustrations will be created and dynamically designed, such as using GIF illustrations, loop animations, micro-narrative animations, frame-by-frame short animations, visual symbol conversion and visual rhythm design to enhance the expressive power of the illustrations. </w:t>
      </w:r>
      <w:r>
        <w:rPr>
          <w:rFonts w:hint="default" w:ascii="Times New Roman Regular" w:hAnsi="Times New Roman Regular" w:cs="Times New Roman Regular"/>
          <w:highlight w:val="none"/>
        </w:rPr>
        <w:t>In addition, through interactive presentation methods such as click-trigger, path selection and multiple contextual interpretation, audience's participation and depth of understanding will be enhanced.</w:t>
      </w:r>
    </w:p>
    <w:p w14:paraId="717CC645">
      <w:pPr>
        <w:rPr>
          <w:rFonts w:hint="default" w:ascii="Times New Roman Regular" w:hAnsi="Times New Roman Regular" w:cs="Times New Roman Regular"/>
          <w:color w:val="000000" w:themeColor="text1"/>
          <w:highlight w:val="none"/>
          <w14:textFill>
            <w14:solidFill>
              <w14:schemeClr w14:val="tx1"/>
            </w14:solidFill>
          </w14:textFill>
        </w:rPr>
      </w:pPr>
    </w:p>
    <w:p w14:paraId="538EE49F">
      <w:pPr>
        <w:rPr>
          <w:rFonts w:hint="default" w:ascii="Times New Roman Regular" w:hAnsi="Times New Roman Regular" w:cs="Times New Roman Regular"/>
          <w:color w:val="000000" w:themeColor="text1"/>
          <w:highlight w:val="none"/>
          <w14:textFill>
            <w14:solidFill>
              <w14:schemeClr w14:val="tx1"/>
            </w14:solidFill>
          </w14:textFill>
        </w:rPr>
      </w:pPr>
      <w:r>
        <w:rPr>
          <w:rFonts w:hint="default" w:ascii="Times New Roman Regular" w:hAnsi="Times New Roman Regular" w:cs="Times New Roman Regular"/>
          <w:color w:val="000000" w:themeColor="text1"/>
          <w:highlight w:val="none"/>
          <w14:textFill>
            <w14:solidFill>
              <w14:schemeClr w14:val="tx1"/>
            </w14:solidFill>
          </w14:textFill>
        </w:rPr>
        <w:t xml:space="preserve">Based on constructivism ontology and interpretivism epistemology, this </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research</w:t>
      </w:r>
      <w:r>
        <w:rPr>
          <w:rFonts w:hint="default" w:ascii="Times New Roman Regular" w:hAnsi="Times New Roman Regular" w:cs="Times New Roman Regular"/>
          <w:color w:val="000000" w:themeColor="text1"/>
          <w:highlight w:val="none"/>
          <w14:textFill>
            <w14:solidFill>
              <w14:schemeClr w14:val="tx1"/>
            </w14:solidFill>
          </w14:textFill>
        </w:rPr>
        <w:t xml:space="preserve"> holds that mythological meaning is continuously constructed in specific culture</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s</w:t>
      </w:r>
      <w:r>
        <w:rPr>
          <w:rFonts w:hint="default" w:ascii="Times New Roman Regular" w:hAnsi="Times New Roman Regular" w:cs="Times New Roman Regular"/>
          <w:color w:val="000000" w:themeColor="text1"/>
          <w:highlight w:val="none"/>
          <w14:textFill>
            <w14:solidFill>
              <w14:schemeClr w14:val="tx1"/>
            </w14:solidFill>
          </w14:textFill>
        </w:rPr>
        <w:t xml:space="preserve"> and audience experience</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s</w:t>
      </w:r>
      <w:r>
        <w:rPr>
          <w:rFonts w:hint="default" w:ascii="Times New Roman Regular" w:hAnsi="Times New Roman Regular" w:cs="Times New Roman Regular"/>
          <w:color w:val="000000" w:themeColor="text1"/>
          <w:highlight w:val="none"/>
          <w14:textFill>
            <w14:solidFill>
              <w14:schemeClr w14:val="tx1"/>
            </w14:solidFill>
          </w14:textFill>
        </w:rPr>
        <w:t>, and interactive illustration</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s</w:t>
      </w:r>
      <w:r>
        <w:rPr>
          <w:rFonts w:hint="default" w:ascii="Times New Roman Regular" w:hAnsi="Times New Roman Regular" w:cs="Times New Roman Regular"/>
          <w:color w:val="000000" w:themeColor="text1"/>
          <w:highlight w:val="none"/>
          <w14:textFill>
            <w14:solidFill>
              <w14:schemeClr w14:val="tx1"/>
            </w14:solidFill>
          </w14:textFill>
        </w:rPr>
        <w:t xml:space="preserve"> </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are </w:t>
      </w:r>
      <w:r>
        <w:rPr>
          <w:rFonts w:hint="default" w:ascii="Times New Roman Regular" w:hAnsi="Times New Roman Regular" w:cs="Times New Roman Regular"/>
          <w:color w:val="000000" w:themeColor="text1"/>
          <w:highlight w:val="none"/>
          <w14:textFill>
            <w14:solidFill>
              <w14:schemeClr w14:val="tx1"/>
            </w14:solidFill>
          </w14:textFill>
        </w:rPr>
        <w:t>the medium for audience to participate in the construction of meaning.</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In addition, this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research </w:t>
      </w:r>
      <w:r>
        <w:rPr>
          <w:rFonts w:hint="default" w:ascii="Times New Roman Regular" w:hAnsi="Times New Roman Regular" w:cs="Times New Roman Regular"/>
          <w:color w:val="000000" w:themeColor="text1"/>
          <w:highlight w:val="none"/>
          <w14:textFill>
            <w14:solidFill>
              <w14:schemeClr w14:val="tx1"/>
            </w14:solidFill>
          </w14:textFill>
        </w:rPr>
        <w:t>will adopt</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eastAsia" w:ascii="Times New Roman Regular" w:hAnsi="Times New Roman Regular" w:cs="Times New Roman Regular"/>
          <w:color w:val="000000" w:themeColor="text1"/>
          <w:highlight w:val="none"/>
          <w14:textFill>
            <w14:solidFill>
              <w14:schemeClr w14:val="tx1"/>
            </w14:solidFill>
          </w14:textFill>
        </w:rPr>
        <w:t>the mixed research method and the transdisciplinary research method proposed by Nicolescu (2002)</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eastAsia" w:ascii="Times New Roman Regular" w:hAnsi="Times New Roman Regular" w:cs="Times New Roman Regular"/>
          <w:color w:val="000000" w:themeColor="text1"/>
          <w:highlight w:val="none"/>
          <w14:textFill>
            <w14:solidFill>
              <w14:schemeClr w14:val="tx1"/>
            </w14:solidFill>
          </w14:textFill>
        </w:rPr>
        <w:t xml:space="preserve">and will integrate the </w:t>
      </w:r>
      <w:r>
        <w:rPr>
          <w:rFonts w:hint="default" w:ascii="Times New Roman Regular" w:hAnsi="Times New Roman Regular" w:cs="Times New Roman Regular"/>
          <w:color w:val="000000" w:themeColor="text1"/>
          <w:highlight w:val="none"/>
          <w14:textFill>
            <w14:solidFill>
              <w14:schemeClr w14:val="tx1"/>
            </w14:solidFill>
          </w14:textFill>
        </w:rPr>
        <w:t>theories in visual communication, semiotics, cross-cultural communication, interaction design and other fields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to explore how illustration can be transformed into an open, fluid and participatory form of cultural communication.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Through the parallel method of theoretical analysis and practical creation, the aim is to propose a set of future-oriented new illustration expression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s </w:t>
      </w:r>
      <w:r>
        <w:rPr>
          <w:rFonts w:hint="default" w:ascii="Times New Roman Regular" w:hAnsi="Times New Roman Regular" w:cs="Times New Roman Regular"/>
          <w:color w:val="000000" w:themeColor="text1"/>
          <w:highlight w:val="none"/>
          <w14:textFill>
            <w14:solidFill>
              <w14:schemeClr w14:val="tx1"/>
            </w14:solidFill>
          </w14:textFill>
        </w:rPr>
        <w:t>to provide theoretical support and creative path for the digital transformation of mythological themed illustrations, and also provide</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new ideas for the media innovation of visual art in multi-cultural communication.</w:t>
      </w:r>
    </w:p>
    <w:p w14:paraId="02E4D131">
      <w:pPr>
        <w:rPr>
          <w:rFonts w:hint="eastAsia" w:ascii="Times New Roman Regular" w:hAnsi="Times New Roman Regular" w:cs="Times New Roman Regular"/>
        </w:rPr>
      </w:pPr>
    </w:p>
    <w:p w14:paraId="20117341">
      <w:pPr>
        <w:numPr>
          <w:ilvl w:val="0"/>
          <w:numId w:val="1"/>
        </w:numPr>
        <w:jc w:val="both"/>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rPr>
        <w:t>Introduction</w:t>
      </w:r>
      <w:r>
        <w:rPr>
          <w:rFonts w:hint="eastAsia" w:ascii="Times New Roman Bold" w:hAnsi="Times New Roman Bold" w:cs="Times New Roman Bold"/>
          <w:b/>
          <w:bCs/>
          <w:color w:val="auto"/>
          <w:sz w:val="24"/>
          <w:szCs w:val="24"/>
          <w:lang w:val="en-US" w:eastAsia="zh-CN"/>
        </w:rPr>
        <w:t xml:space="preserve">: </w:t>
      </w:r>
    </w:p>
    <w:p w14:paraId="59DC6A3E">
      <w:pPr>
        <w:rPr>
          <w:rFonts w:hint="eastAsia" w:ascii="Times New Roman Regular" w:hAnsi="Times New Roman Regular" w:cs="Times New Roman Regular"/>
          <w:highlight w:val="none"/>
          <w:lang w:val="en-US" w:eastAsia="zh-CN"/>
        </w:rPr>
      </w:pPr>
      <w:r>
        <w:rPr>
          <w:rFonts w:hint="default" w:ascii="Times New Roman Regular" w:hAnsi="Times New Roman Regular" w:cs="Times New Roman Regular"/>
          <w:highlight w:val="none"/>
        </w:rPr>
        <w:t>With the rapid development of digital media, the creation and dissemination of visual art are facing profound changes. As an image form that combines aesthetic expression and narrative ability, illustration has gradually transformed from traditional static images to dynamic and interactive ones under the promotion of digital technology and new media context.</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This transformation not only expands the expressive power of illustration at the visual language level, but also brings far-reaching impact</w:t>
      </w:r>
      <w:r>
        <w:rPr>
          <w:rFonts w:hint="eastAsia" w:ascii="Times New Roman Regular" w:hAnsi="Times New Roman Regular" w:cs="Times New Roman Regular"/>
          <w:highlight w:val="none"/>
          <w:lang w:val="en-US" w:eastAsia="zh-CN"/>
        </w:rPr>
        <w:t>s</w:t>
      </w:r>
      <w:r>
        <w:rPr>
          <w:rFonts w:hint="default" w:ascii="Times New Roman Regular" w:hAnsi="Times New Roman Regular" w:cs="Times New Roman Regular"/>
          <w:highlight w:val="none"/>
        </w:rPr>
        <w:t xml:space="preserve"> at the communication level, especially in the field of cultural narrative and cross-cultural communication, showing unprecedented potential.</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As an important branch of illustration art, mythological illustrations carry rich cultural symbols and deep-seated value systems. They often originate from the historical memory and religious beliefs of a specific nation or culture, and construct a unique interpretation system about the universe, humans and nature through image reproduction.</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However, the symbolism and cultural embeddedness of myths also make them prone to "misinterpretation" and "meaning deviation" in cross-cultural contexts.</w:t>
      </w:r>
      <w:r>
        <w:rPr>
          <w:rFonts w:hint="default"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This is often not due to the exclusivity of the cultural content itself, but rather to the single form of communication and the closedness of the expression structure.</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Traditional static illustrations often lack sufficient flexibility and interactivity to accommodate diverse interpretations from different cultural backgrounds when facing culturally diverse audiences</w:t>
      </w:r>
      <w:r>
        <w:rPr>
          <w:rFonts w:hint="eastAsia" w:ascii="Times New Roman Regular" w:hAnsi="Times New Roman Regular" w:cs="Times New Roman Regular"/>
          <w:highlight w:val="none"/>
          <w:lang w:val="en-US" w:eastAsia="zh-CN"/>
        </w:rPr>
        <w:t xml:space="preserve">. Therefore, rethinking the media strategys of mythological themed illustrations has become an urgent research topic that needs to be addressed. </w:t>
      </w:r>
    </w:p>
    <w:p w14:paraId="568C61EA">
      <w:pPr>
        <w:rPr>
          <w:rFonts w:hint="eastAsia" w:ascii="Times New Roman Regular" w:hAnsi="Times New Roman Regular" w:cs="Times New Roman Regular"/>
          <w:highlight w:val="none"/>
          <w:lang w:val="en-US" w:eastAsia="zh-CN"/>
        </w:rPr>
      </w:pPr>
    </w:p>
    <w:p w14:paraId="6771C801">
      <w:pPr>
        <w:rPr>
          <w:rFonts w:hint="eastAsia" w:ascii="Times New Roman Regular" w:hAnsi="Times New Roman Regular" w:cs="Times New Roman Regular"/>
          <w:color w:val="C00000"/>
          <w:highlight w:val="none"/>
        </w:rPr>
      </w:pPr>
      <w:r>
        <w:rPr>
          <w:rFonts w:hint="default" w:ascii="Times New Roman Regular" w:hAnsi="Times New Roman Regular" w:cs="Times New Roman Regular"/>
          <w:highlight w:val="none"/>
        </w:rPr>
        <w:t>In this context, dynamic and interactive design has injected new vitality into traditional illustrations.</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Dynamic illustrations can make mythological images present a more fluid and open expression through visual rhythm, time dimension and narrative transformation.</w:t>
      </w:r>
      <w:r>
        <w:rPr>
          <w:rFonts w:hint="default" w:ascii="Times New Roman Regular" w:hAnsi="Times New Roman Regular" w:cs="Times New Roman Regular"/>
          <w:highlight w:val="none"/>
          <w:lang w:val="en-US" w:eastAsia="zh-CN"/>
        </w:rPr>
        <w:t xml:space="preserve"> And i</w:t>
      </w:r>
      <w:r>
        <w:rPr>
          <w:rFonts w:hint="default" w:ascii="Times New Roman Regular" w:hAnsi="Times New Roman Regular" w:cs="Times New Roman Regular"/>
          <w:highlight w:val="none"/>
        </w:rPr>
        <w:t>nteractive design builds a co-creatable and interpretable visual space through the active participation of the audience</w:t>
      </w:r>
      <w:r>
        <w:rPr>
          <w:rFonts w:hint="default" w:ascii="Times New Roman Regular" w:hAnsi="Times New Roman Regular" w:cs="Times New Roman Regular"/>
          <w:highlight w:val="none"/>
          <w:lang w:val="en-US" w:eastAsia="zh-CN"/>
        </w:rPr>
        <w:t>s</w:t>
      </w:r>
      <w:r>
        <w:rPr>
          <w:rFonts w:hint="default" w:ascii="Times New Roman Regular" w:hAnsi="Times New Roman Regular" w:cs="Times New Roman Regular"/>
          <w:highlight w:val="none"/>
        </w:rPr>
        <w:t>, providing a more flexible structure for "meaning generation".</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This characteristic of "open narrative" not only helps to overcome the barriers of cultural understanding, but also promotes the re-dissemination and contemporary expression of mythological elements in the new media environment</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Therefore, this </w:t>
      </w:r>
      <w:r>
        <w:rPr>
          <w:rFonts w:hint="default" w:ascii="Times New Roman Regular" w:hAnsi="Times New Roman Regular" w:cs="Times New Roman Regular"/>
          <w:color w:val="000000" w:themeColor="text1"/>
          <w:highlight w:val="none"/>
          <w:lang w:val="en-US"/>
          <w14:textFill>
            <w14:solidFill>
              <w14:schemeClr w14:val="tx1"/>
            </w14:solidFill>
          </w14:textFill>
        </w:rPr>
        <w:t>research</w:t>
      </w:r>
      <w:r>
        <w:rPr>
          <w:rFonts w:hint="default" w:ascii="Times New Roman Regular" w:hAnsi="Times New Roman Regular" w:cs="Times New Roman Regular"/>
          <w:color w:val="000000" w:themeColor="text1"/>
          <w:highlight w:val="none"/>
          <w14:textFill>
            <w14:solidFill>
              <w14:schemeClr w14:val="tx1"/>
            </w14:solidFill>
          </w14:textFill>
        </w:rPr>
        <w:t xml:space="preserve"> will focus on the core question of "How can mythological themed illustrations enhance cross-cultural communication capabilities through dynamic and interactive design?"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The aim is to explore the reconstruction of visual narrative in digital contexts and combine practical creation to develop a new illustration expression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that can enhance cultural understanding and resonance.</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Different from the previous cross-cultural communication </w:t>
      </w:r>
      <w:r>
        <w:rPr>
          <w:rFonts w:hint="default" w:ascii="Times New Roman Regular" w:hAnsi="Times New Roman Regular" w:cs="Times New Roman Regular"/>
          <w:color w:val="auto"/>
          <w:highlight w:val="none"/>
        </w:rPr>
        <w:t>methods that rely on text translation or explanatory</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 xml:space="preserve">texts, this </w:t>
      </w:r>
      <w:r>
        <w:rPr>
          <w:rFonts w:hint="eastAsia" w:ascii="Times New Roman Regular" w:hAnsi="Times New Roman Regular" w:cs="Times New Roman Regular"/>
          <w:color w:val="auto"/>
          <w:highlight w:val="none"/>
          <w:lang w:val="en-US" w:eastAsia="zh-CN"/>
        </w:rPr>
        <w:t>research</w:t>
      </w:r>
      <w:r>
        <w:rPr>
          <w:rFonts w:hint="default" w:ascii="Times New Roman Regular" w:hAnsi="Times New Roman Regular" w:cs="Times New Roman Regular"/>
          <w:color w:val="auto"/>
          <w:highlight w:val="none"/>
        </w:rPr>
        <w:t xml:space="preserve"> attempts to explore how to realize the "dialogue" and "co-construction" of cultural meaning through the "translation" of visual language by means of the structural adjustment of images themselves.</w:t>
      </w:r>
      <w:r>
        <w:rPr>
          <w:rFonts w:hint="eastAsia" w:ascii="Times New Roman Regular" w:hAnsi="Times New Roman Regular" w:cs="Times New Roman Regular"/>
          <w:color w:val="auto"/>
          <w:highlight w:val="none"/>
          <w:lang w:val="en-US" w:eastAsia="zh-CN"/>
        </w:rPr>
        <w:t xml:space="preserve"> </w:t>
      </w:r>
      <w:r>
        <w:rPr>
          <w:rFonts w:hint="eastAsia" w:ascii="Times New Roman Regular" w:hAnsi="Times New Roman Regular" w:cs="Times New Roman Regular"/>
          <w:color w:val="auto"/>
          <w:highlight w:val="none"/>
        </w:rPr>
        <w:t>This research focuses on young digital users (18-35) with interests in mythology, culture and visual arts, who are highly active on social media and receptive to interactive visual content. My research findings can also provide insights for visual arts students and creators.</w:t>
      </w:r>
    </w:p>
    <w:p w14:paraId="558B5374">
      <w:pPr>
        <w:rPr>
          <w:rFonts w:hint="default" w:ascii="Times New Roman Regular" w:hAnsi="Times New Roman Regular" w:cs="Times New Roman Regular"/>
          <w:highlight w:val="none"/>
          <w:lang w:val="en-US"/>
        </w:rPr>
      </w:pPr>
    </w:p>
    <w:p w14:paraId="72E0AB6E">
      <w:pPr>
        <w:rPr>
          <w:rFonts w:hint="eastAsia"/>
          <w:color w:val="000000" w:themeColor="text1"/>
          <w:highlight w:val="none"/>
          <w14:textFill>
            <w14:solidFill>
              <w14:schemeClr w14:val="tx1"/>
            </w14:solidFill>
          </w14:textFill>
        </w:rPr>
      </w:pPr>
      <w:r>
        <w:rPr>
          <w:rFonts w:hint="default" w:ascii="Times New Roman Regular" w:hAnsi="Times New Roman Regular" w:cs="Times New Roman Regular"/>
          <w:color w:val="000000" w:themeColor="text1"/>
          <w:highlight w:val="none"/>
          <w14:textFill>
            <w14:solidFill>
              <w14:schemeClr w14:val="tx1"/>
            </w14:solidFill>
          </w14:textFill>
        </w:rPr>
        <w:t>Th</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e research </w:t>
      </w:r>
      <w:r>
        <w:rPr>
          <w:rFonts w:hint="default" w:ascii="Times New Roman Regular" w:hAnsi="Times New Roman Regular" w:cs="Times New Roman Regular"/>
          <w:color w:val="000000" w:themeColor="text1"/>
          <w:highlight w:val="none"/>
          <w14:textFill>
            <w14:solidFill>
              <w14:schemeClr w14:val="tx1"/>
            </w14:solidFill>
          </w14:textFill>
        </w:rPr>
        <w:t>is based on constructivist ontology and interpretive epistemology. Constructivism holds that reality is not an objectively independent entity, but a meaning system that is constantly constructed within specific cultural, social</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and historical contexts (Berger</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and</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Luckmann, 1966).</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In the context of mythological illustrations, this means that the cultural symbols and narrative meanings conveyed are not universally applicable, but are rooted in a symbolic system from a specific cultural perspective. Interpretivism further points out that knowledge and understanding are the product of subjective experience and specific context (Gadamer, 2013; Schutz, 1970).</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This points out the initiative of the audience</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s</w:t>
      </w:r>
      <w:r>
        <w:rPr>
          <w:rFonts w:hint="default" w:ascii="Times New Roman Regular" w:hAnsi="Times New Roman Regular" w:cs="Times New Roman Regular"/>
          <w:color w:val="000000" w:themeColor="text1"/>
          <w:highlight w:val="none"/>
          <w14:textFill>
            <w14:solidFill>
              <w14:schemeClr w14:val="tx1"/>
            </w14:solidFill>
          </w14:textFill>
        </w:rPr>
        <w:t xml:space="preserve"> in interpreting meaning</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and also suggests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that </w:t>
      </w:r>
      <w:r>
        <w:rPr>
          <w:rFonts w:hint="default" w:ascii="Times New Roman Regular" w:hAnsi="Times New Roman Regular" w:cs="Times New Roman Regular"/>
          <w:color w:val="000000" w:themeColor="text1"/>
          <w:highlight w:val="none"/>
          <w14:textFill>
            <w14:solidFill>
              <w14:schemeClr w14:val="tx1"/>
            </w14:solidFill>
          </w14:textFill>
        </w:rPr>
        <w:t>cultural communication cannot rely solely on the intention of the "expresser", but also pays attention to the diversity of the "receiver" in terms of cognition and cultural background.</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rPr>
        <w:t xml:space="preserve">Therefore, in this </w:t>
      </w:r>
      <w:r>
        <w:rPr>
          <w:rFonts w:hint="eastAsia" w:ascii="Times New Roman Regular" w:hAnsi="Times New Roman Regular" w:cs="Times New Roman Regular"/>
          <w:lang w:val="en-US" w:eastAsia="zh-CN"/>
        </w:rPr>
        <w:t>research</w:t>
      </w:r>
      <w:r>
        <w:rPr>
          <w:rFonts w:hint="default" w:ascii="Times New Roman Regular" w:hAnsi="Times New Roman Regular" w:cs="Times New Roman Regular"/>
        </w:rPr>
        <w:t xml:space="preserve">, illustrations are no longer simply viewed as “image works”, but as an “interactive platform” for cultural exchange. The core lies not only in how to “present” myths, but also in how to construct “understandable” symbolic channels for audiences from different cultural </w:t>
      </w:r>
      <w:r>
        <w:rPr>
          <w:rFonts w:hint="default" w:ascii="Times New Roman Regular" w:hAnsi="Times New Roman Regular" w:cs="Times New Roman Regular"/>
          <w:color w:val="000000" w:themeColor="text1"/>
          <w:highlight w:val="none"/>
          <w14:textFill>
            <w14:solidFill>
              <w14:schemeClr w14:val="tx1"/>
            </w14:solidFill>
          </w14:textFill>
        </w:rPr>
        <w:t>backgrounds.</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Stuart Hall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2019</w:t>
      </w:r>
      <w:r>
        <w:rPr>
          <w:rFonts w:hint="default" w:ascii="Times New Roman Regular" w:hAnsi="Times New Roman Regular" w:cs="Times New Roman Regular"/>
          <w:color w:val="000000" w:themeColor="text1"/>
          <w:highlight w:val="none"/>
          <w14:textFill>
            <w14:solidFill>
              <w14:schemeClr w14:val="tx1"/>
            </w14:solidFill>
          </w14:textFill>
        </w:rPr>
        <w:t>) proposed in his "encoding/decoding" theory that the communication process is not a linear transmission, but a dynamic system involving multiple encodings and decodings.</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Viewers tend to reinterpret information based on their own cultural background, which often leads to the deviation or reconstruction of meaning. In mythological themed illustrations, the possibility of "diverse decoding" is particularly prominent, and dynamic and interactive design is a powerful response to this dissemination mechanism.</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In addition, Hall (2015) proposed the theory of "cultural refraction", which also provides important support for this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research</w:t>
      </w:r>
      <w:r>
        <w:rPr>
          <w:rFonts w:hint="default" w:ascii="Times New Roman Regular" w:hAnsi="Times New Roman Regular" w:cs="Times New Roman Regular"/>
          <w:color w:val="000000" w:themeColor="text1"/>
          <w:highlight w:val="none"/>
          <w14:textFill>
            <w14:solidFill>
              <w14:schemeClr w14:val="tx1"/>
            </w14:solidFill>
          </w14:textFill>
        </w:rPr>
        <w:t>. He pointed out that cultural texts often undergo "meaning distortion" or "re</w:t>
      </w:r>
      <w:r>
        <w:rPr>
          <w:rFonts w:hint="default" w:ascii="Times New Roman Regular" w:hAnsi="Times New Roman Regular" w:cs="Times New Roman Regular"/>
          <w:color w:val="000000" w:themeColor="text1"/>
          <w:highlight w:val="none"/>
          <w:lang w:val="en-US" w:eastAsia="zh-CN"/>
          <w14:textFill>
            <w14:solidFill>
              <w14:schemeClr w14:val="tx1"/>
            </w14:solidFill>
          </w14:textFill>
        </w:rPr>
        <w:t>-</w:t>
      </w:r>
      <w:r>
        <w:rPr>
          <w:rFonts w:hint="default" w:ascii="Times New Roman Regular" w:hAnsi="Times New Roman Regular" w:cs="Times New Roman Regular"/>
          <w:color w:val="000000" w:themeColor="text1"/>
          <w:highlight w:val="none"/>
          <w14:textFill>
            <w14:solidFill>
              <w14:schemeClr w14:val="tx1"/>
            </w14:solidFill>
          </w14:textFill>
        </w:rPr>
        <w:t>encoding" in other cultures during the dissemination process, which makes cross-cultural communication no longer a "copy of information", but more like a "reflection of meaning".</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Therefore, instead of pursuing "authentic reproduction", it is better to build a communication structure that can accommodate "multiple interpretations".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Dynamic illustration, with its open narrative mode and flowing image language, provides a more tolerant expression space for the ambiguity and symbolism of meaning, while interactive design further empowers the audience to participate in the process of meaning construction and become a "co-creator" of myth transmission.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From the perspective of digital narrative theory, Murray (2017) and Ryan (2004) both emphasized the important role of “non-linearity”, “multi-path” and “participation” in new media art.</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These theories show that contemporary digital media breaks the traditional linear narrative structure, allowing audiences to intervene in the content generation process through clicks, selections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and feedback, thereby gaining a more personalized and immersive cultural experience.</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Mythology, as a narrative type that already has multiple versions, symbolism</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and a circular structure, fits the open logic of digital media very well. This also provides a methodological basis for this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research</w:t>
      </w:r>
      <w:r>
        <w:rPr>
          <w:rFonts w:hint="default" w:ascii="Times New Roman Regular" w:hAnsi="Times New Roman Regular" w:cs="Times New Roman Regular"/>
          <w:color w:val="000000" w:themeColor="text1"/>
          <w:highlight w:val="none"/>
          <w14:textFill>
            <w14:solidFill>
              <w14:schemeClr w14:val="tx1"/>
            </w14:solidFill>
          </w14:textFill>
        </w:rPr>
        <w:t>'s myth transformation experiment in dynamic illustrations and interactive design.</w:t>
      </w:r>
    </w:p>
    <w:p w14:paraId="6089135C">
      <w:pPr>
        <w:rPr>
          <w:rFonts w:hint="eastAsia"/>
          <w:color w:val="000000" w:themeColor="text1"/>
          <w:highlight w:val="none"/>
          <w14:textFill>
            <w14:solidFill>
              <w14:schemeClr w14:val="tx1"/>
            </w14:solidFill>
          </w14:textFill>
        </w:rPr>
      </w:pPr>
    </w:p>
    <w:p w14:paraId="7E3892A7">
      <w:pPr>
        <w:rPr>
          <w:rFonts w:hint="eastAsia" w:ascii="Times New Roman" w:hAnsi="Times New Roman" w:cs="Times New Roman" w:eastAsiaTheme="minorEastAsia"/>
          <w:b w:val="0"/>
          <w:bCs w:val="0"/>
          <w:color w:val="000000" w:themeColor="text1"/>
          <w:sz w:val="21"/>
          <w:szCs w:val="21"/>
          <w:highlight w:val="none"/>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highlight w:val="none"/>
          <w14:textFill>
            <w14:solidFill>
              <w14:schemeClr w14:val="tx1"/>
            </w14:solidFill>
          </w14:textFill>
        </w:rPr>
        <w:t>The core goal of this research is to construct a form of mythological visual narrative with cross-cultural adaptability through the combination of dynamic illustrations and interactive design, and further propose a "cultural mediation" mechanism of visual language to enable the regeneration, reinterpretation and reperception of the meaning of mythology in cross-cultural communication.</w:t>
      </w:r>
      <w:r>
        <w:rPr>
          <w:rFonts w:hint="eastAsia" w:ascii="Times New Roman Regular" w:hAnsi="Times New Roman Regular" w:cs="Times New Roman Regular"/>
          <w:b w:val="0"/>
          <w:bCs w:val="0"/>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highlight w:val="none"/>
          <w14:textFill>
            <w14:solidFill>
              <w14:schemeClr w14:val="tx1"/>
            </w14:solidFill>
          </w14:textFill>
        </w:rPr>
        <w:t xml:space="preserve">To achieve this goal, this </w:t>
      </w:r>
      <w:r>
        <w:rPr>
          <w:rFonts w:hint="default" w:ascii="Times New Roman Regular" w:hAnsi="Times New Roman Regular" w:cs="Times New Roman Regular"/>
          <w:b w:val="0"/>
          <w:bCs w:val="0"/>
          <w:color w:val="000000" w:themeColor="text1"/>
          <w:highlight w:val="none"/>
          <w:lang w:val="en-US" w:eastAsia="zh-CN"/>
          <w14:textFill>
            <w14:solidFill>
              <w14:schemeClr w14:val="tx1"/>
            </w14:solidFill>
          </w14:textFill>
        </w:rPr>
        <w:t>research</w:t>
      </w:r>
      <w:r>
        <w:rPr>
          <w:rFonts w:hint="default" w:ascii="Times New Roman Regular" w:hAnsi="Times New Roman Regular" w:cs="Times New Roman Regular"/>
          <w:b w:val="0"/>
          <w:bCs w:val="0"/>
          <w:color w:val="000000" w:themeColor="text1"/>
          <w:highlight w:val="none"/>
          <w14:textFill>
            <w14:solidFill>
              <w14:schemeClr w14:val="tx1"/>
            </w14:solidFill>
          </w14:textFill>
        </w:rPr>
        <w:t xml:space="preserve"> will explore from four aspects: firstly, analyze the symbolic barriers and cognitive differences of mythological illustrations in cross-cultural communication, and reveal the reasons why they are misunderstood in different cultural backgrounds;</w:t>
      </w:r>
      <w:r>
        <w:rPr>
          <w:rFonts w:hint="eastAsia" w:ascii="Times New Roman Regular" w:hAnsi="Times New Roman Regular" w:cs="Times New Roman Regular"/>
          <w:b w:val="0"/>
          <w:bCs w:val="0"/>
          <w:color w:val="000000" w:themeColor="text1"/>
          <w:highlight w:val="none"/>
          <w:lang w:val="en-US" w:eastAsia="zh-CN"/>
          <w14:textFill>
            <w14:solidFill>
              <w14:schemeClr w14:val="tx1"/>
            </w14:solidFill>
          </w14:textFill>
        </w:rPr>
        <w:t xml:space="preserve"> Second, explore how dynamic design reconstructs mythological content at the level of visual language structure and narrative logic, thereby enhancing the openness and fluidity of its expression; Third, study the role of interactive mechanisms in enhancing audience participation, improving understanding ability and promoting cultural identity, and emphasize the subjectivity of the audience in the process of meaning construction; Finally, based on the above theoretical analysis and relevant artistic practice results, a set of methods for illustration creation in the context of multicultural communication will be constructed, which can provide a feasible path for the media expansion of illustration art in contemporary expression and cultural communication. </w:t>
      </w:r>
      <w:r>
        <w:rPr>
          <w:rFonts w:hint="default" w:ascii="Times New Roman" w:hAnsi="Times New Roman" w:cs="Times New Roman"/>
          <w:b w:val="0"/>
          <w:bCs w:val="0"/>
          <w:color w:val="000000" w:themeColor="text1"/>
          <w:sz w:val="21"/>
          <w:szCs w:val="21"/>
          <w:highlight w:val="none"/>
          <w14:textFill>
            <w14:solidFill>
              <w14:schemeClr w14:val="tx1"/>
            </w14:solidFill>
          </w14:textFill>
        </w:rPr>
        <w:t>This new path can not only revitalize traditional cultures such as mythology in contemporary times, but also provide</w:t>
      </w:r>
      <w:r>
        <w:rPr>
          <w:rFonts w:hint="eastAsia" w:ascii="Times New Roman" w:hAnsi="Times New Roman" w:cs="Times New Roman"/>
          <w:b w:val="0"/>
          <w:bCs w:val="0"/>
          <w:color w:val="000000" w:themeColor="text1"/>
          <w:sz w:val="21"/>
          <w:szCs w:val="21"/>
          <w:highlight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1"/>
          <w:szCs w:val="21"/>
          <w:highlight w:val="none"/>
          <w14:textFill>
            <w14:solidFill>
              <w14:schemeClr w14:val="tx1"/>
            </w14:solidFill>
          </w14:textFill>
        </w:rPr>
        <w:t>inspirations and references</w:t>
      </w:r>
      <w:r>
        <w:rPr>
          <w:rFonts w:hint="eastAsia" w:ascii="Times New Roman" w:hAnsi="Times New Roman" w:cs="Times New Roman"/>
          <w:b w:val="0"/>
          <w:bCs w:val="0"/>
          <w:color w:val="000000" w:themeColor="text1"/>
          <w:sz w:val="21"/>
          <w:szCs w:val="21"/>
          <w:highlight w:val="none"/>
          <w:lang w:val="en-US" w:eastAsia="zh-CN"/>
          <w14:textFill>
            <w14:solidFill>
              <w14:schemeClr w14:val="tx1"/>
            </w14:solidFill>
          </w14:textFill>
        </w:rPr>
        <w:t xml:space="preserve"> for the digital dissemination of cultural content, the visual reconciliation of cultural differences and cross-cultural teaching in art education.</w:t>
      </w:r>
    </w:p>
    <w:p w14:paraId="7F16E52A">
      <w:pPr>
        <w:rPr>
          <w:rFonts w:hint="default"/>
          <w:lang w:val="en-US"/>
        </w:rPr>
      </w:pPr>
    </w:p>
    <w:p w14:paraId="5EE3A494">
      <w:pPr>
        <w:numPr>
          <w:ilvl w:val="0"/>
          <w:numId w:val="1"/>
        </w:numPr>
        <w:jc w:val="both"/>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lang w:val="en-US" w:eastAsia="zh-CN"/>
        </w:rPr>
        <w:t xml:space="preserve">Literature Review: </w:t>
      </w:r>
    </w:p>
    <w:p w14:paraId="5E1C72EF">
      <w:pPr>
        <w:rPr>
          <w:rFonts w:hint="default" w:ascii="Times New Roman Regular" w:hAnsi="Times New Roman Regular" w:cs="Times New Roman Regular"/>
          <w:color w:val="000000" w:themeColor="text1"/>
          <w:highlight w:val="none"/>
          <w14:textFill>
            <w14:solidFill>
              <w14:schemeClr w14:val="tx1"/>
            </w14:solidFill>
          </w14:textFill>
        </w:rPr>
      </w:pPr>
      <w:r>
        <w:rPr>
          <w:rFonts w:hint="default" w:ascii="Times New Roman Regular" w:hAnsi="Times New Roman Regular" w:cs="Times New Roman Regular"/>
          <w:color w:val="000000" w:themeColor="text1"/>
          <w:highlight w:val="none"/>
          <w14:textFill>
            <w14:solidFill>
              <w14:schemeClr w14:val="tx1"/>
            </w14:solidFill>
          </w14:textFill>
        </w:rPr>
        <w:t xml:space="preserve">In order to construct the theoretical basis of this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research</w:t>
      </w:r>
      <w:r>
        <w:rPr>
          <w:rFonts w:hint="default" w:ascii="Times New Roman Regular" w:hAnsi="Times New Roman Regular" w:cs="Times New Roman Regular"/>
          <w:color w:val="000000" w:themeColor="text1"/>
          <w:highlight w:val="none"/>
          <w14:textFill>
            <w14:solidFill>
              <w14:schemeClr w14:val="tx1"/>
            </w14:solidFill>
          </w14:textFill>
        </w:rPr>
        <w:t>, relevant literature has been systematically searched through academic databases such as Google Scholar, Scopus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JSTOR and SAGE Journals, with keywords including "myth narrative transformation", "digital media and cultural communication", "visual narrative", "interactive illustration" and "cross-cultural visual symbols".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And t</w:t>
      </w:r>
      <w:r>
        <w:rPr>
          <w:rFonts w:hint="default" w:ascii="Times New Roman Regular" w:hAnsi="Times New Roman Regular" w:cs="Times New Roman Regular"/>
          <w:color w:val="000000" w:themeColor="text1"/>
          <w:highlight w:val="none"/>
          <w14:textFill>
            <w14:solidFill>
              <w14:schemeClr w14:val="tx1"/>
            </w14:solidFill>
          </w14:textFill>
        </w:rPr>
        <w:t>he "Snowball Effect" is also used to search and identify literature. The selected literature mainly focuses on related fields such as mythology, media research, visual communication and cross-cultural communication, covering classic theoretical literature and emerging research results.</w:t>
      </w:r>
    </w:p>
    <w:p w14:paraId="2000AF35">
      <w:pPr>
        <w:rPr>
          <w:rFonts w:hint="default" w:ascii="Times New Roman Regular" w:hAnsi="Times New Roman Regular" w:cs="Times New Roman Regular"/>
        </w:rPr>
      </w:pPr>
    </w:p>
    <w:p w14:paraId="6FA6E12B">
      <w:pPr>
        <w:rPr>
          <w:rFonts w:hint="eastAsia" w:ascii="Times New Roman Regular" w:hAnsi="Times New Roman Regular" w:cs="Times New Roman Regular" w:eastAsiaTheme="minorEastAsia"/>
          <w:color w:val="000000" w:themeColor="text1"/>
          <w:highlight w:val="none"/>
          <w:lang w:val="en-US" w:eastAsia="zh-CN"/>
          <w14:textFill>
            <w14:solidFill>
              <w14:schemeClr w14:val="tx1"/>
            </w14:solidFill>
          </w14:textFill>
        </w:rPr>
      </w:pPr>
      <w:r>
        <w:rPr>
          <w:rFonts w:hint="default" w:ascii="Times New Roman Regular" w:hAnsi="Times New Roman Regular" w:cs="Times New Roman Regular"/>
          <w:color w:val="000000" w:themeColor="text1"/>
          <w:highlight w:val="none"/>
          <w14:textFill>
            <w14:solidFill>
              <w14:schemeClr w14:val="tx1"/>
            </w14:solidFill>
          </w14:textFill>
        </w:rPr>
        <w:t xml:space="preserve">Although the existing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researche</w:t>
      </w:r>
      <w:r>
        <w:rPr>
          <w:rFonts w:hint="default" w:ascii="Times New Roman Regular" w:hAnsi="Times New Roman Regular" w:cs="Times New Roman Regular"/>
          <w:color w:val="000000" w:themeColor="text1"/>
          <w:highlight w:val="none"/>
          <w14:textFill>
            <w14:solidFill>
              <w14:schemeClr w14:val="tx1"/>
            </w14:solidFill>
          </w14:textFill>
        </w:rPr>
        <w:t>s have extensively explored the structural characteristics of myths and their cultural translation mechanisms, and have also conducted in-depth analysis of visual communication paths in digital media,</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there is still a lack of systematic research on the cross-cultural communication of mythological</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illustrations in the context of dynamic and interactive design, especially in terms of the internal structure of illustrations such as visual rhythm, symbol conversion and user path guidance. There is no mature theoretical support yet.</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Therefore, the literature review of this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essay </w:t>
      </w:r>
      <w:r>
        <w:rPr>
          <w:rFonts w:hint="default" w:ascii="Times New Roman Regular" w:hAnsi="Times New Roman Regular" w:cs="Times New Roman Regular"/>
          <w:color w:val="000000" w:themeColor="text1"/>
          <w:highlight w:val="none"/>
          <w14:textFill>
            <w14:solidFill>
              <w14:schemeClr w14:val="tx1"/>
            </w14:solidFill>
          </w14:textFill>
        </w:rPr>
        <w:t>will be carried out from three aspec</w:t>
      </w:r>
      <w:r>
        <w:rPr>
          <w:rFonts w:hint="default" w:ascii="Times New Roman Regular" w:hAnsi="Times New Roman Regular" w:cs="Times New Roman Regular"/>
          <w:color w:val="auto"/>
          <w:highlight w:val="none"/>
        </w:rPr>
        <w:t xml:space="preserve">ts: </w:t>
      </w:r>
      <w:r>
        <w:rPr>
          <w:rFonts w:hint="eastAsia" w:ascii="Times New Roman Regular" w:hAnsi="Times New Roman Regular" w:cs="Times New Roman Regular"/>
          <w:color w:val="auto"/>
          <w:highlight w:val="none"/>
          <w:lang w:val="en-US" w:eastAsia="zh-CN"/>
        </w:rPr>
        <w:t>T</w:t>
      </w:r>
      <w:r>
        <w:rPr>
          <w:rFonts w:hint="default" w:ascii="Times New Roman Regular" w:hAnsi="Times New Roman Regular" w:cs="Times New Roman Regular"/>
          <w:color w:val="auto"/>
          <w:highlight w:val="none"/>
        </w:rPr>
        <w:t xml:space="preserve">he historical evolution of mythological narrative forms and their cultural universality; </w:t>
      </w:r>
      <w:r>
        <w:rPr>
          <w:rFonts w:hint="eastAsia" w:ascii="Times New Roman Regular" w:hAnsi="Times New Roman Regular" w:cs="Times New Roman Regular"/>
          <w:color w:val="auto"/>
          <w:highlight w:val="none"/>
          <w:lang w:val="en-US" w:eastAsia="zh-CN"/>
        </w:rPr>
        <w:t>T</w:t>
      </w:r>
      <w:r>
        <w:rPr>
          <w:rFonts w:hint="default" w:ascii="Times New Roman Regular" w:hAnsi="Times New Roman Regular" w:cs="Times New Roman Regular"/>
          <w:color w:val="auto"/>
          <w:highlight w:val="none"/>
        </w:rPr>
        <w:t xml:space="preserve">he role of new technologies in promoting effective cultural </w:t>
      </w:r>
      <w:r>
        <w:rPr>
          <w:rFonts w:hint="eastAsia" w:ascii="Times New Roman Regular" w:hAnsi="Times New Roman Regular" w:cs="Times New Roman Regular"/>
          <w:color w:val="auto"/>
          <w:highlight w:val="none"/>
          <w:lang w:val="en-US" w:eastAsia="zh-CN"/>
        </w:rPr>
        <w:t>communication</w:t>
      </w:r>
      <w:r>
        <w:rPr>
          <w:rFonts w:hint="default" w:ascii="Times New Roman Regular" w:hAnsi="Times New Roman Regular" w:cs="Times New Roman Regular"/>
          <w:color w:val="auto"/>
          <w:highlight w:val="none"/>
        </w:rPr>
        <w:t>;</w:t>
      </w:r>
      <w:r>
        <w:rPr>
          <w:rFonts w:hint="eastAsia" w:ascii="Times New Roman Regular" w:hAnsi="Times New Roman Regular" w:cs="Times New Roman Regular"/>
          <w:color w:val="auto"/>
          <w:highlight w:val="none"/>
          <w:lang w:val="en-US" w:eastAsia="zh-CN"/>
        </w:rPr>
        <w:t xml:space="preserve"> T</w:t>
      </w:r>
      <w:r>
        <w:rPr>
          <w:rFonts w:hint="default" w:ascii="Times New Roman Regular" w:hAnsi="Times New Roman Regular" w:cs="Times New Roman Regular"/>
          <w:color w:val="auto"/>
          <w:highlight w:val="none"/>
        </w:rPr>
        <w:t>he adaptability and communication potential of visual</w:t>
      </w:r>
      <w:r>
        <w:rPr>
          <w:rFonts w:hint="eastAsia" w:ascii="Times New Roman Regular" w:hAnsi="Times New Roman Regular" w:cs="Times New Roman Regular"/>
          <w:color w:val="auto"/>
          <w:highlight w:val="none"/>
          <w:lang w:val="en-US" w:eastAsia="zh-CN"/>
        </w:rPr>
        <w:t xml:space="preserve"> storytelling</w:t>
      </w:r>
      <w:r>
        <w:rPr>
          <w:rFonts w:hint="default" w:ascii="Times New Roman Regular" w:hAnsi="Times New Roman Regular" w:cs="Times New Roman Regular"/>
          <w:color w:val="auto"/>
          <w:highlight w:val="none"/>
        </w:rPr>
        <w:t xml:space="preserve"> in multicultural exchanges.</w:t>
      </w:r>
      <w:r>
        <w:rPr>
          <w:rFonts w:hint="eastAsia" w:ascii="Times New Roman Regular" w:hAnsi="Times New Roman Regular" w:cs="Times New Roman Regular"/>
          <w:color w:val="auto"/>
          <w:highlight w:val="none"/>
          <w:lang w:val="en-US" w:eastAsia="zh-CN"/>
        </w:rPr>
        <w:t xml:space="preserve"> Moreover, the CRAAP test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was also used to select and evaluate these literature.</w:t>
      </w:r>
    </w:p>
    <w:p w14:paraId="0E5EEB96">
      <w:pPr>
        <w:rPr>
          <w:rFonts w:hint="default" w:ascii="Times New Roman Regular" w:hAnsi="Times New Roman Regular" w:cs="Times New Roman Regular"/>
        </w:rPr>
      </w:pPr>
    </w:p>
    <w:p w14:paraId="43EE9A28">
      <w:pPr>
        <w:widowControl w:val="0"/>
        <w:numPr>
          <w:ilvl w:val="0"/>
          <w:numId w:val="0"/>
        </w:numPr>
        <w:jc w:val="left"/>
        <w:rPr>
          <w:rFonts w:hint="default" w:ascii="Times New Roman Regular" w:hAnsi="Times New Roman Regular" w:cs="Times New Roman Regular"/>
          <w:b/>
          <w:bCs/>
          <w:color w:val="4874CB" w:themeColor="accent1"/>
          <w:highlight w:val="none"/>
          <w14:textFill>
            <w14:solidFill>
              <w14:schemeClr w14:val="accent1"/>
            </w14:solidFill>
          </w14:textFill>
        </w:rPr>
      </w:pPr>
      <w:r>
        <w:rPr>
          <w:rFonts w:hint="eastAsia" w:ascii="Times New Roman Bold" w:hAnsi="Times New Roman Bold" w:cs="Times New Roman Bold"/>
          <w:b/>
          <w:bCs/>
          <w:highlight w:val="none"/>
          <w:lang w:val="en-US" w:eastAsia="zh-CN"/>
        </w:rPr>
        <w:t xml:space="preserve">3.1 </w:t>
      </w:r>
      <w:r>
        <w:rPr>
          <w:rFonts w:hint="default" w:ascii="Times New Roman Bold" w:hAnsi="Times New Roman Bold" w:cs="Times New Roman Bold"/>
          <w:b/>
          <w:bCs/>
          <w:highlight w:val="none"/>
        </w:rPr>
        <w:t xml:space="preserve">The </w:t>
      </w:r>
      <w:r>
        <w:rPr>
          <w:rFonts w:hint="eastAsia" w:ascii="Times New Roman Bold" w:hAnsi="Times New Roman Bold" w:cs="Times New Roman Bold"/>
          <w:b/>
          <w:bCs/>
          <w:highlight w:val="none"/>
          <w:lang w:val="en-US" w:eastAsia="zh-CN"/>
        </w:rPr>
        <w:t>H</w:t>
      </w:r>
      <w:r>
        <w:rPr>
          <w:rFonts w:hint="default" w:ascii="Times New Roman Bold" w:hAnsi="Times New Roman Bold" w:cs="Times New Roman Bold"/>
          <w:b/>
          <w:bCs/>
          <w:highlight w:val="none"/>
        </w:rPr>
        <w:t>istorical</w:t>
      </w:r>
      <w:r>
        <w:rPr>
          <w:rFonts w:hint="eastAsia" w:ascii="Times New Roman Bold" w:hAnsi="Times New Roman Bold" w:cs="Times New Roman Bold"/>
          <w:b/>
          <w:bCs/>
          <w:highlight w:val="none"/>
          <w:lang w:val="en-US" w:eastAsia="zh-CN"/>
        </w:rPr>
        <w:t xml:space="preserve"> E</w:t>
      </w:r>
      <w:r>
        <w:rPr>
          <w:rFonts w:hint="default" w:ascii="Times New Roman Bold" w:hAnsi="Times New Roman Bold" w:cs="Times New Roman Bold"/>
          <w:b/>
          <w:bCs/>
          <w:highlight w:val="none"/>
        </w:rPr>
        <w:t xml:space="preserve">volution of </w:t>
      </w:r>
      <w:r>
        <w:rPr>
          <w:rFonts w:hint="eastAsia" w:ascii="Times New Roman Bold" w:hAnsi="Times New Roman Bold" w:cs="Times New Roman Bold"/>
          <w:b/>
          <w:bCs/>
          <w:highlight w:val="none"/>
          <w:lang w:val="en-US" w:eastAsia="zh-CN"/>
        </w:rPr>
        <w:t>M</w:t>
      </w:r>
      <w:r>
        <w:rPr>
          <w:rFonts w:hint="default" w:ascii="Times New Roman Bold" w:hAnsi="Times New Roman Bold" w:cs="Times New Roman Bold"/>
          <w:b/>
          <w:bCs/>
          <w:highlight w:val="none"/>
        </w:rPr>
        <w:t xml:space="preserve">ythological </w:t>
      </w:r>
      <w:r>
        <w:rPr>
          <w:rFonts w:hint="eastAsia" w:ascii="Times New Roman Bold" w:hAnsi="Times New Roman Bold" w:cs="Times New Roman Bold"/>
          <w:b/>
          <w:bCs/>
          <w:highlight w:val="none"/>
          <w:lang w:val="en-US" w:eastAsia="zh-CN"/>
        </w:rPr>
        <w:t>N</w:t>
      </w:r>
      <w:r>
        <w:rPr>
          <w:rFonts w:hint="default" w:ascii="Times New Roman Bold" w:hAnsi="Times New Roman Bold" w:cs="Times New Roman Bold"/>
          <w:b/>
          <w:bCs/>
          <w:highlight w:val="none"/>
        </w:rPr>
        <w:t xml:space="preserve">arrative </w:t>
      </w:r>
      <w:r>
        <w:rPr>
          <w:rFonts w:hint="eastAsia" w:ascii="Times New Roman Bold" w:hAnsi="Times New Roman Bold" w:cs="Times New Roman Bold"/>
          <w:b/>
          <w:bCs/>
          <w:highlight w:val="none"/>
          <w:lang w:val="en-US" w:eastAsia="zh-CN"/>
        </w:rPr>
        <w:t>F</w:t>
      </w:r>
      <w:r>
        <w:rPr>
          <w:rFonts w:hint="default" w:ascii="Times New Roman Bold" w:hAnsi="Times New Roman Bold" w:cs="Times New Roman Bold"/>
          <w:b/>
          <w:bCs/>
          <w:highlight w:val="none"/>
        </w:rPr>
        <w:t xml:space="preserve">orms and </w:t>
      </w:r>
      <w:r>
        <w:rPr>
          <w:rFonts w:hint="eastAsia" w:ascii="Times New Roman Bold" w:hAnsi="Times New Roman Bold" w:cs="Times New Roman Bold"/>
          <w:b/>
          <w:bCs/>
          <w:highlight w:val="none"/>
          <w:lang w:val="en-US" w:eastAsia="zh-CN"/>
        </w:rPr>
        <w:t>T</w:t>
      </w:r>
      <w:r>
        <w:rPr>
          <w:rFonts w:hint="default" w:ascii="Times New Roman Bold" w:hAnsi="Times New Roman Bold" w:cs="Times New Roman Bold"/>
          <w:b/>
          <w:bCs/>
          <w:highlight w:val="none"/>
        </w:rPr>
        <w:t xml:space="preserve">heir </w:t>
      </w:r>
      <w:r>
        <w:rPr>
          <w:rFonts w:hint="eastAsia" w:ascii="Times New Roman Bold" w:hAnsi="Times New Roman Bold" w:cs="Times New Roman Bold"/>
          <w:b/>
          <w:bCs/>
          <w:highlight w:val="none"/>
          <w:lang w:val="en-US" w:eastAsia="zh-CN"/>
        </w:rPr>
        <w:t>C</w:t>
      </w:r>
      <w:r>
        <w:rPr>
          <w:rFonts w:hint="default" w:ascii="Times New Roman Bold" w:hAnsi="Times New Roman Bold" w:cs="Times New Roman Bold"/>
          <w:b/>
          <w:bCs/>
          <w:highlight w:val="none"/>
        </w:rPr>
        <w:t xml:space="preserve">ultural </w:t>
      </w:r>
      <w:r>
        <w:rPr>
          <w:rFonts w:hint="eastAsia" w:ascii="Times New Roman Bold" w:hAnsi="Times New Roman Bold" w:cs="Times New Roman Bold"/>
          <w:b/>
          <w:bCs/>
          <w:highlight w:val="none"/>
          <w:lang w:val="en-US" w:eastAsia="zh-CN"/>
        </w:rPr>
        <w:t>U</w:t>
      </w:r>
      <w:r>
        <w:rPr>
          <w:rFonts w:hint="default" w:ascii="Times New Roman Bold" w:hAnsi="Times New Roman Bold" w:cs="Times New Roman Bold"/>
          <w:b/>
          <w:bCs/>
          <w:highlight w:val="none"/>
        </w:rPr>
        <w:t>niversality</w:t>
      </w:r>
    </w:p>
    <w:p w14:paraId="5E8DBCCF">
      <w:pPr>
        <w:widowControl w:val="0"/>
        <w:numPr>
          <w:ilvl w:val="0"/>
          <w:numId w:val="0"/>
        </w:numPr>
        <w:jc w:val="both"/>
        <w:rPr>
          <w:rFonts w:hint="eastAsia" w:ascii="Times New Roman Regular" w:hAnsi="Times New Roman Regular" w:cs="Times New Roman Regular"/>
          <w:b w:val="0"/>
          <w:bCs w:val="0"/>
          <w:color w:val="auto"/>
          <w:highlight w:val="none"/>
          <w:lang w:val="en-US" w:eastAsia="zh-CN"/>
        </w:rPr>
      </w:pPr>
      <w:r>
        <w:rPr>
          <w:rFonts w:hint="default" w:ascii="Times New Roman Regular" w:hAnsi="Times New Roman Regular" w:cs="Times New Roman Regular"/>
          <w:b w:val="0"/>
          <w:bCs w:val="0"/>
          <w:color w:val="000000" w:themeColor="text1"/>
          <w:highlight w:val="none"/>
          <w14:textFill>
            <w14:solidFill>
              <w14:schemeClr w14:val="tx1"/>
            </w14:solidFill>
          </w14:textFill>
        </w:rPr>
        <w:t>As one of the earliest forms of cultural expression, myths not only shape collective identity and spiritual order, but also constitute the most primitive model of cultural communication.</w:t>
      </w:r>
      <w:r>
        <w:rPr>
          <w:rFonts w:hint="default" w:ascii="Times New Roman Regular" w:hAnsi="Times New Roman Regular" w:cs="Times New Roman Regular"/>
          <w:b w:val="0"/>
          <w:bCs w:val="0"/>
          <w:color w:val="000000" w:themeColor="text1"/>
          <w:highlight w:val="none"/>
          <w:lang w:val="en-US" w:eastAsia="zh-CN"/>
          <w14:textFill>
            <w14:solidFill>
              <w14:schemeClr w14:val="tx1"/>
            </w14:solidFill>
          </w14:textFill>
        </w:rPr>
        <w:t xml:space="preserve"> In his book </w:t>
      </w:r>
      <w:r>
        <w:rPr>
          <w:rFonts w:hint="default" w:ascii="Times New Roman Regular" w:hAnsi="Times New Roman Regular" w:cs="Times New Roman Regular"/>
          <w:b w:val="0"/>
          <w:bCs w:val="0"/>
          <w:i/>
          <w:iCs/>
          <w:color w:val="000000" w:themeColor="text1"/>
          <w:highlight w:val="none"/>
          <w:lang w:val="en-US" w:eastAsia="zh-CN"/>
          <w14:textFill>
            <w14:solidFill>
              <w14:schemeClr w14:val="tx1"/>
            </w14:solidFill>
          </w14:textFill>
        </w:rPr>
        <w:t>Myth and Reality</w:t>
      </w:r>
      <w:r>
        <w:rPr>
          <w:rFonts w:hint="default" w:ascii="Times New Roman Regular" w:hAnsi="Times New Roman Regular" w:cs="Times New Roman Regular"/>
          <w:b w:val="0"/>
          <w:bCs w:val="0"/>
          <w:color w:val="000000" w:themeColor="text1"/>
          <w:highlight w:val="none"/>
          <w:lang w:val="en-US" w:eastAsia="zh-CN"/>
          <w14:textFill>
            <w14:solidFill>
              <w14:schemeClr w14:val="tx1"/>
            </w14:solidFill>
          </w14:textFill>
        </w:rPr>
        <w:t>, Eliade (196</w:t>
      </w:r>
      <w:r>
        <w:rPr>
          <w:rFonts w:hint="eastAsia" w:ascii="Times New Roman Regular" w:hAnsi="Times New Roman Regular" w:cs="Times New Roman Regular"/>
          <w:b w:val="0"/>
          <w:bCs w:val="0"/>
          <w:color w:val="000000" w:themeColor="text1"/>
          <w:highlight w:val="none"/>
          <w:lang w:val="en-US" w:eastAsia="zh-CN"/>
          <w14:textFill>
            <w14:solidFill>
              <w14:schemeClr w14:val="tx1"/>
            </w14:solidFill>
          </w14:textFill>
        </w:rPr>
        <w:t>8</w:t>
      </w:r>
      <w:r>
        <w:rPr>
          <w:rFonts w:hint="default" w:ascii="Times New Roman Regular" w:hAnsi="Times New Roman Regular" w:cs="Times New Roman Regular"/>
          <w:b w:val="0"/>
          <w:bCs w:val="0"/>
          <w:color w:val="000000" w:themeColor="text1"/>
          <w:highlight w:val="none"/>
          <w:lang w:val="en-US" w:eastAsia="zh-CN"/>
          <w14:textFill>
            <w14:solidFill>
              <w14:schemeClr w14:val="tx1"/>
            </w14:solidFill>
          </w14:textFill>
        </w:rPr>
        <w:t xml:space="preserve">) pointed out that myths reflect a symbolic understanding of the laws governing the operation of the universe. Myths do not care whether the stories are true or not, but rather establish a long-term and stable connection between people, nature and society by </w:t>
      </w:r>
      <w:r>
        <w:rPr>
          <w:rFonts w:hint="default" w:ascii="Times New Roman Regular" w:hAnsi="Times New Roman Regular" w:cs="Times New Roman Regular"/>
          <w:b w:val="0"/>
          <w:bCs w:val="0"/>
          <w:color w:val="auto"/>
          <w:highlight w:val="none"/>
          <w:lang w:val="en-US" w:eastAsia="zh-CN"/>
        </w:rPr>
        <w:t>repeatedly telling these stories. This view emphasizes the cultural "coding" characteristics of mythology, that is, it conveys not specific facts but the logic and values hidden behind the story</w:t>
      </w:r>
      <w:r>
        <w:rPr>
          <w:rFonts w:hint="eastAsia" w:ascii="Times New Roman Regular" w:hAnsi="Times New Roman Regular" w:cs="Times New Roman Regular"/>
          <w:b w:val="0"/>
          <w:bCs w:val="0"/>
          <w:color w:val="auto"/>
          <w:highlight w:val="none"/>
          <w:lang w:val="en-US" w:eastAsia="zh-CN"/>
        </w:rPr>
        <w:t xml:space="preserve"> (</w:t>
      </w:r>
      <w:r>
        <w:rPr>
          <w:rFonts w:hint="default" w:ascii="Times New Roman Regular" w:hAnsi="Times New Roman Regular" w:cs="Times New Roman Regular"/>
          <w:b w:val="0"/>
          <w:bCs w:val="0"/>
          <w:color w:val="auto"/>
          <w:highlight w:val="none"/>
          <w:lang w:val="en-US" w:eastAsia="zh-CN"/>
        </w:rPr>
        <w:t>Doniger,</w:t>
      </w:r>
      <w:r>
        <w:rPr>
          <w:rFonts w:hint="eastAsia" w:ascii="Times New Roman Regular" w:hAnsi="Times New Roman Regular" w:cs="Times New Roman Regular"/>
          <w:b w:val="0"/>
          <w:bCs w:val="0"/>
          <w:color w:val="auto"/>
          <w:highlight w:val="none"/>
          <w:lang w:val="en-US" w:eastAsia="zh-CN"/>
        </w:rPr>
        <w:t xml:space="preserve"> 2011</w:t>
      </w:r>
      <w:r>
        <w:rPr>
          <w:rFonts w:hint="default" w:ascii="Times New Roman Regular" w:hAnsi="Times New Roman Regular" w:cs="Times New Roman Regular"/>
          <w:b w:val="0"/>
          <w:bCs w:val="0"/>
          <w:color w:val="auto"/>
          <w:highlight w:val="none"/>
          <w:lang w:val="en-US" w:eastAsia="zh-CN"/>
        </w:rPr>
        <w:t>; Segal,</w:t>
      </w:r>
      <w:r>
        <w:rPr>
          <w:rFonts w:hint="eastAsia" w:ascii="Times New Roman Regular" w:hAnsi="Times New Roman Regular" w:cs="Times New Roman Regular"/>
          <w:b w:val="0"/>
          <w:bCs w:val="0"/>
          <w:color w:val="auto"/>
          <w:highlight w:val="none"/>
          <w:lang w:val="en-US" w:eastAsia="zh-CN"/>
        </w:rPr>
        <w:t xml:space="preserve"> </w:t>
      </w:r>
      <w:r>
        <w:rPr>
          <w:rFonts w:hint="default" w:ascii="Times New Roman Regular" w:hAnsi="Times New Roman Regular" w:cs="Times New Roman Regular"/>
          <w:b w:val="0"/>
          <w:bCs w:val="0"/>
          <w:color w:val="auto"/>
          <w:highlight w:val="none"/>
          <w:lang w:val="en-US" w:eastAsia="zh-CN"/>
        </w:rPr>
        <w:t>2004; Bhattacharyya,</w:t>
      </w:r>
      <w:r>
        <w:rPr>
          <w:rFonts w:hint="eastAsia" w:ascii="Times New Roman Regular" w:hAnsi="Times New Roman Regular" w:cs="Times New Roman Regular"/>
          <w:b w:val="0"/>
          <w:bCs w:val="0"/>
          <w:color w:val="auto"/>
          <w:highlight w:val="none"/>
          <w:lang w:val="en-US" w:eastAsia="zh-CN"/>
        </w:rPr>
        <w:t xml:space="preserve"> </w:t>
      </w:r>
      <w:r>
        <w:rPr>
          <w:rFonts w:hint="default" w:ascii="Times New Roman Regular" w:hAnsi="Times New Roman Regular" w:cs="Times New Roman Regular"/>
          <w:b w:val="0"/>
          <w:bCs w:val="0"/>
          <w:color w:val="auto"/>
          <w:highlight w:val="none"/>
          <w:lang w:val="en-US" w:eastAsia="zh-CN"/>
        </w:rPr>
        <w:t>2011;Sola Morales,</w:t>
      </w:r>
      <w:r>
        <w:rPr>
          <w:rFonts w:hint="eastAsia" w:ascii="Times New Roman Regular" w:hAnsi="Times New Roman Regular" w:cs="Times New Roman Regular"/>
          <w:b w:val="0"/>
          <w:bCs w:val="0"/>
          <w:color w:val="auto"/>
          <w:highlight w:val="none"/>
          <w:lang w:val="en-US" w:eastAsia="zh-CN"/>
        </w:rPr>
        <w:t xml:space="preserve"> </w:t>
      </w:r>
      <w:r>
        <w:rPr>
          <w:rFonts w:hint="default" w:ascii="Times New Roman Regular" w:hAnsi="Times New Roman Regular" w:cs="Times New Roman Regular"/>
          <w:b w:val="0"/>
          <w:bCs w:val="0"/>
          <w:color w:val="auto"/>
          <w:highlight w:val="none"/>
          <w:lang w:val="en-US" w:eastAsia="zh-CN"/>
        </w:rPr>
        <w:t>2013).</w:t>
      </w:r>
      <w:r>
        <w:rPr>
          <w:rFonts w:hint="eastAsia" w:ascii="Times New Roman Regular" w:hAnsi="Times New Roman Regular" w:cs="Times New Roman Regular"/>
          <w:b w:val="0"/>
          <w:bCs w:val="0"/>
          <w:color w:val="auto"/>
          <w:highlight w:val="none"/>
          <w:lang w:val="en-US" w:eastAsia="zh-CN"/>
        </w:rPr>
        <w:t xml:space="preserve"> </w:t>
      </w:r>
    </w:p>
    <w:p w14:paraId="336D1D4A">
      <w:pPr>
        <w:widowControl w:val="0"/>
        <w:numPr>
          <w:ilvl w:val="0"/>
          <w:numId w:val="0"/>
        </w:numPr>
        <w:jc w:val="both"/>
        <w:rPr>
          <w:rFonts w:hint="eastAsia" w:ascii="Times New Roman Regular" w:hAnsi="Times New Roman Regular" w:cs="Times New Roman Regular"/>
          <w:b w:val="0"/>
          <w:bCs w:val="0"/>
          <w:color w:val="auto"/>
          <w:highlight w:val="none"/>
          <w:lang w:val="en-US" w:eastAsia="zh-CN"/>
        </w:rPr>
      </w:pPr>
    </w:p>
    <w:p w14:paraId="70D94D1A">
      <w:pPr>
        <w:widowControl w:val="0"/>
        <w:numPr>
          <w:ilvl w:val="0"/>
          <w:numId w:val="0"/>
        </w:numPr>
        <w:jc w:val="both"/>
        <w:rPr>
          <w:rFonts w:hint="eastAsia"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auto"/>
          <w:highlight w:val="none"/>
        </w:rPr>
        <w:t>Campbell (2008) proposed from the perspective of mythological structuralism that the "hero's journey" is the core framework shared by global myths. Its cyclical and ritualistic nature not only gives myths historical continuity, but also shows that mythological narratives have a high degree of translatability and cultural adaptability potential</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(Jung,</w:t>
      </w:r>
      <w:r>
        <w:rPr>
          <w:rFonts w:hint="eastAsia" w:ascii="Times New Roman Regular" w:hAnsi="Times New Roman Regular" w:cs="Times New Roman Regular"/>
          <w:color w:val="auto"/>
          <w:highlight w:val="none"/>
          <w:lang w:val="en-US" w:eastAsia="zh-CN"/>
        </w:rPr>
        <w:t xml:space="preserve"> 2014</w:t>
      </w:r>
      <w:r>
        <w:rPr>
          <w:rFonts w:hint="default" w:ascii="Times New Roman Regular" w:hAnsi="Times New Roman Regular" w:cs="Times New Roman Regular"/>
          <w:color w:val="auto"/>
          <w:highlight w:val="none"/>
        </w:rPr>
        <w:t>; Lévi-Strauss,</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1955; van Gennep,</w:t>
      </w:r>
      <w:r>
        <w:rPr>
          <w:rFonts w:hint="eastAsia" w:ascii="Times New Roman Regular" w:hAnsi="Times New Roman Regular" w:cs="Times New Roman Regular"/>
          <w:color w:val="auto"/>
          <w:highlight w:val="none"/>
          <w:lang w:val="en-US" w:eastAsia="zh-CN"/>
        </w:rPr>
        <w:t xml:space="preserve"> 2019</w:t>
      </w:r>
      <w:r>
        <w:rPr>
          <w:rFonts w:hint="default" w:ascii="Times New Roman Regular" w:hAnsi="Times New Roman Regular" w:cs="Times New Roman Regular"/>
          <w:color w:val="auto"/>
          <w:highlight w:val="none"/>
        </w:rPr>
        <w:t>).</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This deep structure enables mythological content to be regenerated and updated in different contexts, becoming a spiritual resource shared by multiple cultures.</w:t>
      </w:r>
      <w:r>
        <w:rPr>
          <w:rFonts w:hint="eastAsia" w:ascii="Times New Roman Regular" w:hAnsi="Times New Roman Regular" w:cs="Times New Roman Regular"/>
          <w:color w:val="auto"/>
          <w:highlight w:val="none"/>
          <w:lang w:val="en-US" w:eastAsia="zh-CN"/>
        </w:rPr>
        <w:t xml:space="preserve"> </w:t>
      </w:r>
    </w:p>
    <w:p w14:paraId="76BBE4A6">
      <w:pPr>
        <w:widowControl w:val="0"/>
        <w:numPr>
          <w:ilvl w:val="0"/>
          <w:numId w:val="0"/>
        </w:numPr>
        <w:jc w:val="both"/>
        <w:rPr>
          <w:rFonts w:hint="eastAsia" w:ascii="Times New Roman Regular" w:hAnsi="Times New Roman Regular" w:cs="Times New Roman Regular"/>
          <w:color w:val="auto"/>
          <w:highlight w:val="none"/>
          <w:lang w:val="en-US" w:eastAsia="zh-CN"/>
        </w:rPr>
      </w:pPr>
    </w:p>
    <w:p w14:paraId="5C7BC84F">
      <w:pPr>
        <w:widowControl w:val="0"/>
        <w:numPr>
          <w:ilvl w:val="0"/>
          <w:numId w:val="0"/>
        </w:numPr>
        <w:jc w:val="both"/>
        <w:rPr>
          <w:rFonts w:hint="eastAsia"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auto"/>
          <w:highlight w:val="none"/>
        </w:rPr>
        <w:t>Barthes (1972) made a critical analysis of the modern transformation of mythology, arguing that it has been transformed into a "secondary semiological system" used to construct ideology in contemporary times. Especially in the context of media and advertising, it manifests as the "naturalization" process of visual discourse.</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This analysis emphasizes the "recontextualization" mechanism of mythology, in which symbols can be reorganized to suit new cultural purposes,</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but there is also a risk of meaning being manipulated and simplified</w:t>
      </w:r>
      <w:r>
        <w:rPr>
          <w:rFonts w:hint="eastAsia" w:ascii="Times New Roman Regular" w:hAnsi="Times New Roman Regular" w:cs="Times New Roman Regular"/>
          <w:color w:val="auto"/>
          <w:highlight w:val="none"/>
          <w:lang w:val="en-US" w:eastAsia="zh-CN"/>
        </w:rPr>
        <w:t xml:space="preserve"> (Brannen, 2004; Harrison, 2010; Lévi-Strauss, 1955)</w:t>
      </w:r>
      <w:r>
        <w:rPr>
          <w:rFonts w:hint="default" w:ascii="Times New Roman Regular" w:hAnsi="Times New Roman Regular" w:cs="Times New Roman Regular"/>
          <w:color w:val="auto"/>
          <w:highlight w:val="none"/>
        </w:rPr>
        <w:t>.</w:t>
      </w:r>
      <w:r>
        <w:rPr>
          <w:rFonts w:hint="eastAsia" w:ascii="Times New Roman Regular" w:hAnsi="Times New Roman Regular" w:cs="Times New Roman Regular"/>
          <w:color w:val="auto"/>
          <w:highlight w:val="none"/>
          <w:lang w:val="en-US" w:eastAsia="zh-CN"/>
        </w:rPr>
        <w:t xml:space="preserve"> </w:t>
      </w:r>
    </w:p>
    <w:p w14:paraId="42D4614E">
      <w:pPr>
        <w:widowControl w:val="0"/>
        <w:numPr>
          <w:ilvl w:val="0"/>
          <w:numId w:val="0"/>
        </w:numPr>
        <w:jc w:val="both"/>
        <w:rPr>
          <w:rFonts w:hint="eastAsia" w:ascii="Times New Roman Regular" w:hAnsi="Times New Roman Regular" w:cs="Times New Roman Regular"/>
          <w:color w:val="000000" w:themeColor="text1"/>
          <w:highlight w:val="none"/>
          <w:lang w:val="en-US" w:eastAsia="zh-CN"/>
          <w14:textFill>
            <w14:solidFill>
              <w14:schemeClr w14:val="tx1"/>
            </w14:solidFill>
          </w14:textFill>
        </w:rPr>
      </w:pPr>
    </w:p>
    <w:p w14:paraId="17AE7510">
      <w:pPr>
        <w:widowControl w:val="0"/>
        <w:numPr>
          <w:ilvl w:val="0"/>
          <w:numId w:val="0"/>
        </w:numPr>
        <w:jc w:val="both"/>
        <w:rPr>
          <w:rFonts w:hint="eastAsia"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000000" w:themeColor="text1"/>
          <w:highlight w:val="none"/>
          <w14:textFill>
            <w14:solidFill>
              <w14:schemeClr w14:val="tx1"/>
            </w14:solidFill>
          </w14:textFill>
        </w:rPr>
        <w:t>Jenkins (2006) further proposed the theory of "cross-media myth construction".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He believes that contemporary myths are no longer dependent on a single medium, but is generated through the collaboration of multiple platforms such as comics, film</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television, games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and illustrations, forming a distributed narrative system.</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 xml:space="preserve">This viewpoint emphasizes the plasticity of myths as </w:t>
      </w:r>
      <w:r>
        <w:rPr>
          <w:rFonts w:hint="default" w:ascii="Times New Roman Regular" w:hAnsi="Times New Roman Regular" w:cs="Times New Roman Regular"/>
          <w:color w:val="auto"/>
          <w:highlight w:val="none"/>
        </w:rPr>
        <w:t>"cultural prototypes" in different media environments, where audience participation plays a role in reproduction</w:t>
      </w:r>
      <w:r>
        <w:rPr>
          <w:rFonts w:hint="eastAsia" w:ascii="Times New Roman Regular" w:hAnsi="Times New Roman Regular" w:cs="Times New Roman Regular"/>
          <w:color w:val="auto"/>
          <w:highlight w:val="none"/>
          <w:lang w:val="en-US" w:eastAsia="zh-CN"/>
        </w:rPr>
        <w:t xml:space="preserve"> (Popa Blanariu and</w:t>
      </w:r>
      <w:bookmarkStart w:id="0" w:name="_GoBack"/>
      <w:bookmarkEnd w:id="0"/>
      <w:r>
        <w:rPr>
          <w:rFonts w:hint="eastAsia" w:ascii="Times New Roman Regular" w:hAnsi="Times New Roman Regular" w:cs="Times New Roman Regular"/>
          <w:color w:val="auto"/>
          <w:highlight w:val="none"/>
          <w:lang w:val="en-US" w:eastAsia="zh-CN"/>
        </w:rPr>
        <w:t xml:space="preserve"> Popa, 2018; Albertsen, 2023)</w:t>
      </w:r>
      <w:r>
        <w:rPr>
          <w:rFonts w:hint="default" w:ascii="Times New Roman Regular" w:hAnsi="Times New Roman Regular" w:cs="Times New Roman Regular"/>
          <w:color w:val="auto"/>
          <w:highlight w:val="none"/>
        </w:rPr>
        <w:t>.</w:t>
      </w:r>
      <w:r>
        <w:rPr>
          <w:rFonts w:hint="default"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This provides theoretical support for the re-narrative of myths in media such as illustrations.</w:t>
      </w:r>
      <w:r>
        <w:rPr>
          <w:rFonts w:hint="eastAsia" w:ascii="Times New Roman Regular" w:hAnsi="Times New Roman Regular" w:cs="Times New Roman Regular"/>
          <w:color w:val="auto"/>
          <w:highlight w:val="none"/>
          <w:lang w:val="en-US" w:eastAsia="zh-CN"/>
        </w:rPr>
        <w:t xml:space="preserve"> </w:t>
      </w:r>
    </w:p>
    <w:p w14:paraId="6301C6B9">
      <w:pPr>
        <w:widowControl w:val="0"/>
        <w:numPr>
          <w:ilvl w:val="0"/>
          <w:numId w:val="0"/>
        </w:numPr>
        <w:jc w:val="both"/>
        <w:rPr>
          <w:rFonts w:hint="eastAsia" w:ascii="Times New Roman Regular" w:hAnsi="Times New Roman Regular" w:cs="Times New Roman Regular"/>
          <w:color w:val="auto"/>
          <w:highlight w:val="none"/>
          <w:lang w:val="en-US" w:eastAsia="zh-CN"/>
        </w:rPr>
      </w:pPr>
    </w:p>
    <w:p w14:paraId="7D0AA1CB">
      <w:pPr>
        <w:widowControl w:val="0"/>
        <w:numPr>
          <w:ilvl w:val="0"/>
          <w:numId w:val="0"/>
        </w:numPr>
        <w:jc w:val="both"/>
        <w:rPr>
          <w:rFonts w:hint="eastAsia" w:ascii="Times New Roman Regular" w:hAnsi="Times New Roman Regular" w:cs="Times New Roman Regular"/>
          <w:color w:val="000000" w:themeColor="text1"/>
          <w:highlight w:val="none"/>
          <w:lang w:val="en-US" w:eastAsia="zh-CN"/>
          <w14:textFill>
            <w14:solidFill>
              <w14:schemeClr w14:val="tx1"/>
            </w14:solidFill>
          </w14:textFill>
        </w:rPr>
      </w:pPr>
      <w:r>
        <w:rPr>
          <w:rFonts w:hint="default" w:ascii="Times New Roman Regular" w:hAnsi="Times New Roman Regular" w:cs="Times New Roman Regular"/>
          <w:color w:val="auto"/>
          <w:highlight w:val="none"/>
        </w:rPr>
        <w:t>Lotman (1990) proposed from the perspective of cultural semiotics that mythological texts are essentially structures with "semantic ambiguity", and their meanings are constantly re</w:t>
      </w:r>
      <w:r>
        <w:rPr>
          <w:rFonts w:hint="default" w:ascii="Times New Roman Regular" w:hAnsi="Times New Roman Regular" w:cs="Times New Roman Regular"/>
          <w:color w:val="auto"/>
          <w:highlight w:val="none"/>
          <w:lang w:val="en-US" w:eastAsia="zh-CN"/>
        </w:rPr>
        <w:t>-</w:t>
      </w:r>
      <w:r>
        <w:rPr>
          <w:rFonts w:hint="default" w:ascii="Times New Roman Regular" w:hAnsi="Times New Roman Regular" w:cs="Times New Roman Regular"/>
          <w:color w:val="auto"/>
          <w:highlight w:val="none"/>
        </w:rPr>
        <w:t>encoded in communication between different cultures</w:t>
      </w:r>
      <w:r>
        <w:rPr>
          <w:rFonts w:hint="eastAsia" w:ascii="Times New Roman Regular" w:hAnsi="Times New Roman Regular" w:cs="Times New Roman Regular"/>
          <w:color w:val="auto"/>
          <w:highlight w:val="none"/>
          <w:lang w:val="en-US" w:eastAsia="zh-CN"/>
        </w:rPr>
        <w:t xml:space="preserve"> (Nöth, 2006; Greimas, 1983; Eco, 1979)</w:t>
      </w:r>
      <w:r>
        <w:rPr>
          <w:rFonts w:hint="default" w:ascii="Times New Roman Regular" w:hAnsi="Times New Roman Regular" w:cs="Times New Roman Regular"/>
          <w:color w:val="auto"/>
          <w:highlight w:val="none"/>
        </w:rPr>
        <w:t>.</w:t>
      </w:r>
      <w:r>
        <w:rPr>
          <w:rFonts w:hint="default" w:ascii="Times New Roman Regular" w:hAnsi="Times New Roman Regular" w:cs="Times New Roman Regular"/>
          <w:color w:val="auto"/>
          <w:highlight w:val="none"/>
          <w:lang w:val="en-US" w:eastAsia="zh-CN"/>
        </w:rPr>
        <w:t xml:space="preserve"> This means that the meaning of myths is not fixed, but rather a medium for intercultural dialogue, and their ambiguity has become an advantage in cross-cultural communication.</w:t>
      </w:r>
      <w:r>
        <w:rPr>
          <w:rFonts w:hint="eastAsia" w:ascii="Times New Roman Regular" w:hAnsi="Times New Roman Regular" w:cs="Times New Roman Regular"/>
          <w:color w:val="auto"/>
          <w:highlight w:val="none"/>
          <w:lang w:val="en-US" w:eastAsia="zh-CN"/>
        </w:rPr>
        <w:t xml:space="preserve"> This vie</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wpoint complements Campbell's view that mythological stories can be translated at a deeper level of structure, and is of great significance for exploring how illustrations can construct an "open mythological structure" in this research.</w:t>
      </w:r>
    </w:p>
    <w:p w14:paraId="4ACA78FA">
      <w:pPr>
        <w:rPr>
          <w:rFonts w:hint="default" w:ascii="Times New Roman Regular" w:hAnsi="Times New Roman Regular" w:cs="Times New Roman Regular"/>
        </w:rPr>
      </w:pPr>
    </w:p>
    <w:p w14:paraId="552074BB">
      <w:pPr>
        <w:rPr>
          <w:rFonts w:hint="eastAsia" w:ascii="Times New Roman Regular" w:hAnsi="Times New Roman Regular" w:cs="Times New Roman Regular" w:eastAsiaTheme="minorEastAsia"/>
          <w:highlight w:val="none"/>
          <w:lang w:val="en-US" w:eastAsia="zh-CN"/>
        </w:rPr>
      </w:pPr>
      <w:r>
        <w:rPr>
          <w:rFonts w:hint="default" w:ascii="Times New Roman Regular" w:hAnsi="Times New Roman Regular" w:cs="Times New Roman Regular"/>
          <w:highlight w:val="none"/>
        </w:rPr>
        <w:t>However, different scholars have different opinions on how to express myths in modern ways.</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Barthes believes that modern mythology is easily manipulated into propaganda tools or overly commercialized things.</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Campbell and Jenkins pay more attention to the positive impact of myths on people's psychology, as well as the advantages of flexible structure and easy dissemination of myth stories.</w:t>
      </w:r>
      <w:r>
        <w:rPr>
          <w:rFonts w:hint="eastAsia" w:ascii="Times New Roman Regular" w:hAnsi="Times New Roman Regular" w:cs="Times New Roman Regular"/>
          <w:highlight w:val="none"/>
          <w:lang w:val="en-US" w:eastAsia="zh-CN"/>
        </w:rPr>
        <w:t xml:space="preserve"> Lotman's view is more moderate. On the one hand, he emphasizes the "coding elasticity" of myths, believing that myths can be interpreted in multiple ways. On the other hand, he also admits that the meaning of myths may be lost in the process of dissemination.</w:t>
      </w:r>
    </w:p>
    <w:p w14:paraId="27A74001">
      <w:pPr>
        <w:rPr>
          <w:rFonts w:hint="eastAsia" w:ascii="Times New Roman Regular" w:hAnsi="Times New Roman Regular" w:cs="Times New Roman Regular"/>
          <w:lang w:eastAsia="zh-CN"/>
        </w:rPr>
      </w:pPr>
    </w:p>
    <w:p w14:paraId="28952625">
      <w:pPr>
        <w:rPr>
          <w:rFonts w:hint="eastAsia" w:ascii="Times New Roman Regular" w:hAnsi="Times New Roman Regular" w:cs="Times New Roman Regular"/>
          <w:highlight w:val="none"/>
          <w:lang w:val="en-US" w:eastAsia="zh-CN"/>
        </w:rPr>
      </w:pPr>
      <w:r>
        <w:rPr>
          <w:rFonts w:hint="eastAsia" w:ascii="Times New Roman Regular" w:hAnsi="Times New Roman Regular" w:cs="Times New Roman Regular"/>
          <w:highlight w:val="none"/>
          <w:lang w:eastAsia="zh-CN"/>
        </w:rPr>
        <w:t xml:space="preserve">These theories have three important implications for this </w:t>
      </w:r>
      <w:r>
        <w:rPr>
          <w:rFonts w:hint="eastAsia" w:ascii="Times New Roman Regular" w:hAnsi="Times New Roman Regular" w:cs="Times New Roman Regular"/>
          <w:highlight w:val="none"/>
          <w:lang w:val="en-US" w:eastAsia="zh-CN"/>
        </w:rPr>
        <w:t>research</w:t>
      </w:r>
      <w:r>
        <w:rPr>
          <w:rFonts w:hint="eastAsia" w:ascii="Times New Roman Regular" w:hAnsi="Times New Roman Regular" w:cs="Times New Roman Regular"/>
          <w:highlight w:val="none"/>
          <w:lang w:eastAsia="zh-CN"/>
        </w:rPr>
        <w:t xml:space="preserve">: </w:t>
      </w:r>
      <w:r>
        <w:rPr>
          <w:rFonts w:hint="eastAsia" w:ascii="Times New Roman Regular" w:hAnsi="Times New Roman Regular" w:cs="Times New Roman Regular"/>
          <w:highlight w:val="none"/>
          <w:lang w:val="en-US" w:eastAsia="zh-CN"/>
        </w:rPr>
        <w:t>F</w:t>
      </w:r>
      <w:r>
        <w:rPr>
          <w:rFonts w:hint="eastAsia" w:ascii="Times New Roman Regular" w:hAnsi="Times New Roman Regular" w:cs="Times New Roman Regular"/>
          <w:highlight w:val="none"/>
          <w:lang w:eastAsia="zh-CN"/>
        </w:rPr>
        <w:t>irst, the content of myth is not immutable, but a cultural structure that can be reconstructed;</w:t>
      </w:r>
      <w:r>
        <w:rPr>
          <w:rFonts w:hint="eastAsia" w:ascii="Times New Roman Regular" w:hAnsi="Times New Roman Regular" w:cs="Times New Roman Regular"/>
          <w:highlight w:val="none"/>
          <w:lang w:val="en-US" w:eastAsia="zh-CN"/>
        </w:rPr>
        <w:t xml:space="preserve"> Secondly, as a medium for re-narrative, illustrations should respect the cultural tension of mythological structures and avoid oversimplification of the meaning of the image; Third, in the dynamic and interactive context, mythological visualization needs to consider both "symbolic" and "structural" to explore how to transform traditional myths into participatory and reconfigurable image systems.</w:t>
      </w:r>
    </w:p>
    <w:p w14:paraId="3A02B29C">
      <w:pPr>
        <w:rPr>
          <w:rFonts w:hint="default" w:ascii="Times New Roman Regular" w:hAnsi="Times New Roman Regular" w:cs="Times New Roman Regular"/>
          <w:lang w:val="en-US" w:eastAsia="zh-CN"/>
        </w:rPr>
      </w:pPr>
    </w:p>
    <w:p w14:paraId="18AC129E">
      <w:pPr>
        <w:rPr>
          <w:rFonts w:hint="default" w:ascii="Times New Roman Bold" w:hAnsi="Times New Roman Bold" w:cs="Times New Roman Bold"/>
          <w:b/>
          <w:bCs/>
          <w:color w:val="4874CB" w:themeColor="accent1"/>
          <w:highlight w:val="none"/>
          <w:lang w:val="en-US" w:eastAsia="zh-CN"/>
          <w14:textFill>
            <w14:solidFill>
              <w14:schemeClr w14:val="accent1"/>
            </w14:solidFill>
          </w14:textFill>
        </w:rPr>
      </w:pPr>
      <w:r>
        <w:rPr>
          <w:rFonts w:hint="default" w:ascii="Times New Roman Bold" w:hAnsi="Times New Roman Bold" w:cs="Times New Roman Bold"/>
          <w:b/>
          <w:bCs/>
          <w:highlight w:val="none"/>
          <w:lang w:val="en-US" w:eastAsia="zh-CN"/>
        </w:rPr>
        <w:t xml:space="preserve">3.2 </w:t>
      </w:r>
      <w:r>
        <w:rPr>
          <w:rFonts w:hint="default" w:ascii="Times New Roman Bold" w:hAnsi="Times New Roman Bold" w:cs="Times New Roman Bold"/>
          <w:b/>
          <w:bCs/>
          <w:highlight w:val="none"/>
        </w:rPr>
        <w:t>The Role of</w:t>
      </w:r>
      <w:r>
        <w:rPr>
          <w:rFonts w:hint="eastAsia" w:ascii="Times New Roman Bold" w:hAnsi="Times New Roman Bold" w:cs="Times New Roman Bold"/>
          <w:b/>
          <w:bCs/>
          <w:highlight w:val="none"/>
          <w:lang w:val="en-US" w:eastAsia="zh-CN"/>
        </w:rPr>
        <w:t xml:space="preserve"> N</w:t>
      </w:r>
      <w:r>
        <w:rPr>
          <w:rFonts w:hint="default" w:ascii="Times New Roman Bold" w:hAnsi="Times New Roman Bold" w:cs="Times New Roman Bold"/>
          <w:b/>
          <w:bCs/>
          <w:highlight w:val="none"/>
        </w:rPr>
        <w:t xml:space="preserve">ew Technologies in Promoting Effective Cultural </w:t>
      </w:r>
      <w:r>
        <w:rPr>
          <w:rFonts w:hint="eastAsia" w:ascii="Times New Roman Bold" w:hAnsi="Times New Roman Bold" w:cs="Times New Roman Bold"/>
          <w:b/>
          <w:bCs/>
          <w:highlight w:val="none"/>
          <w:lang w:val="en-US" w:eastAsia="zh-CN"/>
        </w:rPr>
        <w:t>Communication</w:t>
      </w:r>
    </w:p>
    <w:p w14:paraId="0BDAB071">
      <w:pPr>
        <w:rPr>
          <w:rFonts w:hint="eastAsia" w:ascii="Times New Roman Regular" w:hAnsi="Times New Roman Regular" w:cs="Times New Roman Regular"/>
          <w:color w:val="000000" w:themeColor="text1"/>
          <w:highlight w:val="none"/>
          <w:lang w:val="en-US" w:eastAsia="zh-CN"/>
          <w14:textFill>
            <w14:solidFill>
              <w14:schemeClr w14:val="tx1"/>
            </w14:solidFill>
          </w14:textFill>
        </w:rPr>
      </w:pPr>
      <w:r>
        <w:rPr>
          <w:rFonts w:hint="default" w:ascii="Times New Roman Regular" w:hAnsi="Times New Roman Regular" w:cs="Times New Roman Regular"/>
          <w:color w:val="000000" w:themeColor="text1"/>
          <w:highlight w:val="none"/>
          <w14:textFill>
            <w14:solidFill>
              <w14:schemeClr w14:val="tx1"/>
            </w14:solidFill>
          </w14:textFill>
        </w:rPr>
        <w:t>The rapid development of digital media has provided many new opportunities for cultural dissemination, especially in fields such as illustration, animation</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highlight w:val="none"/>
          <w14:textFill>
            <w14:solidFill>
              <w14:schemeClr w14:val="tx1"/>
            </w14:solidFill>
          </w14:textFill>
        </w:rPr>
        <w:t>and digital art. The modularity and interactivity of media have become key variables in creative and communication strategies.</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   In</w:t>
      </w:r>
      <w:r>
        <w:rPr>
          <w:rFonts w:hint="eastAsia" w:ascii="Times New Roman Regular" w:hAnsi="Times New Roman Regular" w:cs="Times New Roman Regular"/>
          <w:color w:val="auto"/>
          <w:highlight w:val="none"/>
          <w:lang w:val="en-US" w:eastAsia="zh-CN"/>
        </w:rPr>
        <w:t xml:space="preserve"> his book </w:t>
      </w:r>
      <w:r>
        <w:rPr>
          <w:rFonts w:hint="default" w:ascii="Times New Roman Italic" w:hAnsi="Times New Roman Italic" w:cs="Times New Roman Italic"/>
          <w:i/>
          <w:iCs/>
          <w:color w:val="auto"/>
          <w:highlight w:val="none"/>
          <w:lang w:val="en-US" w:eastAsia="zh-CN"/>
        </w:rPr>
        <w:t>The Language of New Media</w:t>
      </w:r>
      <w:r>
        <w:rPr>
          <w:rFonts w:hint="eastAsia" w:ascii="Times New Roman Regular" w:hAnsi="Times New Roman Regular" w:cs="Times New Roman Regular"/>
          <w:color w:val="auto"/>
          <w:highlight w:val="none"/>
          <w:lang w:val="en-US" w:eastAsia="zh-CN"/>
        </w:rPr>
        <w:t>, Manovich (2002) pointed out that the five characteristics of digital media (digitalization, modularity, automation, variability and interactivity) make cultural content no longer fixed, but a reconfigurable system (Lunenfeld, 2001; Murray, 1997; Castells, 2011). This "v</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 xml:space="preserve">ariability" feature has fundamental significance for the dissemination of illustrations, as it breaks the closed structure of static images and makes them a "dynamic interface for meaning generation". </w:t>
      </w:r>
    </w:p>
    <w:p w14:paraId="70C2275E">
      <w:pPr>
        <w:rPr>
          <w:rFonts w:hint="eastAsia" w:ascii="Times New Roman Regular" w:hAnsi="Times New Roman Regular" w:cs="Times New Roman Regular"/>
          <w:color w:val="000000" w:themeColor="text1"/>
          <w:highlight w:val="none"/>
          <w:lang w:val="en-US" w:eastAsia="zh-CN"/>
          <w14:textFill>
            <w14:solidFill>
              <w14:schemeClr w14:val="tx1"/>
            </w14:solidFill>
          </w14:textFill>
        </w:rPr>
      </w:pPr>
    </w:p>
    <w:p w14:paraId="08E90D2B">
      <w:pPr>
        <w:rPr>
          <w:rFonts w:hint="default"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000000" w:themeColor="text1"/>
          <w:highlight w:val="none"/>
          <w14:textFill>
            <w14:solidFill>
              <w14:schemeClr w14:val="tx1"/>
            </w14:solidFill>
          </w14:textFill>
        </w:rPr>
        <w:t>The concept of "remediation" proposed by Bolter and Grusin (</w:t>
      </w:r>
      <w:r>
        <w:rPr>
          <w:rFonts w:hint="eastAsia" w:ascii="Times New Roman Regular" w:hAnsi="Times New Roman Regular" w:cs="Times New Roman Regular"/>
          <w:color w:val="000000" w:themeColor="text1"/>
          <w:highlight w:val="none"/>
          <w:lang w:val="en-US" w:eastAsia="zh-CN"/>
          <w14:textFill>
            <w14:solidFill>
              <w14:schemeClr w14:val="tx1"/>
            </w14:solidFill>
          </w14:textFill>
        </w:rPr>
        <w:t>2000</w:t>
      </w:r>
      <w:r>
        <w:rPr>
          <w:rFonts w:hint="default" w:ascii="Times New Roman Regular" w:hAnsi="Times New Roman Regular" w:cs="Times New Roman Regular"/>
          <w:color w:val="000000" w:themeColor="text1"/>
          <w:highlight w:val="none"/>
          <w14:textFill>
            <w14:solidFill>
              <w14:schemeClr w14:val="tx1"/>
            </w14:solidFill>
          </w14:textFill>
        </w:rPr>
        <w:t>) emphasizes that new technologies a</w:t>
      </w:r>
      <w:r>
        <w:rPr>
          <w:rFonts w:hint="default" w:ascii="Times New Roman Regular" w:hAnsi="Times New Roman Regular" w:cs="Times New Roman Regular"/>
          <w:color w:val="auto"/>
          <w:highlight w:val="none"/>
        </w:rPr>
        <w:t>re not only "transmission means" but also a mechanism for reconstructing "expression forms"</w:t>
      </w:r>
      <w:r>
        <w:rPr>
          <w:rFonts w:hint="eastAsia" w:ascii="Times New Roman Regular" w:hAnsi="Times New Roman Regular" w:cs="Times New Roman Regular"/>
          <w:color w:val="auto"/>
          <w:highlight w:val="none"/>
          <w:lang w:val="en-US" w:eastAsia="zh-CN"/>
        </w:rPr>
        <w:t xml:space="preserve"> (McLuhan, 1994; Chun, 2008; Gitelman, 2008)</w:t>
      </w:r>
      <w:r>
        <w:rPr>
          <w:rFonts w:hint="default" w:ascii="Times New Roman Regular" w:hAnsi="Times New Roman Regular" w:cs="Times New Roman Regular"/>
          <w:color w:val="auto"/>
          <w:highlight w:val="none"/>
        </w:rPr>
        <w:t>.</w:t>
      </w:r>
      <w:r>
        <w:rPr>
          <w:rFonts w:hint="default" w:ascii="Times New Roman Regular" w:hAnsi="Times New Roman Regular" w:cs="Times New Roman Regular"/>
          <w:color w:val="auto"/>
          <w:highlight w:val="none"/>
          <w:lang w:val="en-US" w:eastAsia="zh-CN"/>
        </w:rPr>
        <w:t xml:space="preserve"> They believe that new media does not replace old media, but forms a new expression logic by absorbing, reconstructing or even imitating traditional media forms. This theory suggests that digital illustrations are not only image digitization, but also language reconstruction, that is, the visual narrative logic, rhythm and composition of illustrations should be redesigned to adapt to the interactive media environment, which is particularly important for the contemporary expression of illustrations.</w:t>
      </w:r>
    </w:p>
    <w:p w14:paraId="3D90EF78">
      <w:pPr>
        <w:rPr>
          <w:rFonts w:hint="default" w:ascii="Times New Roman Regular" w:hAnsi="Times New Roman Regular" w:cs="Times New Roman Regular"/>
          <w:color w:val="auto"/>
          <w:highlight w:val="none"/>
          <w:lang w:val="en-US" w:eastAsia="zh-CN"/>
        </w:rPr>
      </w:pPr>
    </w:p>
    <w:p w14:paraId="23EB1D45">
      <w:pPr>
        <w:rPr>
          <w:rFonts w:hint="default" w:ascii="Times New Roman Regular" w:hAnsi="Times New Roman Regular" w:cs="Times New Roman Regular"/>
          <w:color w:val="000000" w:themeColor="text1"/>
          <w:highlight w:val="none"/>
          <w14:textFill>
            <w14:solidFill>
              <w14:schemeClr w14:val="tx1"/>
            </w14:solidFill>
          </w14:textFill>
        </w:rPr>
      </w:pPr>
      <w:r>
        <w:rPr>
          <w:rFonts w:hint="default" w:ascii="Times New Roman Regular" w:hAnsi="Times New Roman Regular" w:cs="Times New Roman Regular"/>
          <w:color w:val="auto"/>
          <w:highlight w:val="none"/>
        </w:rPr>
        <w:t>Papastergiadis (201</w:t>
      </w:r>
      <w:r>
        <w:rPr>
          <w:rFonts w:hint="eastAsia" w:ascii="Times New Roman Regular" w:hAnsi="Times New Roman Regular" w:cs="Times New Roman Regular"/>
          <w:color w:val="auto"/>
          <w:highlight w:val="none"/>
          <w:lang w:val="en-US" w:eastAsia="zh-CN"/>
        </w:rPr>
        <w:t>3</w:t>
      </w:r>
      <w:r>
        <w:rPr>
          <w:rFonts w:hint="default" w:ascii="Times New Roman Regular" w:hAnsi="Times New Roman Regular" w:cs="Times New Roman Regular"/>
          <w:color w:val="auto"/>
          <w:highlight w:val="none"/>
        </w:rPr>
        <w:t>) further pointed out from the perspective of cultural studies that the biggest change brought by technology is not only at the image level, but in the transformation of "understanding mechanism".</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He proposed the concept of "cultural interface", believing that technology can reduce semantic barriers and enhance cultural cognition by establishing understanding channels for users with different cultural backgrounds</w:t>
      </w:r>
      <w:r>
        <w:rPr>
          <w:rFonts w:hint="eastAsia" w:ascii="Times New Roman Regular" w:hAnsi="Times New Roman Regular" w:cs="Times New Roman Regular"/>
          <w:color w:val="auto"/>
          <w:highlight w:val="none"/>
          <w:lang w:val="en-US" w:eastAsia="zh-CN"/>
        </w:rPr>
        <w:t xml:space="preserve"> (Nakata, 2007; Kress, 2003)</w:t>
      </w:r>
      <w:r>
        <w:rPr>
          <w:rFonts w:hint="default" w:ascii="Times New Roman Regular" w:hAnsi="Times New Roman Regular" w:cs="Times New Roman Regular"/>
          <w:color w:val="auto"/>
          <w:highlight w:val="none"/>
        </w:rPr>
        <w:t>.</w:t>
      </w:r>
      <w:r>
        <w:rPr>
          <w:rFonts w:hint="eastAsia"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This viewpoint elevates "user experience" to an important participant in cultural constructio</w:t>
      </w:r>
      <w:r>
        <w:rPr>
          <w:rFonts w:hint="default" w:ascii="Times New Roman Regular" w:hAnsi="Times New Roman Regular" w:cs="Times New Roman Regular"/>
          <w:color w:val="000000" w:themeColor="text1"/>
          <w:highlight w:val="none"/>
          <w14:textFill>
            <w14:solidFill>
              <w14:schemeClr w14:val="tx1"/>
            </w14:solidFill>
          </w14:textFill>
        </w:rPr>
        <w:t>n, providing social and cultural significance support for interactive design of illustrations.</w:t>
      </w:r>
    </w:p>
    <w:p w14:paraId="5CA8F192">
      <w:pPr>
        <w:rPr>
          <w:rFonts w:hint="default" w:ascii="Times New Roman Regular" w:hAnsi="Times New Roman Regular" w:cs="Times New Roman Regular"/>
          <w:highlight w:val="none"/>
        </w:rPr>
      </w:pPr>
    </w:p>
    <w:p w14:paraId="474C5B70">
      <w:pPr>
        <w:rPr>
          <w:rFonts w:hint="default" w:ascii="Times New Roman Regular" w:hAnsi="Times New Roman Regular" w:cs="Times New Roman Regular"/>
          <w:b w:val="0"/>
          <w:bCs/>
          <w:sz w:val="21"/>
          <w:szCs w:val="21"/>
          <w:highlight w:val="none"/>
        </w:rPr>
      </w:pPr>
      <w:r>
        <w:rPr>
          <w:rFonts w:hint="default" w:ascii="Times New Roman Regular" w:hAnsi="Times New Roman Regular" w:cs="Times New Roman Regular"/>
          <w:highlight w:val="none"/>
        </w:rPr>
        <w:t>However, there are also differences in the positions of scholars on the cultural functions of new technologies. Bolter is more inclined to the innovation of visual forms, emphasizing the changes in the expression mode caused by the media structure</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Papastergiadis is more concerned with the process of "cultural adaptation", that is, how to achieve cross-cultural understanding through media design.</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highlight w:val="none"/>
        </w:rPr>
        <w:t>Manovich's viewpoint combines both, emphasizing the openness of technological structure and acknowledging the decisive role of user behavior in meaning generation.</w:t>
      </w:r>
      <w:r>
        <w:rPr>
          <w:rFonts w:hint="eastAsia" w:ascii="Times New Roman Regular" w:hAnsi="Times New Roman Regular" w:cs="Times New Roman Regular"/>
          <w:highlight w:val="none"/>
          <w:lang w:val="en-US" w:eastAsia="zh-CN"/>
        </w:rPr>
        <w:t xml:space="preserve"> </w:t>
      </w:r>
      <w:r>
        <w:rPr>
          <w:rFonts w:hint="default" w:ascii="Times New Roman Regular" w:hAnsi="Times New Roman Regular" w:cs="Times New Roman Regular"/>
          <w:b w:val="0"/>
          <w:bCs/>
          <w:sz w:val="21"/>
          <w:szCs w:val="21"/>
          <w:highlight w:val="none"/>
        </w:rPr>
        <w:t>The disagreement among scholars</w:t>
      </w:r>
      <w:r>
        <w:rPr>
          <w:rFonts w:hint="eastAsia" w:ascii="Times New Roman Regular" w:hAnsi="Times New Roman Regular" w:cs="Times New Roman Regular"/>
          <w:b w:val="0"/>
          <w:bCs/>
          <w:sz w:val="21"/>
          <w:szCs w:val="21"/>
          <w:highlight w:val="none"/>
          <w:lang w:val="en-US" w:eastAsia="zh-CN"/>
        </w:rPr>
        <w:t xml:space="preserve"> </w:t>
      </w:r>
      <w:r>
        <w:rPr>
          <w:rFonts w:hint="default" w:ascii="Times New Roman Regular" w:hAnsi="Times New Roman Regular" w:cs="Times New Roman Regular"/>
          <w:b w:val="0"/>
          <w:bCs/>
          <w:sz w:val="21"/>
          <w:szCs w:val="21"/>
          <w:highlight w:val="none"/>
        </w:rPr>
        <w:t>shows that technology must be regarded as a means of constructing a "cultural interface" and "channel of understanding" to design interactive paths that can guide users to participate in the construction of meaning according to their own cultural background, rather than just providing a linear viewing sequence. Therefore, the dynamic and interactive design of mythological illustrations in the future must not only change the way of visual presentation, but also reorganize the process of transmitting cultural meaning.</w:t>
      </w:r>
    </w:p>
    <w:p w14:paraId="40BD5D6A">
      <w:pPr>
        <w:rPr>
          <w:rFonts w:hint="eastAsia" w:eastAsiaTheme="minorEastAsia"/>
          <w:lang w:eastAsia="zh-CN"/>
        </w:rPr>
      </w:pPr>
    </w:p>
    <w:p w14:paraId="33A03195">
      <w:pPr>
        <w:rPr>
          <w:rFonts w:hint="eastAsia"/>
          <w:color w:val="4874CB" w:themeColor="accent1"/>
          <w:highlight w:val="none"/>
          <w14:textFill>
            <w14:solidFill>
              <w14:schemeClr w14:val="accent1"/>
            </w14:solidFill>
          </w14:textFill>
        </w:rPr>
      </w:pPr>
      <w:r>
        <w:rPr>
          <w:rFonts w:hint="default" w:ascii="Times New Roman Bold" w:hAnsi="Times New Roman Bold" w:cs="Times New Roman Bold"/>
          <w:b/>
          <w:bCs/>
          <w:sz w:val="21"/>
          <w:szCs w:val="21"/>
          <w:highlight w:val="none"/>
          <w:lang w:val="en-US" w:eastAsia="zh-CN"/>
        </w:rPr>
        <w:t>3.</w:t>
      </w:r>
      <w:r>
        <w:rPr>
          <w:rFonts w:hint="eastAsia" w:ascii="Times New Roman Bold" w:hAnsi="Times New Roman Bold" w:cs="Times New Roman Bold"/>
          <w:b/>
          <w:bCs/>
          <w:sz w:val="21"/>
          <w:szCs w:val="21"/>
          <w:highlight w:val="none"/>
          <w:lang w:val="en-US" w:eastAsia="zh-CN"/>
        </w:rPr>
        <w:t>3</w:t>
      </w:r>
      <w:r>
        <w:rPr>
          <w:rFonts w:hint="default" w:ascii="Times New Roman Bold" w:hAnsi="Times New Roman Bold" w:cs="Times New Roman Bold"/>
          <w:b/>
          <w:bCs/>
          <w:sz w:val="21"/>
          <w:szCs w:val="21"/>
          <w:highlight w:val="none"/>
          <w:lang w:val="en-US" w:eastAsia="zh-CN"/>
        </w:rPr>
        <w:t xml:space="preserve"> </w:t>
      </w:r>
      <w:r>
        <w:rPr>
          <w:rFonts w:hint="default" w:ascii="Times New Roman Bold" w:hAnsi="Times New Roman Bold" w:cs="Times New Roman Bold"/>
          <w:b/>
          <w:highlight w:val="none"/>
        </w:rPr>
        <w:t xml:space="preserve">The Adaptability and Communication Potential of Visual </w:t>
      </w:r>
      <w:r>
        <w:rPr>
          <w:rFonts w:hint="default" w:ascii="Times New Roman Bold" w:hAnsi="Times New Roman Bold" w:cs="Times New Roman Bold"/>
          <w:b/>
          <w:bCs/>
          <w:sz w:val="21"/>
          <w:szCs w:val="21"/>
          <w:highlight w:val="none"/>
          <w:lang w:val="en-US" w:eastAsia="zh-CN"/>
        </w:rPr>
        <w:t>S</w:t>
      </w:r>
      <w:r>
        <w:rPr>
          <w:rFonts w:hint="default" w:ascii="Times New Roman Bold" w:hAnsi="Times New Roman Bold" w:cs="Times New Roman Bold"/>
          <w:b/>
          <w:bCs/>
          <w:sz w:val="21"/>
          <w:szCs w:val="21"/>
          <w:highlight w:val="none"/>
        </w:rPr>
        <w:t>torytelling</w:t>
      </w:r>
      <w:r>
        <w:rPr>
          <w:rFonts w:hint="default" w:ascii="Times New Roman Bold" w:hAnsi="Times New Roman Bold" w:cs="Times New Roman Bold"/>
          <w:b/>
          <w:highlight w:val="none"/>
        </w:rPr>
        <w:t xml:space="preserve"> in Multicultural </w:t>
      </w:r>
      <w:r>
        <w:rPr>
          <w:rFonts w:hint="eastAsia" w:ascii="Times New Roman Bold" w:hAnsi="Times New Roman Bold" w:cs="Times New Roman Bold"/>
          <w:b/>
          <w:highlight w:val="none"/>
          <w:lang w:val="en-US" w:eastAsia="zh-CN"/>
        </w:rPr>
        <w:t>E</w:t>
      </w:r>
      <w:r>
        <w:rPr>
          <w:rFonts w:hint="default" w:ascii="Times New Roman Bold" w:hAnsi="Times New Roman Bold" w:cs="Times New Roman Bold"/>
          <w:b/>
          <w:highlight w:val="none"/>
        </w:rPr>
        <w:t>xchanges</w:t>
      </w:r>
    </w:p>
    <w:p w14:paraId="5AE7B9B3">
      <w:pPr>
        <w:rPr>
          <w:rFonts w:hint="eastAsia" w:ascii="Times New Roman Regular" w:hAnsi="Times New Roman Regular" w:cs="Times New Roman Regular"/>
          <w:color w:val="000000" w:themeColor="text1"/>
          <w:lang w:val="en-US" w:eastAsia="zh-CN"/>
          <w14:textFill>
            <w14:solidFill>
              <w14:schemeClr w14:val="tx1"/>
            </w14:solidFill>
          </w14:textFill>
        </w:rPr>
      </w:pPr>
      <w:r>
        <w:rPr>
          <w:rFonts w:hint="default" w:ascii="Times New Roman Regular" w:hAnsi="Times New Roman Regular" w:cs="Times New Roman Regular"/>
          <w:color w:val="000000" w:themeColor="text1"/>
          <w14:textFill>
            <w14:solidFill>
              <w14:schemeClr w14:val="tx1"/>
            </w14:solidFill>
          </w14:textFill>
        </w:rPr>
        <w:t xml:space="preserve">As an important medium for cross-cultural communication, the communication potential of images has been widely discussed in academia. Kress and van Leeuwen (2020) pointed out in the book </w:t>
      </w:r>
      <w:r>
        <w:rPr>
          <w:rFonts w:hint="default" w:ascii="Times New Roman Italic" w:hAnsi="Times New Roman Italic" w:cs="Times New Roman Italic"/>
          <w:i/>
          <w:iCs/>
          <w:color w:val="000000" w:themeColor="text1"/>
          <w14:textFill>
            <w14:solidFill>
              <w14:schemeClr w14:val="tx1"/>
            </w14:solidFill>
          </w14:textFill>
        </w:rPr>
        <w:t>Reading Images: The Grammar of Visual Design</w:t>
      </w:r>
      <w:r>
        <w:rPr>
          <w:rFonts w:hint="default" w:ascii="Times New Roman Regular" w:hAnsi="Times New Roman Regular" w:cs="Times New Roman Regular"/>
          <w:color w:val="000000" w:themeColor="text1"/>
          <w14:textFill>
            <w14:solidFill>
              <w14:schemeClr w14:val="tx1"/>
            </w14:solidFill>
          </w14:textFill>
        </w:rPr>
        <w:t xml:space="preserve"> that visual communication is like a cultural "grammar". Its structure is not static, but generates meaning in different contexts. This theory shows</w:t>
      </w:r>
      <w:r>
        <w:rPr>
          <w:rFonts w:hint="default" w:ascii="Times New Roman Regular" w:hAnsi="Times New Roman Regular" w:cs="Times New Roman Regular"/>
          <w:color w:val="auto"/>
        </w:rPr>
        <w:t xml:space="preserve"> that images have a certain cross-cultural plasticity, but need to "context-resolved reading"</w:t>
      </w:r>
      <w:r>
        <w:rPr>
          <w:rFonts w:hint="eastAsia" w:ascii="Times New Roman Regular" w:hAnsi="Times New Roman Regular" w:cs="Times New Roman Regular"/>
          <w:color w:val="auto"/>
          <w:lang w:val="en-US" w:eastAsia="zh-CN"/>
        </w:rPr>
        <w:t>(Oyama, 2000; Fu, 2018; Cohn, 2013)</w:t>
      </w:r>
      <w:r>
        <w:rPr>
          <w:rFonts w:hint="default" w:ascii="Times New Roman Regular" w:hAnsi="Times New Roman Regular" w:cs="Times New Roman Regular"/>
          <w:color w:val="auto"/>
        </w:rPr>
        <w:t>. Messaris (1994) further emphasized that images have the characteristics of "immediacy" and "ambiguity", which makes images more penetrating than text, especially when facing multicultural audiences, "</w:t>
      </w:r>
      <w:r>
        <w:rPr>
          <w:rFonts w:hint="default" w:ascii="Times New Roman Regular" w:hAnsi="Times New Roman Regular" w:cs="Times New Roman Regular"/>
          <w:color w:val="000000" w:themeColor="text1"/>
          <w14:textFill>
            <w14:solidFill>
              <w14:schemeClr w14:val="tx1"/>
            </w14:solidFill>
          </w14:textFill>
        </w:rPr>
        <w:t>ambiguity" becomes an advantage in stimulating the co-creation of meaning.</w:t>
      </w:r>
      <w:r>
        <w:rPr>
          <w:rFonts w:hint="eastAsia" w:ascii="Times New Roman Regular" w:hAnsi="Times New Roman Regular" w:cs="Times New Roman Regular"/>
          <w:color w:val="000000" w:themeColor="text1"/>
          <w:lang w:val="en-US" w:eastAsia="zh-CN"/>
          <w14:textFill>
            <w14:solidFill>
              <w14:schemeClr w14:val="tx1"/>
            </w14:solidFill>
          </w14:textFill>
        </w:rPr>
        <w:t xml:space="preserve"> </w:t>
      </w:r>
    </w:p>
    <w:p w14:paraId="2E845208">
      <w:pPr>
        <w:rPr>
          <w:rFonts w:hint="eastAsia" w:ascii="Times New Roman Regular" w:hAnsi="Times New Roman Regular" w:cs="Times New Roman Regular"/>
          <w:color w:val="000000" w:themeColor="text1"/>
          <w:lang w:val="en-US" w:eastAsia="zh-CN"/>
          <w14:textFill>
            <w14:solidFill>
              <w14:schemeClr w14:val="tx1"/>
            </w14:solidFill>
          </w14:textFill>
        </w:rPr>
      </w:pPr>
    </w:p>
    <w:p w14:paraId="640B87EB">
      <w:pPr>
        <w:rPr>
          <w:rFonts w:hint="eastAsia" w:ascii="Times New Roman Regular" w:hAnsi="Times New Roman Regular" w:cs="Times New Roman Regular"/>
        </w:rPr>
      </w:pPr>
      <w:r>
        <w:rPr>
          <w:rFonts w:hint="default" w:ascii="Times New Roman Regular" w:hAnsi="Times New Roman Regular" w:cs="Times New Roman Regular"/>
          <w:color w:val="000000" w:themeColor="text1"/>
          <w14:textFill>
            <w14:solidFill>
              <w14:schemeClr w14:val="tx1"/>
            </w14:solidFill>
          </w14:textFill>
        </w:rPr>
        <w:t xml:space="preserve">Murray (2017) proposed in his book </w:t>
      </w:r>
      <w:r>
        <w:rPr>
          <w:rFonts w:hint="default" w:ascii="Times New Roman Italic" w:hAnsi="Times New Roman Italic" w:cs="Times New Roman Italic"/>
          <w:i/>
          <w:iCs/>
          <w:color w:val="000000" w:themeColor="text1"/>
          <w14:textFill>
            <w14:solidFill>
              <w14:schemeClr w14:val="tx1"/>
            </w14:solidFill>
          </w14:textFill>
        </w:rPr>
        <w:t>Hamlet on the Holodeck</w:t>
      </w:r>
      <w:r>
        <w:rPr>
          <w:rFonts w:hint="default" w:ascii="Times New Roman Regular" w:hAnsi="Times New Roman Regular" w:cs="Times New Roman Regular"/>
          <w:color w:val="000000" w:themeColor="text1"/>
          <w14:textFill>
            <w14:solidFill>
              <w14:schemeClr w14:val="tx1"/>
            </w14:solidFill>
          </w14:textFill>
        </w:rPr>
        <w:t xml:space="preserve"> that visual storytelling in digital environments should possess characteristics of </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immersion</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 xml:space="preserve">, </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participation</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 xml:space="preserve"> and </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non-linearity</w:t>
      </w:r>
      <w:r>
        <w:rPr>
          <w:rFonts w:hint="default" w:ascii="Times New Roman Regular" w:hAnsi="Times New Roman Regular" w:cs="Times New Roman Regular"/>
          <w:color w:val="000000" w:themeColor="text1"/>
          <w:lang w:val="en-US" w:eastAsia="zh-CN"/>
          <w14:textFill>
            <w14:solidFill>
              <w14:schemeClr w14:val="tx1"/>
            </w14:solidFill>
          </w14:textFill>
        </w:rPr>
        <w:t>”</w:t>
      </w:r>
      <w:r>
        <w:rPr>
          <w:rFonts w:hint="default" w:ascii="Times New Roman Regular" w:hAnsi="Times New Roman Regular" w:cs="Times New Roman Regular"/>
          <w:color w:val="000000" w:themeColor="text1"/>
          <w14:textFill>
            <w14:solidFill>
              <w14:schemeClr w14:val="tx1"/>
            </w14:solidFill>
          </w14:textFill>
        </w:rPr>
        <w:t>. This participation mechanism makes users no longer passive observers, but active meaning constructor</w:t>
      </w:r>
      <w:r>
        <w:rPr>
          <w:rFonts w:hint="default" w:ascii="Times New Roman Regular" w:hAnsi="Times New Roman Regular" w:cs="Times New Roman Regular"/>
          <w:color w:val="auto"/>
        </w:rPr>
        <w:t>s</w:t>
      </w:r>
      <w:r>
        <w:rPr>
          <w:rFonts w:hint="eastAsia" w:ascii="Times New Roman Regular" w:hAnsi="Times New Roman Regular" w:cs="Times New Roman Regular"/>
          <w:color w:val="auto"/>
          <w:lang w:val="en-US" w:eastAsia="zh-CN"/>
        </w:rPr>
        <w:t xml:space="preserve"> (Mariani et al., 2023; Lau et al., 2024; Chen et al., 2023)</w:t>
      </w:r>
      <w:r>
        <w:rPr>
          <w:rFonts w:hint="default" w:ascii="Times New Roman Regular" w:hAnsi="Times New Roman Regular" w:cs="Times New Roman Regular"/>
          <w:color w:val="auto"/>
        </w:rPr>
        <w:t>.</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From the perspective of "story system", Ryan (2004) proposed that digital visual narration can enable</w:t>
      </w:r>
      <w:r>
        <w:rPr>
          <w:rFonts w:hint="default" w:ascii="Times New Roman Regular" w:hAnsi="Times New Roman Regular" w:cs="Times New Roman Regular"/>
          <w:color w:val="000000" w:themeColor="text1"/>
          <w14:textFill>
            <w14:solidFill>
              <w14:schemeClr w14:val="tx1"/>
            </w14:solidFill>
          </w14:textFill>
        </w:rPr>
        <w:t xml:space="preserve"> the audience to better control the direction and cultural connotation of the story by means of branch structure, multi-node advancement and multiple </w:t>
      </w:r>
      <w:r>
        <w:rPr>
          <w:rFonts w:hint="default" w:ascii="Times New Roman Regular" w:hAnsi="Times New Roman Regular" w:cs="Times New Roman Regular"/>
        </w:rPr>
        <w:t>endings.</w:t>
      </w:r>
      <w:r>
        <w:rPr>
          <w:rFonts w:hint="eastAsia" w:ascii="Times New Roman Regular" w:hAnsi="Times New Roman Regular" w:cs="Times New Roman Regular"/>
          <w:lang w:val="en-US" w:eastAsia="zh-CN"/>
        </w:rPr>
        <w:t xml:space="preserve"> </w:t>
      </w:r>
      <w:r>
        <w:rPr>
          <w:rFonts w:hint="eastAsia" w:ascii="Times New Roman Regular" w:hAnsi="Times New Roman Regular" w:cs="Times New Roman Regular"/>
        </w:rPr>
        <w:t>This theoretical model can provide method support for designing a "multi-path interpretation space" for mythological illustrations.</w:t>
      </w:r>
    </w:p>
    <w:p w14:paraId="1FC4B220">
      <w:pPr>
        <w:rPr>
          <w:rFonts w:hint="eastAsia" w:ascii="Times New Roman Regular" w:hAnsi="Times New Roman Regular" w:cs="Times New Roman Regular"/>
        </w:rPr>
      </w:pPr>
    </w:p>
    <w:p w14:paraId="1AF67366">
      <w:pPr>
        <w:rPr>
          <w:rFonts w:hint="default" w:ascii="Times New Roman Regular" w:hAnsi="Times New Roman Regular" w:cs="Times New Roman Regular"/>
        </w:rPr>
      </w:pPr>
      <w:r>
        <w:rPr>
          <w:rFonts w:hint="default" w:ascii="Times New Roman Regular" w:hAnsi="Times New Roman Regular" w:cs="Times New Roman Regular"/>
        </w:rPr>
        <w:t>Although there is a basic consensus in academia on the advantages of visual storytelling in cross-cultural communication, there are differences on how to control the risk of misreading.</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Messaris believes that the "openness" of images should be maintained so that the audience can generate multiple interpretations based on their own cultural experience.</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On the other hand, Wu and Chan (2007) analyzed the cases of misinterpretation of Chinese</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traditional</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 xml:space="preserve">symbols in the West and pointed out that without contextual </w:t>
      </w:r>
      <w:r>
        <w:rPr>
          <w:rFonts w:hint="eastAsia" w:ascii="Times New Roman Regular" w:hAnsi="Times New Roman Regular" w:cs="Times New Roman Regular"/>
          <w:lang w:val="en-US" w:eastAsia="zh-CN"/>
        </w:rPr>
        <w:t>information</w:t>
      </w:r>
      <w:r>
        <w:rPr>
          <w:rFonts w:hint="default" w:ascii="Times New Roman Regular" w:hAnsi="Times New Roman Regular" w:cs="Times New Roman Regular"/>
        </w:rPr>
        <w:t>, images could easily be misunderstood in cross-cultural communication.</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Therefore, effective visual communication not only needs to design "visual language", but also needs to support "context guidance mechanism".</w:t>
      </w:r>
    </w:p>
    <w:p w14:paraId="4928D107">
      <w:pPr>
        <w:rPr>
          <w:rFonts w:hint="default" w:ascii="Times New Roman Regular" w:hAnsi="Times New Roman Regular" w:cs="Times New Roman Regular"/>
        </w:rPr>
      </w:pPr>
    </w:p>
    <w:p w14:paraId="01AD6DDD">
      <w:pPr>
        <w:rPr>
          <w:rFonts w:hint="default" w:ascii="Times New Roman Regular" w:hAnsi="Times New Roman Regular" w:cs="Times New Roman Regular"/>
        </w:rPr>
      </w:pPr>
      <w:r>
        <w:rPr>
          <w:rFonts w:hint="default" w:ascii="Times New Roman Regular" w:hAnsi="Times New Roman Regular" w:cs="Times New Roman Regular"/>
        </w:rPr>
        <w:t xml:space="preserve">For this </w:t>
      </w:r>
      <w:r>
        <w:rPr>
          <w:rFonts w:hint="default" w:ascii="Times New Roman Regular" w:hAnsi="Times New Roman Regular" w:cs="Times New Roman Regular"/>
          <w:lang w:val="en-US" w:eastAsia="zh-CN"/>
        </w:rPr>
        <w:t>research</w:t>
      </w:r>
      <w:r>
        <w:rPr>
          <w:rFonts w:hint="default" w:ascii="Times New Roman Regular" w:hAnsi="Times New Roman Regular" w:cs="Times New Roman Regular"/>
        </w:rPr>
        <w:t>, these discussions show that as a visual narrative tool, illustration's cross-cultural communication function lies not only in "visual appeal", but also in whether it can accommodate multiple interpretations and provide sufficient contextual information.</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This suggests that in the interactive design of illustrations, details such as the image's "rhythmic structure", "transition method"</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and "symbolic meaning" need to be paid attention to, and it is also necessary to explore how to guide the audience to form their own unique understanding based on their own cultural background through interactive</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sessions.</w:t>
      </w:r>
    </w:p>
    <w:p w14:paraId="35933C1C">
      <w:pPr>
        <w:rPr>
          <w:rFonts w:hint="eastAsia"/>
          <w:highlight w:val="none"/>
        </w:rPr>
      </w:pPr>
    </w:p>
    <w:p w14:paraId="3017EA19">
      <w:pPr>
        <w:rPr>
          <w:rFonts w:hint="default" w:ascii="Times New Roman Regular" w:hAnsi="Times New Roman Regular" w:cs="Times New Roman Regular"/>
          <w:b w:val="0"/>
          <w:bCs w:val="0"/>
          <w:color w:val="auto"/>
          <w:sz w:val="21"/>
          <w:szCs w:val="21"/>
          <w:lang w:val="en-US" w:eastAsia="zh-CN"/>
        </w:rPr>
      </w:pPr>
      <w:r>
        <w:rPr>
          <w:rFonts w:hint="default" w:ascii="Times New Roman Bold" w:hAnsi="Times New Roman Bold" w:cs="Times New Roman Bold"/>
          <w:b/>
          <w:bCs/>
          <w:sz w:val="21"/>
          <w:szCs w:val="21"/>
          <w:highlight w:val="none"/>
          <w:lang w:val="en-US" w:eastAsia="zh-CN"/>
        </w:rPr>
        <w:t>3.</w:t>
      </w:r>
      <w:r>
        <w:rPr>
          <w:rFonts w:hint="eastAsia" w:ascii="Times New Roman Bold" w:hAnsi="Times New Roman Bold" w:cs="Times New Roman Bold"/>
          <w:b/>
          <w:bCs/>
          <w:sz w:val="21"/>
          <w:szCs w:val="21"/>
          <w:highlight w:val="none"/>
          <w:lang w:val="en-US" w:eastAsia="zh-CN"/>
        </w:rPr>
        <w:t xml:space="preserve">4 The </w:t>
      </w:r>
      <w:r>
        <w:rPr>
          <w:rFonts w:hint="default" w:ascii="Times New Roman Bold" w:hAnsi="Times New Roman Bold" w:cs="Times New Roman Bold"/>
          <w:b/>
          <w:highlight w:val="none"/>
        </w:rPr>
        <w:t>Gaps or Areas that Need Further Exploration</w:t>
      </w:r>
      <w:r>
        <w:rPr>
          <w:rFonts w:hint="eastAsia" w:ascii="Times New Roman Bold" w:hAnsi="Times New Roman Bold" w:cs="Times New Roman Bold"/>
          <w:b/>
          <w:highlight w:val="none"/>
          <w:lang w:val="en-US" w:eastAsia="zh-CN"/>
        </w:rPr>
        <w:t xml:space="preserve"> in The Research Field</w:t>
      </w:r>
    </w:p>
    <w:p w14:paraId="7ECE68FD">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Based on the exploration of the three aspects of the above literature review, the existing researches pay insufficient attention to the potential of illustration as a visual narrative medium in cross-cultural context, and lack</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systematic analysis of the internal structural logic of illustrations, especially research on how the mechanisms of "visual rhythm", "image transformation" and "cultural contextual association of symbols" in illustrations can guide the audience to understand rather than misinterpret.</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Therefore, this </w:t>
      </w:r>
      <w:r>
        <w:rPr>
          <w:rFonts w:hint="eastAsia" w:ascii="Times New Roman" w:hAnsi="Times New Roman" w:cs="Times New Roman"/>
          <w:b w:val="0"/>
          <w:bCs w:val="0"/>
          <w:color w:val="auto"/>
          <w:sz w:val="21"/>
          <w:szCs w:val="21"/>
          <w:lang w:val="en-US" w:eastAsia="zh-CN"/>
        </w:rPr>
        <w:t xml:space="preserve">research </w:t>
      </w:r>
      <w:r>
        <w:rPr>
          <w:rFonts w:hint="default" w:ascii="Times New Roman" w:hAnsi="Times New Roman" w:cs="Times New Roman"/>
          <w:b w:val="0"/>
          <w:bCs w:val="0"/>
          <w:color w:val="auto"/>
          <w:sz w:val="21"/>
          <w:szCs w:val="21"/>
          <w:lang w:val="en-US" w:eastAsia="zh-CN"/>
        </w:rPr>
        <w:t>will take the creation and design of mythological illustrations as an example to explore how to use digital technology to reconstruct mythological narratives and construct a "structure-context-interaction" ternary model of dynamic visual narratives, which can enable people in different cultural backgrounds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to better understand and resonate with myths, and even create new mythological stories together.</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This research can fill the gap caused by the current research that mainly focuses on mainstream media such as movies, websites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games, while ignoring the flexible and highly adaptable visual system of illustrations. This research can also provide a more vivid and efficient communication method for content such as myths that require a lot of background knowledge to understand.</w:t>
      </w:r>
    </w:p>
    <w:p w14:paraId="0CB0DCF9">
      <w:pPr>
        <w:widowControl w:val="0"/>
        <w:numPr>
          <w:ilvl w:val="0"/>
          <w:numId w:val="0"/>
        </w:numPr>
        <w:jc w:val="both"/>
        <w:rPr>
          <w:rFonts w:hint="default" w:ascii="Times New Roman" w:hAnsi="Times New Roman" w:cs="Times New Roman"/>
          <w:b w:val="0"/>
          <w:bCs w:val="0"/>
          <w:color w:val="auto"/>
          <w:sz w:val="21"/>
          <w:szCs w:val="21"/>
          <w:lang w:val="en-US" w:eastAsia="zh-CN"/>
        </w:rPr>
      </w:pPr>
    </w:p>
    <w:p w14:paraId="54D05EC3">
      <w:pPr>
        <w:widowControl w:val="0"/>
        <w:numPr>
          <w:ilvl w:val="0"/>
          <w:numId w:val="1"/>
        </w:numPr>
        <w:ind w:left="0" w:leftChars="0" w:firstLine="0" w:firstLineChars="0"/>
        <w:jc w:val="both"/>
        <w:rPr>
          <w:rFonts w:hint="default" w:ascii="Times New Roman Regular" w:hAnsi="Times New Roman Regular" w:cs="Times New Roman Regular"/>
          <w:b/>
          <w:bCs/>
          <w:color w:val="auto"/>
          <w:sz w:val="24"/>
          <w:szCs w:val="24"/>
          <w:lang w:val="en-US" w:eastAsia="zh-CN"/>
        </w:rPr>
      </w:pPr>
      <w:r>
        <w:rPr>
          <w:rFonts w:hint="eastAsia" w:ascii="Times New Roman Bold" w:hAnsi="Times New Roman Bold" w:cs="Times New Roman Bold"/>
          <w:b/>
          <w:bCs/>
          <w:color w:val="auto"/>
          <w:sz w:val="24"/>
          <w:szCs w:val="24"/>
          <w:lang w:val="en-US" w:eastAsia="zh-CN"/>
        </w:rPr>
        <w:t>M</w:t>
      </w:r>
      <w:r>
        <w:rPr>
          <w:rFonts w:hint="default" w:ascii="Times New Roman Bold" w:hAnsi="Times New Roman Bold" w:cs="Times New Roman Bold"/>
          <w:b/>
          <w:bCs/>
          <w:color w:val="auto"/>
          <w:sz w:val="24"/>
          <w:szCs w:val="24"/>
          <w:lang w:val="en-US" w:eastAsia="zh-CN"/>
        </w:rPr>
        <w:t>ethodologies</w:t>
      </w:r>
      <w:r>
        <w:rPr>
          <w:rFonts w:hint="eastAsia" w:ascii="Times New Roman Bold" w:hAnsi="Times New Roman Bold" w:cs="Times New Roman Bold"/>
          <w:b/>
          <w:bCs/>
          <w:color w:val="auto"/>
          <w:sz w:val="24"/>
          <w:szCs w:val="24"/>
          <w:lang w:val="en-US" w:eastAsia="zh-CN"/>
        </w:rPr>
        <w:t>:</w:t>
      </w:r>
    </w:p>
    <w:p w14:paraId="7A1C8246">
      <w:pPr>
        <w:widowControl w:val="0"/>
        <w:numPr>
          <w:ilvl w:val="0"/>
          <w:numId w:val="0"/>
        </w:numPr>
        <w:jc w:val="left"/>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color w:val="auto"/>
          <w:sz w:val="21"/>
          <w:szCs w:val="21"/>
          <w:lang w:val="en-US" w:eastAsia="zh-CN"/>
        </w:rPr>
        <w:t>4.1 Selected Methodology: Integration of Action Research and Mixed Methods Research</w:t>
      </w:r>
    </w:p>
    <w:p w14:paraId="22922D0D">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This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will use Action Research as the core methodological framework, combined with Mixed Methods Research. The choice of this methodology fully responds to the need for systematic testing of the practical application effectiveness of dynamic illustration in cultural communication based</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on the cyclic structure of "theoretical exploration - practical creation - user feedback - re-optimization"</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in this research.</w:t>
      </w:r>
      <w:r>
        <w:rPr>
          <w:rFonts w:hint="eastAsia" w:ascii="Times New Roman Regular" w:hAnsi="Times New Roman Regular" w:cs="Times New Roman Regular"/>
          <w:b w:val="0"/>
          <w:bCs w:val="0"/>
          <w:color w:val="auto"/>
          <w:sz w:val="21"/>
          <w:szCs w:val="21"/>
          <w:lang w:val="en-US" w:eastAsia="zh-CN"/>
        </w:rPr>
        <w:t xml:space="preserve"> </w:t>
      </w:r>
    </w:p>
    <w:p w14:paraId="2F70E715">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p>
    <w:p w14:paraId="07095507">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Action Research emphasizes the generation of knowledge in practice. Researchers are not only observers but also interveners. The purpose of their research is not only to “understand” but also to “change” (McNiff and Whitehead, </w:t>
      </w:r>
      <w:r>
        <w:rPr>
          <w:rFonts w:hint="eastAsia" w:ascii="Times New Roman Regular" w:hAnsi="Times New Roman Regular" w:cs="Times New Roman Regular"/>
          <w:b w:val="0"/>
          <w:bCs w:val="0"/>
          <w:color w:val="auto"/>
          <w:sz w:val="21"/>
          <w:szCs w:val="21"/>
          <w:lang w:val="en-US" w:eastAsia="zh-CN"/>
        </w:rPr>
        <w:t>2011</w:t>
      </w:r>
      <w:r>
        <w:rPr>
          <w:rFonts w:hint="default" w:ascii="Times New Roman Regular" w:hAnsi="Times New Roman Regular" w:cs="Times New Roman Regular"/>
          <w:b w:val="0"/>
          <w:bCs w:val="0"/>
          <w:color w:val="auto"/>
          <w:sz w:val="21"/>
          <w:szCs w:val="21"/>
          <w:lang w:val="en-US" w:eastAsia="zh-CN"/>
        </w:rPr>
        <w:t>).</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This view is consistent with the idea of</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this </w:t>
      </w:r>
      <w:r>
        <w:rPr>
          <w:rFonts w:hint="eastAsia" w:ascii="Times New Roman Regular" w:hAnsi="Times New Roman Regular" w:cs="Times New Roman Regular"/>
          <w:b w:val="0"/>
          <w:bCs w:val="0"/>
          <w:color w:val="auto"/>
          <w:sz w:val="21"/>
          <w:szCs w:val="21"/>
          <w:lang w:val="en-US" w:eastAsia="zh-CN"/>
        </w:rPr>
        <w:t xml:space="preserve">research </w:t>
      </w:r>
      <w:r>
        <w:rPr>
          <w:rFonts w:hint="default" w:ascii="Times New Roman Regular" w:hAnsi="Times New Roman Regular" w:cs="Times New Roman Regular"/>
          <w:b w:val="0"/>
          <w:bCs w:val="0"/>
          <w:color w:val="auto"/>
          <w:sz w:val="21"/>
          <w:szCs w:val="21"/>
          <w:lang w:val="en-US" w:eastAsia="zh-CN"/>
        </w:rPr>
        <w:t>to deeply combine theoretical research with illustration design. Through the creation of works and interactive feedback with users, the research can continuously correct and optimize the communication methods during the creation process, and can form practice-oriented theoretical reflection.</w:t>
      </w:r>
      <w:r>
        <w:rPr>
          <w:rFonts w:hint="eastAsia" w:ascii="Times New Roman Regular" w:hAnsi="Times New Roman Regular" w:cs="Times New Roman Regular"/>
          <w:b w:val="0"/>
          <w:bCs w:val="0"/>
          <w:color w:val="auto"/>
          <w:sz w:val="21"/>
          <w:szCs w:val="21"/>
          <w:lang w:val="en-US" w:eastAsia="zh-CN"/>
        </w:rPr>
        <w:t xml:space="preserve"> </w:t>
      </w:r>
    </w:p>
    <w:p w14:paraId="0BDF8C18">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p>
    <w:p w14:paraId="28358052">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Considering that the issues concerned in this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are highly complex, such as the differences in the interpretation of mythological images in cultural backgrounds and the reception effects of dynamic narratives in different contexts, it is difficult to form a comprehensive and systematic understanding by relying only on a single method.</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Therefore, a mixed research strategy that integrates qualitative research and quantitative research is particularly necessary. Creswell and Clark (20</w:t>
      </w:r>
      <w:r>
        <w:rPr>
          <w:rFonts w:hint="eastAsia" w:ascii="Times New Roman Regular" w:hAnsi="Times New Roman Regular" w:cs="Times New Roman Regular"/>
          <w:b w:val="0"/>
          <w:bCs w:val="0"/>
          <w:color w:val="auto"/>
          <w:sz w:val="21"/>
          <w:szCs w:val="21"/>
          <w:lang w:val="en-US" w:eastAsia="zh-CN"/>
        </w:rPr>
        <w:t>07</w:t>
      </w:r>
      <w:r>
        <w:rPr>
          <w:rFonts w:hint="default" w:ascii="Times New Roman Regular" w:hAnsi="Times New Roman Regular" w:cs="Times New Roman Regular"/>
          <w:b w:val="0"/>
          <w:bCs w:val="0"/>
          <w:color w:val="auto"/>
          <w:sz w:val="21"/>
          <w:szCs w:val="21"/>
          <w:lang w:val="en-US" w:eastAsia="zh-CN"/>
        </w:rPr>
        <w:t>) pointed out that mixed methods have higher explanatory power and integration value in research involving multi-variable interweaving, cultural cognition and behavioral feedback.</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In summary, the iterative nature of Action Research and the flexibility of Mixed Methods Research provide a complete, reasonable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and adaptable methodological basis for this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w:t>
      </w:r>
    </w:p>
    <w:p w14:paraId="40ADDD5E">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6D0BE9FC">
      <w:pPr>
        <w:widowControl w:val="0"/>
        <w:numPr>
          <w:ilvl w:val="0"/>
          <w:numId w:val="0"/>
        </w:numPr>
        <w:jc w:val="left"/>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color w:val="auto"/>
          <w:sz w:val="21"/>
          <w:szCs w:val="21"/>
          <w:lang w:val="en-US" w:eastAsia="zh-CN"/>
        </w:rPr>
        <w:t>4.2 Selected Research Methods: Multivariate Data Collection and Cross-Cultural Understanding Construction</w:t>
      </w:r>
    </w:p>
    <w:p w14:paraId="68C8A9EA">
      <w:pPr>
        <w:widowControl w:val="0"/>
        <w:numPr>
          <w:ilvl w:val="0"/>
          <w:numId w:val="0"/>
        </w:numPr>
        <w:jc w:val="both"/>
        <w:rPr>
          <w:rFonts w:hint="eastAsia"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This </w:t>
      </w:r>
      <w:r>
        <w:rPr>
          <w:rFonts w:hint="eastAsia" w:ascii="Times New Roman" w:hAnsi="Times New Roman" w:cs="Times New Roman"/>
          <w:b w:val="0"/>
          <w:bCs w:val="0"/>
          <w:color w:val="auto"/>
          <w:sz w:val="21"/>
          <w:szCs w:val="21"/>
          <w:lang w:val="en-US" w:eastAsia="zh-CN"/>
        </w:rPr>
        <w:t xml:space="preserve">research </w:t>
      </w:r>
      <w:r>
        <w:rPr>
          <w:rFonts w:hint="default" w:ascii="Times New Roman" w:hAnsi="Times New Roman" w:cs="Times New Roman"/>
          <w:b w:val="0"/>
          <w:bCs w:val="0"/>
          <w:color w:val="auto"/>
          <w:sz w:val="21"/>
          <w:szCs w:val="21"/>
          <w:lang w:val="en-US" w:eastAsia="zh-CN"/>
        </w:rPr>
        <w:t>will use semi-structured interviews to understand the views and experiences of three types of research subjects: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Illustrators and artists who choose cultural themes for creation will be interviewed to explore how they transform and reorganize cultural symbols in visual creation; The target users with multi-cultural background will be interviewed to obtain their cognitive path and misreading experience in the process of image viewing;</w:t>
      </w:r>
      <w:r>
        <w:rPr>
          <w:rFonts w:hint="eastAsia" w:ascii="Times New Roman" w:hAnsi="Times New Roman" w:cs="Times New Roman"/>
          <w:b w:val="0"/>
          <w:bCs w:val="0"/>
          <w:color w:val="auto"/>
          <w:sz w:val="21"/>
          <w:szCs w:val="21"/>
          <w:lang w:val="en-US" w:eastAsia="zh-CN"/>
        </w:rPr>
        <w:t xml:space="preserve"> The relevant interaction design or visual communication practitioners will be interviewed to supplement the understanding of interaction mechanisms and communication strategies. </w:t>
      </w:r>
    </w:p>
    <w:p w14:paraId="23684357">
      <w:pPr>
        <w:widowControl w:val="0"/>
        <w:numPr>
          <w:ilvl w:val="0"/>
          <w:numId w:val="0"/>
        </w:numPr>
        <w:jc w:val="both"/>
        <w:rPr>
          <w:rFonts w:hint="eastAsia" w:ascii="Times New Roman" w:hAnsi="Times New Roman" w:cs="Times New Roman"/>
          <w:b w:val="0"/>
          <w:bCs w:val="0"/>
          <w:color w:val="auto"/>
          <w:sz w:val="21"/>
          <w:szCs w:val="21"/>
          <w:lang w:val="en-US" w:eastAsia="zh-CN"/>
        </w:rPr>
      </w:pPr>
    </w:p>
    <w:p w14:paraId="75E15F7A">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This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will also design and distribute structured questionnaires to collect data on users' participation experience, visual preferences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cultural acceptance of dynamic mythological illustrations. The questionnaire contains Likert scales and open-ended questions, aiming to deeply explore users' feedback on image rhythm, symbol recognition</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interactive mechanisms through a combination of quantitative and qualitative analysis.</w:t>
      </w:r>
    </w:p>
    <w:p w14:paraId="3D7152C6">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60FA18E6">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In addition, the research will select 3 to 5 typical cases for case studies, including this dynamic and interactive illustration project created based on this research, as well as other publicly published works that can be used as references for this research. The cultural adaptability and communication effects of these cases will be analyzed through symbol analysis, visual structure comparison and user feedback integration.</w:t>
      </w:r>
      <w:r>
        <w:rPr>
          <w:rFonts w:hint="eastAsia" w:ascii="Times New Roman Regular" w:hAnsi="Times New Roman Regular" w:cs="Times New Roman Regular"/>
          <w:b w:val="0"/>
          <w:bCs w:val="0"/>
          <w:color w:val="auto"/>
          <w:sz w:val="21"/>
          <w:szCs w:val="21"/>
          <w:lang w:val="en-US" w:eastAsia="zh-CN"/>
        </w:rPr>
        <w:t xml:space="preserve"> </w:t>
      </w:r>
    </w:p>
    <w:p w14:paraId="39BDC2F6">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75FA21CB">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In the future creative practice process, in order to enhance situational immersion, this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will moderately introduce background music or sound effects with cultural characteristics as auxiliary media to stimulate users' perception of a specific cultural atmosphere. However, this part is not the focus of the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and only collects relevant feedback from user surveys as a reference.</w:t>
      </w:r>
    </w:p>
    <w:p w14:paraId="0B451CB7">
      <w:pPr>
        <w:widowControl w:val="0"/>
        <w:numPr>
          <w:ilvl w:val="0"/>
          <w:numId w:val="0"/>
        </w:numPr>
        <w:jc w:val="both"/>
        <w:rPr>
          <w:rFonts w:hint="default" w:ascii="Times New Roman Regular" w:hAnsi="Times New Roman Regular" w:cs="Times New Roman Regular"/>
          <w:b/>
          <w:bCs/>
          <w:color w:val="auto"/>
          <w:sz w:val="21"/>
          <w:szCs w:val="21"/>
          <w:lang w:val="en-US" w:eastAsia="zh-CN"/>
        </w:rPr>
      </w:pPr>
    </w:p>
    <w:p w14:paraId="03B35D1E">
      <w:pPr>
        <w:widowControl w:val="0"/>
        <w:numPr>
          <w:ilvl w:val="0"/>
          <w:numId w:val="0"/>
        </w:numPr>
        <w:jc w:val="both"/>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val="0"/>
          <w:color w:val="auto"/>
          <w:sz w:val="21"/>
          <w:szCs w:val="21"/>
          <w:lang w:val="en-US" w:eastAsia="zh-CN"/>
        </w:rPr>
        <w:t>4.3 Sampling Method: A Diversified Strategy Combining</w:t>
      </w:r>
      <w:r>
        <w:rPr>
          <w:rFonts w:hint="eastAsia" w:ascii="Times New Roman Bold" w:hAnsi="Times New Roman Bold" w:cs="Times New Roman Bold"/>
          <w:b/>
          <w:bCs w:val="0"/>
          <w:color w:val="auto"/>
          <w:sz w:val="21"/>
          <w:szCs w:val="21"/>
          <w:lang w:val="en-US" w:eastAsia="zh-CN"/>
        </w:rPr>
        <w:t xml:space="preserve"> </w:t>
      </w:r>
      <w:r>
        <w:rPr>
          <w:rFonts w:hint="default" w:ascii="Times New Roman Bold" w:hAnsi="Times New Roman Bold" w:cs="Times New Roman Bold"/>
          <w:b/>
          <w:bCs w:val="0"/>
          <w:color w:val="auto"/>
          <w:sz w:val="21"/>
          <w:szCs w:val="21"/>
          <w:lang w:val="en-US" w:eastAsia="zh-CN"/>
        </w:rPr>
        <w:t>Purposefulness and Variety</w:t>
      </w:r>
    </w:p>
    <w:p w14:paraId="5C533B40">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The sampling strategy used in this research is based on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P</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urposive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S</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ampling, where participants are intentionally selected based on specific criteria, supplemented by the principle of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M</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aximum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V</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ariation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S</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ampling, which aims to include a wide range of perspectives to ensure the cultural breadth and experiential diversity of the samples (Patton, 201</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4</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w:t>
      </w:r>
    </w:p>
    <w:p w14:paraId="04F59480">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308FC78D">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In semi-structured interviews, this research plans to invite 15-20 respondents, covering illustrators, designers and digital media users from different cultural backgrounds to ensure that useful information about cultural conversion is obtained from both the creators’ and receivers’ perspectives.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The questionnaire survey will mainly be released through social media platforms, with a planned collection of no less than 150 valid samples covering cultural circles such as Asia, Europe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Southeast Asia to support cross-cultural variable analysis.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This </w:t>
      </w:r>
      <w:r>
        <w:rPr>
          <w:rFonts w:hint="eastAsia" w:ascii="Times New Roman Regular" w:hAnsi="Times New Roman Regular" w:cs="Times New Roman Regular"/>
          <w:b w:val="0"/>
          <w:bCs w:val="0"/>
          <w:color w:val="auto"/>
          <w:sz w:val="21"/>
          <w:szCs w:val="21"/>
          <w:lang w:val="en-US" w:eastAsia="zh-CN"/>
        </w:rPr>
        <w:t xml:space="preserve">research </w:t>
      </w:r>
      <w:r>
        <w:rPr>
          <w:rFonts w:hint="default" w:ascii="Times New Roman Regular" w:hAnsi="Times New Roman Regular" w:cs="Times New Roman Regular"/>
          <w:b w:val="0"/>
          <w:bCs w:val="0"/>
          <w:color w:val="auto"/>
          <w:sz w:val="21"/>
          <w:szCs w:val="21"/>
          <w:lang w:val="en-US" w:eastAsia="zh-CN"/>
        </w:rPr>
        <w:t>will select 3-5 art/illustration works with distinct cultural themes, clear interactive structures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user feedback records for case studies to ensure that the comparative analysis is effective and has reference value.</w:t>
      </w:r>
    </w:p>
    <w:p w14:paraId="1980B396">
      <w:pPr>
        <w:widowControl w:val="0"/>
        <w:numPr>
          <w:ilvl w:val="0"/>
          <w:numId w:val="0"/>
        </w:numPr>
        <w:jc w:val="both"/>
        <w:rPr>
          <w:rFonts w:hint="default" w:ascii="Times New Roman Bold" w:hAnsi="Times New Roman Bold" w:cs="Times New Roman Bold"/>
          <w:b/>
          <w:bCs w:val="0"/>
          <w:color w:val="auto"/>
          <w:sz w:val="21"/>
          <w:szCs w:val="21"/>
          <w:lang w:val="en-US" w:eastAsia="zh-CN"/>
        </w:rPr>
      </w:pPr>
    </w:p>
    <w:p w14:paraId="23D8E5FB">
      <w:pPr>
        <w:widowControl w:val="0"/>
        <w:numPr>
          <w:ilvl w:val="0"/>
          <w:numId w:val="0"/>
        </w:numPr>
        <w:jc w:val="both"/>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color w:val="auto"/>
          <w:sz w:val="21"/>
          <w:szCs w:val="21"/>
          <w:lang w:val="en-US" w:eastAsia="zh-CN"/>
        </w:rPr>
        <w:t>4.4 Ethical Considerations and Solutions</w:t>
      </w:r>
    </w:p>
    <w:p w14:paraId="28E1ABFD">
      <w:pPr>
        <w:widowControl w:val="0"/>
        <w:numPr>
          <w:ilvl w:val="0"/>
          <w:numId w:val="2"/>
        </w:numPr>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All interview and questionnaire participants will sign informed consent forms, and the research will ensure that the data is anonymous and encrypted.</w:t>
      </w:r>
    </w:p>
    <w:p w14:paraId="38CE577D">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The use of visual and audio materials should comply with cultural appropriateness and copyright legality.</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All materials must be sourced from legitimate sources, and cultural appropriation and misinterpretation should be avoided when using these materials.</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p>
    <w:p w14:paraId="1ADA3DF5">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Illustration design should respect cultural sensitivity and avoid discriminatory or stereotypical content. And the design needs to create an inclusive interactive experience.</w:t>
      </w:r>
    </w:p>
    <w:p w14:paraId="6A8655A5">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T</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ransdisciplinary integration requires maintaining an accurate understanding of the concepts of the original disciplines and ensuring the scientificity and integrity of data interpretation.</w:t>
      </w:r>
    </w:p>
    <w:p w14:paraId="3E11908E">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The research process and results need to be highly transparent for easy review and replication.</w:t>
      </w:r>
    </w:p>
    <w:p w14:paraId="085DDBB4">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The potential socio-cultural impact of the research needs to be recognized. In research involving cultural symbols and cross-cultural communication, it is very important to ensure the accuracy and inclusiveness of cultural communication.</w:t>
      </w:r>
    </w:p>
    <w:p w14:paraId="0C695758">
      <w:pPr>
        <w:widowControl w:val="0"/>
        <w:numPr>
          <w:ilvl w:val="0"/>
          <w:numId w:val="2"/>
        </w:numPr>
        <w:ind w:left="0" w:leftChars="0" w:firstLine="0" w:firstLineChars="0"/>
        <w:jc w:val="both"/>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The research will follow ethical guidelines such as APA, and the research will be subject to ethical review and compliance with data protection standards such as GDPR.</w:t>
      </w:r>
    </w:p>
    <w:p w14:paraId="599300BC">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1B74683B">
      <w:pPr>
        <w:widowControl w:val="0"/>
        <w:numPr>
          <w:ilvl w:val="0"/>
          <w:numId w:val="0"/>
        </w:numPr>
        <w:jc w:val="both"/>
        <w:rPr>
          <w:rFonts w:hint="default" w:ascii="Times New Roman Regular" w:hAnsi="Times New Roman Regular" w:cs="Times New Roman Regular"/>
          <w:b/>
          <w:bCs/>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color w:val="auto"/>
          <w:sz w:val="21"/>
          <w:szCs w:val="21"/>
          <w:lang w:val="en-US" w:eastAsia="zh-CN"/>
        </w:rPr>
        <w:t>4.5 Data Analysis Methods and Applications</w:t>
      </w:r>
    </w:p>
    <w:p w14:paraId="256E4D7A">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In order to systematically process multi-dimensional data, the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 xml:space="preserve"> will use three data analysis methods: thematic analysis, quantitative statistical analysis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multimodal case comparative analysis:</w:t>
      </w:r>
    </w:p>
    <w:p w14:paraId="42D3557D">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The interview data and open-ended questionnaire feedback will be summarized and encoded using thematic analysis, following the six step method proposed by Braun and Clarke (2006) to extract users' symbol interpretation paths, interactive perception preferences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cultural misreading types during the process of viewing dynamic mythological illustrations.</w:t>
      </w:r>
      <w:r>
        <w:rPr>
          <w:rFonts w:hint="eastAsia" w:ascii="Times New Roman Regular" w:hAnsi="Times New Roman Regular" w:cs="Times New Roman Regular"/>
          <w:b w:val="0"/>
          <w:bCs w:val="0"/>
          <w:color w:val="auto"/>
          <w:sz w:val="21"/>
          <w:szCs w:val="21"/>
          <w:lang w:val="en-US" w:eastAsia="zh-CN"/>
        </w:rPr>
        <w:t xml:space="preserve"> This method is suitable for processing text data with uncertain structure and rich content, and can effectively capture users' initiative and cultural differences in meaning construction. </w:t>
      </w:r>
    </w:p>
    <w:p w14:paraId="00BEF52A">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p>
    <w:p w14:paraId="7621199B">
      <w:pPr>
        <w:widowControl w:val="0"/>
        <w:numPr>
          <w:ilvl w:val="0"/>
          <w:numId w:val="0"/>
        </w:numPr>
        <w:jc w:val="both"/>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r>
        <w:rPr>
          <w:rFonts w:hint="eastAsia" w:ascii="Times New Roman Regular" w:hAnsi="Times New Roman Regular" w:cs="Times New Roman Regular"/>
          <w:b w:val="0"/>
          <w:bCs w:val="0"/>
          <w:color w:val="auto"/>
          <w:sz w:val="21"/>
          <w:szCs w:val="21"/>
          <w:lang w:val="en-US" w:eastAsia="zh-CN"/>
        </w:rPr>
        <w:t xml:space="preserve">For quantitative data, SPSS software will be used for descriptive statistical analysis, cross-variable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analysis and correlation modeling to evaluate the statistical relationship between users' cultural background, media habits and interactive experience. SPSS software is a widely used statistical software package for data analysis, used across various disciplines for tasks ranging from basic descriptive statistics to complex modeling (Field, 2018; Pallant, 2020).</w:t>
      </w:r>
    </w:p>
    <w:p w14:paraId="3AB1EB80">
      <w:pPr>
        <w:widowControl w:val="0"/>
        <w:numPr>
          <w:ilvl w:val="0"/>
          <w:numId w:val="0"/>
        </w:numPr>
        <w:jc w:val="both"/>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p>
    <w:p w14:paraId="3AE301E1">
      <w:pPr>
        <w:widowControl w:val="0"/>
        <w:numPr>
          <w:ilvl w:val="0"/>
          <w:numId w:val="0"/>
        </w:numPr>
        <w:jc w:val="both"/>
        <w:rPr>
          <w:rFonts w:hint="eastAsia" w:ascii="Times New Roman Regular" w:hAnsi="Times New Roman Regular" w:cs="Times New Roman Regular"/>
          <w:b w:val="0"/>
          <w:bCs w:val="0"/>
          <w:color w:val="auto"/>
          <w:sz w:val="21"/>
          <w:szCs w:val="21"/>
          <w:lang w:val="en-US" w:eastAsia="zh-CN"/>
        </w:rPr>
      </w:pP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Visual and structural deconstruction analysis involves systematically breaking down the components, symbolism, and interactive logic of visual materials to understand their meaning and structure (Rose, 2022; Kress and van Leeuwen, 2020). For case studies, this research will use visual and structural deconstruction analysis to break down the composition,</w:t>
      </w:r>
      <w:r>
        <w:rPr>
          <w:rFonts w:hint="eastAsia" w:ascii="Times New Roman Regular" w:hAnsi="Times New Roman Regular" w:cs="Times New Roman Regular"/>
          <w:b w:val="0"/>
          <w:bCs w:val="0"/>
          <w:color w:val="auto"/>
          <w:sz w:val="21"/>
          <w:szCs w:val="21"/>
          <w:lang w:val="en-US" w:eastAsia="zh-CN"/>
        </w:rPr>
        <w:t xml:space="preserve"> symbol system and interactive logic of illustration images, and combine user feedback to analyze their cultural adaptability and dissemination efficiency. Especially the structural analysis of dynamic narrative and interactive paths will assist in summarizing some illustration design methods with cross-cultural communication potential. </w:t>
      </w:r>
    </w:p>
    <w:p w14:paraId="41553E36">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7FA4D14C">
      <w:pPr>
        <w:widowControl w:val="0"/>
        <w:numPr>
          <w:ilvl w:val="0"/>
          <w:numId w:val="0"/>
        </w:numPr>
        <w:jc w:val="left"/>
        <w:rPr>
          <w:rFonts w:hint="default" w:ascii="Times New Roman Regular" w:hAnsi="Times New Roman Regular" w:cs="Times New Roman Regular"/>
          <w:b w:val="0"/>
          <w:bCs w:val="0"/>
          <w:color w:val="auto"/>
          <w:sz w:val="21"/>
          <w:szCs w:val="21"/>
          <w:lang w:val="en-US" w:eastAsia="zh-CN"/>
        </w:rPr>
      </w:pPr>
      <w:r>
        <w:rPr>
          <w:rFonts w:hint="default" w:ascii="Times New Roman Bold" w:hAnsi="Times New Roman Bold" w:cs="Times New Roman Bold"/>
          <w:b/>
          <w:bCs/>
          <w:color w:val="auto"/>
          <w:sz w:val="21"/>
          <w:szCs w:val="21"/>
          <w:lang w:val="en-US" w:eastAsia="zh-CN"/>
        </w:rPr>
        <w:t>4.6 Analysis of the Appropriateness of Methodolog</w:t>
      </w:r>
      <w:r>
        <w:rPr>
          <w:rFonts w:hint="eastAsia" w:ascii="Times New Roman Bold" w:hAnsi="Times New Roman Bold" w:cs="Times New Roman Bold"/>
          <w:b/>
          <w:bCs/>
          <w:color w:val="auto"/>
          <w:sz w:val="21"/>
          <w:szCs w:val="21"/>
          <w:lang w:val="en-US" w:eastAsia="zh-CN"/>
        </w:rPr>
        <w:t>ies</w:t>
      </w:r>
      <w:r>
        <w:rPr>
          <w:rFonts w:hint="default" w:ascii="Times New Roman Bold" w:hAnsi="Times New Roman Bold" w:cs="Times New Roman Bold"/>
          <w:b/>
          <w:bCs/>
          <w:color w:val="auto"/>
          <w:sz w:val="21"/>
          <w:szCs w:val="21"/>
          <w:lang w:val="en-US" w:eastAsia="zh-CN"/>
        </w:rPr>
        <w:t xml:space="preserve"> and Methods: Advantages and Limitations</w:t>
      </w:r>
    </w:p>
    <w:p w14:paraId="1FE32308">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As a methodological framework, Action Research has outstanding practical orientation and reflection mechanism, which is particularly suitable for design research. It can continuously refine theories and methods in the process of continuous creation and feedback. This circularity not only ensures the research depth, but also improves the practical application value of the research (Reason and Bradbury, 2001).</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Mixed Methods Research provides an integrated path when dealing with interwoven variables such as culture, cognition</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interaction, which makes data acquisition more systematic and conclusions more convincing (Creswell and Plano Clark, 201</w:t>
      </w:r>
      <w:r>
        <w:rPr>
          <w:rFonts w:hint="eastAsia" w:ascii="Times New Roman Regular" w:hAnsi="Times New Roman Regular" w:cs="Times New Roman Regular"/>
          <w:b w:val="0"/>
          <w:bCs w:val="0"/>
          <w:color w:val="auto"/>
          <w:sz w:val="21"/>
          <w:szCs w:val="21"/>
          <w:lang w:val="en-US" w:eastAsia="zh-CN"/>
        </w:rPr>
        <w:t>7</w:t>
      </w:r>
      <w:r>
        <w:rPr>
          <w:rFonts w:hint="default" w:ascii="Times New Roman Regular" w:hAnsi="Times New Roman Regular" w:cs="Times New Roman Regular"/>
          <w:b w:val="0"/>
          <w:bCs w:val="0"/>
          <w:color w:val="auto"/>
          <w:sz w:val="21"/>
          <w:szCs w:val="21"/>
          <w:lang w:val="en-US" w:eastAsia="zh-CN"/>
        </w:rPr>
        <w:t>).</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In terms of specific methods, interviews can deeply explore users' subjective perception of cultural symbols, questionnaires can provide quantifiable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data, and case studies can supplement the intermediary level between theory and practice. The synergistic effect of the three methods can enhance the structural stability and explanatory power of the </w:t>
      </w:r>
      <w:r>
        <w:rPr>
          <w:rFonts w:hint="eastAsia" w:ascii="Times New Roman Regular" w:hAnsi="Times New Roman Regular" w:cs="Times New Roman Regular"/>
          <w:b w:val="0"/>
          <w:bCs w:val="0"/>
          <w:color w:val="auto"/>
          <w:sz w:val="21"/>
          <w:szCs w:val="21"/>
          <w:lang w:val="en-US" w:eastAsia="zh-CN"/>
        </w:rPr>
        <w:t>research</w:t>
      </w:r>
      <w:r>
        <w:rPr>
          <w:rFonts w:hint="default" w:ascii="Times New Roman Regular" w:hAnsi="Times New Roman Regular" w:cs="Times New Roman Regular"/>
          <w:b w:val="0"/>
          <w:bCs w:val="0"/>
          <w:color w:val="auto"/>
          <w:sz w:val="21"/>
          <w:szCs w:val="21"/>
          <w:lang w:val="en-US" w:eastAsia="zh-CN"/>
        </w:rPr>
        <w:t>.</w:t>
      </w:r>
    </w:p>
    <w:p w14:paraId="6595883A">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4FF86E1D">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However, these methodologies and research methods have limitations. For example, Action Research heavily relies on the subjective judgment of researchers, which may affect the objectivity and reproducibility of the analysis.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Although Mixed Methods Research has strong integration capabilities, it has high requirements for time, technology and human resources. Especially when integrating quantitative and qualitative data, a lot of time and energy must be invested in analysis and cross-validation.</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In addition, there are practical difficulties in obtaining and balancing multicultural samples, which are easily influenced by language, background</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acceptance habits.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To address these limitations, this </w:t>
      </w:r>
      <w:r>
        <w:rPr>
          <w:rFonts w:hint="eastAsia" w:ascii="Times New Roman Regular" w:hAnsi="Times New Roman Regular" w:cs="Times New Roman Regular"/>
          <w:b w:val="0"/>
          <w:bCs w:val="0"/>
          <w:color w:val="auto"/>
          <w:sz w:val="21"/>
          <w:szCs w:val="21"/>
          <w:lang w:val="en-US" w:eastAsia="zh-CN"/>
        </w:rPr>
        <w:t xml:space="preserve">research </w:t>
      </w:r>
      <w:r>
        <w:rPr>
          <w:rFonts w:hint="default" w:ascii="Times New Roman Regular" w:hAnsi="Times New Roman Regular" w:cs="Times New Roman Regular"/>
          <w:b w:val="0"/>
          <w:bCs w:val="0"/>
          <w:color w:val="auto"/>
          <w:sz w:val="21"/>
          <w:szCs w:val="21"/>
          <w:lang w:val="en-US" w:eastAsia="zh-CN"/>
        </w:rPr>
        <w:t>will clarify the scope of data collection, carefully examine each step when integrating data, and categorize them by theme.</w:t>
      </w:r>
      <w:r>
        <w:rPr>
          <w:rFonts w:hint="eastAsia" w:ascii="Times New Roman Regular" w:hAnsi="Times New Roman Regular" w:cs="Times New Roman Regular"/>
          <w:b w:val="0"/>
          <w:bCs w:val="0"/>
          <w:color w:val="auto"/>
          <w:sz w:val="21"/>
          <w:szCs w:val="21"/>
          <w:lang w:val="en-US" w:eastAsia="zh-CN"/>
        </w:rPr>
        <w:t xml:space="preserve"> This research will also conduct phased testing to minimize the impact of cultural factors on the research results to ensure that the research results are more reliable.</w:t>
      </w:r>
    </w:p>
    <w:p w14:paraId="1C37E3E7">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p>
    <w:p w14:paraId="3A4789BB">
      <w:pPr>
        <w:widowControl w:val="0"/>
        <w:numPr>
          <w:ilvl w:val="0"/>
          <w:numId w:val="0"/>
        </w:numPr>
        <w:jc w:val="both"/>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Bold" w:hAnsi="Times New Roman Bold" w:cs="Times New Roman Bold"/>
          <w:b/>
          <w:bCs/>
          <w:color w:val="auto"/>
          <w:sz w:val="21"/>
          <w:szCs w:val="21"/>
          <w:lang w:val="en-US" w:eastAsia="zh-CN"/>
        </w:rPr>
        <w:t>4.7 Alternative Methods and Methodologies</w:t>
      </w:r>
    </w:p>
    <w:p w14:paraId="171EF1CF">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r>
        <w:rPr>
          <w:rFonts w:hint="eastAsia" w:ascii="Times New Roman Regular" w:hAnsi="Times New Roman Regular" w:cs="Times New Roman Regular"/>
          <w:b w:val="0"/>
          <w:bCs w:val="0"/>
          <w:color w:val="auto"/>
          <w:sz w:val="21"/>
          <w:szCs w:val="21"/>
          <w:lang w:val="en-US" w:eastAsia="zh-CN"/>
        </w:rPr>
        <w:t xml:space="preserve">For example, </w:t>
      </w:r>
      <w:r>
        <w:rPr>
          <w:rFonts w:hint="default" w:ascii="Times New Roman Regular" w:hAnsi="Times New Roman Regular" w:cs="Times New Roman Regular"/>
          <w:b w:val="0"/>
          <w:bCs w:val="0"/>
          <w:color w:val="auto"/>
          <w:sz w:val="21"/>
          <w:szCs w:val="21"/>
          <w:lang w:val="en-US" w:eastAsia="zh-CN"/>
        </w:rPr>
        <w:t>Experimental Methodology can be used to design comparative experiments by control</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ling variables to examine the impact of different illustration forms (such as static and dynamic, interactive and non interactive) on users' cultural understanding</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(Smith, 2012).</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The corresponding method is Controlled Experiment, which has the advantages of strong operability and clear data structure</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(Campbell and Riecken, 1968)</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but it is difficult to capture users' subjective participation and cultural experience in the process of meaning construction (Plano Clark, 2017; Hammersley, 2012).</w:t>
      </w:r>
    </w:p>
    <w:p w14:paraId="50AA912F">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p>
    <w:p w14:paraId="2E4DB0B4">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Ethnography methodology can be considered as an alternative, which involves delving into specific cultural contexts through participatory observation to gain a deeper understanding of how images are interpreted</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(Fetterman, 2019)</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The corresponding methods such as Participant Observation and Cultural Interview are very suitable for exploring the formation of cultural identity and the deep mechanisms of symbolic understanding</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(Geertz, 2017; Agar, 2011)</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However, these methods require a longer research period and have limitations in cross-cultural comparison and operational efficiency</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(Bernard, 2023; Brewer, 2000).</w:t>
      </w:r>
    </w:p>
    <w:p w14:paraId="07E5CC97">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p>
    <w:p w14:paraId="60835B0D">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Semiotic Analysis</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or</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Content Analysis are also alternative methodologies</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with Semiotic Analysis focusing on understanding signs and symbols to uncover underlying meanings, while Content Analysis systematically examines the presence of concepts within communication </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(Barthes, 1977; Krippendorff, 2018). Related</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research</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methods include Image Coding Analysis, Narrative Structure Comparison and Semantic Frequency Statistics, which are suitable for analyzing the structural characteristics of a large number of illustrations (Rose, 2022; Kress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and</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 van Leeuwen, 2020), but these methods cannot provide actual feedback on users' real thoughts and how cultural factors affect user reactions (Silverman, 2006; Neuendorf, 2017).</w:t>
      </w:r>
    </w:p>
    <w:p w14:paraId="7654119B">
      <w:pPr>
        <w:widowControl w:val="0"/>
        <w:numPr>
          <w:ilvl w:val="0"/>
          <w:numId w:val="0"/>
        </w:numPr>
        <w:jc w:val="both"/>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pPr>
    </w:p>
    <w:p w14:paraId="6BAE097C">
      <w:pPr>
        <w:widowControl w:val="0"/>
        <w:numPr>
          <w:ilvl w:val="0"/>
          <w:numId w:val="0"/>
        </w:numPr>
        <w:jc w:val="both"/>
        <w:rPr>
          <w:rFonts w:hint="default" w:ascii="Times New Roman Regular" w:hAnsi="Times New Roman Regular" w:cs="Times New Roman Regular"/>
          <w:b w:val="0"/>
          <w:bCs w:val="0"/>
          <w:color w:val="auto"/>
          <w:sz w:val="21"/>
          <w:szCs w:val="21"/>
          <w:lang w:val="en-US" w:eastAsia="zh-CN"/>
        </w:rPr>
      </w:pP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A</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 xml:space="preserve">lthough other methodologies can also be applied to this </w:t>
      </w:r>
      <w:r>
        <w:rPr>
          <w:rFonts w:hint="eastAsia"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r</w:t>
      </w:r>
      <w:r>
        <w:rPr>
          <w:rFonts w:hint="default" w:ascii="Times New Roman Regular" w:hAnsi="Times New Roman Regular" w:cs="Times New Roman Regular"/>
          <w:b w:val="0"/>
          <w:bCs w:val="0"/>
          <w:color w:val="0D0D0D" w:themeColor="text1" w:themeTint="F2"/>
          <w:sz w:val="21"/>
          <w:szCs w:val="21"/>
          <w:lang w:val="en-US" w:eastAsia="zh-CN"/>
          <w14:textFill>
            <w14:solidFill>
              <w14:schemeClr w14:val="tx1">
                <w14:lumMod w14:val="95000"/>
                <w14:lumOff w14:val="5000"/>
              </w14:schemeClr>
            </w14:solidFill>
          </w14:textFill>
        </w:rPr>
        <w:t>esearch, Action Research com</w:t>
      </w:r>
      <w:r>
        <w:rPr>
          <w:rFonts w:hint="default" w:ascii="Times New Roman Regular" w:hAnsi="Times New Roman Regular" w:cs="Times New Roman Regular"/>
          <w:b w:val="0"/>
          <w:bCs w:val="0"/>
          <w:color w:val="auto"/>
          <w:sz w:val="21"/>
          <w:szCs w:val="21"/>
          <w:lang w:val="en-US" w:eastAsia="zh-CN"/>
        </w:rPr>
        <w:t>bined with Mixed Methods Research is still the most suitable choice under the premise that this research emphasizes "parallel creation and cultural communication", "analysis of the causes of cultural misinterpretation" and "user participation and feedback".</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This can not only ensure the theoretical nature of the research, but also adjust the research at any time according to creative practice and user response. </w:t>
      </w:r>
      <w:r>
        <w:rPr>
          <w:rFonts w:hint="eastAsia" w:ascii="Times New Roman Regular" w:hAnsi="Times New Roman Regular" w:cs="Times New Roman Regular"/>
          <w:b w:val="0"/>
          <w:bCs w:val="0"/>
          <w:color w:val="auto"/>
          <w:sz w:val="21"/>
          <w:szCs w:val="21"/>
          <w:lang w:val="en-US" w:eastAsia="zh-CN"/>
        </w:rPr>
        <w:t>And this</w:t>
      </w:r>
      <w:r>
        <w:rPr>
          <w:rFonts w:hint="default" w:ascii="Times New Roman Regular" w:hAnsi="Times New Roman Regular" w:cs="Times New Roman Regular"/>
          <w:b w:val="0"/>
          <w:bCs w:val="0"/>
          <w:color w:val="auto"/>
          <w:sz w:val="21"/>
          <w:szCs w:val="21"/>
          <w:lang w:val="en-US" w:eastAsia="zh-CN"/>
        </w:rPr>
        <w:t xml:space="preserve"> can provide better guidance and support for mythological themed illustrations in cross-cultural communication.</w:t>
      </w:r>
    </w:p>
    <w:p w14:paraId="2CF87D35">
      <w:pPr>
        <w:widowControl w:val="0"/>
        <w:numPr>
          <w:ilvl w:val="0"/>
          <w:numId w:val="0"/>
        </w:numPr>
        <w:jc w:val="both"/>
        <w:rPr>
          <w:rFonts w:hint="default" w:ascii="Times New Roman Bold" w:hAnsi="Times New Roman Bold" w:cs="Times New Roman Bold"/>
          <w:b w:val="0"/>
          <w:bCs w:val="0"/>
          <w:color w:val="auto"/>
          <w:sz w:val="24"/>
          <w:szCs w:val="24"/>
          <w:lang w:val="en-US" w:eastAsia="zh-CN"/>
        </w:rPr>
      </w:pPr>
    </w:p>
    <w:p w14:paraId="44E03192">
      <w:pPr>
        <w:keepNext w:val="0"/>
        <w:keepLines w:val="0"/>
        <w:widowControl/>
        <w:numPr>
          <w:ilvl w:val="0"/>
          <w:numId w:val="1"/>
        </w:numPr>
        <w:suppressLineNumbers w:val="0"/>
        <w:ind w:left="0" w:leftChars="0" w:firstLine="0" w:firstLineChars="0"/>
        <w:jc w:val="left"/>
        <w:rPr>
          <w:rFonts w:hint="default" w:ascii="Times New Roman Bold" w:hAnsi="Times New Roman Bold" w:eastAsia="Aptos" w:cs="Times New Roman Bold"/>
          <w:b/>
          <w:bCs/>
          <w:color w:val="000000"/>
          <w:kern w:val="0"/>
          <w:sz w:val="24"/>
          <w:szCs w:val="24"/>
          <w:lang w:val="en-US" w:eastAsia="zh-CN" w:bidi="ar"/>
        </w:rPr>
      </w:pPr>
      <w:r>
        <w:rPr>
          <w:rFonts w:hint="default" w:ascii="Times New Roman Bold" w:hAnsi="Times New Roman Bold" w:eastAsia="Aptos" w:cs="Times New Roman Bold"/>
          <w:b/>
          <w:bCs/>
          <w:color w:val="000000"/>
          <w:kern w:val="0"/>
          <w:sz w:val="24"/>
          <w:szCs w:val="24"/>
          <w:lang w:val="en-US" w:eastAsia="zh-CN" w:bidi="ar"/>
        </w:rPr>
        <w:t xml:space="preserve">Discussion </w:t>
      </w:r>
      <w:r>
        <w:rPr>
          <w:rFonts w:hint="eastAsia" w:ascii="Times New Roman Bold" w:hAnsi="Times New Roman Bold" w:eastAsia="Aptos" w:cs="Times New Roman Bold"/>
          <w:b/>
          <w:bCs/>
          <w:color w:val="000000"/>
          <w:kern w:val="0"/>
          <w:sz w:val="24"/>
          <w:szCs w:val="24"/>
          <w:lang w:val="en-US" w:eastAsia="zh-CN" w:bidi="ar"/>
        </w:rPr>
        <w:t>A</w:t>
      </w:r>
      <w:r>
        <w:rPr>
          <w:rFonts w:hint="default" w:ascii="Times New Roman Bold" w:hAnsi="Times New Roman Bold" w:eastAsia="Aptos" w:cs="Times New Roman Bold"/>
          <w:b/>
          <w:bCs/>
          <w:color w:val="000000"/>
          <w:kern w:val="0"/>
          <w:sz w:val="24"/>
          <w:szCs w:val="24"/>
          <w:lang w:val="en-US" w:eastAsia="zh-CN" w:bidi="ar"/>
        </w:rPr>
        <w:t xml:space="preserve">nd </w:t>
      </w:r>
      <w:r>
        <w:rPr>
          <w:rFonts w:hint="eastAsia" w:ascii="Times New Roman Bold" w:hAnsi="Times New Roman Bold" w:eastAsia="Aptos" w:cs="Times New Roman Bold"/>
          <w:b/>
          <w:bCs/>
          <w:color w:val="000000"/>
          <w:kern w:val="0"/>
          <w:sz w:val="24"/>
          <w:szCs w:val="24"/>
          <w:lang w:val="en-US" w:eastAsia="zh-CN" w:bidi="ar"/>
        </w:rPr>
        <w:t>A</w:t>
      </w:r>
      <w:r>
        <w:rPr>
          <w:rFonts w:hint="default" w:ascii="Times New Roman Bold" w:hAnsi="Times New Roman Bold" w:eastAsia="Aptos" w:cs="Times New Roman Bold"/>
          <w:b/>
          <w:bCs/>
          <w:color w:val="000000"/>
          <w:kern w:val="0"/>
          <w:sz w:val="24"/>
          <w:szCs w:val="24"/>
          <w:lang w:val="en-US" w:eastAsia="zh-CN" w:bidi="ar"/>
        </w:rPr>
        <w:t>nalysis</w:t>
      </w:r>
      <w:r>
        <w:rPr>
          <w:rFonts w:hint="eastAsia" w:ascii="Times New Roman Bold" w:hAnsi="Times New Roman Bold" w:eastAsia="Aptos" w:cs="Times New Roman Bold"/>
          <w:b/>
          <w:bCs/>
          <w:color w:val="000000"/>
          <w:kern w:val="0"/>
          <w:sz w:val="24"/>
          <w:szCs w:val="24"/>
          <w:lang w:val="en-US" w:eastAsia="zh-CN" w:bidi="ar"/>
        </w:rPr>
        <w:t>:</w:t>
      </w:r>
    </w:p>
    <w:p w14:paraId="2EE8EDC7">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This chapter aims to make a comprehensive analysis of the core problems, research methods and theoretical framework of this paper.</w:t>
      </w:r>
      <w:r>
        <w:rPr>
          <w:rFonts w:hint="eastAsia" w:ascii="Times New Roman Regular" w:hAnsi="Times New Roman Regular" w:cs="Times New Roman Regular"/>
          <w:b w:val="0"/>
          <w:bCs w:val="0"/>
          <w:color w:val="000000"/>
          <w:kern w:val="0"/>
          <w:sz w:val="21"/>
          <w:szCs w:val="21"/>
          <w:lang w:val="en-US" w:eastAsia="zh-CN" w:bidi="ar"/>
        </w:rPr>
        <w:t xml:space="preserve"> And t</w:t>
      </w:r>
      <w:r>
        <w:rPr>
          <w:rFonts w:hint="default" w:ascii="Times New Roman Regular" w:hAnsi="Times New Roman Regular" w:cs="Times New Roman Regular" w:eastAsiaTheme="minorEastAsia"/>
          <w:b w:val="0"/>
          <w:bCs w:val="0"/>
          <w:color w:val="000000"/>
          <w:kern w:val="0"/>
          <w:sz w:val="21"/>
          <w:szCs w:val="21"/>
          <w:lang w:val="en-US" w:eastAsia="zh-CN" w:bidi="ar"/>
        </w:rPr>
        <w:t>he focus of this chapter is to elaborate on the application effects of dynamic and interactive illustrations in cross-cultural communication of mythological themes, and to explore their theoretical value, practical significance</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and future development directions.</w:t>
      </w:r>
    </w:p>
    <w:p w14:paraId="3F9FF2E9">
      <w:pPr>
        <w:keepNext w:val="0"/>
        <w:keepLines w:val="0"/>
        <w:widowControl/>
        <w:numPr>
          <w:ilvl w:val="0"/>
          <w:numId w:val="0"/>
        </w:numPr>
        <w:suppressLineNumbers w:val="0"/>
        <w:jc w:val="left"/>
        <w:rPr>
          <w:rFonts w:hint="default" w:ascii="Times New Roman Bold" w:hAnsi="Times New Roman Bold" w:cs="Times New Roman Bold" w:eastAsiaTheme="minorEastAsia"/>
          <w:b/>
          <w:bCs w:val="0"/>
          <w:color w:val="000000"/>
          <w:kern w:val="0"/>
          <w:sz w:val="21"/>
          <w:szCs w:val="21"/>
          <w:lang w:val="en-US" w:eastAsia="zh-CN" w:bidi="ar"/>
        </w:rPr>
      </w:pPr>
    </w:p>
    <w:p w14:paraId="789D99A8">
      <w:pPr>
        <w:keepNext w:val="0"/>
        <w:keepLines w:val="0"/>
        <w:widowControl/>
        <w:numPr>
          <w:ilvl w:val="0"/>
          <w:numId w:val="0"/>
        </w:numPr>
        <w:suppressLineNumbers w:val="0"/>
        <w:jc w:val="left"/>
        <w:rPr>
          <w:rFonts w:hint="default" w:ascii="Times New Roman Bold" w:hAnsi="Times New Roman Bold" w:cs="Times New Roman Bold" w:eastAsiaTheme="minorEastAsia"/>
          <w:b/>
          <w:bCs/>
          <w:color w:val="auto"/>
          <w:kern w:val="0"/>
          <w:sz w:val="21"/>
          <w:szCs w:val="21"/>
          <w:lang w:val="en-US" w:eastAsia="zh-CN" w:bidi="ar"/>
        </w:rPr>
      </w:pPr>
      <w:r>
        <w:rPr>
          <w:rFonts w:hint="default" w:ascii="Times New Roman Bold" w:hAnsi="Times New Roman Bold" w:cs="Times New Roman Bold" w:eastAsiaTheme="minorEastAsia"/>
          <w:b/>
          <w:bCs/>
          <w:color w:val="auto"/>
          <w:kern w:val="0"/>
          <w:sz w:val="21"/>
          <w:szCs w:val="21"/>
          <w:lang w:val="en-US" w:eastAsia="zh-CN" w:bidi="ar"/>
        </w:rPr>
        <w:t xml:space="preserve">5.1 The </w:t>
      </w:r>
      <w:r>
        <w:rPr>
          <w:rFonts w:hint="default" w:ascii="Times New Roman Bold" w:hAnsi="Times New Roman Bold" w:cs="Times New Roman Bold"/>
          <w:b/>
          <w:bCs/>
          <w:color w:val="auto"/>
          <w:kern w:val="0"/>
          <w:sz w:val="21"/>
          <w:szCs w:val="21"/>
          <w:lang w:val="en-US" w:eastAsia="zh-CN" w:bidi="ar"/>
        </w:rPr>
        <w:t>S</w:t>
      </w:r>
      <w:r>
        <w:rPr>
          <w:rFonts w:hint="default" w:ascii="Times New Roman Bold" w:hAnsi="Times New Roman Bold" w:cs="Times New Roman Bold" w:eastAsiaTheme="minorEastAsia"/>
          <w:b/>
          <w:bCs/>
          <w:color w:val="auto"/>
          <w:kern w:val="0"/>
          <w:sz w:val="21"/>
          <w:szCs w:val="21"/>
          <w:lang w:val="en-US" w:eastAsia="zh-CN" w:bidi="ar"/>
        </w:rPr>
        <w:t>uitability of the</w:t>
      </w:r>
      <w:r>
        <w:rPr>
          <w:rFonts w:hint="default" w:ascii="Times New Roman Bold" w:hAnsi="Times New Roman Bold" w:cs="Times New Roman Bold"/>
          <w:b/>
          <w:bCs/>
          <w:color w:val="auto"/>
          <w:kern w:val="0"/>
          <w:sz w:val="21"/>
          <w:szCs w:val="21"/>
          <w:lang w:val="en-US" w:eastAsia="zh-CN" w:bidi="ar"/>
        </w:rPr>
        <w:t xml:space="preserve"> R</w:t>
      </w:r>
      <w:r>
        <w:rPr>
          <w:rFonts w:hint="default" w:ascii="Times New Roman Bold" w:hAnsi="Times New Roman Bold" w:cs="Times New Roman Bold" w:eastAsiaTheme="minorEastAsia"/>
          <w:b/>
          <w:bCs/>
          <w:color w:val="auto"/>
          <w:kern w:val="0"/>
          <w:sz w:val="21"/>
          <w:szCs w:val="21"/>
          <w:lang w:val="en-US" w:eastAsia="zh-CN" w:bidi="ar"/>
        </w:rPr>
        <w:t xml:space="preserve">esearch </w:t>
      </w:r>
      <w:r>
        <w:rPr>
          <w:rFonts w:hint="eastAsia" w:ascii="Times New Roman Bold" w:hAnsi="Times New Roman Bold" w:cs="Times New Roman Bold"/>
          <w:b/>
          <w:bCs/>
          <w:color w:val="auto"/>
          <w:kern w:val="0"/>
          <w:sz w:val="21"/>
          <w:szCs w:val="21"/>
          <w:lang w:val="en-US" w:eastAsia="zh-CN" w:bidi="ar"/>
        </w:rPr>
        <w:t>A</w:t>
      </w:r>
      <w:r>
        <w:rPr>
          <w:rFonts w:hint="default" w:ascii="Times New Roman Bold" w:hAnsi="Times New Roman Bold" w:cs="Times New Roman Bold"/>
          <w:b/>
          <w:bCs/>
          <w:color w:val="auto"/>
          <w:kern w:val="0"/>
          <w:sz w:val="21"/>
          <w:szCs w:val="21"/>
          <w:lang w:val="en-US" w:eastAsia="zh-CN" w:bidi="ar"/>
        </w:rPr>
        <w:t>pproach</w:t>
      </w:r>
      <w:r>
        <w:rPr>
          <w:rFonts w:hint="eastAsia" w:ascii="Times New Roman Bold" w:hAnsi="Times New Roman Bold" w:cs="Times New Roman Bold"/>
          <w:b/>
          <w:bCs/>
          <w:color w:val="auto"/>
          <w:kern w:val="0"/>
          <w:sz w:val="21"/>
          <w:szCs w:val="21"/>
          <w:lang w:val="en-US" w:eastAsia="zh-CN" w:bidi="ar"/>
        </w:rPr>
        <w:t xml:space="preserve"> </w:t>
      </w:r>
      <w:r>
        <w:rPr>
          <w:rFonts w:hint="default" w:ascii="Times New Roman Bold" w:hAnsi="Times New Roman Bold" w:cs="Times New Roman Bold" w:eastAsiaTheme="minorEastAsia"/>
          <w:b/>
          <w:bCs/>
          <w:color w:val="auto"/>
          <w:kern w:val="0"/>
          <w:sz w:val="21"/>
          <w:szCs w:val="21"/>
          <w:lang w:val="en-US" w:eastAsia="zh-CN" w:bidi="ar"/>
        </w:rPr>
        <w:t xml:space="preserve">to </w:t>
      </w:r>
      <w:r>
        <w:rPr>
          <w:rFonts w:hint="eastAsia" w:ascii="Times New Roman Bold" w:hAnsi="Times New Roman Bold" w:cs="Times New Roman Bold"/>
          <w:b/>
          <w:bCs/>
          <w:color w:val="auto"/>
          <w:kern w:val="0"/>
          <w:sz w:val="21"/>
          <w:szCs w:val="21"/>
          <w:lang w:val="en-US" w:eastAsia="zh-CN" w:bidi="ar"/>
        </w:rPr>
        <w:t>My</w:t>
      </w:r>
      <w:r>
        <w:rPr>
          <w:rFonts w:hint="default" w:ascii="Times New Roman Bold" w:hAnsi="Times New Roman Bold" w:cs="Times New Roman Bold" w:eastAsiaTheme="minorEastAsia"/>
          <w:b/>
          <w:bCs/>
          <w:color w:val="auto"/>
          <w:kern w:val="0"/>
          <w:sz w:val="21"/>
          <w:szCs w:val="21"/>
          <w:lang w:val="en-US" w:eastAsia="zh-CN" w:bidi="ar"/>
        </w:rPr>
        <w:t xml:space="preserve"> </w:t>
      </w:r>
      <w:r>
        <w:rPr>
          <w:rFonts w:hint="default" w:ascii="Times New Roman Bold" w:hAnsi="Times New Roman Bold" w:cs="Times New Roman Bold"/>
          <w:b/>
          <w:bCs/>
          <w:color w:val="auto"/>
          <w:kern w:val="0"/>
          <w:sz w:val="21"/>
          <w:szCs w:val="21"/>
          <w:lang w:val="en-US" w:eastAsia="zh-CN" w:bidi="ar"/>
        </w:rPr>
        <w:t>R</w:t>
      </w:r>
      <w:r>
        <w:rPr>
          <w:rFonts w:hint="default" w:ascii="Times New Roman Bold" w:hAnsi="Times New Roman Bold" w:cs="Times New Roman Bold" w:eastAsiaTheme="minorEastAsia"/>
          <w:b/>
          <w:bCs/>
          <w:color w:val="auto"/>
          <w:kern w:val="0"/>
          <w:sz w:val="21"/>
          <w:szCs w:val="21"/>
          <w:lang w:val="en-US" w:eastAsia="zh-CN" w:bidi="ar"/>
        </w:rPr>
        <w:t xml:space="preserve">esearch </w:t>
      </w:r>
      <w:r>
        <w:rPr>
          <w:rFonts w:hint="default" w:ascii="Times New Roman Bold" w:hAnsi="Times New Roman Bold" w:cs="Times New Roman Bold"/>
          <w:b/>
          <w:bCs/>
          <w:color w:val="auto"/>
          <w:kern w:val="0"/>
          <w:sz w:val="21"/>
          <w:szCs w:val="21"/>
          <w:lang w:val="en-US" w:eastAsia="zh-CN" w:bidi="ar"/>
        </w:rPr>
        <w:t>Q</w:t>
      </w:r>
      <w:r>
        <w:rPr>
          <w:rFonts w:hint="default" w:ascii="Times New Roman Bold" w:hAnsi="Times New Roman Bold" w:cs="Times New Roman Bold" w:eastAsiaTheme="minorEastAsia"/>
          <w:b/>
          <w:bCs/>
          <w:color w:val="auto"/>
          <w:kern w:val="0"/>
          <w:sz w:val="21"/>
          <w:szCs w:val="21"/>
          <w:lang w:val="en-US" w:eastAsia="zh-CN" w:bidi="ar"/>
        </w:rPr>
        <w:t>uestion</w:t>
      </w:r>
    </w:p>
    <w:p w14:paraId="18DB4003">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This</w:t>
      </w:r>
      <w:r>
        <w:rPr>
          <w:rFonts w:hint="eastAsia" w:ascii="Times New Roman Regular" w:hAnsi="Times New Roman Regular" w:cs="Times New Roman Regular"/>
          <w:b w:val="0"/>
          <w:bCs w:val="0"/>
          <w:color w:val="000000"/>
          <w:kern w:val="0"/>
          <w:sz w:val="21"/>
          <w:szCs w:val="21"/>
          <w:lang w:val="en-US" w:eastAsia="zh-CN" w:bidi="ar"/>
        </w:rPr>
        <w:t xml:space="preserve"> research</w:t>
      </w: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 adopts </w:t>
      </w:r>
      <w:r>
        <w:rPr>
          <w:rFonts w:hint="eastAsia" w:ascii="Times New Roman Regular" w:hAnsi="Times New Roman Regular" w:cs="Times New Roman Regular"/>
          <w:b w:val="0"/>
          <w:bCs w:val="0"/>
          <w:color w:val="000000"/>
          <w:kern w:val="0"/>
          <w:sz w:val="21"/>
          <w:szCs w:val="21"/>
          <w:lang w:val="en-US" w:eastAsia="zh-CN" w:bidi="ar"/>
        </w:rPr>
        <w:t>A</w:t>
      </w: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ction </w:t>
      </w:r>
      <w:r>
        <w:rPr>
          <w:rFonts w:hint="eastAsia" w:ascii="Times New Roman Regular" w:hAnsi="Times New Roman Regular" w:cs="Times New Roman Regular"/>
          <w:b w:val="0"/>
          <w:bCs w:val="0"/>
          <w:color w:val="000000"/>
          <w:kern w:val="0"/>
          <w:sz w:val="21"/>
          <w:szCs w:val="21"/>
          <w:lang w:val="en-US" w:eastAsia="zh-CN" w:bidi="ar"/>
        </w:rPr>
        <w:t>R</w:t>
      </w:r>
      <w:r>
        <w:rPr>
          <w:rFonts w:hint="default" w:ascii="Times New Roman Regular" w:hAnsi="Times New Roman Regular" w:cs="Times New Roman Regular" w:eastAsiaTheme="minorEastAsia"/>
          <w:b w:val="0"/>
          <w:bCs w:val="0"/>
          <w:color w:val="000000"/>
          <w:kern w:val="0"/>
          <w:sz w:val="21"/>
          <w:szCs w:val="21"/>
          <w:lang w:val="en-US" w:eastAsia="zh-CN" w:bidi="ar"/>
        </w:rPr>
        <w:t>esearch combined with Mixed Methods Research, effectively responding to the practice path of "design-communication-feedback-redesign".</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Action </w:t>
      </w:r>
      <w:r>
        <w:rPr>
          <w:rFonts w:hint="eastAsia" w:ascii="Times New Roman Regular" w:hAnsi="Times New Roman Regular" w:cs="Times New Roman Regular"/>
          <w:b w:val="0"/>
          <w:bCs w:val="0"/>
          <w:color w:val="000000"/>
          <w:kern w:val="0"/>
          <w:sz w:val="21"/>
          <w:szCs w:val="21"/>
          <w:lang w:val="en-US" w:eastAsia="zh-CN" w:bidi="ar"/>
        </w:rPr>
        <w:t>R</w:t>
      </w:r>
      <w:r>
        <w:rPr>
          <w:rFonts w:hint="default" w:ascii="Times New Roman Regular" w:hAnsi="Times New Roman Regular" w:cs="Times New Roman Regular" w:eastAsiaTheme="minorEastAsia"/>
          <w:b w:val="0"/>
          <w:bCs w:val="0"/>
          <w:color w:val="000000"/>
          <w:kern w:val="0"/>
          <w:sz w:val="21"/>
          <w:szCs w:val="21"/>
          <w:lang w:val="en-US" w:eastAsia="zh-CN" w:bidi="ar"/>
        </w:rPr>
        <w:t>esearch emphasizes the generation of knowledge in creative practice, allowing researchers as creators and interveners to continuously revise the design method. This method is particularly suitable for media forms such as dynamic illustrations with continuous feedback mechanisms.</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Mixed Methods Research combines qualitative interviews with quantitative questionnaires, allowing researchers to understand users' viewing experiences, cognitive biases</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and symbol understanding pathways under different cultural backgrounds, thereby providing more comprehensive empirical support for research questions.</w:t>
      </w:r>
    </w:p>
    <w:p w14:paraId="77180258">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auto"/>
          <w:kern w:val="0"/>
          <w:sz w:val="21"/>
          <w:szCs w:val="21"/>
          <w:lang w:val="en-US" w:eastAsia="zh-CN" w:bidi="ar"/>
        </w:rPr>
      </w:pPr>
    </w:p>
    <w:p w14:paraId="5F486E15">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auto"/>
          <w:kern w:val="0"/>
          <w:sz w:val="21"/>
          <w:szCs w:val="21"/>
          <w:lang w:val="en-US" w:eastAsia="zh-CN" w:bidi="ar"/>
        </w:rPr>
      </w:pPr>
      <w:r>
        <w:rPr>
          <w:rFonts w:hint="default" w:ascii="Times New Roman Bold" w:hAnsi="Times New Roman Bold" w:cs="Times New Roman Bold" w:eastAsiaTheme="minorEastAsia"/>
          <w:b/>
          <w:bCs/>
          <w:color w:val="auto"/>
          <w:kern w:val="0"/>
          <w:sz w:val="21"/>
          <w:szCs w:val="21"/>
          <w:lang w:val="en-US" w:eastAsia="zh-CN" w:bidi="ar"/>
        </w:rPr>
        <w:t xml:space="preserve">5.2 </w:t>
      </w:r>
      <w:r>
        <w:rPr>
          <w:rFonts w:hint="default" w:ascii="Times New Roman Bold" w:hAnsi="Times New Roman Bold" w:cs="Times New Roman Bold"/>
          <w:b/>
          <w:bCs/>
          <w:color w:val="auto"/>
          <w:kern w:val="0"/>
          <w:sz w:val="21"/>
          <w:szCs w:val="21"/>
          <w:lang w:val="en-US" w:eastAsia="zh-CN" w:bidi="ar"/>
        </w:rPr>
        <w:t>Potential Findings and</w:t>
      </w:r>
      <w:r>
        <w:rPr>
          <w:rFonts w:hint="eastAsia" w:ascii="Times New Roman Bold" w:hAnsi="Times New Roman Bold" w:cs="Times New Roman Bold"/>
          <w:b/>
          <w:bCs/>
          <w:color w:val="auto"/>
          <w:kern w:val="0"/>
          <w:sz w:val="21"/>
          <w:szCs w:val="21"/>
          <w:lang w:val="en-US" w:eastAsia="zh-CN" w:bidi="ar"/>
        </w:rPr>
        <w:t xml:space="preserve"> </w:t>
      </w:r>
      <w:r>
        <w:rPr>
          <w:rFonts w:hint="default" w:ascii="Times New Roman Bold" w:hAnsi="Times New Roman Bold" w:cs="Times New Roman Bold"/>
          <w:b/>
          <w:bCs/>
          <w:color w:val="auto"/>
          <w:kern w:val="0"/>
          <w:sz w:val="21"/>
          <w:szCs w:val="21"/>
          <w:lang w:val="en-US" w:eastAsia="zh-CN" w:bidi="ar"/>
        </w:rPr>
        <w:t>Theoretical Significance</w:t>
      </w:r>
    </w:p>
    <w:p w14:paraId="0FFF1959">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According to preliminary research, dynamic illustrations have three advantages in cross-cultural communication:</w:t>
      </w:r>
    </w:p>
    <w:p w14:paraId="580581E2">
      <w:pPr>
        <w:keepNext w:val="0"/>
        <w:keepLines w:val="0"/>
        <w:widowControl/>
        <w:numPr>
          <w:ilvl w:val="0"/>
          <w:numId w:val="3"/>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 "rhythm" and "fluidity" of information transmission: dynamic images guide the audience into the story through visual rhythm changes and time advancement, thereby reducing the difficulty of understanding caused by cultural differences.</w:t>
      </w:r>
    </w:p>
    <w:p w14:paraId="0141F930">
      <w:pPr>
        <w:keepNext w:val="0"/>
        <w:keepLines w:val="0"/>
        <w:widowControl/>
        <w:numPr>
          <w:ilvl w:val="0"/>
          <w:numId w:val="3"/>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 "openness" and "participation" of meaning generation: the interactive mechanism breaks the single way of image reception, making the audience a co-creator of meaning, and the interactive behavior itself is a cultural participation process.</w:t>
      </w:r>
    </w:p>
    <w:p w14:paraId="29FE03C3">
      <w:pPr>
        <w:keepNext w:val="0"/>
        <w:keepLines w:val="0"/>
        <w:widowControl/>
        <w:numPr>
          <w:ilvl w:val="0"/>
          <w:numId w:val="3"/>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The "recoding" ability of symbolic systems: Interactive design can promote the reinterpretation of local mythological symbols in other cultures to avoid stereotypes and misunderstandings, and </w:t>
      </w:r>
      <w:r>
        <w:rPr>
          <w:rFonts w:hint="eastAsia" w:ascii="Times New Roman Regular" w:hAnsi="Times New Roman Regular" w:cs="Times New Roman Regular"/>
          <w:b w:val="0"/>
          <w:bCs w:val="0"/>
          <w:color w:val="000000"/>
          <w:kern w:val="0"/>
          <w:sz w:val="21"/>
          <w:szCs w:val="21"/>
          <w:lang w:val="en-US" w:eastAsia="zh-CN" w:bidi="ar"/>
        </w:rPr>
        <w:t xml:space="preserve">this </w:t>
      </w:r>
      <w:r>
        <w:rPr>
          <w:rFonts w:hint="default" w:ascii="Times New Roman Regular" w:hAnsi="Times New Roman Regular" w:cs="Times New Roman Regular" w:eastAsiaTheme="minorEastAsia"/>
          <w:b w:val="0"/>
          <w:bCs w:val="0"/>
          <w:color w:val="000000"/>
          <w:kern w:val="0"/>
          <w:sz w:val="21"/>
          <w:szCs w:val="21"/>
          <w:lang w:val="en-US" w:eastAsia="zh-CN" w:bidi="ar"/>
        </w:rPr>
        <w:t>can enhance cross-cultural adaptability.</w:t>
      </w:r>
    </w:p>
    <w:p w14:paraId="6781D276">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p>
    <w:p w14:paraId="6428B5F4">
      <w:pPr>
        <w:keepNext w:val="0"/>
        <w:keepLines w:val="0"/>
        <w:widowControl/>
        <w:numPr>
          <w:ilvl w:val="0"/>
          <w:numId w:val="0"/>
        </w:numPr>
        <w:suppressLineNumbers w:val="0"/>
        <w:jc w:val="both"/>
        <w:rPr>
          <w:rFonts w:hint="default" w:ascii="Times New Roman Bold" w:hAnsi="Times New Roman Bold" w:cs="Times New Roman Bold" w:eastAsiaTheme="minorEastAsia"/>
          <w:b/>
          <w:bCs/>
          <w:color w:val="auto"/>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Therefore, dynamic and interactive illustrations not only have technical advantages, but also construct a communication mechanism of "polysemous dialogue" at the cultural level, which can promote the regeneration of mythological meaning in contemporary expression.</w:t>
      </w:r>
    </w:p>
    <w:p w14:paraId="61A8DA92">
      <w:pPr>
        <w:keepNext w:val="0"/>
        <w:keepLines w:val="0"/>
        <w:widowControl/>
        <w:numPr>
          <w:ilvl w:val="0"/>
          <w:numId w:val="0"/>
        </w:numPr>
        <w:suppressLineNumbers w:val="0"/>
        <w:jc w:val="left"/>
        <w:rPr>
          <w:rFonts w:hint="default" w:ascii="Times New Roman Bold" w:hAnsi="Times New Roman Bold" w:cs="Times New Roman Bold" w:eastAsiaTheme="minorEastAsia"/>
          <w:b/>
          <w:bCs/>
          <w:color w:val="auto"/>
          <w:kern w:val="0"/>
          <w:sz w:val="21"/>
          <w:szCs w:val="21"/>
          <w:lang w:val="en-US" w:eastAsia="zh-CN" w:bidi="ar"/>
        </w:rPr>
      </w:pPr>
    </w:p>
    <w:p w14:paraId="37746F57">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auto"/>
          <w:kern w:val="0"/>
          <w:sz w:val="21"/>
          <w:szCs w:val="21"/>
          <w:lang w:val="en-US" w:eastAsia="zh-CN" w:bidi="ar"/>
        </w:rPr>
      </w:pPr>
      <w:r>
        <w:rPr>
          <w:rFonts w:hint="default" w:ascii="Times New Roman Bold" w:hAnsi="Times New Roman Bold" w:cs="Times New Roman Bold" w:eastAsiaTheme="minorEastAsia"/>
          <w:b/>
          <w:bCs/>
          <w:color w:val="auto"/>
          <w:kern w:val="0"/>
          <w:sz w:val="21"/>
          <w:szCs w:val="21"/>
          <w:lang w:val="en-US" w:eastAsia="zh-CN" w:bidi="ar"/>
        </w:rPr>
        <w:t xml:space="preserve">5.3 The </w:t>
      </w:r>
      <w:r>
        <w:rPr>
          <w:rFonts w:hint="default" w:ascii="Times New Roman Bold" w:hAnsi="Times New Roman Bold" w:cs="Times New Roman Bold"/>
          <w:b/>
          <w:bCs/>
          <w:color w:val="auto"/>
          <w:kern w:val="0"/>
          <w:sz w:val="21"/>
          <w:szCs w:val="21"/>
          <w:lang w:val="en-US" w:eastAsia="zh-CN" w:bidi="ar"/>
        </w:rPr>
        <w:t>Links</w:t>
      </w:r>
      <w:r>
        <w:rPr>
          <w:rFonts w:hint="default" w:ascii="Times New Roman Bold" w:hAnsi="Times New Roman Bold" w:cs="Times New Roman Bold" w:eastAsiaTheme="minorEastAsia"/>
          <w:b/>
          <w:bCs/>
          <w:color w:val="auto"/>
          <w:kern w:val="0"/>
          <w:sz w:val="21"/>
          <w:szCs w:val="21"/>
          <w:lang w:val="en-US" w:eastAsia="zh-CN" w:bidi="ar"/>
        </w:rPr>
        <w:t xml:space="preserve"> between Theory and Practice</w:t>
      </w:r>
    </w:p>
    <w:p w14:paraId="039D3C87">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auto"/>
          <w:kern w:val="0"/>
          <w:sz w:val="21"/>
          <w:szCs w:val="21"/>
          <w:lang w:val="en-US" w:eastAsia="zh-CN" w:bidi="ar"/>
        </w:rPr>
      </w:pPr>
      <w:r>
        <w:rPr>
          <w:rFonts w:hint="default" w:ascii="Times New Roman Regular" w:hAnsi="Times New Roman Regular" w:cs="Times New Roman Regular" w:eastAsiaTheme="minorEastAsia"/>
          <w:b w:val="0"/>
          <w:bCs w:val="0"/>
          <w:color w:val="auto"/>
          <w:kern w:val="0"/>
          <w:sz w:val="21"/>
          <w:szCs w:val="21"/>
          <w:lang w:val="en-US" w:eastAsia="zh-CN" w:bidi="ar"/>
        </w:rPr>
        <w:t>The adopted theoretical framework has been outlined in the introduction of this paper, and how it guides the specific creation is further analyzed here:</w:t>
      </w:r>
    </w:p>
    <w:p w14:paraId="5B8C3CCD">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auto"/>
          <w:kern w:val="0"/>
          <w:sz w:val="21"/>
          <w:szCs w:val="21"/>
          <w:lang w:val="en-US" w:eastAsia="zh-CN" w:bidi="ar"/>
        </w:rPr>
      </w:pPr>
      <w:r>
        <w:rPr>
          <w:rFonts w:hint="default" w:ascii="Times New Roman Regular" w:hAnsi="Times New Roman Regular" w:cs="Times New Roman Regular" w:eastAsiaTheme="minorEastAsia"/>
          <w:b w:val="0"/>
          <w:bCs w:val="0"/>
          <w:color w:val="auto"/>
          <w:kern w:val="0"/>
          <w:sz w:val="21"/>
          <w:szCs w:val="21"/>
          <w:lang w:val="en-US" w:eastAsia="zh-CN" w:bidi="ar"/>
        </w:rPr>
        <w:t>Constructivism emphasizes that the generation of cultural meaning is a continuous construction process in the interaction between the audience and the environment</w:t>
      </w:r>
      <w:r>
        <w:rPr>
          <w:rFonts w:hint="eastAsia" w:ascii="Times New Roman Regular" w:hAnsi="Times New Roman Regular" w:cs="Times New Roman Regular"/>
          <w:b w:val="0"/>
          <w:bCs w:val="0"/>
          <w:color w:val="auto"/>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auto"/>
          <w:kern w:val="0"/>
          <w:sz w:val="21"/>
          <w:szCs w:val="21"/>
          <w:lang w:val="en-US" w:eastAsia="zh-CN" w:bidi="ar"/>
        </w:rPr>
        <w:t>Piaget, 1977</w:t>
      </w:r>
      <w:r>
        <w:rPr>
          <w:rFonts w:hint="eastAsia" w:ascii="Times New Roman Regular" w:hAnsi="Times New Roman Regular" w:cs="Times New Roman Regular"/>
          <w:b w:val="0"/>
          <w:bCs w:val="0"/>
          <w:color w:val="auto"/>
          <w:kern w:val="0"/>
          <w:sz w:val="21"/>
          <w:szCs w:val="21"/>
          <w:lang w:val="en-US" w:eastAsia="zh-CN" w:bidi="ar"/>
        </w:rPr>
        <w:t>)</w:t>
      </w:r>
      <w:r>
        <w:rPr>
          <w:rFonts w:hint="default" w:ascii="Times New Roman Regular" w:hAnsi="Times New Roman Regular" w:cs="Times New Roman Regular" w:eastAsiaTheme="minorEastAsia"/>
          <w:b w:val="0"/>
          <w:bCs w:val="0"/>
          <w:color w:val="auto"/>
          <w:kern w:val="0"/>
          <w:sz w:val="21"/>
          <w:szCs w:val="21"/>
          <w:lang w:val="en-US" w:eastAsia="zh-CN" w:bidi="ar"/>
        </w:rPr>
        <w:t>.</w:t>
      </w:r>
      <w:r>
        <w:rPr>
          <w:rFonts w:hint="default" w:ascii="Times New Roman Regular" w:hAnsi="Times New Roman Regular" w:cs="Times New Roman Regular"/>
          <w:b w:val="0"/>
          <w:bCs w:val="0"/>
          <w:color w:val="auto"/>
          <w:kern w:val="0"/>
          <w:sz w:val="21"/>
          <w:szCs w:val="21"/>
          <w:lang w:val="en-US" w:eastAsia="zh-CN" w:bidi="ar"/>
        </w:rPr>
        <w:t xml:space="preserve"> As</w:t>
      </w:r>
      <w:r>
        <w:rPr>
          <w:rFonts w:hint="eastAsia" w:ascii="Times New Roman Regular" w:hAnsi="Times New Roman Regular" w:cs="Times New Roman Regular"/>
          <w:b w:val="0"/>
          <w:bCs w:val="0"/>
          <w:color w:val="auto"/>
          <w:kern w:val="0"/>
          <w:sz w:val="21"/>
          <w:szCs w:val="21"/>
          <w:lang w:val="en-US" w:eastAsia="zh-CN" w:bidi="ar"/>
        </w:rPr>
        <w:t xml:space="preserve"> shown in the "encoding/decoding" model proposed by Hall (1980), the audiences will reconstruct information based on their own cultural background. </w:t>
      </w:r>
      <w:r>
        <w:rPr>
          <w:rFonts w:hint="default" w:ascii="Times New Roman Regular" w:hAnsi="Times New Roman Regular" w:cs="Times New Roman Regular" w:eastAsiaTheme="minorEastAsia"/>
          <w:b w:val="0"/>
          <w:bCs w:val="0"/>
          <w:color w:val="auto"/>
          <w:kern w:val="0"/>
          <w:sz w:val="21"/>
          <w:szCs w:val="21"/>
          <w:lang w:val="en-US" w:eastAsia="zh-CN" w:bidi="ar"/>
        </w:rPr>
        <w:t>This theory is embodied in interactive illustrations, for example, users can directly affect the symbolic meaning of images by clicking, path selection and other behaviors.</w:t>
      </w:r>
    </w:p>
    <w:p w14:paraId="6E6E3DF6">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4874CB" w:themeColor="accent1"/>
          <w:kern w:val="0"/>
          <w:sz w:val="21"/>
          <w:szCs w:val="21"/>
          <w:lang w:val="en-US" w:eastAsia="zh-CN" w:bidi="ar"/>
          <w14:textFill>
            <w14:solidFill>
              <w14:schemeClr w14:val="accent1"/>
            </w14:solidFill>
          </w14:textFill>
        </w:rPr>
      </w:pPr>
    </w:p>
    <w:p w14:paraId="06EDB87C">
      <w:pPr>
        <w:keepNext w:val="0"/>
        <w:keepLines w:val="0"/>
        <w:widowControl/>
        <w:numPr>
          <w:ilvl w:val="0"/>
          <w:numId w:val="0"/>
        </w:numPr>
        <w:suppressLineNumbers w:val="0"/>
        <w:jc w:val="both"/>
        <w:rPr>
          <w:rFonts w:hint="default" w:ascii="Times New Roman Regular" w:hAnsi="Times New Roman Regular" w:cs="Times New Roman Regular"/>
          <w:b w:val="0"/>
          <w:bCs w:val="0"/>
          <w:color w:val="auto"/>
          <w:kern w:val="0"/>
          <w:sz w:val="21"/>
          <w:szCs w:val="21"/>
          <w:lang w:val="en-US" w:eastAsia="zh-CN" w:bidi="ar"/>
        </w:rPr>
      </w:pPr>
      <w:r>
        <w:rPr>
          <w:rFonts w:hint="default" w:ascii="Times New Roman Regular" w:hAnsi="Times New Roman Regular" w:cs="Times New Roman Regular" w:eastAsiaTheme="minorEastAsia"/>
          <w:b w:val="0"/>
          <w:bCs w:val="0"/>
          <w:color w:val="auto"/>
          <w:kern w:val="0"/>
          <w:sz w:val="21"/>
          <w:szCs w:val="21"/>
          <w:lang w:val="en-US" w:eastAsia="zh-CN" w:bidi="ar"/>
        </w:rPr>
        <w:t>The "semantic ambiguity" theory proposed by Lotman (1990) reveals the polysemy and interpretability of myths.</w:t>
      </w:r>
      <w:r>
        <w:rPr>
          <w:rFonts w:hint="eastAsia" w:ascii="Times New Roman Regular" w:hAnsi="Times New Roman Regular" w:cs="Times New Roman Regular"/>
          <w:b w:val="0"/>
          <w:bCs w:val="0"/>
          <w:color w:val="auto"/>
          <w:kern w:val="0"/>
          <w:sz w:val="21"/>
          <w:szCs w:val="21"/>
          <w:lang w:val="en-US" w:eastAsia="zh-CN" w:bidi="ar"/>
        </w:rPr>
        <w:t xml:space="preserve"> Dynamic illustration allows the meaning of mythological stories to flexibly change through open structures and diverse visual elements. </w:t>
      </w:r>
      <w:r>
        <w:rPr>
          <w:rFonts w:hint="default" w:ascii="Times New Roman Regular" w:hAnsi="Times New Roman Regular" w:cs="Times New Roman Regular"/>
          <w:b w:val="0"/>
          <w:bCs w:val="0"/>
          <w:color w:val="auto"/>
          <w:kern w:val="0"/>
          <w:sz w:val="21"/>
          <w:szCs w:val="21"/>
          <w:lang w:val="en-US" w:eastAsia="zh-CN" w:bidi="ar"/>
        </w:rPr>
        <w:t>For example, in a GIF animation, a mythical bird that symbolizes "rebirth" can appear in different states such as flying, breaking</w:t>
      </w:r>
      <w:r>
        <w:rPr>
          <w:rFonts w:hint="eastAsia" w:ascii="Times New Roman Regular" w:hAnsi="Times New Roman Regular" w:cs="Times New Roman Regular"/>
          <w:b w:val="0"/>
          <w:bCs w:val="0"/>
          <w:color w:val="auto"/>
          <w:kern w:val="0"/>
          <w:sz w:val="21"/>
          <w:szCs w:val="21"/>
          <w:lang w:val="en-US" w:eastAsia="zh-CN" w:bidi="ar"/>
        </w:rPr>
        <w:t xml:space="preserve"> </w:t>
      </w:r>
      <w:r>
        <w:rPr>
          <w:rFonts w:hint="default" w:ascii="Times New Roman Regular" w:hAnsi="Times New Roman Regular" w:cs="Times New Roman Regular"/>
          <w:b w:val="0"/>
          <w:bCs w:val="0"/>
          <w:color w:val="auto"/>
          <w:kern w:val="0"/>
          <w:sz w:val="21"/>
          <w:szCs w:val="21"/>
          <w:lang w:val="en-US" w:eastAsia="zh-CN" w:bidi="ar"/>
        </w:rPr>
        <w:t>and burning in different plot developments, which precisely reflects the different understandings of the life cycle in different cultures.</w:t>
      </w:r>
    </w:p>
    <w:p w14:paraId="6A76799C">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p>
    <w:p w14:paraId="2E7EA777">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In addition, the theory of cultural reflection suggests that cultural symbols may undergo semantic shifts and reconstructions in cross-cultural communication due to contextual differences (</w:t>
      </w:r>
      <w:r>
        <w:rPr>
          <w:rFonts w:hint="eastAsia" w:ascii="Times New Roman Regular" w:hAnsi="Times New Roman Regular" w:cs="Times New Roman Regular"/>
          <w:b w:val="0"/>
          <w:bCs w:val="0"/>
          <w:color w:val="000000"/>
          <w:kern w:val="0"/>
          <w:sz w:val="21"/>
          <w:szCs w:val="21"/>
          <w:lang w:val="en-US" w:eastAsia="zh-CN" w:bidi="ar"/>
        </w:rPr>
        <w:t>Hall</w:t>
      </w:r>
      <w:r>
        <w:rPr>
          <w:rFonts w:hint="default" w:ascii="Times New Roman Regular" w:hAnsi="Times New Roman Regular" w:cs="Times New Roman Regular" w:eastAsiaTheme="minorEastAsia"/>
          <w:b w:val="0"/>
          <w:bCs w:val="0"/>
          <w:color w:val="000000"/>
          <w:kern w:val="0"/>
          <w:sz w:val="21"/>
          <w:szCs w:val="21"/>
          <w:lang w:val="en-US" w:eastAsia="zh-CN" w:bidi="ar"/>
        </w:rPr>
        <w:t>, 20</w:t>
      </w:r>
      <w:r>
        <w:rPr>
          <w:rFonts w:hint="eastAsia" w:ascii="Times New Roman Regular" w:hAnsi="Times New Roman Regular" w:cs="Times New Roman Regular"/>
          <w:b w:val="0"/>
          <w:bCs w:val="0"/>
          <w:color w:val="000000"/>
          <w:kern w:val="0"/>
          <w:sz w:val="21"/>
          <w:szCs w:val="21"/>
          <w:lang w:val="en-US" w:eastAsia="zh-CN" w:bidi="ar"/>
        </w:rPr>
        <w:t>15</w:t>
      </w:r>
      <w:r>
        <w:rPr>
          <w:rFonts w:hint="default" w:ascii="Times New Roman Regular" w:hAnsi="Times New Roman Regular" w:cs="Times New Roman Regular" w:eastAsiaTheme="minorEastAsia"/>
          <w:b w:val="0"/>
          <w:bCs w:val="0"/>
          <w:color w:val="000000"/>
          <w:kern w:val="0"/>
          <w:sz w:val="21"/>
          <w:szCs w:val="21"/>
          <w:lang w:val="en-US" w:eastAsia="zh-CN" w:bidi="ar"/>
        </w:rPr>
        <w:t>).</w:t>
      </w:r>
      <w:r>
        <w:rPr>
          <w:rFonts w:hint="eastAsia" w:ascii="Times New Roman Regular" w:hAnsi="Times New Roman Regular" w:cs="Times New Roman Regular"/>
          <w:b w:val="0"/>
          <w:bCs w:val="0"/>
          <w:color w:val="000000"/>
          <w:kern w:val="0"/>
          <w:sz w:val="21"/>
          <w:szCs w:val="21"/>
          <w:lang w:val="en-US" w:eastAsia="zh-CN" w:bidi="ar"/>
        </w:rPr>
        <w:t xml:space="preserve"> In the creation of mythological themed illustrations, audiences from different cultural backgrounds may give vastly different interpretations to the same image. </w:t>
      </w:r>
      <w:r>
        <w:rPr>
          <w:rFonts w:hint="default" w:ascii="Times New Roman Regular" w:hAnsi="Times New Roman Regular" w:cs="Times New Roman Regular" w:eastAsiaTheme="minorEastAsia"/>
          <w:b w:val="0"/>
          <w:bCs w:val="0"/>
          <w:color w:val="000000"/>
          <w:kern w:val="0"/>
          <w:sz w:val="21"/>
          <w:szCs w:val="21"/>
          <w:lang w:val="en-US" w:eastAsia="zh-CN" w:bidi="ar"/>
        </w:rPr>
        <w:t>The interactive mechanism of dynamic illustration provides a space for guiding and accommodating diverse interpretations, allowing cultural information to convey its core spirit in the process of "reflection", thereby enhancing its dissemination and adaptability in a multicultural context.</w:t>
      </w:r>
    </w:p>
    <w:p w14:paraId="2CAA4FA3">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p>
    <w:p w14:paraId="457FFE96">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auto"/>
          <w:kern w:val="0"/>
          <w:sz w:val="21"/>
          <w:szCs w:val="21"/>
          <w:highlight w:val="none"/>
          <w:lang w:val="en-US" w:eastAsia="zh-CN" w:bidi="ar"/>
        </w:rPr>
      </w:pP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Murray (2017) proposed the "non-linear" and "participatory" theories of digital storytelling, which also provide a theoretical basis for the design of interactive illustrations.</w:t>
      </w:r>
      <w:r>
        <w:rPr>
          <w:rFonts w:hint="eastAsia" w:ascii="Times New Roman Regular" w:hAnsi="Times New Roman Regular" w:cs="Times New Roman Regular"/>
          <w:b w:val="0"/>
          <w:bCs w:val="0"/>
          <w:color w:val="auto"/>
          <w:kern w:val="0"/>
          <w:sz w:val="21"/>
          <w:szCs w:val="21"/>
          <w:highlight w:val="none"/>
          <w:lang w:val="en-US" w:eastAsia="zh-CN" w:bidi="ar"/>
        </w:rPr>
        <w:t xml:space="preserve"> </w:t>
      </w: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In interactive illustrations, users can freely explore various parts of mythological stories and construct their own "hero's journey", which is very similar to the mythological prototype structure proposed by Campbell (2008).</w:t>
      </w:r>
      <w:r>
        <w:rPr>
          <w:rFonts w:hint="eastAsia" w:ascii="Times New Roman Regular" w:hAnsi="Times New Roman Regular" w:cs="Times New Roman Regular"/>
          <w:b w:val="0"/>
          <w:bCs w:val="0"/>
          <w:color w:val="auto"/>
          <w:kern w:val="0"/>
          <w:sz w:val="21"/>
          <w:szCs w:val="21"/>
          <w:highlight w:val="none"/>
          <w:lang w:val="en-US" w:eastAsia="zh-CN" w:bidi="ar"/>
        </w:rPr>
        <w:t xml:space="preserve"> This shows that digital illustrations can connect traditional myths with modern life. Therefore, this research will construct a structure of "image-culture-audience" that is interconnected in the combination of theory and practice. In this structure, the image is no longer a closed carrier with fixed meaning, but a starting point for the audience to construct cultural cognition. The audience is no longer a "decoder", but a "participatory creator".</w:t>
      </w:r>
    </w:p>
    <w:p w14:paraId="217B65D9">
      <w:pPr>
        <w:keepNext w:val="0"/>
        <w:keepLines w:val="0"/>
        <w:widowControl/>
        <w:numPr>
          <w:ilvl w:val="0"/>
          <w:numId w:val="0"/>
        </w:numPr>
        <w:suppressLineNumbers w:val="0"/>
        <w:jc w:val="left"/>
        <w:rPr>
          <w:rFonts w:hint="default" w:ascii="Times New Roman Regular" w:hAnsi="Times New Roman Regular" w:cs="Times New Roman Regular" w:eastAsiaTheme="minorEastAsia"/>
          <w:b/>
          <w:bCs/>
          <w:color w:val="auto"/>
          <w:kern w:val="0"/>
          <w:sz w:val="21"/>
          <w:szCs w:val="21"/>
          <w:highlight w:val="yellow"/>
          <w:lang w:val="en-US" w:eastAsia="zh-CN" w:bidi="ar"/>
        </w:rPr>
      </w:pPr>
    </w:p>
    <w:p w14:paraId="587B30D1">
      <w:pPr>
        <w:keepNext w:val="0"/>
        <w:keepLines w:val="0"/>
        <w:widowControl/>
        <w:numPr>
          <w:ilvl w:val="0"/>
          <w:numId w:val="0"/>
        </w:numPr>
        <w:suppressLineNumbers w:val="0"/>
        <w:jc w:val="left"/>
        <w:rPr>
          <w:rFonts w:hint="default" w:ascii="Times New Roman Bold" w:hAnsi="Times New Roman Bold" w:cs="Times New Roman Bold" w:eastAsiaTheme="minorEastAsia"/>
          <w:b/>
          <w:bCs/>
          <w:color w:val="auto"/>
          <w:kern w:val="0"/>
          <w:sz w:val="21"/>
          <w:szCs w:val="21"/>
          <w:lang w:val="en-US" w:eastAsia="zh-CN" w:bidi="ar"/>
        </w:rPr>
      </w:pPr>
      <w:r>
        <w:rPr>
          <w:rFonts w:hint="default" w:ascii="Times New Roman Bold" w:hAnsi="Times New Roman Bold" w:cs="Times New Roman Bold" w:eastAsiaTheme="minorEastAsia"/>
          <w:b/>
          <w:bCs/>
          <w:color w:val="auto"/>
          <w:kern w:val="0"/>
          <w:sz w:val="21"/>
          <w:szCs w:val="21"/>
          <w:lang w:val="en-US" w:eastAsia="zh-CN" w:bidi="ar"/>
        </w:rPr>
        <w:t>5.4 Reflection on Future Research and Further Questions Raised</w:t>
      </w:r>
    </w:p>
    <w:p w14:paraId="0C5B0CB9">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eastAsia" w:ascii="Times New Roman Regular" w:hAnsi="Times New Roman Regular" w:cs="Times New Roman Regular"/>
          <w:b w:val="0"/>
          <w:bCs w:val="0"/>
          <w:color w:val="000000"/>
          <w:kern w:val="0"/>
          <w:sz w:val="21"/>
          <w:szCs w:val="21"/>
          <w:lang w:val="en-US" w:eastAsia="zh-CN" w:bidi="ar"/>
        </w:rPr>
        <w:t>T</w:t>
      </w:r>
      <w:r>
        <w:rPr>
          <w:rFonts w:hint="default" w:ascii="Times New Roman Regular" w:hAnsi="Times New Roman Regular" w:cs="Times New Roman Regular" w:eastAsiaTheme="minorEastAsia"/>
          <w:b w:val="0"/>
          <w:bCs w:val="0"/>
          <w:color w:val="000000"/>
          <w:kern w:val="0"/>
          <w:sz w:val="21"/>
          <w:szCs w:val="21"/>
          <w:lang w:val="en-US" w:eastAsia="zh-CN" w:bidi="ar"/>
        </w:rPr>
        <w:t>he following are some questions that deserve further research:</w:t>
      </w:r>
    </w:p>
    <w:p w14:paraId="514B7021">
      <w:pPr>
        <w:keepNext w:val="0"/>
        <w:keepLines w:val="0"/>
        <w:widowControl/>
        <w:numPr>
          <w:ilvl w:val="0"/>
          <w:numId w:val="4"/>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Guidance mechanism: Although the open structure encourages polysemous interpretation, it may also lead to misinterpretation.</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In the future, sound effects, colors</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or image prompts can be introduced to help users understand culture.</w:t>
      </w:r>
    </w:p>
    <w:p w14:paraId="2E9E06D3">
      <w:pPr>
        <w:keepNext w:val="0"/>
        <w:keepLines w:val="0"/>
        <w:widowControl/>
        <w:numPr>
          <w:ilvl w:val="0"/>
          <w:numId w:val="4"/>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 expression of culture: Some images simplify symbolic forms to enhance global understanding, which may weaken their cultural depth. Future research can explore the "dual expression" mechanism, balancing the local and universal aspects of culture.</w:t>
      </w:r>
    </w:p>
    <w:p w14:paraId="6B72096B">
      <w:pPr>
        <w:keepNext w:val="0"/>
        <w:keepLines w:val="0"/>
        <w:widowControl/>
        <w:numPr>
          <w:ilvl w:val="0"/>
          <w:numId w:val="4"/>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Integrating multiple immersive experiences: Although this </w:t>
      </w:r>
      <w:r>
        <w:rPr>
          <w:rFonts w:hint="eastAsia" w:ascii="Times New Roman Regular" w:hAnsi="Times New Roman Regular" w:cs="Times New Roman Regular"/>
          <w:b w:val="0"/>
          <w:bCs w:val="0"/>
          <w:color w:val="000000"/>
          <w:kern w:val="0"/>
          <w:sz w:val="21"/>
          <w:szCs w:val="21"/>
          <w:lang w:val="en-US" w:eastAsia="zh-CN" w:bidi="ar"/>
        </w:rPr>
        <w:t xml:space="preserve">research </w:t>
      </w:r>
      <w:r>
        <w:rPr>
          <w:rFonts w:hint="default" w:ascii="Times New Roman Regular" w:hAnsi="Times New Roman Regular" w:cs="Times New Roman Regular" w:eastAsiaTheme="minorEastAsia"/>
          <w:b w:val="0"/>
          <w:bCs w:val="0"/>
          <w:color w:val="000000"/>
          <w:kern w:val="0"/>
          <w:sz w:val="21"/>
          <w:szCs w:val="21"/>
          <w:lang w:val="en-US" w:eastAsia="zh-CN" w:bidi="ar"/>
        </w:rPr>
        <w:t>mainly focuses on the illustrations themselves, user feedback suggests that sound effects can make the situation more vivid. Therefore, future creations can attempt to combine images, sound effects</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and interactive experiences to create more immersive narrative systems and provide users with richer experiences.</w:t>
      </w:r>
    </w:p>
    <w:p w14:paraId="555DDD43">
      <w:pPr>
        <w:keepNext w:val="0"/>
        <w:keepLines w:val="0"/>
        <w:widowControl/>
        <w:numPr>
          <w:ilvl w:val="0"/>
          <w:numId w:val="4"/>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 impact of cultural literacy differences: The cultural cognition and visual literacy of the audience will significantly affect image interpretation. Subsequently, mechanisms for analyzing user cultural backgrounds can be established to optimize the adaptability and personalized path of illustration design.</w:t>
      </w:r>
    </w:p>
    <w:p w14:paraId="44A8022E">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auto"/>
          <w:kern w:val="0"/>
          <w:sz w:val="21"/>
          <w:szCs w:val="21"/>
          <w:lang w:val="en-US" w:eastAsia="zh-CN" w:bidi="ar"/>
        </w:rPr>
      </w:pPr>
    </w:p>
    <w:p w14:paraId="0C5DA2BF">
      <w:pPr>
        <w:keepNext w:val="0"/>
        <w:keepLines w:val="0"/>
        <w:widowControl/>
        <w:numPr>
          <w:ilvl w:val="0"/>
          <w:numId w:val="0"/>
        </w:numPr>
        <w:suppressLineNumbers w:val="0"/>
        <w:jc w:val="left"/>
        <w:rPr>
          <w:rFonts w:hint="default" w:ascii="Times New Roman Bold" w:hAnsi="Times New Roman Bold" w:cs="Times New Roman Bold" w:eastAsiaTheme="minorEastAsia"/>
          <w:b/>
          <w:bCs/>
          <w:color w:val="auto"/>
          <w:kern w:val="0"/>
          <w:sz w:val="21"/>
          <w:szCs w:val="21"/>
          <w:lang w:val="en-US" w:eastAsia="zh-CN" w:bidi="ar"/>
        </w:rPr>
      </w:pPr>
      <w:r>
        <w:rPr>
          <w:rFonts w:hint="default" w:ascii="Times New Roman Bold" w:hAnsi="Times New Roman Bold" w:cs="Times New Roman Bold" w:eastAsiaTheme="minorEastAsia"/>
          <w:b/>
          <w:bCs/>
          <w:color w:val="auto"/>
          <w:kern w:val="0"/>
          <w:sz w:val="21"/>
          <w:szCs w:val="21"/>
          <w:lang w:val="en-US" w:eastAsia="zh-CN" w:bidi="ar"/>
        </w:rPr>
        <w:t>5.5</w:t>
      </w:r>
      <w:r>
        <w:rPr>
          <w:rFonts w:hint="default" w:ascii="Times New Roman Bold" w:hAnsi="Times New Roman Bold" w:cs="Times New Roman Bold"/>
          <w:b/>
          <w:bCs/>
          <w:color w:val="auto"/>
          <w:kern w:val="0"/>
          <w:sz w:val="21"/>
          <w:szCs w:val="21"/>
          <w:lang w:val="en-US" w:eastAsia="zh-CN" w:bidi="ar"/>
        </w:rPr>
        <w:t xml:space="preserve"> </w:t>
      </w:r>
      <w:r>
        <w:rPr>
          <w:rFonts w:hint="default" w:ascii="Times New Roman Bold" w:hAnsi="Times New Roman Bold" w:cs="Times New Roman Bold" w:eastAsiaTheme="minorEastAsia"/>
          <w:b/>
          <w:bCs/>
          <w:color w:val="auto"/>
          <w:kern w:val="0"/>
          <w:sz w:val="21"/>
          <w:szCs w:val="21"/>
          <w:lang w:val="en-US" w:eastAsia="zh-CN" w:bidi="ar"/>
        </w:rPr>
        <w:t>Limitations and Reflections on the Proposed Research Design</w:t>
      </w:r>
    </w:p>
    <w:p w14:paraId="55468D54">
      <w:pPr>
        <w:keepNext w:val="0"/>
        <w:keepLines w:val="0"/>
        <w:widowControl/>
        <w:numPr>
          <w:ilvl w:val="0"/>
          <w:numId w:val="0"/>
        </w:numPr>
        <w:suppressLineNumbers w:val="0"/>
        <w:jc w:val="left"/>
        <w:rPr>
          <w:rFonts w:hint="default" w:ascii="Times New Roman Regular" w:hAnsi="Times New Roman Regular" w:cs="Times New Roman Regular" w:eastAsiaTheme="minorEastAsia"/>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Although this </w:t>
      </w:r>
      <w:r>
        <w:rPr>
          <w:rFonts w:hint="eastAsia" w:ascii="Times New Roman Regular" w:hAnsi="Times New Roman Regular" w:cs="Times New Roman Regular"/>
          <w:b w:val="0"/>
          <w:bCs w:val="0"/>
          <w:color w:val="000000"/>
          <w:kern w:val="0"/>
          <w:sz w:val="21"/>
          <w:szCs w:val="21"/>
          <w:lang w:val="en-US" w:eastAsia="zh-CN" w:bidi="ar"/>
        </w:rPr>
        <w:t>p</w:t>
      </w:r>
      <w:r>
        <w:rPr>
          <w:rFonts w:hint="default" w:ascii="Times New Roman Regular" w:hAnsi="Times New Roman Regular" w:cs="Times New Roman Regular" w:eastAsiaTheme="minorEastAsia"/>
          <w:b w:val="0"/>
          <w:bCs w:val="0"/>
          <w:color w:val="000000"/>
          <w:kern w:val="0"/>
          <w:sz w:val="21"/>
          <w:szCs w:val="21"/>
          <w:lang w:val="en-US" w:eastAsia="zh-CN" w:bidi="ar"/>
        </w:rPr>
        <w:t>roposed</w:t>
      </w:r>
      <w:r>
        <w:rPr>
          <w:rFonts w:hint="eastAsia" w:ascii="Times New Roman Regular" w:hAnsi="Times New Roman Regular" w:cs="Times New Roman Regular"/>
          <w:b w:val="0"/>
          <w:bCs w:val="0"/>
          <w:color w:val="000000"/>
          <w:kern w:val="0"/>
          <w:sz w:val="21"/>
          <w:szCs w:val="21"/>
          <w:lang w:val="en-US" w:eastAsia="zh-CN" w:bidi="ar"/>
        </w:rPr>
        <w:t xml:space="preserve"> </w:t>
      </w:r>
      <w:r>
        <w:rPr>
          <w:rFonts w:hint="default" w:ascii="Times New Roman Regular" w:hAnsi="Times New Roman Regular" w:cs="Times New Roman Regular" w:eastAsiaTheme="minorEastAsia"/>
          <w:b w:val="0"/>
          <w:bCs w:val="0"/>
          <w:color w:val="000000"/>
          <w:kern w:val="0"/>
          <w:sz w:val="21"/>
          <w:szCs w:val="21"/>
          <w:lang w:val="en-US" w:eastAsia="zh-CN" w:bidi="ar"/>
        </w:rPr>
        <w:t>research design has theoretical rigor and practical adaptability, there are also some limitations:</w:t>
      </w:r>
    </w:p>
    <w:p w14:paraId="6C943E48">
      <w:pPr>
        <w:keepNext w:val="0"/>
        <w:keepLines w:val="0"/>
        <w:widowControl/>
        <w:numPr>
          <w:ilvl w:val="0"/>
          <w:numId w:val="5"/>
        </w:numPr>
        <w:suppressLineNumbers w:val="0"/>
        <w:jc w:val="left"/>
        <w:rPr>
          <w:rFonts w:hint="eastAsia" w:ascii="Times New Roman Regular" w:hAnsi="Times New Roman Regular" w:cs="Times New Roman Regular"/>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 xml:space="preserve">The surveyed samples are mainly concentrated in Asia and Europe, and do not fully cover cultural contexts such as South America and Africa, which may affect the cultural breadth of the </w:t>
      </w:r>
      <w:r>
        <w:rPr>
          <w:rFonts w:hint="eastAsia" w:ascii="Times New Roman Regular" w:hAnsi="Times New Roman Regular" w:cs="Times New Roman Regular"/>
          <w:b w:val="0"/>
          <w:bCs w:val="0"/>
          <w:color w:val="000000"/>
          <w:kern w:val="0"/>
          <w:sz w:val="21"/>
          <w:szCs w:val="21"/>
          <w:lang w:val="en-US" w:eastAsia="zh-CN" w:bidi="ar"/>
        </w:rPr>
        <w:t>research.</w:t>
      </w:r>
    </w:p>
    <w:p w14:paraId="61883F02">
      <w:pPr>
        <w:keepNext w:val="0"/>
        <w:keepLines w:val="0"/>
        <w:widowControl/>
        <w:numPr>
          <w:ilvl w:val="0"/>
          <w:numId w:val="5"/>
        </w:numPr>
        <w:suppressLineNumbers w:val="0"/>
        <w:jc w:val="left"/>
        <w:rPr>
          <w:rFonts w:hint="default" w:ascii="Times New Roman Regular" w:hAnsi="Times New Roman Regular" w:cs="Times New Roman Regular"/>
          <w:b w:val="0"/>
          <w:bCs w:val="0"/>
          <w:color w:val="000000"/>
          <w:kern w:val="0"/>
          <w:sz w:val="21"/>
          <w:szCs w:val="21"/>
          <w:lang w:val="en-US" w:eastAsia="zh-CN" w:bidi="ar"/>
        </w:rPr>
      </w:pPr>
      <w:r>
        <w:rPr>
          <w:rFonts w:hint="default" w:ascii="Times New Roman Regular" w:hAnsi="Times New Roman Regular" w:cs="Times New Roman Regular"/>
          <w:b w:val="0"/>
          <w:bCs w:val="0"/>
          <w:color w:val="000000"/>
          <w:kern w:val="0"/>
          <w:sz w:val="21"/>
          <w:szCs w:val="21"/>
          <w:lang w:val="en-US" w:eastAsia="zh-CN" w:bidi="ar"/>
        </w:rPr>
        <w:t>Some of the proposed interactive structures are highly complex, which increases the cognitive burden of users and requires strengthening the guidance logic in the design.</w:t>
      </w:r>
    </w:p>
    <w:p w14:paraId="282A0D43">
      <w:pPr>
        <w:keepNext w:val="0"/>
        <w:keepLines w:val="0"/>
        <w:widowControl/>
        <w:numPr>
          <w:ilvl w:val="0"/>
          <w:numId w:val="5"/>
        </w:numPr>
        <w:suppressLineNumbers w:val="0"/>
        <w:jc w:val="left"/>
        <w:rPr>
          <w:rFonts w:hint="default" w:ascii="Times New Roman Regular" w:hAnsi="Times New Roman Regular" w:cs="Times New Roman Regular"/>
          <w:b w:val="0"/>
          <w:bCs w:val="0"/>
          <w:color w:val="000000"/>
          <w:kern w:val="0"/>
          <w:sz w:val="21"/>
          <w:szCs w:val="21"/>
          <w:lang w:val="en-US" w:eastAsia="zh-CN" w:bidi="ar"/>
        </w:rPr>
      </w:pPr>
      <w:r>
        <w:rPr>
          <w:rFonts w:hint="default" w:ascii="Times New Roman Regular" w:hAnsi="Times New Roman Regular" w:cs="Times New Roman Regular"/>
          <w:b w:val="0"/>
          <w:bCs w:val="0"/>
          <w:color w:val="000000"/>
          <w:kern w:val="0"/>
          <w:sz w:val="21"/>
          <w:szCs w:val="21"/>
          <w:lang w:val="en-US" w:eastAsia="zh-CN" w:bidi="ar"/>
        </w:rPr>
        <w:t>The theoretical framework of the research may lead to a tendency towards "over theorization" in creation, thereby affecting the emotional tension of image expression.</w:t>
      </w:r>
    </w:p>
    <w:p w14:paraId="09E48CD9">
      <w:pPr>
        <w:keepNext w:val="0"/>
        <w:keepLines w:val="0"/>
        <w:widowControl/>
        <w:numPr>
          <w:ilvl w:val="0"/>
          <w:numId w:val="0"/>
        </w:numPr>
        <w:suppressLineNumbers w:val="0"/>
        <w:jc w:val="left"/>
        <w:rPr>
          <w:rFonts w:hint="default" w:ascii="Times New Roman Regular" w:hAnsi="Times New Roman Regular" w:cs="Times New Roman Regular"/>
          <w:b w:val="0"/>
          <w:bCs w:val="0"/>
          <w:color w:val="000000"/>
          <w:kern w:val="0"/>
          <w:sz w:val="21"/>
          <w:szCs w:val="21"/>
          <w:lang w:val="en-US" w:eastAsia="zh-CN" w:bidi="ar"/>
        </w:rPr>
      </w:pPr>
    </w:p>
    <w:p w14:paraId="4883F556">
      <w:pPr>
        <w:keepNext w:val="0"/>
        <w:keepLines w:val="0"/>
        <w:widowControl/>
        <w:numPr>
          <w:ilvl w:val="0"/>
          <w:numId w:val="0"/>
        </w:numPr>
        <w:suppressLineNumbers w:val="0"/>
        <w:jc w:val="left"/>
        <w:rPr>
          <w:rFonts w:hint="eastAsia" w:ascii="Times New Roman Regular" w:hAnsi="Times New Roman Regular" w:cs="Times New Roman Regular"/>
          <w:b w:val="0"/>
          <w:bCs w:val="0"/>
          <w:color w:val="000000"/>
          <w:kern w:val="0"/>
          <w:sz w:val="21"/>
          <w:szCs w:val="21"/>
          <w:lang w:val="en-US" w:eastAsia="zh-CN" w:bidi="ar"/>
        </w:rPr>
      </w:pPr>
      <w:r>
        <w:rPr>
          <w:rFonts w:hint="default" w:ascii="Times New Roman Regular" w:hAnsi="Times New Roman Regular" w:cs="Times New Roman Regular" w:eastAsiaTheme="minorEastAsia"/>
          <w:b w:val="0"/>
          <w:bCs w:val="0"/>
          <w:color w:val="000000"/>
          <w:kern w:val="0"/>
          <w:sz w:val="21"/>
          <w:szCs w:val="21"/>
          <w:lang w:val="en-US" w:eastAsia="zh-CN" w:bidi="ar"/>
        </w:rPr>
        <w:t>Therefore, the subsequent research should continue to explore more flexible integration mechanisms between theory and practice</w:t>
      </w:r>
      <w:r>
        <w:rPr>
          <w:rFonts w:hint="eastAsia" w:ascii="Times New Roman Regular" w:hAnsi="Times New Roman Regular" w:cs="Times New Roman Regular"/>
          <w:b w:val="0"/>
          <w:bCs w:val="0"/>
          <w:color w:val="000000"/>
          <w:kern w:val="0"/>
          <w:sz w:val="21"/>
          <w:szCs w:val="21"/>
          <w:lang w:val="en-US" w:eastAsia="zh-CN" w:bidi="ar"/>
        </w:rPr>
        <w:t xml:space="preserve"> to ensure the effective dissemination of culture while retaining the artistry and individuality of illustration creation.</w:t>
      </w:r>
    </w:p>
    <w:p w14:paraId="10C7D896">
      <w:pPr>
        <w:keepNext w:val="0"/>
        <w:keepLines w:val="0"/>
        <w:widowControl/>
        <w:numPr>
          <w:ilvl w:val="0"/>
          <w:numId w:val="0"/>
        </w:numPr>
        <w:suppressLineNumbers w:val="0"/>
        <w:jc w:val="left"/>
        <w:rPr>
          <w:rFonts w:hint="default" w:ascii="Times New Roman Regular" w:hAnsi="Times New Roman Regular" w:cs="Times New Roman Regular"/>
          <w:b w:val="0"/>
          <w:bCs w:val="0"/>
          <w:color w:val="000000"/>
          <w:kern w:val="0"/>
          <w:sz w:val="21"/>
          <w:szCs w:val="21"/>
          <w:lang w:val="en-US" w:eastAsia="zh-CN" w:bidi="ar"/>
        </w:rPr>
      </w:pPr>
    </w:p>
    <w:p w14:paraId="42C736BD">
      <w:pPr>
        <w:numPr>
          <w:ilvl w:val="0"/>
          <w:numId w:val="1"/>
        </w:numPr>
        <w:ind w:left="0" w:leftChars="0" w:firstLine="0" w:firstLineChars="0"/>
        <w:jc w:val="both"/>
        <w:rPr>
          <w:rFonts w:hint="eastAsia" w:ascii="Times New Roman Bold" w:hAnsi="Times New Roman Bold" w:cs="Times New Roman Bold"/>
          <w:b/>
          <w:bCs/>
          <w:color w:val="000000" w:themeColor="text1"/>
          <w:sz w:val="24"/>
          <w:szCs w:val="24"/>
          <w:lang w:val="en-US" w:eastAsia="zh-CN"/>
          <w14:textFill>
            <w14:solidFill>
              <w14:schemeClr w14:val="tx1"/>
            </w14:solidFill>
          </w14:textFill>
        </w:rPr>
      </w:pPr>
      <w:r>
        <w:rPr>
          <w:rFonts w:hint="eastAsia" w:ascii="Times New Roman Bold" w:hAnsi="Times New Roman Bold" w:cs="Times New Roman Bold"/>
          <w:b/>
          <w:bCs/>
          <w:color w:val="000000" w:themeColor="text1"/>
          <w:sz w:val="24"/>
          <w:szCs w:val="24"/>
          <w:lang w:val="en-US" w:eastAsia="zh-CN"/>
          <w14:textFill>
            <w14:solidFill>
              <w14:schemeClr w14:val="tx1"/>
            </w14:solidFill>
          </w14:textFill>
        </w:rPr>
        <w:t>Conclusion：</w:t>
      </w:r>
    </w:p>
    <w:p w14:paraId="297AA9CC">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The core intention of this </w:t>
      </w:r>
      <w:r>
        <w:rPr>
          <w:rFonts w:hint="eastAsia" w:ascii="Times New Roman" w:hAnsi="Times New Roman" w:cs="Times New Roman"/>
          <w:b w:val="0"/>
          <w:bCs w:val="0"/>
          <w:color w:val="auto"/>
          <w:sz w:val="21"/>
          <w:szCs w:val="21"/>
          <w:lang w:val="en-US" w:eastAsia="zh-CN"/>
        </w:rPr>
        <w:t xml:space="preserve">research </w:t>
      </w:r>
      <w:r>
        <w:rPr>
          <w:rFonts w:hint="default" w:ascii="Times New Roman" w:hAnsi="Times New Roman" w:cs="Times New Roman"/>
          <w:b w:val="0"/>
          <w:bCs w:val="0"/>
          <w:color w:val="auto"/>
          <w:sz w:val="21"/>
          <w:szCs w:val="21"/>
          <w:lang w:val="en-US" w:eastAsia="zh-CN"/>
        </w:rPr>
        <w:t>is to explore how to break through the expressive limitations of traditional static images in cross-cultural communication through the dynamic and interactive design of mythological themed illustrations, and to construct an open and adaptable visual narrative structure.</w:t>
      </w:r>
      <w:r>
        <w:rPr>
          <w:rFonts w:hint="eastAsia" w:ascii="Times New Roman" w:hAnsi="Times New Roman" w:cs="Times New Roman"/>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This research will combine constructivism and interpretivism theories, adopt Action Research and Mixed Methods Research, and conduct systematic analysis and practical verification around the interactive relationship between "audience-image-culture".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Regarding the potential findings of the research, dynamic images and interactive mechanisms can effectively enhance user engagement and cultural understanding, especially in multicultural contexts, where audiences can reconstruct mythological meanings through autonomous path selection and symbol interpretation.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In addition, the application of cultural refraction theory and semantic ambiguity principle can make illustration design more flexible and leave more interpretation space for the audience</w:t>
      </w:r>
      <w:r>
        <w:rPr>
          <w:rFonts w:hint="eastAsia" w:ascii="Times New Roman" w:hAnsi="Times New Roman" w:cs="Times New Roman"/>
          <w:b w:val="0"/>
          <w:bCs w:val="0"/>
          <w:color w:val="auto"/>
          <w:sz w:val="21"/>
          <w:szCs w:val="21"/>
          <w:lang w:val="en-US" w:eastAsia="zh-CN"/>
        </w:rPr>
        <w:t>s</w:t>
      </w:r>
      <w:r>
        <w:rPr>
          <w:rFonts w:hint="default" w:ascii="Times New Roman" w:hAnsi="Times New Roman" w:cs="Times New Roman"/>
          <w:b w:val="0"/>
          <w:bCs w:val="0"/>
          <w:color w:val="auto"/>
          <w:sz w:val="21"/>
          <w:szCs w:val="21"/>
          <w:lang w:val="en-US" w:eastAsia="zh-CN"/>
        </w:rPr>
        <w:t>, thereby reducing the risk of misreading in cross-cultural communication.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The expected outcome of this </w:t>
      </w:r>
      <w:r>
        <w:rPr>
          <w:rFonts w:hint="eastAsia" w:ascii="Times New Roman" w:hAnsi="Times New Roman" w:cs="Times New Roman"/>
          <w:b w:val="0"/>
          <w:bCs w:val="0"/>
          <w:color w:val="auto"/>
          <w:sz w:val="21"/>
          <w:szCs w:val="21"/>
          <w:lang w:val="en-US" w:eastAsia="zh-CN"/>
        </w:rPr>
        <w:t>research</w:t>
      </w:r>
      <w:r>
        <w:rPr>
          <w:rFonts w:hint="default" w:ascii="Times New Roman" w:hAnsi="Times New Roman" w:cs="Times New Roman"/>
          <w:b w:val="0"/>
          <w:bCs w:val="0"/>
          <w:color w:val="auto"/>
          <w:sz w:val="21"/>
          <w:szCs w:val="21"/>
          <w:lang w:val="en-US" w:eastAsia="zh-CN"/>
        </w:rPr>
        <w:t xml:space="preserve"> is not only to propose a dynamic visual design method suitable for mythological cultural content, but also to establish a "user-centered" cultural communication mechanism and emphasize the audience's dominant position in the generation of meaning.</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This mechanism is expected to provide new research perspectives and practical paths for illustration art in the fields of digital narrative, cross-cultural communication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interactive design.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The potential impact of this </w:t>
      </w:r>
      <w:r>
        <w:rPr>
          <w:rFonts w:hint="eastAsia" w:ascii="Times New Roman" w:hAnsi="Times New Roman" w:cs="Times New Roman"/>
          <w:b w:val="0"/>
          <w:bCs w:val="0"/>
          <w:color w:val="auto"/>
          <w:sz w:val="21"/>
          <w:szCs w:val="21"/>
          <w:lang w:val="en-US" w:eastAsia="zh-CN"/>
        </w:rPr>
        <w:t xml:space="preserve">research </w:t>
      </w:r>
      <w:r>
        <w:rPr>
          <w:rFonts w:hint="default" w:ascii="Times New Roman" w:hAnsi="Times New Roman" w:cs="Times New Roman"/>
          <w:b w:val="0"/>
          <w:bCs w:val="0"/>
          <w:color w:val="auto"/>
          <w:sz w:val="21"/>
          <w:szCs w:val="21"/>
          <w:lang w:val="en-US" w:eastAsia="zh-CN"/>
        </w:rPr>
        <w:t>is to promote illustrations from a simple "visual expression" to a tool of "cultural dialogue", thereby providing a theoretical basis and practical methods for the development of visual arts in a global multicultural context, which is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expected to promote the greater role of visual arts in </w:t>
      </w:r>
      <w:r>
        <w:rPr>
          <w:rFonts w:hint="eastAsia" w:ascii="Times New Roman" w:hAnsi="Times New Roman" w:cs="Times New Roman"/>
          <w:b w:val="0"/>
          <w:bCs w:val="0"/>
          <w:color w:val="auto"/>
          <w:sz w:val="21"/>
          <w:szCs w:val="21"/>
          <w:lang w:val="en-US" w:eastAsia="zh-CN"/>
        </w:rPr>
        <w:t xml:space="preserve">fields </w:t>
      </w:r>
      <w:r>
        <w:rPr>
          <w:rFonts w:hint="default" w:ascii="Times New Roman" w:hAnsi="Times New Roman" w:cs="Times New Roman"/>
          <w:b w:val="0"/>
          <w:bCs w:val="0"/>
          <w:color w:val="auto"/>
          <w:sz w:val="21"/>
          <w:szCs w:val="21"/>
          <w:lang w:val="en-US" w:eastAsia="zh-CN"/>
        </w:rPr>
        <w:t>such as cultural understanding, education and social communication.</w:t>
      </w:r>
    </w:p>
    <w:p w14:paraId="771A1A87">
      <w:pPr>
        <w:widowControl w:val="0"/>
        <w:numPr>
          <w:ilvl w:val="0"/>
          <w:numId w:val="0"/>
        </w:numPr>
        <w:jc w:val="both"/>
        <w:rPr>
          <w:rFonts w:hint="default" w:ascii="Times New Roman Bold" w:hAnsi="Times New Roman Bold" w:cs="Times New Roman Bold"/>
          <w:b/>
          <w:bCs/>
          <w:color w:val="000000" w:themeColor="text1"/>
          <w:sz w:val="24"/>
          <w:szCs w:val="24"/>
          <w:lang w:val="en-US" w:eastAsia="zh-CN"/>
          <w14:textFill>
            <w14:solidFill>
              <w14:schemeClr w14:val="tx1"/>
            </w14:solidFill>
          </w14:textFill>
        </w:rPr>
      </w:pPr>
    </w:p>
    <w:p w14:paraId="26FEF82A">
      <w:pPr>
        <w:numPr>
          <w:ilvl w:val="0"/>
          <w:numId w:val="6"/>
        </w:numPr>
        <w:jc w:val="both"/>
        <w:rPr>
          <w:rFonts w:hint="eastAsia" w:ascii="Times New Roman Bold" w:hAnsi="Times New Roman Bold" w:cs="Times New Roman Bold"/>
          <w:b/>
          <w:bCs/>
          <w:color w:val="auto"/>
          <w:sz w:val="24"/>
          <w:szCs w:val="24"/>
          <w:lang w:val="en-US" w:eastAsia="zh-CN"/>
        </w:rPr>
      </w:pPr>
      <w:r>
        <w:rPr>
          <w:rFonts w:hint="eastAsia" w:ascii="Times New Roman Bold" w:hAnsi="Times New Roman Bold" w:cs="Times New Roman Bold"/>
          <w:b/>
          <w:bCs/>
          <w:color w:val="auto"/>
          <w:sz w:val="24"/>
          <w:szCs w:val="24"/>
          <w:lang w:val="en-US" w:eastAsia="zh-CN"/>
        </w:rPr>
        <w:t>References：</w:t>
      </w:r>
    </w:p>
    <w:p w14:paraId="46D2A6F1">
      <w:pPr>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Nicolescu, B. (2002). A New Vision of the World—Transdisciplinarity. In </w:t>
      </w:r>
      <w:r>
        <w:rPr>
          <w:rFonts w:hint="default" w:ascii="Times New Roman Italic" w:hAnsi="Times New Roman Italic" w:cs="Times New Roman Italic"/>
          <w:b w:val="0"/>
          <w:bCs w:val="0"/>
          <w:i/>
          <w:iCs/>
          <w:color w:val="auto"/>
          <w:sz w:val="21"/>
          <w:szCs w:val="21"/>
          <w:lang w:val="en-US" w:eastAsia="zh-CN"/>
        </w:rPr>
        <w:t xml:space="preserve">The design and delivery of inter-and pluri-disciplinary research: Proceedings from MUSCIPOLI Workshop Two </w:t>
      </w:r>
      <w:r>
        <w:rPr>
          <w:rFonts w:hint="default" w:ascii="Times New Roman" w:hAnsi="Times New Roman" w:cs="Times New Roman"/>
          <w:b w:val="0"/>
          <w:bCs w:val="0"/>
          <w:color w:val="auto"/>
          <w:sz w:val="21"/>
          <w:szCs w:val="21"/>
          <w:lang w:val="en-US" w:eastAsia="zh-CN"/>
        </w:rPr>
        <w:t>(pp. 108-111).</w:t>
      </w:r>
    </w:p>
    <w:p w14:paraId="0A7332CF">
      <w:pPr>
        <w:widowControl w:val="0"/>
        <w:numPr>
          <w:ilvl w:val="0"/>
          <w:numId w:val="0"/>
        </w:numPr>
        <w:jc w:val="both"/>
        <w:rPr>
          <w:rFonts w:hint="default" w:ascii="Times New Roman Regular" w:hAnsi="Times New Roman Regular" w:cs="Times New Roman Regular"/>
          <w:b w:val="0"/>
          <w:bCs w:val="0"/>
          <w:i/>
          <w:iCs/>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Berger Peter, L., &amp; Luckmann, T. (1966). The social construction of reality. </w:t>
      </w:r>
      <w:r>
        <w:rPr>
          <w:rFonts w:hint="default" w:ascii="Times New Roman Regular" w:hAnsi="Times New Roman Regular" w:cs="Times New Roman Regular"/>
          <w:b w:val="0"/>
          <w:bCs w:val="0"/>
          <w:i/>
          <w:iCs/>
          <w:color w:val="auto"/>
          <w:sz w:val="21"/>
          <w:szCs w:val="21"/>
          <w:lang w:val="en-US" w:eastAsia="zh-CN"/>
        </w:rPr>
        <w:t>A Treatise in the Sociology of Knowledge.</w:t>
      </w:r>
    </w:p>
    <w:p w14:paraId="556C5EF8">
      <w:pPr>
        <w:widowControl w:val="0"/>
        <w:numPr>
          <w:ilvl w:val="0"/>
          <w:numId w:val="0"/>
        </w:numPr>
        <w:jc w:val="both"/>
        <w:rPr>
          <w:rFonts w:hint="default" w:ascii="Times New Roman Regular" w:hAnsi="Times New Roman Regular" w:cs="Times New Roman Regular"/>
          <w:b w:val="0"/>
          <w:bCs w:val="0"/>
          <w:i/>
          <w:iCs/>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Gadamer, H. G. (2013). </w:t>
      </w:r>
      <w:r>
        <w:rPr>
          <w:rFonts w:hint="default" w:ascii="Times New Roman Regular" w:hAnsi="Times New Roman Regular" w:cs="Times New Roman Regular"/>
          <w:b w:val="0"/>
          <w:bCs w:val="0"/>
          <w:i/>
          <w:iCs/>
          <w:color w:val="auto"/>
          <w:sz w:val="21"/>
          <w:szCs w:val="21"/>
          <w:lang w:val="en-US" w:eastAsia="zh-CN"/>
        </w:rPr>
        <w:t>Truth and method</w:t>
      </w:r>
      <w:r>
        <w:rPr>
          <w:rFonts w:hint="default" w:ascii="Times New Roman Regular" w:hAnsi="Times New Roman Regular" w:cs="Times New Roman Regular"/>
          <w:b w:val="0"/>
          <w:bCs w:val="0"/>
          <w:color w:val="auto"/>
          <w:sz w:val="21"/>
          <w:szCs w:val="21"/>
          <w:lang w:val="en-US" w:eastAsia="zh-CN"/>
        </w:rPr>
        <w:t>. A&amp;C Black.</w:t>
      </w:r>
    </w:p>
    <w:p w14:paraId="5DB78547">
      <w:pPr>
        <w:widowControl w:val="0"/>
        <w:numPr>
          <w:ilvl w:val="0"/>
          <w:numId w:val="0"/>
        </w:numPr>
        <w:jc w:val="both"/>
        <w:rPr>
          <w:rFonts w:hint="default" w:ascii="Times New Roman Regular" w:hAnsi="Times New Roman Regular" w:cs="Times New Roman Regular"/>
          <w:b w:val="0"/>
          <w:bCs w:val="0"/>
          <w:i/>
          <w:iCs/>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Schutz, A. (1970). </w:t>
      </w:r>
      <w:r>
        <w:rPr>
          <w:rFonts w:hint="default" w:ascii="Times New Roman Regular" w:hAnsi="Times New Roman Regular" w:cs="Times New Roman Regular"/>
          <w:b w:val="0"/>
          <w:bCs w:val="0"/>
          <w:i/>
          <w:iCs/>
          <w:color w:val="auto"/>
          <w:sz w:val="21"/>
          <w:szCs w:val="21"/>
          <w:lang w:val="en-US" w:eastAsia="zh-CN"/>
        </w:rPr>
        <w:t xml:space="preserve">Alfred Schutz on phenomenology and social relations </w:t>
      </w:r>
      <w:r>
        <w:rPr>
          <w:rFonts w:hint="default" w:ascii="Times New Roman Regular" w:hAnsi="Times New Roman Regular" w:cs="Times New Roman Regular"/>
          <w:b w:val="0"/>
          <w:bCs w:val="0"/>
          <w:color w:val="auto"/>
          <w:sz w:val="21"/>
          <w:szCs w:val="21"/>
          <w:lang w:val="en-US" w:eastAsia="zh-CN"/>
        </w:rPr>
        <w:t>(Vol. 360). University of Chicago Press.</w:t>
      </w:r>
    </w:p>
    <w:p w14:paraId="261AE947">
      <w:pPr>
        <w:jc w:val="left"/>
        <w:rPr>
          <w:rFonts w:hint="default" w:ascii="Times New Roman Regular" w:hAnsi="Times New Roman Regular" w:cs="Times New Roman Regular"/>
          <w:color w:val="auto"/>
        </w:rPr>
      </w:pPr>
      <w:r>
        <w:rPr>
          <w:rFonts w:hint="default" w:ascii="Times New Roman Regular" w:hAnsi="Times New Roman Regular" w:cs="Times New Roman Regular"/>
          <w:color w:val="auto"/>
        </w:rPr>
        <w:t>Hall, S. (2019). Encoding—Decoding (1980).</w:t>
      </w:r>
      <w:r>
        <w:rPr>
          <w:rFonts w:hint="default" w:ascii="Times New Roman Regular" w:hAnsi="Times New Roman Regular" w:cs="Times New Roman Regular"/>
          <w:i/>
          <w:iCs/>
          <w:color w:val="auto"/>
        </w:rPr>
        <w:t xml:space="preserve"> </w:t>
      </w:r>
      <w:r>
        <w:rPr>
          <w:rFonts w:hint="default" w:ascii="Times New Roman Regular" w:hAnsi="Times New Roman Regular" w:cs="Times New Roman Regular"/>
          <w:i w:val="0"/>
          <w:iCs w:val="0"/>
          <w:color w:val="auto"/>
        </w:rPr>
        <w:t>In</w:t>
      </w:r>
      <w:r>
        <w:rPr>
          <w:rFonts w:hint="default" w:ascii="Times New Roman Regular" w:hAnsi="Times New Roman Regular" w:cs="Times New Roman Regular"/>
          <w:i/>
          <w:iCs/>
          <w:color w:val="auto"/>
        </w:rPr>
        <w:t xml:space="preserve"> Crime and Media</w:t>
      </w:r>
      <w:r>
        <w:rPr>
          <w:rFonts w:hint="default" w:ascii="Times New Roman Regular" w:hAnsi="Times New Roman Regular" w:cs="Times New Roman Regular"/>
          <w:color w:val="auto"/>
        </w:rPr>
        <w:t xml:space="preserve"> (pp. 44-55). Routledge.</w:t>
      </w:r>
    </w:p>
    <w:p w14:paraId="200E15F0">
      <w:pPr>
        <w:jc w:val="left"/>
        <w:rPr>
          <w:rFonts w:hint="default" w:ascii="Times New Roman Regular" w:hAnsi="Times New Roman Regular" w:cs="Times New Roman Regular"/>
          <w:color w:val="auto"/>
        </w:rPr>
      </w:pPr>
      <w:r>
        <w:rPr>
          <w:rFonts w:hint="default" w:ascii="Times New Roman Regular" w:hAnsi="Times New Roman Regular" w:cs="Times New Roman Regular"/>
          <w:color w:val="auto"/>
        </w:rPr>
        <w:t>Hall, S. (2015). Cultural Identity and Diaspora.</w:t>
      </w:r>
      <w:r>
        <w:rPr>
          <w:rFonts w:hint="default" w:ascii="Times New Roman Regular" w:hAnsi="Times New Roman Regular" w:cs="Times New Roman Regular"/>
          <w:i w:val="0"/>
          <w:iCs w:val="0"/>
          <w:color w:val="auto"/>
        </w:rPr>
        <w:t xml:space="preserve"> In </w:t>
      </w:r>
      <w:r>
        <w:rPr>
          <w:rFonts w:hint="default" w:ascii="Times New Roman Regular" w:hAnsi="Times New Roman Regular" w:cs="Times New Roman Regular"/>
          <w:i/>
          <w:iCs/>
          <w:color w:val="auto"/>
        </w:rPr>
        <w:t>Colonial discourse and post-colonial theory</w:t>
      </w:r>
      <w:r>
        <w:rPr>
          <w:rFonts w:hint="default" w:ascii="Times New Roman Regular" w:hAnsi="Times New Roman Regular" w:cs="Times New Roman Regular"/>
          <w:color w:val="auto"/>
        </w:rPr>
        <w:t xml:space="preserve"> </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(pp. 392-403). Routledge.</w:t>
      </w:r>
    </w:p>
    <w:p w14:paraId="3CBF86F7">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Murray, J. H. (2017). Hamlet on the Holodeck: The Future of Narrative in Cyberspace (updated edition).</w:t>
      </w:r>
    </w:p>
    <w:p w14:paraId="305F1113">
      <w:pPr>
        <w:rPr>
          <w:rFonts w:hint="eastAsia"/>
          <w:color w:val="auto"/>
        </w:rPr>
      </w:pPr>
      <w:r>
        <w:rPr>
          <w:rFonts w:hint="default" w:ascii="Times New Roman Regular" w:hAnsi="Times New Roman Regular" w:cs="Times New Roman Regular"/>
          <w:color w:val="auto"/>
        </w:rPr>
        <w:t xml:space="preserve">Ryan, M. L., Ruppert, J., &amp; Bernet, J. W. (Eds.). (2004). </w:t>
      </w:r>
      <w:r>
        <w:rPr>
          <w:rFonts w:hint="default" w:ascii="Times New Roman Regular" w:hAnsi="Times New Roman Regular" w:cs="Times New Roman Regular"/>
          <w:i/>
          <w:iCs/>
          <w:color w:val="auto"/>
        </w:rPr>
        <w:t>Narrative across media: The languages of storytelling</w:t>
      </w:r>
      <w:r>
        <w:rPr>
          <w:rFonts w:hint="default" w:ascii="Times New Roman Regular" w:hAnsi="Times New Roman Regular" w:cs="Times New Roman Regular"/>
          <w:color w:val="auto"/>
        </w:rPr>
        <w:t>. U of Nebraska Press.</w:t>
      </w:r>
    </w:p>
    <w:p w14:paraId="04E85B70">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Eliade, M., 196</w:t>
      </w:r>
      <w:r>
        <w:rPr>
          <w:rFonts w:hint="default" w:ascii="Times New Roman Regular" w:hAnsi="Times New Roman Regular" w:cs="Times New Roman Regular"/>
          <w:color w:val="auto"/>
          <w:lang w:val="en-US" w:eastAsia="zh-CN"/>
        </w:rPr>
        <w:t>8</w:t>
      </w:r>
      <w:r>
        <w:rPr>
          <w:rFonts w:hint="default" w:ascii="Times New Roman Regular" w:hAnsi="Times New Roman Regular" w:cs="Times New Roman Regular"/>
          <w:color w:val="auto"/>
        </w:rPr>
        <w:t xml:space="preserve">. </w:t>
      </w:r>
      <w:r>
        <w:rPr>
          <w:rFonts w:hint="default" w:ascii="Times New Roman Italic" w:hAnsi="Times New Roman Italic" w:cs="Times New Roman Italic"/>
          <w:i/>
          <w:iCs/>
          <w:color w:val="auto"/>
        </w:rPr>
        <w:t>Myth and Reality</w:t>
      </w:r>
      <w:r>
        <w:rPr>
          <w:rFonts w:hint="default" w:ascii="Times New Roman Regular" w:hAnsi="Times New Roman Regular" w:cs="Times New Roman Regular"/>
          <w:color w:val="auto"/>
        </w:rPr>
        <w:t>. New York: Harper &amp; Row.</w:t>
      </w:r>
    </w:p>
    <w:p w14:paraId="728D80F6">
      <w:pPr>
        <w:widowControl w:val="0"/>
        <w:numPr>
          <w:ilvl w:val="0"/>
          <w:numId w:val="0"/>
        </w:numPr>
        <w:jc w:val="both"/>
        <w:rPr>
          <w:rFonts w:hint="default" w:ascii="Times New Roman Regular" w:hAnsi="Times New Roman Regular" w:cs="Times New Roman Regular"/>
          <w:b w:val="0"/>
          <w:bCs w:val="0"/>
          <w:color w:val="auto"/>
          <w:highlight w:val="none"/>
          <w:lang w:val="en-US" w:eastAsia="zh-CN"/>
        </w:rPr>
      </w:pPr>
      <w:r>
        <w:rPr>
          <w:rFonts w:hint="default" w:ascii="Times New Roman Regular" w:hAnsi="Times New Roman Regular" w:cs="Times New Roman Regular"/>
          <w:b w:val="0"/>
          <w:bCs w:val="0"/>
          <w:color w:val="auto"/>
          <w:highlight w:val="none"/>
          <w:lang w:val="en-US" w:eastAsia="zh-CN"/>
        </w:rPr>
        <w:t xml:space="preserve">Doniger, W. (2011). </w:t>
      </w:r>
      <w:r>
        <w:rPr>
          <w:rFonts w:hint="default" w:ascii="Times New Roman Regular" w:hAnsi="Times New Roman Regular" w:cs="Times New Roman Regular"/>
          <w:b w:val="0"/>
          <w:bCs w:val="0"/>
          <w:i/>
          <w:iCs/>
          <w:color w:val="auto"/>
          <w:highlight w:val="none"/>
          <w:lang w:val="en-US" w:eastAsia="zh-CN"/>
        </w:rPr>
        <w:t xml:space="preserve">The implied spider: Politics and theology in myth. </w:t>
      </w:r>
      <w:r>
        <w:rPr>
          <w:rFonts w:hint="default" w:ascii="Times New Roman Regular" w:hAnsi="Times New Roman Regular" w:cs="Times New Roman Regular"/>
          <w:b w:val="0"/>
          <w:bCs w:val="0"/>
          <w:color w:val="auto"/>
          <w:highlight w:val="none"/>
          <w:lang w:val="en-US" w:eastAsia="zh-CN"/>
        </w:rPr>
        <w:t>Columbia University Press.</w:t>
      </w:r>
    </w:p>
    <w:p w14:paraId="6C3EBB25">
      <w:pPr>
        <w:rPr>
          <w:rFonts w:hint="default" w:ascii="Times New Roman Regular" w:hAnsi="Times New Roman Regular" w:cs="Times New Roman Regular"/>
          <w:b w:val="0"/>
          <w:bCs w:val="0"/>
          <w:color w:val="auto"/>
          <w:highlight w:val="none"/>
          <w:lang w:val="en-US" w:eastAsia="zh-CN"/>
        </w:rPr>
      </w:pPr>
      <w:r>
        <w:rPr>
          <w:rFonts w:hint="default" w:ascii="Times New Roman Regular" w:hAnsi="Times New Roman Regular" w:cs="Times New Roman Regular"/>
          <w:b w:val="0"/>
          <w:bCs w:val="0"/>
          <w:color w:val="auto"/>
          <w:highlight w:val="none"/>
          <w:lang w:val="en-US" w:eastAsia="zh-CN"/>
        </w:rPr>
        <w:t xml:space="preserve">Segal, R. A. (2004). </w:t>
      </w:r>
      <w:r>
        <w:rPr>
          <w:rFonts w:hint="default" w:ascii="Times New Roman Regular" w:hAnsi="Times New Roman Regular" w:cs="Times New Roman Regular"/>
          <w:b w:val="0"/>
          <w:bCs w:val="0"/>
          <w:i/>
          <w:iCs/>
          <w:color w:val="auto"/>
          <w:highlight w:val="none"/>
          <w:lang w:val="en-US" w:eastAsia="zh-CN"/>
        </w:rPr>
        <w:t>Myth: A very short introduction</w:t>
      </w:r>
      <w:r>
        <w:rPr>
          <w:rFonts w:hint="default" w:ascii="Times New Roman Regular" w:hAnsi="Times New Roman Regular" w:cs="Times New Roman Regular"/>
          <w:b w:val="0"/>
          <w:bCs w:val="0"/>
          <w:color w:val="auto"/>
          <w:highlight w:val="none"/>
          <w:lang w:val="en-US" w:eastAsia="zh-CN"/>
        </w:rPr>
        <w:t>. OUP Oxford.</w:t>
      </w:r>
    </w:p>
    <w:p w14:paraId="1671D2B6">
      <w:pPr>
        <w:rPr>
          <w:rFonts w:hint="default" w:ascii="Times New Roman Regular" w:hAnsi="Times New Roman Regular" w:cs="Times New Roman Regular"/>
          <w:b w:val="0"/>
          <w:bCs w:val="0"/>
          <w:color w:val="auto"/>
          <w:highlight w:val="none"/>
          <w:lang w:val="en-US" w:eastAsia="zh-CN"/>
        </w:rPr>
      </w:pPr>
      <w:r>
        <w:rPr>
          <w:rFonts w:hint="default" w:ascii="Times New Roman Regular" w:hAnsi="Times New Roman Regular" w:cs="Times New Roman Regular"/>
          <w:b w:val="0"/>
          <w:bCs w:val="0"/>
          <w:color w:val="auto"/>
          <w:highlight w:val="none"/>
          <w:lang w:val="en-US" w:eastAsia="zh-CN"/>
        </w:rPr>
        <w:t xml:space="preserve">Bhattacharyya, S. (2011). Mircea Eliade on Myth and its Significance in Socio-Religious Culture from an “Antireductionist Orientation”. </w:t>
      </w:r>
      <w:r>
        <w:rPr>
          <w:rFonts w:hint="default" w:ascii="Times New Roman Regular" w:hAnsi="Times New Roman Regular" w:cs="Times New Roman Regular"/>
          <w:b w:val="0"/>
          <w:bCs w:val="0"/>
          <w:i/>
          <w:iCs/>
          <w:color w:val="auto"/>
          <w:highlight w:val="none"/>
          <w:lang w:val="en-US" w:eastAsia="zh-CN"/>
        </w:rPr>
        <w:t>International Journal on Humanistic Ideology, 4</w:t>
      </w:r>
      <w:r>
        <w:rPr>
          <w:rFonts w:hint="default" w:ascii="Times New Roman Regular" w:hAnsi="Times New Roman Regular" w:cs="Times New Roman Regular"/>
          <w:b w:val="0"/>
          <w:bCs w:val="0"/>
          <w:color w:val="auto"/>
          <w:highlight w:val="none"/>
          <w:lang w:val="en-US" w:eastAsia="zh-CN"/>
        </w:rPr>
        <w:t>(02), pp.77-88.</w:t>
      </w:r>
    </w:p>
    <w:p w14:paraId="26F78523">
      <w:pPr>
        <w:rPr>
          <w:rFonts w:hint="default" w:ascii="Times New Roman Regular" w:hAnsi="Times New Roman Regular" w:cs="Times New Roman Regular"/>
          <w:color w:val="auto"/>
        </w:rPr>
      </w:pPr>
      <w:r>
        <w:rPr>
          <w:rFonts w:hint="default" w:ascii="Times New Roman Regular" w:hAnsi="Times New Roman Regular" w:cs="Times New Roman Regular"/>
          <w:b w:val="0"/>
          <w:bCs w:val="0"/>
          <w:color w:val="auto"/>
          <w:highlight w:val="none"/>
          <w:lang w:val="en-US" w:eastAsia="zh-CN"/>
        </w:rPr>
        <w:t xml:space="preserve">Morales, S. S. (2013). Myth and the construction of meaning in mediated culture. </w:t>
      </w:r>
      <w:r>
        <w:rPr>
          <w:rFonts w:hint="default" w:ascii="Times New Roman Regular" w:hAnsi="Times New Roman Regular" w:cs="Times New Roman Regular"/>
          <w:b w:val="0"/>
          <w:bCs w:val="0"/>
          <w:i/>
          <w:iCs/>
          <w:color w:val="auto"/>
          <w:highlight w:val="none"/>
          <w:lang w:val="en-US" w:eastAsia="zh-CN"/>
        </w:rPr>
        <w:t>KOME− An International Journal of Pure Communication Inquiry, 1</w:t>
      </w:r>
      <w:r>
        <w:rPr>
          <w:rFonts w:hint="default" w:ascii="Times New Roman Regular" w:hAnsi="Times New Roman Regular" w:cs="Times New Roman Regular"/>
          <w:b w:val="0"/>
          <w:bCs w:val="0"/>
          <w:color w:val="auto"/>
          <w:highlight w:val="none"/>
          <w:lang w:val="en-US" w:eastAsia="zh-CN"/>
        </w:rPr>
        <w:t>(2), pp.33-43.</w:t>
      </w:r>
    </w:p>
    <w:p w14:paraId="1484AE5C">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Campbell, J. (2008). </w:t>
      </w:r>
      <w:r>
        <w:rPr>
          <w:rFonts w:hint="default" w:ascii="Times New Roman Italic" w:hAnsi="Times New Roman Italic" w:cs="Times New Roman Italic"/>
          <w:i/>
          <w:iCs/>
          <w:color w:val="auto"/>
        </w:rPr>
        <w:t>The hero with a thousand faces</w:t>
      </w:r>
      <w:r>
        <w:rPr>
          <w:rFonts w:hint="default" w:ascii="Times New Roman Regular" w:hAnsi="Times New Roman Regular" w:cs="Times New Roman Regular"/>
          <w:color w:val="auto"/>
        </w:rPr>
        <w:t xml:space="preserve"> (Vol. 17). New World Library.</w:t>
      </w:r>
    </w:p>
    <w:p w14:paraId="187E30F6">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Jung, C. G. (2014). </w:t>
      </w:r>
      <w:r>
        <w:rPr>
          <w:rFonts w:hint="default" w:ascii="Times New Roman Regular" w:hAnsi="Times New Roman Regular" w:cs="Times New Roman Regular"/>
          <w:i/>
          <w:iCs/>
          <w:color w:val="auto"/>
          <w:highlight w:val="none"/>
        </w:rPr>
        <w:t>The archetypes and the collective unconscious</w:t>
      </w:r>
      <w:r>
        <w:rPr>
          <w:rFonts w:hint="default" w:ascii="Times New Roman Regular" w:hAnsi="Times New Roman Regular" w:cs="Times New Roman Regular"/>
          <w:color w:val="auto"/>
          <w:highlight w:val="none"/>
        </w:rPr>
        <w:t>. Routledge.</w:t>
      </w:r>
    </w:p>
    <w:p w14:paraId="0427CFAB">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Lévi-Strauss, C. (1955). The structural study of myth. </w:t>
      </w:r>
      <w:r>
        <w:rPr>
          <w:rFonts w:hint="default" w:ascii="Times New Roman Regular" w:hAnsi="Times New Roman Regular" w:cs="Times New Roman Regular"/>
          <w:i/>
          <w:iCs/>
          <w:color w:val="auto"/>
          <w:highlight w:val="none"/>
        </w:rPr>
        <w:t>The journal of American folklore, 68</w:t>
      </w:r>
      <w:r>
        <w:rPr>
          <w:rFonts w:hint="default" w:ascii="Times New Roman Regular" w:hAnsi="Times New Roman Regular" w:cs="Times New Roman Regular"/>
          <w:color w:val="auto"/>
          <w:highlight w:val="none"/>
        </w:rPr>
        <w:t>(270), pp.428-444.</w:t>
      </w:r>
    </w:p>
    <w:p w14:paraId="3247BE61">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Van Gennep, A. (2019). </w:t>
      </w:r>
      <w:r>
        <w:rPr>
          <w:rFonts w:hint="default" w:ascii="Times New Roman Italic" w:hAnsi="Times New Roman Italic" w:cs="Times New Roman Italic"/>
          <w:i/>
          <w:iCs/>
          <w:color w:val="auto"/>
          <w:highlight w:val="none"/>
        </w:rPr>
        <w:t>The rites of passage</w:t>
      </w:r>
      <w:r>
        <w:rPr>
          <w:rFonts w:hint="default" w:ascii="Times New Roman Regular" w:hAnsi="Times New Roman Regular" w:cs="Times New Roman Regular"/>
          <w:color w:val="auto"/>
          <w:highlight w:val="none"/>
        </w:rPr>
        <w:t>. University of Chicago press.</w:t>
      </w:r>
    </w:p>
    <w:p w14:paraId="48CD8734">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Barthes, R. (1972). Mythologies. 1957. </w:t>
      </w:r>
      <w:r>
        <w:rPr>
          <w:rFonts w:hint="default" w:ascii="Times New Roman Italic" w:hAnsi="Times New Roman Italic" w:cs="Times New Roman Italic"/>
          <w:i/>
          <w:iCs/>
          <w:color w:val="auto"/>
        </w:rPr>
        <w:t>Trans. Annette Lavers. New York: Hill and Wang</w:t>
      </w:r>
      <w:r>
        <w:rPr>
          <w:rFonts w:hint="default" w:ascii="Times New Roman Regular" w:hAnsi="Times New Roman Regular" w:cs="Times New Roman Regular"/>
          <w:color w:val="auto"/>
        </w:rPr>
        <w:t xml:space="preserve">, </w:t>
      </w:r>
      <w:r>
        <w:rPr>
          <w:rFonts w:hint="eastAsia" w:ascii="Times New Roman Regular" w:hAnsi="Times New Roman Regular" w:cs="Times New Roman Regular"/>
          <w:color w:val="auto"/>
          <w:lang w:val="en-US" w:eastAsia="zh-CN"/>
        </w:rPr>
        <w:t xml:space="preserve">pp. </w:t>
      </w:r>
      <w:r>
        <w:rPr>
          <w:rFonts w:hint="default" w:ascii="Times New Roman Regular" w:hAnsi="Times New Roman Regular" w:cs="Times New Roman Regular"/>
          <w:color w:val="auto"/>
        </w:rPr>
        <w:t>302-06.</w:t>
      </w:r>
    </w:p>
    <w:p w14:paraId="3CE46599">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Brannen, M. Y. (2004). When Mickey loses face: Recontextualization, semantic fit, and the semiotics of foreignness.</w:t>
      </w:r>
      <w:r>
        <w:rPr>
          <w:rFonts w:hint="default" w:ascii="Times New Roman Regular" w:hAnsi="Times New Roman Regular" w:cs="Times New Roman Regular"/>
          <w:i/>
          <w:iCs/>
          <w:color w:val="auto"/>
          <w:highlight w:val="none"/>
        </w:rPr>
        <w:t xml:space="preserve"> Academy of Management Review, 29</w:t>
      </w:r>
      <w:r>
        <w:rPr>
          <w:rFonts w:hint="default" w:ascii="Times New Roman Regular" w:hAnsi="Times New Roman Regular" w:cs="Times New Roman Regular"/>
          <w:color w:val="auto"/>
          <w:highlight w:val="none"/>
        </w:rPr>
        <w:t>(4), pp.593-616.</w:t>
      </w:r>
    </w:p>
    <w:p w14:paraId="4CC0AE90">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Harrison, J. E. (2010). </w:t>
      </w:r>
      <w:r>
        <w:rPr>
          <w:rFonts w:hint="default" w:ascii="Times New Roman Regular" w:hAnsi="Times New Roman Regular" w:cs="Times New Roman Regular"/>
          <w:i/>
          <w:iCs/>
          <w:color w:val="auto"/>
          <w:highlight w:val="none"/>
        </w:rPr>
        <w:t>Themis: A study of the social origins of Greek religion</w:t>
      </w:r>
      <w:r>
        <w:rPr>
          <w:rFonts w:hint="default" w:ascii="Times New Roman Regular" w:hAnsi="Times New Roman Regular" w:cs="Times New Roman Regular"/>
          <w:color w:val="auto"/>
          <w:highlight w:val="none"/>
        </w:rPr>
        <w:t>. Cambridge University Press.</w:t>
      </w:r>
    </w:p>
    <w:p w14:paraId="4ABCCC13">
      <w:pPr>
        <w:rPr>
          <w:rFonts w:hint="default" w:ascii="Times New Roman Regular" w:hAnsi="Times New Roman Regular" w:cs="Times New Roman Regular"/>
          <w:color w:val="auto"/>
          <w:highlight w:val="yellow"/>
        </w:rPr>
      </w:pPr>
      <w:r>
        <w:rPr>
          <w:rFonts w:hint="default" w:ascii="Times New Roman Regular" w:hAnsi="Times New Roman Regular" w:cs="Times New Roman Regular"/>
          <w:color w:val="auto"/>
        </w:rPr>
        <w:t xml:space="preserve">Baoill, A. Ó. (2008). Jenkins, H.(2006). Convergence Culture: Where Old and New Media Collide. New York: New York University Press. 336 pp. $29.95 (hardbound). </w:t>
      </w:r>
      <w:r>
        <w:rPr>
          <w:rFonts w:hint="default" w:ascii="Times New Roman Italic" w:hAnsi="Times New Roman Italic" w:cs="Times New Roman Italic"/>
          <w:i/>
          <w:iCs/>
          <w:color w:val="auto"/>
        </w:rPr>
        <w:t>Social Science Computer Review, 26</w:t>
      </w:r>
      <w:r>
        <w:rPr>
          <w:rFonts w:hint="default" w:ascii="Times New Roman Regular" w:hAnsi="Times New Roman Regular" w:cs="Times New Roman Regular"/>
          <w:color w:val="auto"/>
        </w:rPr>
        <w:t>(2), pp.252-254.</w:t>
      </w:r>
    </w:p>
    <w:p w14:paraId="200B8D07">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Blanariu, N. P., &amp; Popa, D. (2018). A mythological approach to transmedia storytelling. In </w:t>
      </w:r>
      <w:r>
        <w:rPr>
          <w:rFonts w:hint="default" w:ascii="Times New Roman Regular" w:hAnsi="Times New Roman Regular" w:cs="Times New Roman Regular"/>
          <w:i/>
          <w:iCs/>
          <w:color w:val="auto"/>
          <w:highlight w:val="none"/>
        </w:rPr>
        <w:t xml:space="preserve">The Routledge Companion to Transmedia Studies </w:t>
      </w:r>
      <w:r>
        <w:rPr>
          <w:rFonts w:hint="default" w:ascii="Times New Roman Regular" w:hAnsi="Times New Roman Regular" w:cs="Times New Roman Regular"/>
          <w:color w:val="auto"/>
          <w:highlight w:val="none"/>
        </w:rPr>
        <w:t>(pp. 447-454). Routledge.</w:t>
      </w:r>
    </w:p>
    <w:p w14:paraId="7E927B79">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Albertsen, A. N. B. (2023). Transmedia Worldbuilding and Mashup Mythology in Penny Dreadful. </w:t>
      </w:r>
      <w:r>
        <w:rPr>
          <w:rFonts w:hint="default" w:ascii="Times New Roman Regular" w:hAnsi="Times New Roman Regular" w:cs="Times New Roman Regular"/>
          <w:i/>
          <w:iCs/>
          <w:color w:val="auto"/>
          <w:highlight w:val="none"/>
        </w:rPr>
        <w:t>Imagining the Impossible: International Journal for the Fantastic in Contemporary Media, 2</w:t>
      </w:r>
      <w:r>
        <w:rPr>
          <w:rFonts w:hint="default" w:ascii="Times New Roman Regular" w:hAnsi="Times New Roman Regular" w:cs="Times New Roman Regular"/>
          <w:color w:val="auto"/>
          <w:highlight w:val="none"/>
        </w:rPr>
        <w:t>(1), pp.134-455.</w:t>
      </w:r>
    </w:p>
    <w:p w14:paraId="7A4D3A38">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Lotman, Y. M. (1990). Universe of the Mind. </w:t>
      </w:r>
      <w:r>
        <w:rPr>
          <w:rFonts w:hint="default" w:ascii="Times New Roman Italic" w:hAnsi="Times New Roman Italic" w:cs="Times New Roman Italic"/>
          <w:i/>
          <w:iCs/>
          <w:color w:val="auto"/>
        </w:rPr>
        <w:t>A semiotic theory of culture</w:t>
      </w:r>
      <w:r>
        <w:rPr>
          <w:rFonts w:hint="default" w:ascii="Times New Roman Regular" w:hAnsi="Times New Roman Regular" w:cs="Times New Roman Regular"/>
          <w:color w:val="auto"/>
        </w:rPr>
        <w:t xml:space="preserve">, </w:t>
      </w:r>
      <w:r>
        <w:rPr>
          <w:rFonts w:hint="eastAsia" w:ascii="Times New Roman Regular" w:hAnsi="Times New Roman Regular" w:cs="Times New Roman Regular"/>
          <w:color w:val="auto"/>
          <w:lang w:val="en-US" w:eastAsia="zh-CN"/>
        </w:rPr>
        <w:t>pp.</w:t>
      </w:r>
      <w:r>
        <w:rPr>
          <w:rFonts w:hint="default" w:ascii="Times New Roman Regular" w:hAnsi="Times New Roman Regular" w:cs="Times New Roman Regular"/>
          <w:color w:val="auto"/>
        </w:rPr>
        <w:t>20-35.</w:t>
      </w:r>
    </w:p>
    <w:p w14:paraId="76DCCF69">
      <w:pPr>
        <w:rPr>
          <w:rFonts w:hint="default"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auto"/>
          <w:highlight w:val="none"/>
          <w:lang w:val="en-US" w:eastAsia="zh-CN"/>
        </w:rPr>
        <w:t>Nöth, W. (2006). Yuri Lotman on metaphors and culture as self-referential semiospheres, pp. 2</w:t>
      </w:r>
      <w:r>
        <w:rPr>
          <w:rFonts w:hint="eastAsia" w:ascii="Times New Roman Regular" w:hAnsi="Times New Roman Regular" w:cs="Times New Roman Regular"/>
          <w:color w:val="auto"/>
          <w:highlight w:val="none"/>
          <w:lang w:val="en-US" w:eastAsia="zh-CN"/>
        </w:rPr>
        <w:t>49</w:t>
      </w:r>
      <w:r>
        <w:rPr>
          <w:rFonts w:hint="default" w:ascii="Times New Roman Regular" w:hAnsi="Times New Roman Regular" w:cs="Times New Roman Regular"/>
          <w:color w:val="auto"/>
          <w:highlight w:val="none"/>
          <w:lang w:val="en-US" w:eastAsia="zh-CN"/>
        </w:rPr>
        <w:t>–2</w:t>
      </w:r>
      <w:r>
        <w:rPr>
          <w:rFonts w:hint="eastAsia" w:ascii="Times New Roman Regular" w:hAnsi="Times New Roman Regular" w:cs="Times New Roman Regular"/>
          <w:color w:val="auto"/>
          <w:highlight w:val="none"/>
          <w:lang w:val="en-US" w:eastAsia="zh-CN"/>
        </w:rPr>
        <w:t>63</w:t>
      </w:r>
      <w:r>
        <w:rPr>
          <w:rFonts w:hint="default" w:ascii="Times New Roman Regular" w:hAnsi="Times New Roman Regular" w:cs="Times New Roman Regular"/>
          <w:color w:val="auto"/>
          <w:highlight w:val="none"/>
          <w:lang w:val="en-US" w:eastAsia="zh-CN"/>
        </w:rPr>
        <w:t>.</w:t>
      </w:r>
    </w:p>
    <w:p w14:paraId="0DC7CF4F">
      <w:pPr>
        <w:rPr>
          <w:rFonts w:hint="default" w:ascii="Times New Roman Regular" w:hAnsi="Times New Roman Regular" w:cs="Times New Roman Regular"/>
          <w:color w:val="auto"/>
          <w:highlight w:val="none"/>
          <w:lang w:val="en-US" w:eastAsia="zh-CN"/>
        </w:rPr>
      </w:pPr>
      <w:r>
        <w:rPr>
          <w:rFonts w:hint="default" w:ascii="Times New Roman Regular" w:hAnsi="Times New Roman Regular" w:cs="Times New Roman Regular"/>
          <w:color w:val="auto"/>
          <w:highlight w:val="none"/>
          <w:lang w:val="en-US" w:eastAsia="zh-CN"/>
        </w:rPr>
        <w:t>Greimas, A. J., McDowell, D., Schleifer, R., &amp; Velie, A. (1983). Structural semantics: An attempt at a method. (No Title).</w:t>
      </w:r>
    </w:p>
    <w:p w14:paraId="2B7DE733">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Eco, U. (1979). </w:t>
      </w:r>
      <w:r>
        <w:rPr>
          <w:rFonts w:hint="default" w:ascii="Times New Roman Regular" w:hAnsi="Times New Roman Regular" w:cs="Times New Roman Regular"/>
          <w:i/>
          <w:iCs/>
          <w:color w:val="auto"/>
          <w:highlight w:val="none"/>
        </w:rPr>
        <w:t>The role of the reader: Explorations in the semiotics of texts</w:t>
      </w:r>
      <w:r>
        <w:rPr>
          <w:rFonts w:hint="default" w:ascii="Times New Roman Regular" w:hAnsi="Times New Roman Regular" w:cs="Times New Roman Regular"/>
          <w:color w:val="auto"/>
          <w:highlight w:val="none"/>
        </w:rPr>
        <w:t xml:space="preserve"> (Vol. 318). Indiana University Press.</w:t>
      </w:r>
    </w:p>
    <w:p w14:paraId="2CC6CD99">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Manovich, L. (2002). The language of new media.</w:t>
      </w:r>
    </w:p>
    <w:p w14:paraId="6C548AE2">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Lunenfeld, P. (2001). </w:t>
      </w:r>
      <w:r>
        <w:rPr>
          <w:rFonts w:hint="default" w:ascii="Times New Roman Regular" w:hAnsi="Times New Roman Regular" w:cs="Times New Roman Regular"/>
          <w:i/>
          <w:iCs/>
          <w:color w:val="auto"/>
          <w:highlight w:val="none"/>
        </w:rPr>
        <w:t>Snap to grid: a user's guide to digital arts, media, and cultures</w:t>
      </w:r>
      <w:r>
        <w:rPr>
          <w:rFonts w:hint="default" w:ascii="Times New Roman Regular" w:hAnsi="Times New Roman Regular" w:cs="Times New Roman Regular"/>
          <w:color w:val="auto"/>
          <w:highlight w:val="none"/>
        </w:rPr>
        <w:t>. MIT Press.</w:t>
      </w:r>
    </w:p>
    <w:p w14:paraId="21FBB477">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Murray, J. (1997). Hamlet on the holodeck: The future of narrative in cyberspace. new yorN.</w:t>
      </w:r>
    </w:p>
    <w:p w14:paraId="0CCFBE0D">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Castells, M. (2011). </w:t>
      </w:r>
      <w:r>
        <w:rPr>
          <w:rFonts w:hint="default" w:ascii="Times New Roman Regular" w:hAnsi="Times New Roman Regular" w:cs="Times New Roman Regular"/>
          <w:i/>
          <w:iCs/>
          <w:color w:val="auto"/>
          <w:highlight w:val="none"/>
        </w:rPr>
        <w:t>The rise of the network society.</w:t>
      </w:r>
      <w:r>
        <w:rPr>
          <w:rFonts w:hint="default" w:ascii="Times New Roman Regular" w:hAnsi="Times New Roman Regular" w:cs="Times New Roman Regular"/>
          <w:color w:val="auto"/>
          <w:highlight w:val="none"/>
        </w:rPr>
        <w:t xml:space="preserve"> John wiley &amp; sons.</w:t>
      </w:r>
    </w:p>
    <w:p w14:paraId="6BAE05A3">
      <w:pPr>
        <w:rPr>
          <w:rFonts w:hint="eastAsia" w:ascii="Times New Roman Regular" w:hAnsi="Times New Roman Regular" w:cs="Times New Roman Regular" w:eastAsiaTheme="minorEastAsia"/>
          <w:color w:val="auto"/>
          <w:highlight w:val="none"/>
          <w:lang w:val="en-US" w:eastAsia="zh-CN"/>
        </w:rPr>
      </w:pPr>
      <w:r>
        <w:rPr>
          <w:rFonts w:hint="default" w:ascii="Times New Roman Regular" w:hAnsi="Times New Roman Regular" w:cs="Times New Roman Regular"/>
          <w:color w:val="auto"/>
          <w:highlight w:val="none"/>
        </w:rPr>
        <w:t xml:space="preserve">Bolter, J. D., &amp; Grusin, R. (2000). </w:t>
      </w:r>
      <w:r>
        <w:rPr>
          <w:rFonts w:hint="default" w:ascii="Times New Roman Regular" w:hAnsi="Times New Roman Regular" w:cs="Times New Roman Regular"/>
          <w:i/>
          <w:iCs/>
          <w:color w:val="auto"/>
          <w:highlight w:val="none"/>
        </w:rPr>
        <w:t>Remediation: Understanding new media</w:t>
      </w:r>
      <w:r>
        <w:rPr>
          <w:rFonts w:hint="default" w:ascii="Times New Roman Regular" w:hAnsi="Times New Roman Regular" w:cs="Times New Roman Regular"/>
          <w:color w:val="auto"/>
          <w:highlight w:val="none"/>
        </w:rPr>
        <w:t>. mit Press</w:t>
      </w:r>
      <w:r>
        <w:rPr>
          <w:rFonts w:hint="eastAsia" w:ascii="Times New Roman Regular" w:hAnsi="Times New Roman Regular" w:cs="Times New Roman Regular"/>
          <w:color w:val="auto"/>
          <w:highlight w:val="none"/>
          <w:lang w:val="en-US" w:eastAsia="zh-CN"/>
        </w:rPr>
        <w:t>.</w:t>
      </w:r>
    </w:p>
    <w:p w14:paraId="486E139A">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McLuhan, M. (1994). </w:t>
      </w:r>
      <w:r>
        <w:rPr>
          <w:rFonts w:hint="default" w:ascii="Times New Roman Regular" w:hAnsi="Times New Roman Regular" w:cs="Times New Roman Regular"/>
          <w:i/>
          <w:iCs/>
          <w:color w:val="auto"/>
          <w:highlight w:val="none"/>
        </w:rPr>
        <w:t>Understanding media: The extensions of man</w:t>
      </w:r>
      <w:r>
        <w:rPr>
          <w:rFonts w:hint="default" w:ascii="Times New Roman Regular" w:hAnsi="Times New Roman Regular" w:cs="Times New Roman Regular"/>
          <w:color w:val="auto"/>
          <w:highlight w:val="none"/>
        </w:rPr>
        <w:t>. MIT press.</w:t>
      </w:r>
    </w:p>
    <w:p w14:paraId="41871199">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Chun, W. H. K. (2008). </w:t>
      </w:r>
      <w:r>
        <w:rPr>
          <w:rFonts w:hint="default" w:ascii="Times New Roman Regular" w:hAnsi="Times New Roman Regular" w:cs="Times New Roman Regular"/>
          <w:i/>
          <w:iCs/>
          <w:color w:val="auto"/>
          <w:highlight w:val="none"/>
        </w:rPr>
        <w:t>Control and freedom: Power and paranoia in the age of fiber optics</w:t>
      </w:r>
      <w:r>
        <w:rPr>
          <w:rFonts w:hint="default" w:ascii="Times New Roman Regular" w:hAnsi="Times New Roman Regular" w:cs="Times New Roman Regular"/>
          <w:color w:val="auto"/>
          <w:highlight w:val="none"/>
        </w:rPr>
        <w:t>. mit Press.</w:t>
      </w:r>
    </w:p>
    <w:p w14:paraId="7B7F5C4A">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Gitelman, L. (2008). </w:t>
      </w:r>
      <w:r>
        <w:rPr>
          <w:rFonts w:hint="default" w:ascii="Times New Roman Regular" w:hAnsi="Times New Roman Regular" w:cs="Times New Roman Regular"/>
          <w:i/>
          <w:iCs/>
          <w:color w:val="auto"/>
          <w:highlight w:val="none"/>
        </w:rPr>
        <w:t>Always already new: Media, history, and the data of culture</w:t>
      </w:r>
      <w:r>
        <w:rPr>
          <w:rFonts w:hint="default" w:ascii="Times New Roman Regular" w:hAnsi="Times New Roman Regular" w:cs="Times New Roman Regular"/>
          <w:color w:val="auto"/>
          <w:highlight w:val="none"/>
        </w:rPr>
        <w:t>. MIT press.</w:t>
      </w:r>
    </w:p>
    <w:p w14:paraId="574329DB">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Papastergiadis, N. (2013). </w:t>
      </w:r>
      <w:r>
        <w:rPr>
          <w:rFonts w:hint="default" w:ascii="Times New Roman Italic" w:hAnsi="Times New Roman Italic" w:cs="Times New Roman Italic"/>
          <w:i/>
          <w:iCs/>
          <w:color w:val="auto"/>
        </w:rPr>
        <w:t>Cosmopolitanism and culture</w:t>
      </w:r>
      <w:r>
        <w:rPr>
          <w:rFonts w:hint="default" w:ascii="Times New Roman Regular" w:hAnsi="Times New Roman Regular" w:cs="Times New Roman Regular"/>
          <w:color w:val="auto"/>
        </w:rPr>
        <w:t>. John Wiley &amp; Sons.</w:t>
      </w:r>
    </w:p>
    <w:p w14:paraId="11E5920C">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Nakata, M. (2007). The cultural interface. </w:t>
      </w:r>
      <w:r>
        <w:rPr>
          <w:rFonts w:hint="default" w:ascii="Times New Roman Regular" w:hAnsi="Times New Roman Regular" w:cs="Times New Roman Regular"/>
          <w:i/>
          <w:iCs/>
          <w:color w:val="auto"/>
          <w:highlight w:val="none"/>
        </w:rPr>
        <w:t>The Australian journal of Indigenous education, 36</w:t>
      </w:r>
      <w:r>
        <w:rPr>
          <w:rFonts w:hint="default" w:ascii="Times New Roman Regular" w:hAnsi="Times New Roman Regular" w:cs="Times New Roman Regular"/>
          <w:color w:val="auto"/>
          <w:highlight w:val="none"/>
        </w:rPr>
        <w:t>(S1), pp.7-14.</w:t>
      </w:r>
    </w:p>
    <w:p w14:paraId="1562E51C">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Kress, G. (2003). </w:t>
      </w:r>
      <w:r>
        <w:rPr>
          <w:rFonts w:hint="default" w:ascii="Times New Roman Regular" w:hAnsi="Times New Roman Regular" w:cs="Times New Roman Regular"/>
          <w:i/>
          <w:iCs/>
          <w:color w:val="auto"/>
          <w:highlight w:val="none"/>
        </w:rPr>
        <w:t>Literacy in the new media age</w:t>
      </w:r>
      <w:r>
        <w:rPr>
          <w:rFonts w:hint="default" w:ascii="Times New Roman Regular" w:hAnsi="Times New Roman Regular" w:cs="Times New Roman Regular"/>
          <w:color w:val="auto"/>
          <w:highlight w:val="none"/>
        </w:rPr>
        <w:t>. routledge.</w:t>
      </w:r>
    </w:p>
    <w:p w14:paraId="7A79CCB3">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Kress, G., &amp; Van Leeuwen, T. (2020). </w:t>
      </w:r>
      <w:r>
        <w:rPr>
          <w:rFonts w:hint="default" w:ascii="Times New Roman Regular" w:hAnsi="Times New Roman Regular" w:cs="Times New Roman Regular"/>
          <w:i/>
          <w:iCs/>
          <w:color w:val="auto"/>
        </w:rPr>
        <w:t>Reading images: The grammar of visual design</w:t>
      </w:r>
      <w:r>
        <w:rPr>
          <w:rFonts w:hint="default" w:ascii="Times New Roman Regular" w:hAnsi="Times New Roman Regular" w:cs="Times New Roman Regular"/>
          <w:color w:val="auto"/>
        </w:rPr>
        <w:t>. Routledge.</w:t>
      </w:r>
    </w:p>
    <w:p w14:paraId="19DCCD07">
      <w:pPr>
        <w:jc w:val="both"/>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Oyama, R. (2000). Visual Communication across Cultures: A study of visual semiotics in Japanese and British advertiments. </w:t>
      </w:r>
      <w:r>
        <w:rPr>
          <w:rFonts w:hint="default" w:ascii="Times New Roman Regular" w:hAnsi="Times New Roman Regular" w:cs="Times New Roman Regular"/>
          <w:i/>
          <w:iCs/>
          <w:color w:val="auto"/>
          <w:highlight w:val="none"/>
        </w:rPr>
        <w:t>Journal of Intercultural Communication, 2</w:t>
      </w:r>
      <w:r>
        <w:rPr>
          <w:rFonts w:hint="default" w:ascii="Times New Roman Regular" w:hAnsi="Times New Roman Regular" w:cs="Times New Roman Regular"/>
          <w:color w:val="auto"/>
          <w:highlight w:val="none"/>
        </w:rPr>
        <w:t>(1),</w:t>
      </w:r>
      <w:r>
        <w:rPr>
          <w:rFonts w:hint="default" w:ascii="Times New Roman Regular" w:hAnsi="Times New Roman Regular" w:cs="Times New Roman Regular"/>
          <w:color w:val="auto"/>
          <w:highlight w:val="none"/>
          <w:lang w:val="en-US" w:eastAsia="zh-CN"/>
        </w:rPr>
        <w:t xml:space="preserve"> </w:t>
      </w:r>
      <w:r>
        <w:rPr>
          <w:rFonts w:hint="default" w:ascii="Times New Roman Regular" w:hAnsi="Times New Roman Regular" w:cs="Times New Roman Regular"/>
          <w:color w:val="auto"/>
          <w:highlight w:val="none"/>
        </w:rPr>
        <w:t>pp.1-12.</w:t>
      </w:r>
    </w:p>
    <w:p w14:paraId="0AF68FD2">
      <w:pPr>
        <w:jc w:val="both"/>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Fu, L. (2018). </w:t>
      </w:r>
      <w:r>
        <w:rPr>
          <w:rFonts w:hint="default" w:ascii="Times New Roman Regular" w:hAnsi="Times New Roman Regular" w:cs="Times New Roman Regular"/>
          <w:i/>
          <w:iCs/>
          <w:color w:val="auto"/>
          <w:highlight w:val="none"/>
        </w:rPr>
        <w:t>Visual communication across cultures: A semiotic study of the interpretation of Western brand images in China</w:t>
      </w:r>
      <w:r>
        <w:rPr>
          <w:rFonts w:hint="default" w:ascii="Times New Roman Regular" w:hAnsi="Times New Roman Regular" w:cs="Times New Roman Regular"/>
          <w:i w:val="0"/>
          <w:iCs w:val="0"/>
          <w:color w:val="auto"/>
          <w:highlight w:val="none"/>
        </w:rPr>
        <w:t>.</w:t>
      </w:r>
      <w:r>
        <w:rPr>
          <w:rFonts w:hint="default" w:ascii="Times New Roman Regular" w:hAnsi="Times New Roman Regular" w:cs="Times New Roman Regular"/>
          <w:color w:val="auto"/>
          <w:highlight w:val="none"/>
        </w:rPr>
        <w:t xml:space="preserve"> [online] University of Canberra. Available at: https://researchprofiles.canberra.edu.au/files/59060624/Fu\_Linda.pdf [Accessed 8 April 2025].</w:t>
      </w:r>
    </w:p>
    <w:p w14:paraId="570F0EE7">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Cohn, N. (2013). </w:t>
      </w:r>
      <w:r>
        <w:rPr>
          <w:rFonts w:hint="default" w:ascii="Times New Roman Regular" w:hAnsi="Times New Roman Regular" w:cs="Times New Roman Regular"/>
          <w:i/>
          <w:iCs/>
          <w:color w:val="auto"/>
          <w:highlight w:val="none"/>
        </w:rPr>
        <w:t>The Visual Language of Comics: Introduction to the Structure and Cognition of Sequential Images.</w:t>
      </w:r>
      <w:r>
        <w:rPr>
          <w:rFonts w:hint="default" w:ascii="Times New Roman Regular" w:hAnsi="Times New Roman Regular" w:cs="Times New Roman Regular"/>
          <w:color w:val="auto"/>
          <w:highlight w:val="none"/>
        </w:rPr>
        <w:t xml:space="preserve"> A&amp;C Black.</w:t>
      </w:r>
    </w:p>
    <w:p w14:paraId="08C024E8">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Messaris, P. (1994). </w:t>
      </w:r>
      <w:r>
        <w:rPr>
          <w:rFonts w:hint="default" w:ascii="Times New Roman Italic" w:hAnsi="Times New Roman Italic" w:cs="Times New Roman Italic"/>
          <w:i/>
          <w:iCs/>
          <w:color w:val="auto"/>
        </w:rPr>
        <w:t>Visual" literacy": Image, mind, and reality</w:t>
      </w:r>
      <w:r>
        <w:rPr>
          <w:rFonts w:hint="default" w:ascii="Times New Roman Regular" w:hAnsi="Times New Roman Regular" w:cs="Times New Roman Regular"/>
          <w:color w:val="auto"/>
        </w:rPr>
        <w:t>. Westview Press.</w:t>
      </w:r>
    </w:p>
    <w:p w14:paraId="7B92B1E6">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Murray, J. H. (2017). Hamlet on the Holodeck: The Future of Narrative in Cyberspace (updated edition), pp. </w:t>
      </w:r>
      <w:r>
        <w:rPr>
          <w:rFonts w:hint="eastAsia" w:ascii="Times New Roman Regular" w:hAnsi="Times New Roman Regular" w:cs="Times New Roman Regular"/>
          <w:color w:val="auto"/>
          <w:lang w:val="en-US" w:eastAsia="zh-CN"/>
        </w:rPr>
        <w:t>47</w:t>
      </w:r>
      <w:r>
        <w:rPr>
          <w:rFonts w:hint="default" w:ascii="Times New Roman Regular" w:hAnsi="Times New Roman Regular" w:cs="Times New Roman Regular"/>
          <w:color w:val="auto"/>
        </w:rPr>
        <w:t>.</w:t>
      </w:r>
    </w:p>
    <w:p w14:paraId="6C5A1D0D">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Mariani, I., Ciancia, M., &amp; Ackermann, J. (2023). Interactive Digital Narratives and Counter-Narratives. Systematising knowledge to derive clusters as lenses of observation. In </w:t>
      </w:r>
      <w:r>
        <w:rPr>
          <w:rFonts w:hint="default" w:ascii="Times New Roman Regular" w:hAnsi="Times New Roman Regular" w:cs="Times New Roman Regular"/>
          <w:i/>
          <w:iCs/>
          <w:color w:val="auto"/>
          <w:highlight w:val="none"/>
        </w:rPr>
        <w:t>GAME</w:t>
      </w:r>
      <w:r>
        <w:rPr>
          <w:rFonts w:hint="default" w:ascii="Times New Roman Regular" w:hAnsi="Times New Roman Regular" w:cs="Times New Roman Regular"/>
          <w:color w:val="auto"/>
          <w:highlight w:val="none"/>
        </w:rPr>
        <w:t xml:space="preserve"> (Vol. 11, No. 1), pp. 5-32).</w:t>
      </w:r>
    </w:p>
    <w:p w14:paraId="4B88D29C">
      <w:pPr>
        <w:rPr>
          <w:rFonts w:hint="default" w:ascii="Times New Roman Regular" w:hAnsi="Times New Roman Regular" w:cs="Times New Roman Regular"/>
          <w:color w:val="auto"/>
          <w:highlight w:val="none"/>
        </w:rPr>
      </w:pPr>
      <w:r>
        <w:rPr>
          <w:rFonts w:hint="default" w:ascii="Times New Roman Regular" w:hAnsi="Times New Roman Regular" w:cs="Times New Roman Regular"/>
          <w:color w:val="auto"/>
          <w:highlight w:val="none"/>
        </w:rPr>
        <w:t xml:space="preserve">Lau, K. H. C., Yun, B., Saruba, S., Bozkir, E., &amp; Kasneci, E. (2024). Wrapped in Anansi's Web: Unweaving the Impacts of Generative-AI Personalization and VR Immersion in Oral Storytelling. </w:t>
      </w:r>
      <w:r>
        <w:rPr>
          <w:rFonts w:hint="default" w:ascii="Times New Roman Regular" w:hAnsi="Times New Roman Regular" w:cs="Times New Roman Regular"/>
          <w:i/>
          <w:iCs/>
          <w:color w:val="auto"/>
          <w:highlight w:val="none"/>
        </w:rPr>
        <w:t>arXiv preprint arXiv:2409.16894</w:t>
      </w:r>
      <w:r>
        <w:rPr>
          <w:rFonts w:hint="default" w:ascii="Times New Roman Regular" w:hAnsi="Times New Roman Regular" w:cs="Times New Roman Regular"/>
          <w:color w:val="auto"/>
          <w:highlight w:val="none"/>
        </w:rPr>
        <w:t>.</w:t>
      </w:r>
    </w:p>
    <w:p w14:paraId="5AE2342C">
      <w:pPr>
        <w:rPr>
          <w:rFonts w:hint="default" w:ascii="Times New Roman Regular" w:hAnsi="Times New Roman Regular" w:cs="Times New Roman Regular"/>
          <w:color w:val="auto"/>
        </w:rPr>
      </w:pPr>
      <w:r>
        <w:rPr>
          <w:rFonts w:hint="default" w:ascii="Times New Roman Regular" w:hAnsi="Times New Roman Regular" w:cs="Times New Roman Regular"/>
          <w:color w:val="auto"/>
          <w:highlight w:val="none"/>
        </w:rPr>
        <w:t xml:space="preserve">Chen, M., Peljhan, M., &amp; Sra, M. (2023). Entanglevr++: evaluating the potential of using entanglement in an interactive vr scene creation system. </w:t>
      </w:r>
      <w:r>
        <w:rPr>
          <w:rFonts w:hint="default" w:ascii="Times New Roman Regular" w:hAnsi="Times New Roman Regular" w:cs="Times New Roman Regular"/>
          <w:i/>
          <w:iCs/>
          <w:color w:val="auto"/>
          <w:highlight w:val="none"/>
        </w:rPr>
        <w:t xml:space="preserve">Frontiers in Virtual </w:t>
      </w:r>
      <w:r>
        <w:rPr>
          <w:rFonts w:hint="default" w:ascii="Times New Roman Italic" w:hAnsi="Times New Roman Italic" w:cs="Times New Roman Italic"/>
          <w:i/>
          <w:iCs/>
          <w:color w:val="auto"/>
          <w:highlight w:val="none"/>
        </w:rPr>
        <w:t>Reality, 4</w:t>
      </w:r>
      <w:r>
        <w:rPr>
          <w:rFonts w:hint="default" w:ascii="Times New Roman Regular" w:hAnsi="Times New Roman Regular" w:cs="Times New Roman Regular"/>
          <w:i w:val="0"/>
          <w:iCs w:val="0"/>
          <w:color w:val="auto"/>
          <w:highlight w:val="none"/>
        </w:rPr>
        <w:t>,</w:t>
      </w:r>
      <w:r>
        <w:rPr>
          <w:rFonts w:hint="default" w:ascii="Times New Roman Regular" w:hAnsi="Times New Roman Regular" w:cs="Times New Roman Regular"/>
          <w:color w:val="auto"/>
          <w:highlight w:val="none"/>
        </w:rPr>
        <w:t xml:space="preserve"> p.1252551.</w:t>
      </w:r>
    </w:p>
    <w:p w14:paraId="026744F2">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Wu, J. and Chan, J., 2007. Cultural misreadings of traditional Chinese symbols in Western media. </w:t>
      </w:r>
      <w:r>
        <w:rPr>
          <w:rFonts w:hint="default" w:ascii="Times New Roman Italic" w:hAnsi="Times New Roman Italic" w:cs="Times New Roman Italic"/>
          <w:i/>
          <w:iCs/>
          <w:color w:val="auto"/>
        </w:rPr>
        <w:t>Visual Communication, 6</w:t>
      </w:r>
      <w:r>
        <w:rPr>
          <w:rFonts w:hint="default" w:ascii="Times New Roman Regular" w:hAnsi="Times New Roman Regular" w:cs="Times New Roman Regular"/>
          <w:color w:val="auto"/>
        </w:rPr>
        <w:t>(2), pp.193–216.</w:t>
      </w:r>
    </w:p>
    <w:p w14:paraId="5ED15D6C">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McNiff, J., &amp; Whitehead, J. (2011). </w:t>
      </w:r>
      <w:r>
        <w:rPr>
          <w:rFonts w:hint="default" w:ascii="Times New Roman Regular" w:hAnsi="Times New Roman Regular" w:cs="Times New Roman Regular"/>
          <w:b w:val="0"/>
          <w:bCs w:val="0"/>
          <w:i/>
          <w:iCs/>
          <w:color w:val="auto"/>
          <w:sz w:val="21"/>
          <w:szCs w:val="21"/>
          <w:highlight w:val="none"/>
          <w:lang w:val="en-US" w:eastAsia="zh-CN"/>
        </w:rPr>
        <w:t>All you need to know about action research</w:t>
      </w:r>
      <w:r>
        <w:rPr>
          <w:rFonts w:hint="default" w:ascii="Times New Roman Regular" w:hAnsi="Times New Roman Regular" w:cs="Times New Roman Regular"/>
          <w:b w:val="0"/>
          <w:bCs w:val="0"/>
          <w:color w:val="auto"/>
          <w:sz w:val="21"/>
          <w:szCs w:val="21"/>
          <w:highlight w:val="none"/>
          <w:lang w:val="en-US" w:eastAsia="zh-CN"/>
        </w:rPr>
        <w:t>. Sage publications.</w:t>
      </w:r>
    </w:p>
    <w:p w14:paraId="64F472B4">
      <w:pPr>
        <w:widowControl w:val="0"/>
        <w:numPr>
          <w:ilvl w:val="0"/>
          <w:numId w:val="0"/>
        </w:numPr>
        <w:jc w:val="both"/>
        <w:rPr>
          <w:rFonts w:hint="eastAsia"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Creswell, J. W., &amp; Clark, V. P. (2007). Mixed methods research. </w:t>
      </w:r>
      <w:r>
        <w:rPr>
          <w:rFonts w:hint="default" w:ascii="Times New Roman Regular" w:hAnsi="Times New Roman Regular" w:cs="Times New Roman Regular"/>
          <w:b w:val="0"/>
          <w:bCs w:val="0"/>
          <w:i/>
          <w:iCs/>
          <w:color w:val="auto"/>
          <w:sz w:val="21"/>
          <w:szCs w:val="21"/>
          <w:highlight w:val="none"/>
          <w:lang w:val="en-US" w:eastAsia="zh-CN"/>
        </w:rPr>
        <w:t>Thousand Oaks, CA</w:t>
      </w:r>
      <w:r>
        <w:rPr>
          <w:rFonts w:hint="default" w:ascii="Times New Roman Regular" w:hAnsi="Times New Roman Regular" w:cs="Times New Roman Regular"/>
          <w:b w:val="0"/>
          <w:bCs w:val="0"/>
          <w:color w:val="auto"/>
          <w:sz w:val="21"/>
          <w:szCs w:val="21"/>
          <w:highlight w:val="none"/>
          <w:lang w:val="en-US" w:eastAsia="zh-CN"/>
        </w:rPr>
        <w:t>.</w:t>
      </w:r>
      <w:r>
        <w:rPr>
          <w:rFonts w:hint="eastAsia" w:ascii="Times New Roman Regular" w:hAnsi="Times New Roman Regular" w:cs="Times New Roman Regular"/>
          <w:b w:val="0"/>
          <w:bCs w:val="0"/>
          <w:color w:val="auto"/>
          <w:sz w:val="21"/>
          <w:szCs w:val="21"/>
          <w:highlight w:val="none"/>
          <w:lang w:val="en-US" w:eastAsia="zh-CN"/>
        </w:rPr>
        <w:t>.</w:t>
      </w:r>
    </w:p>
    <w:p w14:paraId="3B01B6D7">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Patton, M. Q. (2014). </w:t>
      </w:r>
      <w:r>
        <w:rPr>
          <w:rFonts w:hint="default" w:ascii="Times New Roman Italic" w:hAnsi="Times New Roman Italic" w:cs="Times New Roman Italic"/>
          <w:b w:val="0"/>
          <w:bCs w:val="0"/>
          <w:i/>
          <w:iCs/>
          <w:color w:val="auto"/>
          <w:sz w:val="21"/>
          <w:szCs w:val="21"/>
          <w:highlight w:val="none"/>
          <w:lang w:val="en-US" w:eastAsia="zh-CN"/>
        </w:rPr>
        <w:t>Qualitative research &amp; evaluation methods: Integrating theory and practice</w:t>
      </w:r>
      <w:r>
        <w:rPr>
          <w:rFonts w:hint="default" w:ascii="Times New Roman Regular" w:hAnsi="Times New Roman Regular" w:cs="Times New Roman Regular"/>
          <w:b w:val="0"/>
          <w:bCs w:val="0"/>
          <w:color w:val="auto"/>
          <w:sz w:val="21"/>
          <w:szCs w:val="21"/>
          <w:highlight w:val="none"/>
          <w:lang w:val="en-US" w:eastAsia="zh-CN"/>
        </w:rPr>
        <w:t>. Sage publications.</w:t>
      </w:r>
    </w:p>
    <w:p w14:paraId="6B1781B9">
      <w:pPr>
        <w:widowControl w:val="0"/>
        <w:numPr>
          <w:ilvl w:val="0"/>
          <w:numId w:val="0"/>
        </w:numPr>
        <w:jc w:val="both"/>
        <w:rPr>
          <w:rFonts w:hint="default" w:ascii="Times New Roman Italic" w:hAnsi="Times New Roman Italic" w:cs="Times New Roman Italic"/>
          <w:b w:val="0"/>
          <w:bCs w:val="0"/>
          <w:i/>
          <w:iCs/>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Braun, V., &amp; Clarke, V. (2006). Using thematic analysis in psychology. </w:t>
      </w:r>
      <w:r>
        <w:rPr>
          <w:rFonts w:hint="default" w:ascii="Times New Roman Italic" w:hAnsi="Times New Roman Italic" w:cs="Times New Roman Italic"/>
          <w:b w:val="0"/>
          <w:bCs w:val="0"/>
          <w:i/>
          <w:iCs/>
          <w:color w:val="auto"/>
          <w:sz w:val="21"/>
          <w:szCs w:val="21"/>
          <w:highlight w:val="none"/>
          <w:lang w:val="en-US" w:eastAsia="zh-CN"/>
        </w:rPr>
        <w:t xml:space="preserve">Qualitative research in </w:t>
      </w:r>
    </w:p>
    <w:p w14:paraId="02DC6DB7">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Italic" w:hAnsi="Times New Roman Italic" w:cs="Times New Roman Italic"/>
          <w:b w:val="0"/>
          <w:bCs w:val="0"/>
          <w:i/>
          <w:iCs/>
          <w:color w:val="auto"/>
          <w:sz w:val="21"/>
          <w:szCs w:val="21"/>
          <w:highlight w:val="none"/>
          <w:lang w:val="en-US" w:eastAsia="zh-CN"/>
        </w:rPr>
        <w:t>psychology, 3</w:t>
      </w:r>
      <w:r>
        <w:rPr>
          <w:rFonts w:hint="default" w:ascii="Times New Roman Regular" w:hAnsi="Times New Roman Regular" w:cs="Times New Roman Regular"/>
          <w:b w:val="0"/>
          <w:bCs w:val="0"/>
          <w:color w:val="auto"/>
          <w:sz w:val="21"/>
          <w:szCs w:val="21"/>
          <w:highlight w:val="none"/>
          <w:lang w:val="en-US" w:eastAsia="zh-CN"/>
        </w:rPr>
        <w:t>(2), pp.77-101.</w:t>
      </w:r>
    </w:p>
    <w:p w14:paraId="488364F6">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Field, A. (2018). Discovering statistics using IBM SPSS statistics 5th ed.</w:t>
      </w:r>
    </w:p>
    <w:p w14:paraId="2228C4B9">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Pallant, J. (2020). </w:t>
      </w:r>
      <w:r>
        <w:rPr>
          <w:rFonts w:hint="default" w:ascii="Times New Roman Italic" w:hAnsi="Times New Roman Italic" w:cs="Times New Roman Italic"/>
          <w:b w:val="0"/>
          <w:bCs w:val="0"/>
          <w:i/>
          <w:iCs/>
          <w:color w:val="auto"/>
          <w:sz w:val="21"/>
          <w:szCs w:val="21"/>
          <w:highlight w:val="none"/>
          <w:lang w:val="en-US" w:eastAsia="zh-CN"/>
        </w:rPr>
        <w:t>SPSS survival manual: A step by step guide to data analysis using IBM SPSS</w:t>
      </w:r>
      <w:r>
        <w:rPr>
          <w:rFonts w:hint="default" w:ascii="Times New Roman Regular" w:hAnsi="Times New Roman Regular" w:cs="Times New Roman Regular"/>
          <w:b w:val="0"/>
          <w:bCs w:val="0"/>
          <w:color w:val="auto"/>
          <w:sz w:val="21"/>
          <w:szCs w:val="21"/>
          <w:highlight w:val="none"/>
          <w:lang w:val="en-US" w:eastAsia="zh-CN"/>
        </w:rPr>
        <w:t>. Routledge.</w:t>
      </w:r>
    </w:p>
    <w:p w14:paraId="7F07BEAB">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Rose, G. (2022). Visual methodologies: An introduction to researching with visual materials.</w:t>
      </w:r>
    </w:p>
    <w:p w14:paraId="6D2AA141">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Kress, G., &amp; Van Leeuwen, T. (2020). </w:t>
      </w:r>
      <w:r>
        <w:rPr>
          <w:rFonts w:hint="default" w:ascii="Times New Roman Italic" w:hAnsi="Times New Roman Italic" w:cs="Times New Roman Italic"/>
          <w:b w:val="0"/>
          <w:bCs w:val="0"/>
          <w:i/>
          <w:iCs/>
          <w:color w:val="auto"/>
          <w:sz w:val="21"/>
          <w:szCs w:val="21"/>
          <w:highlight w:val="none"/>
          <w:lang w:val="en-US" w:eastAsia="zh-CN"/>
        </w:rPr>
        <w:t>Reading images: The grammar of visual design</w:t>
      </w:r>
      <w:r>
        <w:rPr>
          <w:rFonts w:hint="default" w:ascii="Times New Roman Regular" w:hAnsi="Times New Roman Regular" w:cs="Times New Roman Regular"/>
          <w:b w:val="0"/>
          <w:bCs w:val="0"/>
          <w:color w:val="auto"/>
          <w:sz w:val="21"/>
          <w:szCs w:val="21"/>
          <w:highlight w:val="none"/>
          <w:lang w:val="en-US" w:eastAsia="zh-CN"/>
        </w:rPr>
        <w:t>. Routledge.</w:t>
      </w:r>
    </w:p>
    <w:p w14:paraId="4E754AC3">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Reason, P., &amp; Bradbury, H. (Eds.). (2001). </w:t>
      </w:r>
      <w:r>
        <w:rPr>
          <w:rFonts w:hint="default" w:ascii="Times New Roman Italic" w:hAnsi="Times New Roman Italic" w:cs="Times New Roman Italic"/>
          <w:b w:val="0"/>
          <w:bCs w:val="0"/>
          <w:i/>
          <w:iCs/>
          <w:color w:val="auto"/>
          <w:sz w:val="21"/>
          <w:szCs w:val="21"/>
          <w:highlight w:val="none"/>
          <w:lang w:val="en-US" w:eastAsia="zh-CN"/>
        </w:rPr>
        <w:t>Handbook of action research: Participative inquiry and practice</w:t>
      </w:r>
      <w:r>
        <w:rPr>
          <w:rFonts w:hint="default" w:ascii="Times New Roman Regular" w:hAnsi="Times New Roman Regular" w:cs="Times New Roman Regular"/>
          <w:b w:val="0"/>
          <w:bCs w:val="0"/>
          <w:color w:val="auto"/>
          <w:sz w:val="21"/>
          <w:szCs w:val="21"/>
          <w:highlight w:val="none"/>
          <w:lang w:val="en-US" w:eastAsia="zh-CN"/>
        </w:rPr>
        <w:t>. sage.</w:t>
      </w:r>
    </w:p>
    <w:p w14:paraId="3BFDC146">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Creswell, J. W., &amp; Clark, V. L. P. (2017). </w:t>
      </w:r>
      <w:r>
        <w:rPr>
          <w:rFonts w:hint="default" w:ascii="Times New Roman Italic" w:hAnsi="Times New Roman Italic" w:cs="Times New Roman Italic"/>
          <w:b w:val="0"/>
          <w:bCs w:val="0"/>
          <w:i/>
          <w:iCs/>
          <w:color w:val="auto"/>
          <w:sz w:val="21"/>
          <w:szCs w:val="21"/>
          <w:highlight w:val="none"/>
          <w:lang w:val="en-US" w:eastAsia="zh-CN"/>
        </w:rPr>
        <w:t xml:space="preserve">Designing and conducting mixed methods research. </w:t>
      </w:r>
    </w:p>
    <w:p w14:paraId="7D96C668">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 xml:space="preserve">Sage publications. </w:t>
      </w:r>
    </w:p>
    <w:p w14:paraId="594A0525">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Smith, J. D. (2012). Single-case experimental designs: a systematic review of published research and current standards. </w:t>
      </w:r>
      <w:r>
        <w:rPr>
          <w:rFonts w:hint="default" w:ascii="Times New Roman Italic" w:hAnsi="Times New Roman Italic" w:cs="Times New Roman Italic"/>
          <w:b w:val="0"/>
          <w:bCs w:val="0"/>
          <w:i/>
          <w:iCs/>
          <w:color w:val="auto"/>
          <w:sz w:val="21"/>
          <w:szCs w:val="21"/>
          <w:highlight w:val="none"/>
          <w:lang w:val="en-US" w:eastAsia="zh-CN"/>
        </w:rPr>
        <w:t>Psychological methods, 17</w:t>
      </w:r>
      <w:r>
        <w:rPr>
          <w:rFonts w:hint="default" w:ascii="Times New Roman Regular" w:hAnsi="Times New Roman Regular" w:cs="Times New Roman Regular"/>
          <w:b w:val="0"/>
          <w:bCs w:val="0"/>
          <w:color w:val="auto"/>
          <w:sz w:val="21"/>
          <w:szCs w:val="21"/>
          <w:highlight w:val="none"/>
          <w:lang w:val="en-US" w:eastAsia="zh-CN"/>
        </w:rPr>
        <w:t xml:space="preserve">(4), </w:t>
      </w:r>
      <w:r>
        <w:rPr>
          <w:rFonts w:hint="eastAsia" w:ascii="Times New Roman Regular" w:hAnsi="Times New Roman Regular" w:cs="Times New Roman Regular"/>
          <w:b w:val="0"/>
          <w:bCs w:val="0"/>
          <w:color w:val="auto"/>
          <w:sz w:val="21"/>
          <w:szCs w:val="21"/>
          <w:highlight w:val="none"/>
          <w:lang w:val="en-US" w:eastAsia="zh-CN"/>
        </w:rPr>
        <w:t>p.</w:t>
      </w:r>
      <w:r>
        <w:rPr>
          <w:rFonts w:hint="default" w:ascii="Times New Roman Regular" w:hAnsi="Times New Roman Regular" w:cs="Times New Roman Regular"/>
          <w:b w:val="0"/>
          <w:bCs w:val="0"/>
          <w:color w:val="auto"/>
          <w:sz w:val="21"/>
          <w:szCs w:val="21"/>
          <w:highlight w:val="none"/>
          <w:lang w:val="en-US" w:eastAsia="zh-CN"/>
        </w:rPr>
        <w:t>510.</w:t>
      </w:r>
    </w:p>
    <w:p w14:paraId="0D418FCD">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Campbell, D. T., &amp; Riecken, H. W. (1968). Quasi-experimental design. </w:t>
      </w:r>
      <w:r>
        <w:rPr>
          <w:rFonts w:hint="default" w:ascii="Times New Roman Italic" w:hAnsi="Times New Roman Italic" w:cs="Times New Roman Italic"/>
          <w:b w:val="0"/>
          <w:bCs w:val="0"/>
          <w:i/>
          <w:iCs/>
          <w:color w:val="auto"/>
          <w:sz w:val="21"/>
          <w:szCs w:val="21"/>
          <w:highlight w:val="none"/>
          <w:lang w:val="en-US" w:eastAsia="zh-CN"/>
        </w:rPr>
        <w:t>International encyclopedia of the social sciences, 5</w:t>
      </w:r>
      <w:r>
        <w:rPr>
          <w:rFonts w:hint="default" w:ascii="Times New Roman Regular" w:hAnsi="Times New Roman Regular" w:cs="Times New Roman Regular"/>
          <w:b w:val="0"/>
          <w:bCs w:val="0"/>
          <w:color w:val="auto"/>
          <w:sz w:val="21"/>
          <w:szCs w:val="21"/>
          <w:highlight w:val="none"/>
          <w:lang w:val="en-US" w:eastAsia="zh-CN"/>
        </w:rPr>
        <w:t>(3), pp.259-263.</w:t>
      </w:r>
    </w:p>
    <w:p w14:paraId="00453765">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Plano Clark, V. L. (2017). Mixed methods research. </w:t>
      </w:r>
      <w:r>
        <w:rPr>
          <w:rFonts w:hint="default" w:ascii="Times New Roman Italic" w:hAnsi="Times New Roman Italic" w:cs="Times New Roman Italic"/>
          <w:b w:val="0"/>
          <w:bCs w:val="0"/>
          <w:i/>
          <w:iCs/>
          <w:color w:val="auto"/>
          <w:sz w:val="21"/>
          <w:szCs w:val="21"/>
          <w:highlight w:val="none"/>
          <w:lang w:val="en-US" w:eastAsia="zh-CN"/>
        </w:rPr>
        <w:t>The Journal of Positive Psychology, 12</w:t>
      </w:r>
      <w:r>
        <w:rPr>
          <w:rFonts w:hint="default" w:ascii="Times New Roman Regular" w:hAnsi="Times New Roman Regular" w:cs="Times New Roman Regular"/>
          <w:b w:val="0"/>
          <w:bCs w:val="0"/>
          <w:color w:val="auto"/>
          <w:sz w:val="21"/>
          <w:szCs w:val="21"/>
          <w:highlight w:val="none"/>
          <w:lang w:val="en-US" w:eastAsia="zh-CN"/>
        </w:rPr>
        <w:t xml:space="preserve">(3), </w:t>
      </w:r>
    </w:p>
    <w:p w14:paraId="7862860A">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pp.305-306.</w:t>
      </w:r>
    </w:p>
    <w:p w14:paraId="4A75AE45">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Hammersley, M. (2012). </w:t>
      </w:r>
      <w:r>
        <w:rPr>
          <w:rFonts w:hint="default" w:ascii="Times New Roman Italic" w:hAnsi="Times New Roman Italic" w:cs="Times New Roman Italic"/>
          <w:b w:val="0"/>
          <w:bCs w:val="0"/>
          <w:i/>
          <w:iCs/>
          <w:color w:val="auto"/>
          <w:sz w:val="21"/>
          <w:szCs w:val="21"/>
          <w:highlight w:val="none"/>
          <w:lang w:val="en-US" w:eastAsia="zh-CN"/>
        </w:rPr>
        <w:t>What is qualitative research?</w:t>
      </w:r>
      <w:r>
        <w:rPr>
          <w:rFonts w:hint="default" w:ascii="Times New Roman Regular" w:hAnsi="Times New Roman Regular" w:cs="Times New Roman Regular"/>
          <w:b w:val="0"/>
          <w:bCs w:val="0"/>
          <w:color w:val="auto"/>
          <w:sz w:val="21"/>
          <w:szCs w:val="21"/>
          <w:highlight w:val="none"/>
          <w:lang w:val="en-US" w:eastAsia="zh-CN"/>
        </w:rPr>
        <w:t xml:space="preserve"> (p. 144). Bloomsbury Academic. </w:t>
      </w:r>
    </w:p>
    <w:p w14:paraId="1D17908C">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Fetterman, D. M. (2019).</w:t>
      </w:r>
      <w:r>
        <w:rPr>
          <w:rFonts w:hint="default" w:ascii="Times New Roman Italic" w:hAnsi="Times New Roman Italic" w:cs="Times New Roman Italic"/>
          <w:b w:val="0"/>
          <w:bCs w:val="0"/>
          <w:i/>
          <w:iCs/>
          <w:color w:val="auto"/>
          <w:sz w:val="21"/>
          <w:szCs w:val="21"/>
          <w:highlight w:val="none"/>
          <w:lang w:val="en-US" w:eastAsia="zh-CN"/>
        </w:rPr>
        <w:t> Ethnography: Step-by-step</w:t>
      </w:r>
      <w:r>
        <w:rPr>
          <w:rFonts w:hint="default" w:ascii="Times New Roman Regular" w:hAnsi="Times New Roman Regular" w:cs="Times New Roman Regular"/>
          <w:b w:val="0"/>
          <w:bCs w:val="0"/>
          <w:color w:val="auto"/>
          <w:sz w:val="21"/>
          <w:szCs w:val="21"/>
          <w:highlight w:val="none"/>
          <w:lang w:val="en-US" w:eastAsia="zh-CN"/>
        </w:rPr>
        <w:t>. Sage publications.</w:t>
      </w:r>
    </w:p>
    <w:p w14:paraId="46322580">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Geertz, C. (2017). </w:t>
      </w:r>
      <w:r>
        <w:rPr>
          <w:rFonts w:hint="default" w:ascii="Times New Roman Italic" w:hAnsi="Times New Roman Italic" w:cs="Times New Roman Italic"/>
          <w:b w:val="0"/>
          <w:bCs w:val="0"/>
          <w:i/>
          <w:iCs/>
          <w:color w:val="auto"/>
          <w:sz w:val="21"/>
          <w:szCs w:val="21"/>
          <w:highlight w:val="none"/>
          <w:lang w:val="en-US" w:eastAsia="zh-CN"/>
        </w:rPr>
        <w:t>The interpretation of cultures.</w:t>
      </w:r>
      <w:r>
        <w:rPr>
          <w:rFonts w:hint="default" w:ascii="Times New Roman Regular" w:hAnsi="Times New Roman Regular" w:cs="Times New Roman Regular"/>
          <w:b w:val="0"/>
          <w:bCs w:val="0"/>
          <w:color w:val="auto"/>
          <w:sz w:val="21"/>
          <w:szCs w:val="21"/>
          <w:highlight w:val="none"/>
          <w:lang w:val="en-US" w:eastAsia="zh-CN"/>
        </w:rPr>
        <w:t xml:space="preserve"> Basic books.</w:t>
      </w:r>
    </w:p>
    <w:p w14:paraId="254B52BC">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Agar, M. (2011). Making sense of one other for another: Ethnography as translation.</w:t>
      </w:r>
      <w:r>
        <w:rPr>
          <w:rFonts w:hint="eastAsia" w:ascii="Times New Roman Regular" w:hAnsi="Times New Roman Regular" w:cs="Times New Roman Regular"/>
          <w:b w:val="0"/>
          <w:bCs w:val="0"/>
          <w:color w:val="auto"/>
          <w:sz w:val="21"/>
          <w:szCs w:val="21"/>
          <w:highlight w:val="none"/>
          <w:lang w:val="en-US" w:eastAsia="zh-CN"/>
        </w:rPr>
        <w:t xml:space="preserve"> </w:t>
      </w:r>
      <w:r>
        <w:rPr>
          <w:rFonts w:hint="default" w:ascii="Times New Roman Italic" w:hAnsi="Times New Roman Italic" w:cs="Times New Roman Italic"/>
          <w:b w:val="0"/>
          <w:bCs w:val="0"/>
          <w:i/>
          <w:iCs/>
          <w:color w:val="auto"/>
          <w:sz w:val="21"/>
          <w:szCs w:val="21"/>
          <w:highlight w:val="none"/>
          <w:lang w:val="en-US" w:eastAsia="zh-CN"/>
        </w:rPr>
        <w:t>Language &amp; Communication, 31</w:t>
      </w:r>
      <w:r>
        <w:rPr>
          <w:rFonts w:hint="default" w:ascii="Times New Roman Regular" w:hAnsi="Times New Roman Regular" w:cs="Times New Roman Regular"/>
          <w:b w:val="0"/>
          <w:bCs w:val="0"/>
          <w:color w:val="auto"/>
          <w:sz w:val="21"/>
          <w:szCs w:val="21"/>
          <w:highlight w:val="none"/>
          <w:lang w:val="en-US" w:eastAsia="zh-CN"/>
        </w:rPr>
        <w:t>(1), pp.38-47.</w:t>
      </w:r>
    </w:p>
    <w:p w14:paraId="18D60BAA">
      <w:pPr>
        <w:widowControl w:val="0"/>
        <w:numPr>
          <w:ilvl w:val="0"/>
          <w:numId w:val="0"/>
        </w:numPr>
        <w:jc w:val="both"/>
        <w:rPr>
          <w:rFonts w:hint="default" w:ascii="Times New Roman Italic" w:hAnsi="Times New Roman Italic" w:cs="Times New Roman Italic"/>
          <w:b w:val="0"/>
          <w:bCs w:val="0"/>
          <w:i/>
          <w:iCs/>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Ruth, A., Wutich, A., &amp; Bernard, H. R. (2023). The Handbook of Teaching Qualitative and Mixed Research Methods. </w:t>
      </w:r>
      <w:r>
        <w:rPr>
          <w:rFonts w:hint="default" w:ascii="Times New Roman Italic" w:hAnsi="Times New Roman Italic" w:cs="Times New Roman Italic"/>
          <w:b w:val="0"/>
          <w:bCs w:val="0"/>
          <w:i/>
          <w:iCs/>
          <w:color w:val="auto"/>
          <w:sz w:val="21"/>
          <w:szCs w:val="21"/>
          <w:highlight w:val="none"/>
          <w:lang w:val="en-US" w:eastAsia="zh-CN"/>
        </w:rPr>
        <w:t>The Handbook of Teaching Qualitative and Mixed Research Methods.</w:t>
      </w:r>
    </w:p>
    <w:p w14:paraId="21E6BF27">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Brewer, J. (2000).</w:t>
      </w:r>
      <w:r>
        <w:rPr>
          <w:rFonts w:hint="default" w:ascii="Times New Roman Italic" w:hAnsi="Times New Roman Italic" w:cs="Times New Roman Italic"/>
          <w:b w:val="0"/>
          <w:bCs w:val="0"/>
          <w:i/>
          <w:iCs/>
          <w:color w:val="auto"/>
          <w:sz w:val="21"/>
          <w:szCs w:val="21"/>
          <w:highlight w:val="none"/>
          <w:lang w:val="en-US" w:eastAsia="zh-CN"/>
        </w:rPr>
        <w:t> Ethnography</w:t>
      </w:r>
      <w:r>
        <w:rPr>
          <w:rFonts w:hint="default" w:ascii="Times New Roman Regular" w:hAnsi="Times New Roman Regular" w:cs="Times New Roman Regular"/>
          <w:b w:val="0"/>
          <w:bCs w:val="0"/>
          <w:color w:val="auto"/>
          <w:sz w:val="21"/>
          <w:szCs w:val="21"/>
          <w:highlight w:val="none"/>
          <w:lang w:val="en-US" w:eastAsia="zh-CN"/>
        </w:rPr>
        <w:t>. McGraw-Hill Education (UK).</w:t>
      </w:r>
    </w:p>
    <w:p w14:paraId="01981400">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Barthes, R. (1977). Image-music-text, trans. </w:t>
      </w:r>
      <w:r>
        <w:rPr>
          <w:rFonts w:hint="default" w:ascii="Times New Roman Italic" w:hAnsi="Times New Roman Italic" w:cs="Times New Roman Italic"/>
          <w:b w:val="0"/>
          <w:bCs w:val="0"/>
          <w:i/>
          <w:iCs/>
          <w:color w:val="auto"/>
          <w:sz w:val="21"/>
          <w:szCs w:val="21"/>
          <w:highlight w:val="none"/>
          <w:lang w:val="en-US" w:eastAsia="zh-CN"/>
        </w:rPr>
        <w:t>Stephen Heath (New York: Hill and Wang, 1977), 146</w:t>
      </w:r>
      <w:r>
        <w:rPr>
          <w:rFonts w:hint="default" w:ascii="Times New Roman Regular" w:hAnsi="Times New Roman Regular" w:cs="Times New Roman Regular"/>
          <w:b w:val="0"/>
          <w:bCs w:val="0"/>
          <w:color w:val="auto"/>
          <w:sz w:val="21"/>
          <w:szCs w:val="21"/>
          <w:highlight w:val="none"/>
          <w:lang w:val="en-US" w:eastAsia="zh-CN"/>
        </w:rPr>
        <w:t>.</w:t>
      </w:r>
    </w:p>
    <w:p w14:paraId="5D991ABA">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Krippendorff, K. (2018). </w:t>
      </w:r>
      <w:r>
        <w:rPr>
          <w:rFonts w:hint="default" w:ascii="Times New Roman Italic" w:hAnsi="Times New Roman Italic" w:cs="Times New Roman Italic"/>
          <w:b w:val="0"/>
          <w:bCs w:val="0"/>
          <w:i/>
          <w:iCs/>
          <w:color w:val="auto"/>
          <w:sz w:val="21"/>
          <w:szCs w:val="21"/>
          <w:highlight w:val="none"/>
          <w:lang w:val="en-US" w:eastAsia="zh-CN"/>
        </w:rPr>
        <w:t>Content analysis: An introduction to its methodology</w:t>
      </w:r>
      <w:r>
        <w:rPr>
          <w:rFonts w:hint="default" w:ascii="Times New Roman Regular" w:hAnsi="Times New Roman Regular" w:cs="Times New Roman Regular"/>
          <w:b w:val="0"/>
          <w:bCs w:val="0"/>
          <w:color w:val="auto"/>
          <w:sz w:val="21"/>
          <w:szCs w:val="21"/>
          <w:highlight w:val="none"/>
          <w:lang w:val="en-US" w:eastAsia="zh-CN"/>
        </w:rPr>
        <w:t>. Sage publications.</w:t>
      </w:r>
    </w:p>
    <w:p w14:paraId="299B8696">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Rose, G. (2022). Visual methodologies: An introduction to researching with visual materials.</w:t>
      </w:r>
    </w:p>
    <w:p w14:paraId="63755595">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Kress, G., &amp; Van Leeuwen, T. (2020). </w:t>
      </w:r>
      <w:r>
        <w:rPr>
          <w:rFonts w:hint="default" w:ascii="Times New Roman Italic" w:hAnsi="Times New Roman Italic" w:cs="Times New Roman Italic"/>
          <w:b w:val="0"/>
          <w:bCs w:val="0"/>
          <w:i/>
          <w:iCs/>
          <w:color w:val="auto"/>
          <w:sz w:val="21"/>
          <w:szCs w:val="21"/>
          <w:highlight w:val="none"/>
          <w:lang w:val="en-US" w:eastAsia="zh-CN"/>
        </w:rPr>
        <w:t>Reading images: The grammar of visual design</w:t>
      </w:r>
      <w:r>
        <w:rPr>
          <w:rFonts w:hint="default" w:ascii="Times New Roman Regular" w:hAnsi="Times New Roman Regular" w:cs="Times New Roman Regular"/>
          <w:b w:val="0"/>
          <w:bCs w:val="0"/>
          <w:color w:val="auto"/>
          <w:sz w:val="21"/>
          <w:szCs w:val="21"/>
          <w:highlight w:val="none"/>
          <w:lang w:val="en-US" w:eastAsia="zh-CN"/>
        </w:rPr>
        <w:t>. Routledge.</w:t>
      </w:r>
    </w:p>
    <w:p w14:paraId="070DBD91">
      <w:pPr>
        <w:widowControl w:val="0"/>
        <w:numPr>
          <w:ilvl w:val="0"/>
          <w:numId w:val="0"/>
        </w:numPr>
        <w:jc w:val="both"/>
        <w:rPr>
          <w:rFonts w:hint="default" w:ascii="Times New Roman Regular" w:hAnsi="Times New Roman Regular" w:cs="Times New Roman Regular"/>
          <w:b w:val="0"/>
          <w:bCs w:val="0"/>
          <w:color w:val="auto"/>
          <w:sz w:val="21"/>
          <w:szCs w:val="21"/>
          <w:highlight w:val="none"/>
          <w:lang w:val="en-US" w:eastAsia="zh-CN"/>
        </w:rPr>
      </w:pPr>
      <w:r>
        <w:rPr>
          <w:rFonts w:hint="default" w:ascii="Times New Roman Regular" w:hAnsi="Times New Roman Regular" w:cs="Times New Roman Regular"/>
          <w:b w:val="0"/>
          <w:bCs w:val="0"/>
          <w:color w:val="auto"/>
          <w:sz w:val="21"/>
          <w:szCs w:val="21"/>
          <w:highlight w:val="none"/>
          <w:lang w:val="en-US" w:eastAsia="zh-CN"/>
        </w:rPr>
        <w:t>Ten Have, P. (2008, January). David Silverman (2006). Interpreting Qualitative Data: Methods for Analysing Talk, Text and Interaction. In </w:t>
      </w:r>
      <w:r>
        <w:rPr>
          <w:rFonts w:hint="default" w:ascii="Times New Roman Italic" w:hAnsi="Times New Roman Italic" w:cs="Times New Roman Italic"/>
          <w:b w:val="0"/>
          <w:bCs w:val="0"/>
          <w:i/>
          <w:iCs/>
          <w:color w:val="auto"/>
          <w:sz w:val="21"/>
          <w:szCs w:val="21"/>
          <w:highlight w:val="none"/>
          <w:lang w:val="en-US" w:eastAsia="zh-CN"/>
        </w:rPr>
        <w:t>Forum Qualitative Sozialforschung/Forum: Qualitative Social Research</w:t>
      </w:r>
      <w:r>
        <w:rPr>
          <w:rFonts w:hint="default" w:ascii="Times New Roman Regular" w:hAnsi="Times New Roman Regular" w:cs="Times New Roman Regular"/>
          <w:b w:val="0"/>
          <w:bCs w:val="0"/>
          <w:color w:val="auto"/>
          <w:sz w:val="21"/>
          <w:szCs w:val="21"/>
          <w:highlight w:val="none"/>
          <w:lang w:val="en-US" w:eastAsia="zh-CN"/>
        </w:rPr>
        <w:t xml:space="preserve"> (Vol. 9, No. 1). </w:t>
      </w:r>
    </w:p>
    <w:p w14:paraId="1A073E80">
      <w:pPr>
        <w:widowControl w:val="0"/>
        <w:numPr>
          <w:ilvl w:val="0"/>
          <w:numId w:val="0"/>
        </w:numPr>
        <w:jc w:val="both"/>
        <w:rPr>
          <w:rFonts w:hint="default" w:ascii="Times New Roman Regular" w:hAnsi="Times New Roman Regular" w:cs="Times New Roman Regular" w:eastAsiaTheme="minorEastAsia"/>
          <w:b w:val="0"/>
          <w:bCs w:val="0"/>
          <w:color w:val="auto"/>
          <w:kern w:val="0"/>
          <w:sz w:val="21"/>
          <w:szCs w:val="21"/>
          <w:highlight w:val="none"/>
          <w:lang w:val="en-US" w:eastAsia="zh-CN" w:bidi="ar"/>
        </w:rPr>
      </w:pPr>
      <w:r>
        <w:rPr>
          <w:rFonts w:hint="default" w:ascii="Times New Roman Regular" w:hAnsi="Times New Roman Regular" w:cs="Times New Roman Regular"/>
          <w:b w:val="0"/>
          <w:bCs w:val="0"/>
          <w:color w:val="auto"/>
          <w:sz w:val="21"/>
          <w:szCs w:val="21"/>
          <w:highlight w:val="none"/>
          <w:lang w:val="en-US" w:eastAsia="zh-CN"/>
        </w:rPr>
        <w:t>Neuendorf, K. A. (2017). </w:t>
      </w:r>
      <w:r>
        <w:rPr>
          <w:rFonts w:hint="default" w:ascii="Times New Roman Italic" w:hAnsi="Times New Roman Italic" w:cs="Times New Roman Italic"/>
          <w:b w:val="0"/>
          <w:bCs w:val="0"/>
          <w:i/>
          <w:iCs/>
          <w:color w:val="auto"/>
          <w:sz w:val="21"/>
          <w:szCs w:val="21"/>
          <w:highlight w:val="none"/>
          <w:lang w:val="en-US" w:eastAsia="zh-CN"/>
        </w:rPr>
        <w:t>The content analysis guidebook</w:t>
      </w:r>
      <w:r>
        <w:rPr>
          <w:rFonts w:hint="default" w:ascii="Times New Roman Regular" w:hAnsi="Times New Roman Regular" w:cs="Times New Roman Regular"/>
          <w:b w:val="0"/>
          <w:bCs w:val="0"/>
          <w:color w:val="auto"/>
          <w:sz w:val="21"/>
          <w:szCs w:val="21"/>
          <w:highlight w:val="none"/>
          <w:lang w:val="en-US" w:eastAsia="zh-CN"/>
        </w:rPr>
        <w:t>. sage.</w:t>
      </w:r>
    </w:p>
    <w:p w14:paraId="137B9010">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auto"/>
          <w:kern w:val="0"/>
          <w:sz w:val="21"/>
          <w:szCs w:val="21"/>
          <w:highlight w:val="none"/>
          <w:lang w:val="en-US" w:eastAsia="zh-CN" w:bidi="ar"/>
        </w:rPr>
      </w:pP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 xml:space="preserve">Piaget, J. (1977). </w:t>
      </w:r>
      <w:r>
        <w:rPr>
          <w:rFonts w:hint="default" w:ascii="Times New Roman Regular" w:hAnsi="Times New Roman Regular" w:cs="Times New Roman Regular" w:eastAsiaTheme="minorEastAsia"/>
          <w:b w:val="0"/>
          <w:bCs w:val="0"/>
          <w:i/>
          <w:iCs/>
          <w:color w:val="auto"/>
          <w:kern w:val="0"/>
          <w:sz w:val="21"/>
          <w:szCs w:val="21"/>
          <w:highlight w:val="none"/>
          <w:lang w:val="en-US" w:eastAsia="zh-CN" w:bidi="ar"/>
        </w:rPr>
        <w:t>The development of thought: Equilibration of cognitive structures.(Trans A. Rosin)</w:t>
      </w: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 Viking.</w:t>
      </w:r>
    </w:p>
    <w:p w14:paraId="066B9998">
      <w:pPr>
        <w:keepNext w:val="0"/>
        <w:keepLines w:val="0"/>
        <w:widowControl/>
        <w:numPr>
          <w:ilvl w:val="0"/>
          <w:numId w:val="0"/>
        </w:numPr>
        <w:suppressLineNumbers w:val="0"/>
        <w:jc w:val="both"/>
        <w:rPr>
          <w:rFonts w:hint="default" w:ascii="Times New Roman Regular" w:hAnsi="Times New Roman Regular" w:cs="Times New Roman Regular" w:eastAsiaTheme="minorEastAsia"/>
          <w:b w:val="0"/>
          <w:bCs w:val="0"/>
          <w:color w:val="auto"/>
          <w:kern w:val="0"/>
          <w:sz w:val="21"/>
          <w:szCs w:val="21"/>
          <w:highlight w:val="none"/>
          <w:lang w:val="en-US" w:eastAsia="zh-CN" w:bidi="ar"/>
        </w:rPr>
      </w:pP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 xml:space="preserve">Hall, S. (1980). Encoding/decoding (pp. 128-138). </w:t>
      </w:r>
      <w:r>
        <w:rPr>
          <w:rFonts w:hint="default" w:ascii="Times New Roman Regular" w:hAnsi="Times New Roman Regular" w:cs="Times New Roman Regular" w:eastAsiaTheme="minorEastAsia"/>
          <w:b w:val="0"/>
          <w:bCs w:val="0"/>
          <w:i/>
          <w:iCs/>
          <w:color w:val="auto"/>
          <w:kern w:val="0"/>
          <w:sz w:val="21"/>
          <w:szCs w:val="21"/>
          <w:highlight w:val="none"/>
          <w:lang w:val="en-US" w:eastAsia="zh-CN" w:bidi="ar"/>
        </w:rPr>
        <w:t>Culture, Media, Language: Hutchinson</w:t>
      </w:r>
      <w:r>
        <w:rPr>
          <w:rFonts w:hint="default" w:ascii="Times New Roman Regular" w:hAnsi="Times New Roman Regular" w:cs="Times New Roman Regular" w:eastAsiaTheme="minorEastAsia"/>
          <w:b w:val="0"/>
          <w:bCs w:val="0"/>
          <w:color w:val="auto"/>
          <w:kern w:val="0"/>
          <w:sz w:val="21"/>
          <w:szCs w:val="21"/>
          <w:highlight w:val="none"/>
          <w:lang w:val="en-US" w:eastAsia="zh-CN" w:bidi="ar"/>
        </w:rPr>
        <w:t>.</w:t>
      </w:r>
    </w:p>
    <w:p w14:paraId="304C7E5D">
      <w:pPr>
        <w:rPr>
          <w:rFonts w:hint="eastAsia"/>
          <w:color w:val="auto"/>
        </w:rPr>
      </w:pPr>
    </w:p>
    <w:p w14:paraId="0D9FCA25"/>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Times New Roman Bold">
    <w:panose1 w:val="02020703060505090304"/>
    <w:charset w:val="00"/>
    <w:family w:val="auto"/>
    <w:pitch w:val="default"/>
    <w:sig w:usb0="E0000AFF" w:usb1="00007843" w:usb2="00000001" w:usb3="00000000" w:csb0="400001BF" w:csb1="DFF70000"/>
  </w:font>
  <w:font w:name="Times New Roman Regular">
    <w:panose1 w:val="02020703060505090304"/>
    <w:charset w:val="00"/>
    <w:family w:val="auto"/>
    <w:pitch w:val="default"/>
    <w:sig w:usb0="E0000AFF" w:usb1="00007843" w:usb2="00000001" w:usb3="00000000" w:csb0="400001BF" w:csb1="DFF70000"/>
  </w:font>
  <w:font w:name="Times New Roman Italic">
    <w:panose1 w:val="02020703060505090304"/>
    <w:charset w:val="00"/>
    <w:family w:val="auto"/>
    <w:pitch w:val="default"/>
    <w:sig w:usb0="E0000AFF" w:usb1="00007843" w:usb2="00000001" w:usb3="00000000" w:csb0="400001BF" w:csb1="DFF70000"/>
  </w:font>
  <w:font w:name="Aptos">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ED22604"/>
    <w:multiLevelType w:val="singleLevel"/>
    <w:tmpl w:val="CED22604"/>
    <w:lvl w:ilvl="0" w:tentative="0">
      <w:start w:val="1"/>
      <w:numFmt w:val="decimal"/>
      <w:suff w:val="space"/>
      <w:lvlText w:val="(%1)"/>
      <w:lvlJc w:val="left"/>
    </w:lvl>
  </w:abstractNum>
  <w:abstractNum w:abstractNumId="1">
    <w:nsid w:val="DFFB18D4"/>
    <w:multiLevelType w:val="singleLevel"/>
    <w:tmpl w:val="DFFB18D4"/>
    <w:lvl w:ilvl="0" w:tentative="0">
      <w:start w:val="1"/>
      <w:numFmt w:val="decimal"/>
      <w:suff w:val="space"/>
      <w:lvlText w:val="%1."/>
      <w:lvlJc w:val="left"/>
    </w:lvl>
  </w:abstractNum>
  <w:abstractNum w:abstractNumId="2">
    <w:nsid w:val="FEFC0725"/>
    <w:multiLevelType w:val="singleLevel"/>
    <w:tmpl w:val="FEFC0725"/>
    <w:lvl w:ilvl="0" w:tentative="0">
      <w:start w:val="1"/>
      <w:numFmt w:val="decimal"/>
      <w:suff w:val="space"/>
      <w:lvlText w:val="%1."/>
      <w:lvlJc w:val="left"/>
    </w:lvl>
  </w:abstractNum>
  <w:abstractNum w:abstractNumId="3">
    <w:nsid w:val="FFC3CBEF"/>
    <w:multiLevelType w:val="singleLevel"/>
    <w:tmpl w:val="FFC3CBEF"/>
    <w:lvl w:ilvl="0" w:tentative="0">
      <w:start w:val="1"/>
      <w:numFmt w:val="decimal"/>
      <w:suff w:val="space"/>
      <w:lvlText w:val="(%1)"/>
      <w:lvlJc w:val="left"/>
    </w:lvl>
  </w:abstractNum>
  <w:abstractNum w:abstractNumId="4">
    <w:nsid w:val="775785E8"/>
    <w:multiLevelType w:val="multilevel"/>
    <w:tmpl w:val="775785E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7FFE9907"/>
    <w:multiLevelType w:val="singleLevel"/>
    <w:tmpl w:val="7FFE9907"/>
    <w:lvl w:ilvl="0" w:tentative="0">
      <w:start w:val="7"/>
      <w:numFmt w:val="decimal"/>
      <w:suff w:val="space"/>
      <w:lvlText w:val="%1."/>
      <w:lvlJc w:val="left"/>
    </w:lvl>
  </w:abstractNum>
  <w:num w:numId="1">
    <w:abstractNumId w:val="4"/>
  </w:num>
  <w:num w:numId="2">
    <w:abstractNumId w:val="3"/>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VkNjdlMGQzMzk2NDU5YWIxY2E5Mjc1ZTU3MjEzZTEifQ=="/>
  </w:docVars>
  <w:rsids>
    <w:rsidRoot w:val="C99FFA8B"/>
    <w:rsid w:val="0EF7EC7D"/>
    <w:rsid w:val="0FF66D65"/>
    <w:rsid w:val="11DF2AF4"/>
    <w:rsid w:val="13FED170"/>
    <w:rsid w:val="15ED3185"/>
    <w:rsid w:val="174E3844"/>
    <w:rsid w:val="17775AF3"/>
    <w:rsid w:val="17AD58FC"/>
    <w:rsid w:val="1AE7B65F"/>
    <w:rsid w:val="1AFFDDB3"/>
    <w:rsid w:val="1EAF0836"/>
    <w:rsid w:val="1ECFCDF7"/>
    <w:rsid w:val="1F76387B"/>
    <w:rsid w:val="1FB3706D"/>
    <w:rsid w:val="206E86EC"/>
    <w:rsid w:val="23D6C4BC"/>
    <w:rsid w:val="23F57342"/>
    <w:rsid w:val="259F18FF"/>
    <w:rsid w:val="26FA1C61"/>
    <w:rsid w:val="27ED6D94"/>
    <w:rsid w:val="27FD5897"/>
    <w:rsid w:val="2AF71548"/>
    <w:rsid w:val="2B79D8CB"/>
    <w:rsid w:val="2E68CC8C"/>
    <w:rsid w:val="2EEF199B"/>
    <w:rsid w:val="2F941BD4"/>
    <w:rsid w:val="2FE2F9BE"/>
    <w:rsid w:val="2FF3F616"/>
    <w:rsid w:val="313C3997"/>
    <w:rsid w:val="36FDE8AB"/>
    <w:rsid w:val="37BF6CE9"/>
    <w:rsid w:val="37DFBC96"/>
    <w:rsid w:val="39749A73"/>
    <w:rsid w:val="39FFE304"/>
    <w:rsid w:val="3B3D37C0"/>
    <w:rsid w:val="3B5D3355"/>
    <w:rsid w:val="3B7B27B6"/>
    <w:rsid w:val="3BD7CCD2"/>
    <w:rsid w:val="3C75B9C8"/>
    <w:rsid w:val="3CF9DDF1"/>
    <w:rsid w:val="3D3A1EC9"/>
    <w:rsid w:val="3D7A9D26"/>
    <w:rsid w:val="3D97B68E"/>
    <w:rsid w:val="3DBB12EF"/>
    <w:rsid w:val="3DFBAF46"/>
    <w:rsid w:val="3DFE3A2C"/>
    <w:rsid w:val="3EF7FF45"/>
    <w:rsid w:val="3EFDB667"/>
    <w:rsid w:val="3F3D5E7F"/>
    <w:rsid w:val="3F3F8EC5"/>
    <w:rsid w:val="3F71CDB1"/>
    <w:rsid w:val="3F9C1335"/>
    <w:rsid w:val="3FCF36AF"/>
    <w:rsid w:val="3FD2B200"/>
    <w:rsid w:val="3FF638B1"/>
    <w:rsid w:val="3FF72E08"/>
    <w:rsid w:val="3FF75998"/>
    <w:rsid w:val="3FFBEA5B"/>
    <w:rsid w:val="3FFDE94E"/>
    <w:rsid w:val="3FFF8002"/>
    <w:rsid w:val="3FFFACB7"/>
    <w:rsid w:val="46DBE26C"/>
    <w:rsid w:val="47D294F4"/>
    <w:rsid w:val="4BFED67B"/>
    <w:rsid w:val="4FEE1218"/>
    <w:rsid w:val="55BF711C"/>
    <w:rsid w:val="567D8BC9"/>
    <w:rsid w:val="571D234C"/>
    <w:rsid w:val="57BEB644"/>
    <w:rsid w:val="57EF6992"/>
    <w:rsid w:val="58FF571C"/>
    <w:rsid w:val="5B7F5A0E"/>
    <w:rsid w:val="5B963D2B"/>
    <w:rsid w:val="5BFB743D"/>
    <w:rsid w:val="5BFF6205"/>
    <w:rsid w:val="5CBDF755"/>
    <w:rsid w:val="5DCF5C4F"/>
    <w:rsid w:val="5DFF1877"/>
    <w:rsid w:val="5DFF4D98"/>
    <w:rsid w:val="5EFC7076"/>
    <w:rsid w:val="5EFFCBC5"/>
    <w:rsid w:val="5F5DFAD6"/>
    <w:rsid w:val="5F5FDDF2"/>
    <w:rsid w:val="5F677402"/>
    <w:rsid w:val="5F7BF6E1"/>
    <w:rsid w:val="5F7E67FA"/>
    <w:rsid w:val="5FA9F52F"/>
    <w:rsid w:val="5FB5F806"/>
    <w:rsid w:val="5FB626FA"/>
    <w:rsid w:val="5FBB0910"/>
    <w:rsid w:val="5FCF4F8B"/>
    <w:rsid w:val="5FD79BEE"/>
    <w:rsid w:val="5FDAB78C"/>
    <w:rsid w:val="5FFF4220"/>
    <w:rsid w:val="64AE7E75"/>
    <w:rsid w:val="67A2857F"/>
    <w:rsid w:val="67BFCC8C"/>
    <w:rsid w:val="68FD8315"/>
    <w:rsid w:val="697E40A9"/>
    <w:rsid w:val="6ABD044B"/>
    <w:rsid w:val="6B57F28D"/>
    <w:rsid w:val="6B7EA01F"/>
    <w:rsid w:val="6BDF6272"/>
    <w:rsid w:val="6D79D200"/>
    <w:rsid w:val="6E258A2F"/>
    <w:rsid w:val="6EFE57C1"/>
    <w:rsid w:val="6F6F0986"/>
    <w:rsid w:val="6FACBE5E"/>
    <w:rsid w:val="6FB22177"/>
    <w:rsid w:val="6FDFAA5B"/>
    <w:rsid w:val="6FFF54B4"/>
    <w:rsid w:val="726D6B71"/>
    <w:rsid w:val="72FD6CA3"/>
    <w:rsid w:val="733F84DD"/>
    <w:rsid w:val="738F8FAF"/>
    <w:rsid w:val="73BF8006"/>
    <w:rsid w:val="73FDADFA"/>
    <w:rsid w:val="749D5E1A"/>
    <w:rsid w:val="75DFCDC8"/>
    <w:rsid w:val="75DFFF54"/>
    <w:rsid w:val="75FA592B"/>
    <w:rsid w:val="769F0F5E"/>
    <w:rsid w:val="76BF0A5B"/>
    <w:rsid w:val="76DA0D84"/>
    <w:rsid w:val="76DBAEFC"/>
    <w:rsid w:val="76EBDE79"/>
    <w:rsid w:val="76FE61CF"/>
    <w:rsid w:val="772D3DE6"/>
    <w:rsid w:val="7737BF5F"/>
    <w:rsid w:val="77A5A055"/>
    <w:rsid w:val="77AE3016"/>
    <w:rsid w:val="77DDFE48"/>
    <w:rsid w:val="77DF8CD5"/>
    <w:rsid w:val="77DFA16D"/>
    <w:rsid w:val="77E39B08"/>
    <w:rsid w:val="77E6F640"/>
    <w:rsid w:val="77E7431A"/>
    <w:rsid w:val="77EA14A0"/>
    <w:rsid w:val="77FD2A77"/>
    <w:rsid w:val="78FF435B"/>
    <w:rsid w:val="79DF731D"/>
    <w:rsid w:val="7A81B474"/>
    <w:rsid w:val="7AB3ED9F"/>
    <w:rsid w:val="7AEF714C"/>
    <w:rsid w:val="7AFFA194"/>
    <w:rsid w:val="7B5DF058"/>
    <w:rsid w:val="7B9F05C6"/>
    <w:rsid w:val="7BA58E3D"/>
    <w:rsid w:val="7BB7D634"/>
    <w:rsid w:val="7BBAE82A"/>
    <w:rsid w:val="7BBE9AD8"/>
    <w:rsid w:val="7BEBB386"/>
    <w:rsid w:val="7BF740B9"/>
    <w:rsid w:val="7BFB0FFA"/>
    <w:rsid w:val="7BFF68D8"/>
    <w:rsid w:val="7BFFB233"/>
    <w:rsid w:val="7C2BCD63"/>
    <w:rsid w:val="7C7F2E37"/>
    <w:rsid w:val="7CBF81FD"/>
    <w:rsid w:val="7CDB3D86"/>
    <w:rsid w:val="7D2D7C92"/>
    <w:rsid w:val="7D77C079"/>
    <w:rsid w:val="7D7EFDA1"/>
    <w:rsid w:val="7D9FED22"/>
    <w:rsid w:val="7DDF7C2F"/>
    <w:rsid w:val="7DEB8E8F"/>
    <w:rsid w:val="7DEF7E2F"/>
    <w:rsid w:val="7DF7468A"/>
    <w:rsid w:val="7DF7C62B"/>
    <w:rsid w:val="7DFE87F7"/>
    <w:rsid w:val="7DFFFA1F"/>
    <w:rsid w:val="7E5685F8"/>
    <w:rsid w:val="7E6F871C"/>
    <w:rsid w:val="7E77F708"/>
    <w:rsid w:val="7EA75385"/>
    <w:rsid w:val="7EB77CDE"/>
    <w:rsid w:val="7EF777F1"/>
    <w:rsid w:val="7EFDCCDB"/>
    <w:rsid w:val="7F0706A9"/>
    <w:rsid w:val="7F099801"/>
    <w:rsid w:val="7F1FE5D1"/>
    <w:rsid w:val="7F5FEF44"/>
    <w:rsid w:val="7F5FF12E"/>
    <w:rsid w:val="7FB655FF"/>
    <w:rsid w:val="7FD936B3"/>
    <w:rsid w:val="7FDA4E3C"/>
    <w:rsid w:val="7FDFB113"/>
    <w:rsid w:val="7FDFB944"/>
    <w:rsid w:val="7FE7DA5E"/>
    <w:rsid w:val="7FE824D2"/>
    <w:rsid w:val="7FE9328A"/>
    <w:rsid w:val="7FEB890B"/>
    <w:rsid w:val="7FED1E25"/>
    <w:rsid w:val="7FEDDC2E"/>
    <w:rsid w:val="7FEFBF29"/>
    <w:rsid w:val="7FF35FF6"/>
    <w:rsid w:val="7FFBEC7E"/>
    <w:rsid w:val="7FFC79EB"/>
    <w:rsid w:val="7FFCA09C"/>
    <w:rsid w:val="7FFF5125"/>
    <w:rsid w:val="7FFF5BA6"/>
    <w:rsid w:val="7FFFA945"/>
    <w:rsid w:val="86FE5AF1"/>
    <w:rsid w:val="89665E6E"/>
    <w:rsid w:val="8EFFE8DF"/>
    <w:rsid w:val="8FCDAD64"/>
    <w:rsid w:val="8FDFCAE5"/>
    <w:rsid w:val="933FB3BA"/>
    <w:rsid w:val="95FF743E"/>
    <w:rsid w:val="991FA77B"/>
    <w:rsid w:val="99974BFC"/>
    <w:rsid w:val="9AF73305"/>
    <w:rsid w:val="9B97A148"/>
    <w:rsid w:val="9DDECD2A"/>
    <w:rsid w:val="9E3DBE12"/>
    <w:rsid w:val="9E5E9C93"/>
    <w:rsid w:val="9E77AE5A"/>
    <w:rsid w:val="9EAF05EB"/>
    <w:rsid w:val="9EFD5A4D"/>
    <w:rsid w:val="9FF900D1"/>
    <w:rsid w:val="9FFF57E9"/>
    <w:rsid w:val="9FFFBA99"/>
    <w:rsid w:val="A76F0EF3"/>
    <w:rsid w:val="A7FEEC87"/>
    <w:rsid w:val="A9DD9B9A"/>
    <w:rsid w:val="AB7EFF33"/>
    <w:rsid w:val="ABF3371A"/>
    <w:rsid w:val="ABFA5439"/>
    <w:rsid w:val="AC7D9CBA"/>
    <w:rsid w:val="ADF7A48B"/>
    <w:rsid w:val="ADFE9D00"/>
    <w:rsid w:val="AEDF0100"/>
    <w:rsid w:val="AF2F386D"/>
    <w:rsid w:val="AFFBF415"/>
    <w:rsid w:val="AFFD3343"/>
    <w:rsid w:val="B1F73C7B"/>
    <w:rsid w:val="B396AAD1"/>
    <w:rsid w:val="B7B73691"/>
    <w:rsid w:val="B7F70595"/>
    <w:rsid w:val="B97D465D"/>
    <w:rsid w:val="B9EE031A"/>
    <w:rsid w:val="BB7E624C"/>
    <w:rsid w:val="BB7F1542"/>
    <w:rsid w:val="BBD7907B"/>
    <w:rsid w:val="BBFF5D36"/>
    <w:rsid w:val="BCF5D9DE"/>
    <w:rsid w:val="BD7BA18B"/>
    <w:rsid w:val="BD7F0DB8"/>
    <w:rsid w:val="BDC56EB3"/>
    <w:rsid w:val="BDF5E1D6"/>
    <w:rsid w:val="BE277C51"/>
    <w:rsid w:val="BEDEBE22"/>
    <w:rsid w:val="BEFE27E2"/>
    <w:rsid w:val="BEFF5F64"/>
    <w:rsid w:val="BEFFBD6A"/>
    <w:rsid w:val="BF5F3B66"/>
    <w:rsid w:val="BF6A3580"/>
    <w:rsid w:val="BFBA3FC8"/>
    <w:rsid w:val="BFDF7B63"/>
    <w:rsid w:val="BFEE3EA0"/>
    <w:rsid w:val="BFF202FB"/>
    <w:rsid w:val="C1FF4BCE"/>
    <w:rsid w:val="C2C7C062"/>
    <w:rsid w:val="C39FFC38"/>
    <w:rsid w:val="C99FFA8B"/>
    <w:rsid w:val="CADD01F6"/>
    <w:rsid w:val="CB7E43A0"/>
    <w:rsid w:val="CEF2A3F7"/>
    <w:rsid w:val="CEFFF22E"/>
    <w:rsid w:val="CF3EFD38"/>
    <w:rsid w:val="D1D98D41"/>
    <w:rsid w:val="D1F509E4"/>
    <w:rsid w:val="D231570E"/>
    <w:rsid w:val="D2F7732E"/>
    <w:rsid w:val="D3982F89"/>
    <w:rsid w:val="D3AD7919"/>
    <w:rsid w:val="D3AF09E4"/>
    <w:rsid w:val="D3FE7253"/>
    <w:rsid w:val="D5F93B42"/>
    <w:rsid w:val="D6B7291B"/>
    <w:rsid w:val="D7BB34C6"/>
    <w:rsid w:val="D7DFE200"/>
    <w:rsid w:val="D7E5C396"/>
    <w:rsid w:val="D9FFC214"/>
    <w:rsid w:val="DA6E2772"/>
    <w:rsid w:val="DAFB6F72"/>
    <w:rsid w:val="DB6EED85"/>
    <w:rsid w:val="DBFC3C6C"/>
    <w:rsid w:val="DC9F9A9D"/>
    <w:rsid w:val="DD4F4C10"/>
    <w:rsid w:val="DDDF3233"/>
    <w:rsid w:val="DDFF894F"/>
    <w:rsid w:val="DF7C4BDC"/>
    <w:rsid w:val="DFA73F05"/>
    <w:rsid w:val="DFAE6555"/>
    <w:rsid w:val="DFDB2E1A"/>
    <w:rsid w:val="DFF2E184"/>
    <w:rsid w:val="DFFA14EF"/>
    <w:rsid w:val="DFFFD0B0"/>
    <w:rsid w:val="E17E8C24"/>
    <w:rsid w:val="E1FFC8C7"/>
    <w:rsid w:val="E266ED6E"/>
    <w:rsid w:val="E5ED9B0A"/>
    <w:rsid w:val="E6DF7A09"/>
    <w:rsid w:val="E73FE6B6"/>
    <w:rsid w:val="E77DC641"/>
    <w:rsid w:val="E7DEB7E8"/>
    <w:rsid w:val="E7FFF318"/>
    <w:rsid w:val="EAEEF3A4"/>
    <w:rsid w:val="EBBF4BAE"/>
    <w:rsid w:val="EBEB669D"/>
    <w:rsid w:val="EBEF4A09"/>
    <w:rsid w:val="EC27D982"/>
    <w:rsid w:val="EC7F17AF"/>
    <w:rsid w:val="ECFEBD0E"/>
    <w:rsid w:val="EDB60831"/>
    <w:rsid w:val="EDD77AE3"/>
    <w:rsid w:val="EDDF8CD1"/>
    <w:rsid w:val="EDF3C6FE"/>
    <w:rsid w:val="EE254786"/>
    <w:rsid w:val="EEBCF64A"/>
    <w:rsid w:val="EEFDA5B0"/>
    <w:rsid w:val="EF0F8C66"/>
    <w:rsid w:val="EF9FD4DC"/>
    <w:rsid w:val="EFA5289E"/>
    <w:rsid w:val="EFBB515D"/>
    <w:rsid w:val="EFE79A4E"/>
    <w:rsid w:val="EFF58053"/>
    <w:rsid w:val="EFF72B9E"/>
    <w:rsid w:val="EFFEAF63"/>
    <w:rsid w:val="EFFF9B60"/>
    <w:rsid w:val="F373BFE9"/>
    <w:rsid w:val="F3EF6C86"/>
    <w:rsid w:val="F4BFDEF4"/>
    <w:rsid w:val="F4F916EF"/>
    <w:rsid w:val="F5B7C6F7"/>
    <w:rsid w:val="F5FF9EC2"/>
    <w:rsid w:val="F6DC9971"/>
    <w:rsid w:val="F6EFD14F"/>
    <w:rsid w:val="F6FD07A1"/>
    <w:rsid w:val="F77F8A1E"/>
    <w:rsid w:val="F7BBEDF3"/>
    <w:rsid w:val="F7BEFA21"/>
    <w:rsid w:val="F7DBADA0"/>
    <w:rsid w:val="F7EE66C3"/>
    <w:rsid w:val="F7FF5CAA"/>
    <w:rsid w:val="F8DD9FA4"/>
    <w:rsid w:val="F9EF2046"/>
    <w:rsid w:val="F9F716C5"/>
    <w:rsid w:val="FA334EF9"/>
    <w:rsid w:val="FA9ACC6E"/>
    <w:rsid w:val="FAB6C442"/>
    <w:rsid w:val="FAC75458"/>
    <w:rsid w:val="FAFF2313"/>
    <w:rsid w:val="FB5F376B"/>
    <w:rsid w:val="FB6E4FB8"/>
    <w:rsid w:val="FB7FF6FD"/>
    <w:rsid w:val="FBA78E65"/>
    <w:rsid w:val="FBDA5350"/>
    <w:rsid w:val="FBEDE0AD"/>
    <w:rsid w:val="FBF9DC81"/>
    <w:rsid w:val="FBFA9484"/>
    <w:rsid w:val="FBFD926E"/>
    <w:rsid w:val="FBFF5D85"/>
    <w:rsid w:val="FD541227"/>
    <w:rsid w:val="FD968725"/>
    <w:rsid w:val="FDAF0022"/>
    <w:rsid w:val="FDDB9621"/>
    <w:rsid w:val="FDDF4CF5"/>
    <w:rsid w:val="FDFE9ACC"/>
    <w:rsid w:val="FDFF06CB"/>
    <w:rsid w:val="FE2468AE"/>
    <w:rsid w:val="FE7A9B12"/>
    <w:rsid w:val="FE7B4133"/>
    <w:rsid w:val="FE7F0300"/>
    <w:rsid w:val="FE7F8274"/>
    <w:rsid w:val="FE7FABE2"/>
    <w:rsid w:val="FE9DE403"/>
    <w:rsid w:val="FE9F8B2F"/>
    <w:rsid w:val="FEB3A3DC"/>
    <w:rsid w:val="FEBF5A1B"/>
    <w:rsid w:val="FEBFA500"/>
    <w:rsid w:val="FEDDEB29"/>
    <w:rsid w:val="FEEEC02C"/>
    <w:rsid w:val="FEF2CDA8"/>
    <w:rsid w:val="FEFE565C"/>
    <w:rsid w:val="FF334052"/>
    <w:rsid w:val="FF77AAA6"/>
    <w:rsid w:val="FF9B0F6A"/>
    <w:rsid w:val="FF9B9CD6"/>
    <w:rsid w:val="FFA31946"/>
    <w:rsid w:val="FFB70B57"/>
    <w:rsid w:val="FFC790A0"/>
    <w:rsid w:val="FFCDD705"/>
    <w:rsid w:val="FFD45F42"/>
    <w:rsid w:val="FFD785F0"/>
    <w:rsid w:val="FFDD45E9"/>
    <w:rsid w:val="FFDF4EC2"/>
    <w:rsid w:val="FFE279D1"/>
    <w:rsid w:val="FFE4CD3F"/>
    <w:rsid w:val="FFEAB878"/>
    <w:rsid w:val="FFEFACF3"/>
    <w:rsid w:val="FFF5CB7E"/>
    <w:rsid w:val="FFF5F15B"/>
    <w:rsid w:val="FFF9E867"/>
    <w:rsid w:val="FFFAFDA2"/>
    <w:rsid w:val="FFFBEEC1"/>
    <w:rsid w:val="FFFD8BFE"/>
    <w:rsid w:val="FFFE1F16"/>
    <w:rsid w:val="FFFE40E6"/>
    <w:rsid w:val="FFFEC33D"/>
    <w:rsid w:val="FFFED33E"/>
    <w:rsid w:val="FFFF5875"/>
    <w:rsid w:val="FFFF73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0</Words>
  <Characters>0</Characters>
  <Lines>0</Lines>
  <Paragraphs>0</Paragraphs>
  <TotalTime>199</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2025-03-28T21:06:00Z</dcterms:created>
  <dc:creator>WPS_1740324890</dc:creator>
  <cp:lastModifiedBy>WPS_1740324890</cp:lastModifiedBy>
  <dcterms:modified xsi:type="dcterms:W3CDTF">2025-05-04T12:13:48Z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035884C35477A3B0AE4717680A9123F8_43</vt:lpwstr>
  </property>
</Properties>
</file>