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9BBE7" w14:textId="77777777" w:rsidR="00DD487D" w:rsidRPr="006F2B8F" w:rsidRDefault="00DD487D" w:rsidP="00DD487D">
      <w:pPr>
        <w:rPr>
          <w:rFonts w:ascii="Arial" w:hAnsi="Arial" w:cs="Arial"/>
          <w:sz w:val="22"/>
          <w:szCs w:val="22"/>
        </w:rPr>
      </w:pPr>
      <w:r w:rsidRPr="006F2B8F">
        <w:rPr>
          <w:rFonts w:ascii="Arial" w:hAnsi="Arial" w:cs="Arial"/>
          <w:sz w:val="22"/>
          <w:szCs w:val="22"/>
        </w:rPr>
        <w:t xml:space="preserve">Sadiya islam </w:t>
      </w:r>
    </w:p>
    <w:p w14:paraId="78FA3899" w14:textId="77777777" w:rsidR="00DD487D" w:rsidRPr="006F2B8F" w:rsidRDefault="00DD487D" w:rsidP="00DD487D">
      <w:pPr>
        <w:rPr>
          <w:rFonts w:ascii="Arial" w:hAnsi="Arial" w:cs="Arial"/>
          <w:sz w:val="22"/>
          <w:szCs w:val="22"/>
        </w:rPr>
      </w:pPr>
      <w:r w:rsidRPr="006F2B8F">
        <w:rPr>
          <w:rFonts w:ascii="Arial" w:hAnsi="Arial" w:cs="Arial"/>
          <w:sz w:val="22"/>
          <w:szCs w:val="22"/>
        </w:rPr>
        <w:t>2435367</w:t>
      </w:r>
    </w:p>
    <w:p w14:paraId="325A41D1" w14:textId="77777777" w:rsidR="00DD487D" w:rsidRPr="006F2B8F" w:rsidRDefault="00DD487D" w:rsidP="00DD487D">
      <w:pPr>
        <w:rPr>
          <w:rFonts w:ascii="Arial" w:hAnsi="Arial" w:cs="Arial"/>
          <w:sz w:val="22"/>
          <w:szCs w:val="22"/>
        </w:rPr>
      </w:pPr>
      <w:r w:rsidRPr="006F2B8F">
        <w:rPr>
          <w:rFonts w:ascii="Arial" w:hAnsi="Arial" w:cs="Arial"/>
          <w:sz w:val="22"/>
          <w:szCs w:val="22"/>
        </w:rPr>
        <w:t>BMHP5016</w:t>
      </w:r>
    </w:p>
    <w:p w14:paraId="4B9BBF79" w14:textId="080CA369" w:rsidR="00DD487D" w:rsidRPr="006F2B8F" w:rsidRDefault="00DD487D" w:rsidP="00DD487D">
      <w:pPr>
        <w:rPr>
          <w:rFonts w:ascii="Arial" w:hAnsi="Arial" w:cs="Arial"/>
          <w:sz w:val="22"/>
          <w:szCs w:val="22"/>
        </w:rPr>
      </w:pPr>
      <w:r w:rsidRPr="006F2B8F">
        <w:rPr>
          <w:rFonts w:ascii="Arial" w:hAnsi="Arial" w:cs="Arial"/>
          <w:sz w:val="22"/>
          <w:szCs w:val="22"/>
        </w:rPr>
        <w:t xml:space="preserve">Component </w:t>
      </w:r>
      <w:r w:rsidRPr="006F2B8F">
        <w:rPr>
          <w:rFonts w:ascii="Arial" w:hAnsi="Arial" w:cs="Arial"/>
          <w:sz w:val="22"/>
          <w:szCs w:val="22"/>
        </w:rPr>
        <w:t xml:space="preserve">2 written assignment </w:t>
      </w:r>
    </w:p>
    <w:p w14:paraId="310D68EA" w14:textId="77777777" w:rsidR="00DD487D" w:rsidRPr="006F2B8F" w:rsidRDefault="00DD487D" w:rsidP="00DD487D">
      <w:pPr>
        <w:rPr>
          <w:rFonts w:ascii="Arial" w:hAnsi="Arial" w:cs="Arial"/>
          <w:sz w:val="22"/>
          <w:szCs w:val="22"/>
        </w:rPr>
      </w:pPr>
    </w:p>
    <w:p w14:paraId="2EA5CA19"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21601511"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03CCE365"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3007D7B6"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54E2EA74"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356591A6"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2837933D"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797535E2"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5D832461"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1F3460F2"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107CD03B"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6B141991"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2AD08883"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50211DB9"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7D09D569"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0F359612"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22FF061C"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3279E4BB"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42C9DFC3"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10A3A3E4"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6C60E8F4"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12852CE0" w14:textId="77777777" w:rsidR="005E2F4A" w:rsidRPr="006F2B8F" w:rsidRDefault="005E2F4A"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2EDBC957" w14:textId="76974085" w:rsidR="00240979" w:rsidRPr="006F2B8F" w:rsidRDefault="00240979"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F2B8F">
        <w:rPr>
          <w:rFonts w:ascii="Arial" w:eastAsia="Times New Roman" w:hAnsi="Arial" w:cs="Arial"/>
          <w:color w:val="000000"/>
          <w:kern w:val="0"/>
          <w:sz w:val="22"/>
          <w:szCs w:val="22"/>
          <w:lang w:eastAsia="en-GB"/>
          <w14:ligatures w14:val="none"/>
        </w:rPr>
        <w:lastRenderedPageBreak/>
        <w:t xml:space="preserve">Health and social care services in the United Kingdom are founded on principles that promote dignity, respect, equality and high-quality support for individuals. Two of the most important principles are person-centred care (PCC) and partnership working (PW), which aim to ensure that care is tailored to </w:t>
      </w:r>
      <w:r w:rsidR="006F2B8F" w:rsidRPr="006F2B8F">
        <w:rPr>
          <w:rFonts w:ascii="Arial" w:eastAsia="Times New Roman" w:hAnsi="Arial" w:cs="Arial"/>
          <w:color w:val="000000"/>
          <w:kern w:val="0"/>
          <w:sz w:val="22"/>
          <w:szCs w:val="22"/>
          <w:lang w:eastAsia="en-GB"/>
          <w14:ligatures w14:val="none"/>
        </w:rPr>
        <w:t>everyone’s</w:t>
      </w:r>
      <w:r w:rsidRPr="006F2B8F">
        <w:rPr>
          <w:rFonts w:ascii="Arial" w:eastAsia="Times New Roman" w:hAnsi="Arial" w:cs="Arial"/>
          <w:color w:val="000000"/>
          <w:kern w:val="0"/>
          <w:sz w:val="22"/>
          <w:szCs w:val="22"/>
          <w:lang w:eastAsia="en-GB"/>
          <w14:ligatures w14:val="none"/>
        </w:rPr>
        <w:t xml:space="preserve"> unique needs, preferences and values. These approaches encourage healthcare professionals to work collaboratively with patients, families and other professionals to deliver safe, effective and compassionate care. Person-centred care places the individual at the centre of all decisions regarding their treatment and support, while partnership working encourages different professionals and organisations to cooperate to achieve the best possible outcomes. Together, these approaches improve communication, enhance patient satisfaction, reduce inequalities and promote continuity of care. This report defines person-centred care and examines its benefits and limitations, critically evaluates a theory underpinning PCC, analyses the ethical principles that guide health and social care practice, evaluates partnership working, explores its application within a cancer care setting, discusses relevant UK legislation and policies, and provides recommendations for the future development of person-centred care and partnership working.</w:t>
      </w:r>
    </w:p>
    <w:p w14:paraId="40C7EDD7" w14:textId="77777777" w:rsidR="00240979" w:rsidRPr="006F2B8F" w:rsidRDefault="00240979" w:rsidP="0024097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F2B8F">
        <w:rPr>
          <w:rFonts w:ascii="Arial" w:eastAsia="Times New Roman" w:hAnsi="Arial" w:cs="Arial"/>
          <w:b/>
          <w:bCs/>
          <w:color w:val="000000"/>
          <w:kern w:val="0"/>
          <w:sz w:val="22"/>
          <w:szCs w:val="22"/>
          <w:lang w:eastAsia="en-GB"/>
          <w14:ligatures w14:val="none"/>
        </w:rPr>
        <w:t>Person-Centred Care</w:t>
      </w:r>
    </w:p>
    <w:p w14:paraId="231A646E" w14:textId="520F1960" w:rsidR="00240979" w:rsidRPr="006F2B8F" w:rsidRDefault="00240979"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F2B8F">
        <w:rPr>
          <w:rFonts w:ascii="Arial" w:eastAsia="Times New Roman" w:hAnsi="Arial" w:cs="Arial"/>
          <w:color w:val="000000"/>
          <w:kern w:val="0"/>
          <w:sz w:val="22"/>
          <w:szCs w:val="22"/>
          <w:lang w:eastAsia="en-GB"/>
          <w14:ligatures w14:val="none"/>
        </w:rPr>
        <w:t xml:space="preserve">Person-centred care is an approach to health and social care that focuses on treating individuals with dignity, compassion and respect while recognising their personal preferences, beliefs and values. Rather than concentrating solely on a person's illness or condition, person-centred care considers the whole individual, including their emotional, psychological, cultural and social needs. Healthcare professionals work in partnership with patients to make informed decisions about treatment, encouraging individuals to participate actively in planning and managing their own care. This approach promotes independence and ensures that services are tailored to meet individual needs rather than applying the same treatment to </w:t>
      </w:r>
      <w:r w:rsidR="005E2F4A" w:rsidRPr="006F2B8F">
        <w:rPr>
          <w:rFonts w:ascii="Arial" w:eastAsia="Times New Roman" w:hAnsi="Arial" w:cs="Arial"/>
          <w:color w:val="000000"/>
          <w:kern w:val="0"/>
          <w:sz w:val="22"/>
          <w:szCs w:val="22"/>
          <w:lang w:eastAsia="en-GB"/>
          <w14:ligatures w14:val="none"/>
        </w:rPr>
        <w:t>everyone. Person</w:t>
      </w:r>
      <w:r w:rsidRPr="006F2B8F">
        <w:rPr>
          <w:rFonts w:ascii="Arial" w:eastAsia="Times New Roman" w:hAnsi="Arial" w:cs="Arial"/>
          <w:color w:val="000000"/>
          <w:kern w:val="0"/>
          <w:sz w:val="22"/>
          <w:szCs w:val="22"/>
          <w:lang w:eastAsia="en-GB"/>
          <w14:ligatures w14:val="none"/>
        </w:rPr>
        <w:t xml:space="preserve">-centred care offers many benefits to both patients and healthcare organisations. It improves communication between healthcare professionals and patients by encouraging open discussions and active listening, allowing individuals to express their concerns and preferences. This approach builds trust and strengthens professional relationships, leading to greater patient satisfaction and improved treatment adherence. Patients who feel respected and involved in decisions about their care are more likely to follow treatment plans, resulting in better health outcomes. Person-centred care also promotes dignity, protects individual rights and encourages independence wherever possible. Furthermore, it reduces complaints and improves the overall quality of care by ensuring services are responsive to individual </w:t>
      </w:r>
      <w:r w:rsidR="005E2F4A" w:rsidRPr="006F2B8F">
        <w:rPr>
          <w:rFonts w:ascii="Arial" w:eastAsia="Times New Roman" w:hAnsi="Arial" w:cs="Arial"/>
          <w:color w:val="000000"/>
          <w:kern w:val="0"/>
          <w:sz w:val="22"/>
          <w:szCs w:val="22"/>
          <w:lang w:eastAsia="en-GB"/>
          <w14:ligatures w14:val="none"/>
        </w:rPr>
        <w:t>needs. Despite</w:t>
      </w:r>
      <w:r w:rsidRPr="006F2B8F">
        <w:rPr>
          <w:rFonts w:ascii="Arial" w:eastAsia="Times New Roman" w:hAnsi="Arial" w:cs="Arial"/>
          <w:color w:val="000000"/>
          <w:kern w:val="0"/>
          <w:sz w:val="22"/>
          <w:szCs w:val="22"/>
          <w:lang w:eastAsia="en-GB"/>
          <w14:ligatures w14:val="none"/>
        </w:rPr>
        <w:t xml:space="preserve"> these advantages, person-centred care also presents several limitations. Providing personalised care often requires more time, making it difficult for healthcare professionals working under heavy workloads or staff shortages. Limited financial and organisational resources may restrict the ability to deliver fully individualised care. Communication barriers, such as language differences or cognitive impairment, can make shared decision-making challenging. Healthcare professionals may also experience difficulties balancing patient preferences with clinical judgement when a patient's choices may increase health risks. In some situations, such as caring for patients who lack mental </w:t>
      </w:r>
      <w:r w:rsidR="006F2B8F" w:rsidRPr="006F2B8F">
        <w:rPr>
          <w:rFonts w:ascii="Arial" w:eastAsia="Times New Roman" w:hAnsi="Arial" w:cs="Arial"/>
          <w:color w:val="000000"/>
          <w:kern w:val="0"/>
          <w:sz w:val="22"/>
          <w:szCs w:val="22"/>
          <w:lang w:eastAsia="en-GB"/>
          <w14:ligatures w14:val="none"/>
        </w:rPr>
        <w:t>capacity, professionals</w:t>
      </w:r>
      <w:r w:rsidRPr="006F2B8F">
        <w:rPr>
          <w:rFonts w:ascii="Arial" w:eastAsia="Times New Roman" w:hAnsi="Arial" w:cs="Arial"/>
          <w:color w:val="000000"/>
          <w:kern w:val="0"/>
          <w:sz w:val="22"/>
          <w:szCs w:val="22"/>
          <w:lang w:eastAsia="en-GB"/>
          <w14:ligatures w14:val="none"/>
        </w:rPr>
        <w:t xml:space="preserve"> must make decisions in the patient's best interests, limiting the extent to which person-centred care can be applied. Although these challenges exist, the overall benefits of person-centred care generally outweigh its limitations because it improves both patient experiences and clinical outcomes.</w:t>
      </w:r>
    </w:p>
    <w:p w14:paraId="468B8456" w14:textId="77777777" w:rsidR="00240979" w:rsidRPr="006F2B8F" w:rsidRDefault="00240979" w:rsidP="0024097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F2B8F">
        <w:rPr>
          <w:rFonts w:ascii="Arial" w:eastAsia="Times New Roman" w:hAnsi="Arial" w:cs="Arial"/>
          <w:b/>
          <w:bCs/>
          <w:color w:val="000000"/>
          <w:kern w:val="0"/>
          <w:sz w:val="22"/>
          <w:szCs w:val="22"/>
          <w:lang w:eastAsia="en-GB"/>
          <w14:ligatures w14:val="none"/>
        </w:rPr>
        <w:t>Theory Underpinning Person-Centred Care</w:t>
      </w:r>
    </w:p>
    <w:p w14:paraId="727A0F4B" w14:textId="7A15FCDC" w:rsidR="00240979" w:rsidRPr="006F2B8F" w:rsidRDefault="00240979"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F2B8F">
        <w:rPr>
          <w:rFonts w:ascii="Arial" w:eastAsia="Times New Roman" w:hAnsi="Arial" w:cs="Arial"/>
          <w:color w:val="000000"/>
          <w:kern w:val="0"/>
          <w:sz w:val="22"/>
          <w:szCs w:val="22"/>
          <w:lang w:eastAsia="en-GB"/>
          <w14:ligatures w14:val="none"/>
        </w:rPr>
        <w:t xml:space="preserve">One of the most influential theories supporting person-centred care is Carl Rogers' Person-Centred Theory. Rogers believed that every individual </w:t>
      </w:r>
      <w:r w:rsidR="006F2B8F" w:rsidRPr="006F2B8F">
        <w:rPr>
          <w:rFonts w:ascii="Arial" w:eastAsia="Times New Roman" w:hAnsi="Arial" w:cs="Arial"/>
          <w:color w:val="000000"/>
          <w:kern w:val="0"/>
          <w:sz w:val="22"/>
          <w:szCs w:val="22"/>
          <w:lang w:eastAsia="en-GB"/>
          <w14:ligatures w14:val="none"/>
        </w:rPr>
        <w:t>could</w:t>
      </w:r>
      <w:r w:rsidRPr="006F2B8F">
        <w:rPr>
          <w:rFonts w:ascii="Arial" w:eastAsia="Times New Roman" w:hAnsi="Arial" w:cs="Arial"/>
          <w:color w:val="000000"/>
          <w:kern w:val="0"/>
          <w:sz w:val="22"/>
          <w:szCs w:val="22"/>
          <w:lang w:eastAsia="en-GB"/>
          <w14:ligatures w14:val="none"/>
        </w:rPr>
        <w:t xml:space="preserve"> grow and reach their full potential when they are treated with empathy, respect and genuine understanding. His </w:t>
      </w:r>
      <w:r w:rsidRPr="006F2B8F">
        <w:rPr>
          <w:rFonts w:ascii="Arial" w:eastAsia="Times New Roman" w:hAnsi="Arial" w:cs="Arial"/>
          <w:color w:val="000000"/>
          <w:kern w:val="0"/>
          <w:sz w:val="22"/>
          <w:szCs w:val="22"/>
          <w:lang w:eastAsia="en-GB"/>
          <w14:ligatures w14:val="none"/>
        </w:rPr>
        <w:lastRenderedPageBreak/>
        <w:t xml:space="preserve">theory is based on three core conditions: empathy, unconditional positive regard and congruence. Empathy involves understanding another person's feelings and experiences from their perspective. Unconditional positive regard means accepting individuals without judgement, regardless of their circumstances or choices. Congruence refers to honesty and authenticity within professional relationships, enabling healthcare professionals to build trust with those receiving </w:t>
      </w:r>
      <w:r w:rsidR="006F2B8F" w:rsidRPr="006F2B8F">
        <w:rPr>
          <w:rFonts w:ascii="Arial" w:eastAsia="Times New Roman" w:hAnsi="Arial" w:cs="Arial"/>
          <w:color w:val="000000"/>
          <w:kern w:val="0"/>
          <w:sz w:val="22"/>
          <w:szCs w:val="22"/>
          <w:lang w:eastAsia="en-GB"/>
          <w14:ligatures w14:val="none"/>
        </w:rPr>
        <w:t>care. Carl</w:t>
      </w:r>
      <w:r w:rsidRPr="006F2B8F">
        <w:rPr>
          <w:rFonts w:ascii="Arial" w:eastAsia="Times New Roman" w:hAnsi="Arial" w:cs="Arial"/>
          <w:color w:val="000000"/>
          <w:kern w:val="0"/>
          <w:sz w:val="22"/>
          <w:szCs w:val="22"/>
          <w:lang w:eastAsia="en-GB"/>
          <w14:ligatures w14:val="none"/>
        </w:rPr>
        <w:t xml:space="preserve"> Rogers' theory strongly underpins modern person-centred care because it encourages healthcare professionals to develop respectful, compassionate relationships with patients. By actively listening and involving patients in decisions, professionals recognise </w:t>
      </w:r>
      <w:r w:rsidR="006F2B8F" w:rsidRPr="006F2B8F">
        <w:rPr>
          <w:rFonts w:ascii="Arial" w:eastAsia="Times New Roman" w:hAnsi="Arial" w:cs="Arial"/>
          <w:color w:val="000000"/>
          <w:kern w:val="0"/>
          <w:sz w:val="22"/>
          <w:szCs w:val="22"/>
          <w:lang w:eastAsia="en-GB"/>
          <w14:ligatures w14:val="none"/>
        </w:rPr>
        <w:t>everyone’s</w:t>
      </w:r>
      <w:r w:rsidRPr="006F2B8F">
        <w:rPr>
          <w:rFonts w:ascii="Arial" w:eastAsia="Times New Roman" w:hAnsi="Arial" w:cs="Arial"/>
          <w:color w:val="000000"/>
          <w:kern w:val="0"/>
          <w:sz w:val="22"/>
          <w:szCs w:val="22"/>
          <w:lang w:eastAsia="en-GB"/>
          <w14:ligatures w14:val="none"/>
        </w:rPr>
        <w:t xml:space="preserve"> unique experiences and values. This approach improves communication, increases patient confidence and supports shared decision-making. Patients are more likely to express concerns openly and participate in their own care when they feel respected and </w:t>
      </w:r>
      <w:r w:rsidR="006F2B8F" w:rsidRPr="006F2B8F">
        <w:rPr>
          <w:rFonts w:ascii="Arial" w:eastAsia="Times New Roman" w:hAnsi="Arial" w:cs="Arial"/>
          <w:color w:val="000000"/>
          <w:kern w:val="0"/>
          <w:sz w:val="22"/>
          <w:szCs w:val="22"/>
          <w:lang w:eastAsia="en-GB"/>
          <w14:ligatures w14:val="none"/>
        </w:rPr>
        <w:t>understood. Although</w:t>
      </w:r>
      <w:r w:rsidRPr="006F2B8F">
        <w:rPr>
          <w:rFonts w:ascii="Arial" w:eastAsia="Times New Roman" w:hAnsi="Arial" w:cs="Arial"/>
          <w:color w:val="000000"/>
          <w:kern w:val="0"/>
          <w:sz w:val="22"/>
          <w:szCs w:val="22"/>
          <w:lang w:eastAsia="en-GB"/>
          <w14:ligatures w14:val="none"/>
        </w:rPr>
        <w:t xml:space="preserve"> Rogers' theory remains highly influential, it also has limitations. Delivering genuinely person-centred care requires excellent communication skills, sufficient time and adequate staffing, all of which may be difficult to achieve in busy healthcare environments. In addition, the theory assumes individuals </w:t>
      </w:r>
      <w:r w:rsidR="006F2B8F" w:rsidRPr="006F2B8F">
        <w:rPr>
          <w:rFonts w:ascii="Arial" w:eastAsia="Times New Roman" w:hAnsi="Arial" w:cs="Arial"/>
          <w:color w:val="000000"/>
          <w:kern w:val="0"/>
          <w:sz w:val="22"/>
          <w:szCs w:val="22"/>
          <w:lang w:eastAsia="en-GB"/>
          <w14:ligatures w14:val="none"/>
        </w:rPr>
        <w:t>can</w:t>
      </w:r>
      <w:r w:rsidRPr="006F2B8F">
        <w:rPr>
          <w:rFonts w:ascii="Arial" w:eastAsia="Times New Roman" w:hAnsi="Arial" w:cs="Arial"/>
          <w:color w:val="000000"/>
          <w:kern w:val="0"/>
          <w:sz w:val="22"/>
          <w:szCs w:val="22"/>
          <w:lang w:eastAsia="en-GB"/>
          <w14:ligatures w14:val="none"/>
        </w:rPr>
        <w:t xml:space="preserve"> make informed decisions about their care, which may not always be possible for patients experiencing severe illness, dementia or reduced mental capacity. Despite these limitations, Rogers' theory continues to provide a valuable framework for delivering compassionate, holistic and respectful healthcare across the United Kingdom.</w:t>
      </w:r>
    </w:p>
    <w:p w14:paraId="4FA9A56F" w14:textId="77777777" w:rsidR="00240979" w:rsidRPr="006F2B8F" w:rsidRDefault="00240979" w:rsidP="0024097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F2B8F">
        <w:rPr>
          <w:rFonts w:ascii="Arial" w:eastAsia="Times New Roman" w:hAnsi="Arial" w:cs="Arial"/>
          <w:b/>
          <w:bCs/>
          <w:color w:val="000000"/>
          <w:kern w:val="0"/>
          <w:sz w:val="22"/>
          <w:szCs w:val="22"/>
          <w:lang w:eastAsia="en-GB"/>
          <w14:ligatures w14:val="none"/>
        </w:rPr>
        <w:t>Ethical Fundamentals of Health and Social Care</w:t>
      </w:r>
    </w:p>
    <w:p w14:paraId="644E780A" w14:textId="7F67342F" w:rsidR="00240979" w:rsidRPr="006F2B8F" w:rsidRDefault="00240979"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F2B8F">
        <w:rPr>
          <w:rFonts w:ascii="Arial" w:eastAsia="Times New Roman" w:hAnsi="Arial" w:cs="Arial"/>
          <w:color w:val="000000"/>
          <w:kern w:val="0"/>
          <w:sz w:val="22"/>
          <w:szCs w:val="22"/>
          <w:lang w:eastAsia="en-GB"/>
          <w14:ligatures w14:val="none"/>
        </w:rPr>
        <w:t xml:space="preserve">Ethical practice forms the foundation of health and social care by ensuring professionals provide safe, fair and respectful care while protecting the rights of individuals. Four key ethical principles guide professional practice: autonomy, beneficence, non-maleficence and justice. Autonomy refers to respecting an individual's right to make informed decisions about their own care. Healthcare professionals must provide accurate information and support patients in making choices that reflect their personal values and preferences. Respecting autonomy promotes independence and strengthens trust between professionals and </w:t>
      </w:r>
      <w:r w:rsidR="006F2B8F" w:rsidRPr="006F2B8F">
        <w:rPr>
          <w:rFonts w:ascii="Arial" w:eastAsia="Times New Roman" w:hAnsi="Arial" w:cs="Arial"/>
          <w:color w:val="000000"/>
          <w:kern w:val="0"/>
          <w:sz w:val="22"/>
          <w:szCs w:val="22"/>
          <w:lang w:eastAsia="en-GB"/>
          <w14:ligatures w14:val="none"/>
        </w:rPr>
        <w:t>patients. Beneficence</w:t>
      </w:r>
      <w:r w:rsidRPr="006F2B8F">
        <w:rPr>
          <w:rFonts w:ascii="Arial" w:eastAsia="Times New Roman" w:hAnsi="Arial" w:cs="Arial"/>
          <w:color w:val="000000"/>
          <w:kern w:val="0"/>
          <w:sz w:val="22"/>
          <w:szCs w:val="22"/>
          <w:lang w:eastAsia="en-GB"/>
          <w14:ligatures w14:val="none"/>
        </w:rPr>
        <w:t xml:space="preserve"> requires healthcare professionals to act in the best interests of patients by providing treatments and interventions that improve health and wellbeing. Closely linked to this principle is non-maleficence, which means avoiding unnecessary harm. Professionals have a responsibility to deliver safe care, minimise risks and follow evidence-based practice to protect individuals from preventable harm. Justice focuses on fairness and equality by ensuring all individuals receive</w:t>
      </w:r>
      <w:r w:rsidR="005E2F4A" w:rsidRPr="006F2B8F">
        <w:rPr>
          <w:rFonts w:ascii="Arial" w:eastAsia="Times New Roman" w:hAnsi="Arial" w:cs="Arial"/>
          <w:color w:val="000000"/>
          <w:kern w:val="0"/>
          <w:sz w:val="22"/>
          <w:szCs w:val="22"/>
          <w:lang w:eastAsia="en-GB"/>
          <w14:ligatures w14:val="none"/>
        </w:rPr>
        <w:t xml:space="preserve"> </w:t>
      </w:r>
      <w:r w:rsidRPr="006F2B8F">
        <w:rPr>
          <w:rFonts w:ascii="Arial" w:eastAsia="Times New Roman" w:hAnsi="Arial" w:cs="Arial"/>
          <w:color w:val="000000"/>
          <w:kern w:val="0"/>
          <w:sz w:val="22"/>
          <w:szCs w:val="22"/>
          <w:lang w:eastAsia="en-GB"/>
          <w14:ligatures w14:val="none"/>
        </w:rPr>
        <w:t xml:space="preserve">access to healthcare regardless of age, gender, ethnicity, disability, religion or socioeconomic background. Equality and non-discrimination are essential components of ethical </w:t>
      </w:r>
      <w:r w:rsidR="006F2B8F" w:rsidRPr="006F2B8F">
        <w:rPr>
          <w:rFonts w:ascii="Arial" w:eastAsia="Times New Roman" w:hAnsi="Arial" w:cs="Arial"/>
          <w:color w:val="000000"/>
          <w:kern w:val="0"/>
          <w:sz w:val="22"/>
          <w:szCs w:val="22"/>
          <w:lang w:eastAsia="en-GB"/>
          <w14:ligatures w14:val="none"/>
        </w:rPr>
        <w:t>healthcare. Ethical</w:t>
      </w:r>
      <w:r w:rsidRPr="006F2B8F">
        <w:rPr>
          <w:rFonts w:ascii="Arial" w:eastAsia="Times New Roman" w:hAnsi="Arial" w:cs="Arial"/>
          <w:color w:val="000000"/>
          <w:kern w:val="0"/>
          <w:sz w:val="22"/>
          <w:szCs w:val="22"/>
          <w:lang w:eastAsia="en-GB"/>
          <w14:ligatures w14:val="none"/>
        </w:rPr>
        <w:t xml:space="preserve"> practice also includes maintaining confidentiality, obtaining informed consent before treatment and demonstrating professional accountability. Healthcare professionals must protect personal information while sharing relevant details appropriately within multidisciplinary teams to support safe and effective care. By following ethical principles consistently, professionals promote trust, improve patient experiences and maintain high standards of care throughout health and social care services.</w:t>
      </w:r>
    </w:p>
    <w:p w14:paraId="315FF658" w14:textId="77777777" w:rsidR="00240979" w:rsidRPr="006F2B8F" w:rsidRDefault="00240979" w:rsidP="0024097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F2B8F">
        <w:rPr>
          <w:rFonts w:ascii="Arial" w:eastAsia="Times New Roman" w:hAnsi="Arial" w:cs="Arial"/>
          <w:b/>
          <w:bCs/>
          <w:color w:val="000000"/>
          <w:kern w:val="0"/>
          <w:sz w:val="22"/>
          <w:szCs w:val="22"/>
          <w:lang w:eastAsia="en-GB"/>
          <w14:ligatures w14:val="none"/>
        </w:rPr>
        <w:t>Partnership Working in Health and Social Care</w:t>
      </w:r>
    </w:p>
    <w:p w14:paraId="4ACED825" w14:textId="1828673C" w:rsidR="00240979" w:rsidRPr="006F2B8F" w:rsidRDefault="00240979"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F2B8F">
        <w:rPr>
          <w:rFonts w:ascii="Arial" w:eastAsia="Times New Roman" w:hAnsi="Arial" w:cs="Arial"/>
          <w:color w:val="000000"/>
          <w:kern w:val="0"/>
          <w:sz w:val="22"/>
          <w:szCs w:val="22"/>
          <w:lang w:eastAsia="en-GB"/>
          <w14:ligatures w14:val="none"/>
        </w:rPr>
        <w:t xml:space="preserve">Partnership working refers to healthcare professionals, organisations, patients and families working together to achieve shared goals and improve health outcomes. Modern healthcare is increasingly complex, requiring collaboration between different disciplines to provide coordinated, holistic care. Effective partnership working ensures that services are organised around the needs of the individual rather than separate professional </w:t>
      </w:r>
      <w:r w:rsidR="006F2B8F" w:rsidRPr="006F2B8F">
        <w:rPr>
          <w:rFonts w:ascii="Arial" w:eastAsia="Times New Roman" w:hAnsi="Arial" w:cs="Arial"/>
          <w:color w:val="000000"/>
          <w:kern w:val="0"/>
          <w:sz w:val="22"/>
          <w:szCs w:val="22"/>
          <w:lang w:eastAsia="en-GB"/>
          <w14:ligatures w14:val="none"/>
        </w:rPr>
        <w:t>responsibilities. Partnership</w:t>
      </w:r>
      <w:r w:rsidRPr="006F2B8F">
        <w:rPr>
          <w:rFonts w:ascii="Arial" w:eastAsia="Times New Roman" w:hAnsi="Arial" w:cs="Arial"/>
          <w:color w:val="000000"/>
          <w:kern w:val="0"/>
          <w:sz w:val="22"/>
          <w:szCs w:val="22"/>
          <w:lang w:eastAsia="en-GB"/>
          <w14:ligatures w14:val="none"/>
        </w:rPr>
        <w:t xml:space="preserve"> working offers many advantages. It improves communication between professionals, reduces duplication of services and ensures patients receive coordinated support throughout their care journey. Multidisciplinary teams combine different areas of expertise, allowing healthcare professionals to make informed decisions and deliver </w:t>
      </w:r>
      <w:r w:rsidRPr="006F2B8F">
        <w:rPr>
          <w:rFonts w:ascii="Arial" w:eastAsia="Times New Roman" w:hAnsi="Arial" w:cs="Arial"/>
          <w:color w:val="000000"/>
          <w:kern w:val="0"/>
          <w:sz w:val="22"/>
          <w:szCs w:val="22"/>
          <w:lang w:eastAsia="en-GB"/>
          <w14:ligatures w14:val="none"/>
        </w:rPr>
        <w:lastRenderedPageBreak/>
        <w:t>comprehensive care. Partnership working also improves safeguarding, enhances patient safety and increases efficiency by ensuring resources are used effectively. Patients benefit from more consistent care, faster referrals and improved continuity between hospital, community and social care services.However, partnership working also faces challenges. Poor communication between organisations can delay treatment and reduce the quality of care. Differences in professional opinions may create conflict regarding treatment decisions, while confidentiality requirements can sometimes make information sharing more complicated. Staff shortages, limited funding and organisational pressures may also reduce opportunities for collaborative working. Despite these challenges, effective leadership, mutual respect and clear communication enable partnership working to improve healthcare quality and patient outcomes significantly.</w:t>
      </w:r>
    </w:p>
    <w:p w14:paraId="7C46D08A" w14:textId="77777777" w:rsidR="00240979" w:rsidRPr="006F2B8F" w:rsidRDefault="00240979" w:rsidP="0024097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F2B8F">
        <w:rPr>
          <w:rFonts w:ascii="Arial" w:eastAsia="Times New Roman" w:hAnsi="Arial" w:cs="Arial"/>
          <w:b/>
          <w:bCs/>
          <w:color w:val="000000"/>
          <w:kern w:val="0"/>
          <w:sz w:val="22"/>
          <w:szCs w:val="22"/>
          <w:lang w:eastAsia="en-GB"/>
          <w14:ligatures w14:val="none"/>
        </w:rPr>
        <w:t>Application of Partnership Working in Cancer Care</w:t>
      </w:r>
    </w:p>
    <w:p w14:paraId="321A8B8A" w14:textId="6A5567BF" w:rsidR="00240979" w:rsidRPr="006F2B8F" w:rsidRDefault="00240979"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F2B8F">
        <w:rPr>
          <w:rFonts w:ascii="Arial" w:eastAsia="Times New Roman" w:hAnsi="Arial" w:cs="Arial"/>
          <w:color w:val="000000"/>
          <w:kern w:val="0"/>
          <w:sz w:val="22"/>
          <w:szCs w:val="22"/>
          <w:lang w:eastAsia="en-GB"/>
          <w14:ligatures w14:val="none"/>
        </w:rPr>
        <w:t>Cancer care provides an excellent example of partnership working because patients often require support from multiple healthcare professionals throughout diagnosis, treatment and recovery. The multidisciplinary team usually includes oncologists, specialist cancer nurses, general practitioners, physiotherapists, pharmacists, dietitians, social workers and Macmillan nurses. Each professional contributes specialised knowledge while working collaboratively to develop a personalised care plan.The oncologist is responsible for diagnosing cancer and planning treatments such as chemotherapy, radiotherapy or surgery. Specialist cancer nurses coordinate patient care, provide education and offer emotional support throughout treatment. Physiotherapists help patients maintain mobility and recover physical function following treatment, while dietitians provide nutritional advice to manage weight loss or treatment-related side effects. Pharmacists ensure medications are prescribed safely and advise patients about managing side effects. Social workers assist with financial support, housing concerns and access to community services, while Macmillan nurses provide emotional, psychological and practical support to both patients and their families. General practitioners continue supporting patients within the community after hospital treatment has ended.Regular multidisciplinary team meetings allow professionals to share information, review treatment plans and make collaborative decisions based on the patient's needs and preferences. Family members are encouraged to participate in discussions with the patient's consent, ensuring care reflects the individual's wishes. This coordinated approach improves continuity of care, enhances patient experiences and supports better physical and emotional outcomes throughout the cancer journey.</w:t>
      </w:r>
    </w:p>
    <w:p w14:paraId="3F67E9C0" w14:textId="77777777" w:rsidR="00240979" w:rsidRPr="006F2B8F" w:rsidRDefault="00240979" w:rsidP="0024097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F2B8F">
        <w:rPr>
          <w:rFonts w:ascii="Arial" w:eastAsia="Times New Roman" w:hAnsi="Arial" w:cs="Arial"/>
          <w:b/>
          <w:bCs/>
          <w:color w:val="000000"/>
          <w:kern w:val="0"/>
          <w:sz w:val="22"/>
          <w:szCs w:val="22"/>
          <w:lang w:eastAsia="en-GB"/>
          <w14:ligatures w14:val="none"/>
        </w:rPr>
        <w:t>Policy and Legislation</w:t>
      </w:r>
    </w:p>
    <w:p w14:paraId="7EE2C634" w14:textId="4F7E158A" w:rsidR="00240979" w:rsidRPr="006F2B8F" w:rsidRDefault="00240979"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F2B8F">
        <w:rPr>
          <w:rFonts w:ascii="Arial" w:eastAsia="Times New Roman" w:hAnsi="Arial" w:cs="Arial"/>
          <w:color w:val="000000"/>
          <w:kern w:val="0"/>
          <w:sz w:val="22"/>
          <w:szCs w:val="22"/>
          <w:lang w:eastAsia="en-GB"/>
          <w14:ligatures w14:val="none"/>
        </w:rPr>
        <w:t xml:space="preserve">Several UK policies and pieces of legislation support person-centred care and partnership working. The Health and Social Care Act 2012 encourages integrated healthcare services and promotes patient involvement in decisions about treatment. The Care Act 2014 places individual wellbeing at the centre of adult social care and requires local authorities to provide person-centred assessments based on </w:t>
      </w:r>
      <w:r w:rsidR="006F2B8F" w:rsidRPr="006F2B8F">
        <w:rPr>
          <w:rFonts w:ascii="Arial" w:eastAsia="Times New Roman" w:hAnsi="Arial" w:cs="Arial"/>
          <w:color w:val="000000"/>
          <w:kern w:val="0"/>
          <w:sz w:val="22"/>
          <w:szCs w:val="22"/>
          <w:lang w:eastAsia="en-GB"/>
          <w14:ligatures w14:val="none"/>
        </w:rPr>
        <w:t>everyone’s</w:t>
      </w:r>
      <w:r w:rsidRPr="006F2B8F">
        <w:rPr>
          <w:rFonts w:ascii="Arial" w:eastAsia="Times New Roman" w:hAnsi="Arial" w:cs="Arial"/>
          <w:color w:val="000000"/>
          <w:kern w:val="0"/>
          <w:sz w:val="22"/>
          <w:szCs w:val="22"/>
          <w:lang w:eastAsia="en-GB"/>
          <w14:ligatures w14:val="none"/>
        </w:rPr>
        <w:t xml:space="preserve"> needs and preferences. The Equality Act 2010 protects individuals from discrimination and ensures equal access to health and social care services regardless of protected characteristics.The Mental Capacity Act 2005 provides a legal framework for supporting individuals who may lack the capacity to make certain decisions. It requires professionals to presume capacity unless proven otherwise and to make decisions in the individual's best interests when capacity is lacking. The Data Protection Act 2018 and UK GDPR protect patient confidentiality by regulating how personal information is collected, stored and shared. Meanwhile, the NHS Constitution sets out the rights and responsibilities of patients and healthcare professionals, promoting dignity, respect, compassion and patient involvement throughout healthcare services. Together, these laws and policies provide a strong legal and ethical framework supporting high-quality, person-centred and collaborative care across the United Kingdom.</w:t>
      </w:r>
    </w:p>
    <w:p w14:paraId="5CDAA589" w14:textId="77777777" w:rsidR="00240979" w:rsidRPr="006F2B8F" w:rsidRDefault="00240979" w:rsidP="0024097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F2B8F">
        <w:rPr>
          <w:rFonts w:ascii="Arial" w:eastAsia="Times New Roman" w:hAnsi="Arial" w:cs="Arial"/>
          <w:b/>
          <w:bCs/>
          <w:color w:val="000000"/>
          <w:kern w:val="0"/>
          <w:sz w:val="22"/>
          <w:szCs w:val="22"/>
          <w:lang w:eastAsia="en-GB"/>
          <w14:ligatures w14:val="none"/>
        </w:rPr>
        <w:lastRenderedPageBreak/>
        <w:t>Recommendations for Future Development</w:t>
      </w:r>
    </w:p>
    <w:p w14:paraId="4B0D6125" w14:textId="28D9004C" w:rsidR="00240979" w:rsidRPr="006F2B8F" w:rsidRDefault="00240979"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F2B8F">
        <w:rPr>
          <w:rFonts w:ascii="Arial" w:eastAsia="Times New Roman" w:hAnsi="Arial" w:cs="Arial"/>
          <w:color w:val="000000"/>
          <w:kern w:val="0"/>
          <w:sz w:val="22"/>
          <w:szCs w:val="22"/>
          <w:lang w:eastAsia="en-GB"/>
          <w14:ligatures w14:val="none"/>
        </w:rPr>
        <w:t>Although significant progress has been made, further improvements can strengthen person-centred care and partnership working within UK health and social care. Greater investment in workforce recruitment and retention would help reduce staff shortages and allow professionals more time to provide personalised care. Regular training should be provided to improve communication skills, cultural competence and understanding of person-centred approaches. Expanding integrated digital healthcare records would improve communication between organisations and reduce delays in sharing important patient information. Healthcare organisations should encourage greater patient and family involvement in decision-making while ensuring support is available for people with communication difficulties or additional needs. Increased funding for community-based services and multidisciplinary teams would improve continuity of care and reduce pressure on hospitals. Finally, organisations should regularly evaluate patient feedback and experiences to identify areas for improvement and</w:t>
      </w:r>
      <w:r w:rsidRPr="006F2B8F">
        <w:rPr>
          <w:rFonts w:ascii="Arial" w:eastAsia="Times New Roman" w:hAnsi="Arial" w:cs="Arial"/>
          <w:color w:val="000000"/>
          <w:kern w:val="0"/>
          <w:sz w:val="22"/>
          <w:szCs w:val="22"/>
          <w:lang w:eastAsia="en-GB"/>
          <w14:ligatures w14:val="none"/>
        </w:rPr>
        <w:t xml:space="preserve"> </w:t>
      </w:r>
      <w:r w:rsidRPr="006F2B8F">
        <w:rPr>
          <w:rFonts w:ascii="Arial" w:eastAsia="Times New Roman" w:hAnsi="Arial" w:cs="Arial"/>
          <w:color w:val="000000"/>
          <w:kern w:val="0"/>
          <w:sz w:val="22"/>
          <w:szCs w:val="22"/>
          <w:lang w:eastAsia="en-GB"/>
          <w14:ligatures w14:val="none"/>
        </w:rPr>
        <w:t>ensure healthcare services continue meeting the changing needs of individuals and communities.</w:t>
      </w:r>
    </w:p>
    <w:p w14:paraId="5B54A341" w14:textId="77777777" w:rsidR="00240979" w:rsidRPr="006F2B8F" w:rsidRDefault="00240979" w:rsidP="0024097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F2B8F">
        <w:rPr>
          <w:rFonts w:ascii="Arial" w:eastAsia="Times New Roman" w:hAnsi="Arial" w:cs="Arial"/>
          <w:b/>
          <w:bCs/>
          <w:color w:val="000000"/>
          <w:kern w:val="0"/>
          <w:sz w:val="22"/>
          <w:szCs w:val="22"/>
          <w:lang w:eastAsia="en-GB"/>
          <w14:ligatures w14:val="none"/>
        </w:rPr>
        <w:t>Conclusion</w:t>
      </w:r>
    </w:p>
    <w:p w14:paraId="5907D425" w14:textId="77777777" w:rsidR="00240979" w:rsidRPr="006F2B8F" w:rsidRDefault="00240979" w:rsidP="00240979">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F2B8F">
        <w:rPr>
          <w:rFonts w:ascii="Arial" w:eastAsia="Times New Roman" w:hAnsi="Arial" w:cs="Arial"/>
          <w:color w:val="000000"/>
          <w:kern w:val="0"/>
          <w:sz w:val="22"/>
          <w:szCs w:val="22"/>
          <w:lang w:eastAsia="en-GB"/>
          <w14:ligatures w14:val="none"/>
        </w:rPr>
        <w:t>Person-centred care and partnership working are fundamental principles underpinning modern health and social care practice within the United Kingdom. Person-centred care ensures individuals are treated with dignity, respect and compassion while actively involving them in decisions regarding their care. Partnership working enables healthcare professionals, organisations and families to collaborate effectively, improving communication, continuity and overall quality of care. Carl Rogers' Person-Centred Theory continues to provide a valuable foundation for compassionate healthcare, while ethical principles such as autonomy, beneficence, non-maleficence and justice guide professional decision-making. UK legislation, including the Care Act 2014, Health and Social Care Act 2012 and Mental Capacity Act 2005, supports these approaches by promoting equality, integration and patient rights. Although challenges such as staff shortages and limited resources remain, continued investment in training, technology and integrated services will strengthen person-centred care and partnership working, ultimately improving health outcomes and patient experiences across the UK.</w:t>
      </w:r>
    </w:p>
    <w:p w14:paraId="782A4A51" w14:textId="77777777" w:rsidR="005C2590" w:rsidRPr="006F2B8F" w:rsidRDefault="005C2590">
      <w:pPr>
        <w:rPr>
          <w:rFonts w:ascii="Arial" w:hAnsi="Arial" w:cs="Arial"/>
          <w:sz w:val="22"/>
          <w:szCs w:val="22"/>
        </w:rPr>
      </w:pPr>
    </w:p>
    <w:p w14:paraId="348694B7" w14:textId="77777777" w:rsidR="00611F6D" w:rsidRPr="006F2B8F" w:rsidRDefault="00611F6D">
      <w:pPr>
        <w:rPr>
          <w:rFonts w:ascii="Arial" w:hAnsi="Arial" w:cs="Arial"/>
          <w:sz w:val="22"/>
          <w:szCs w:val="22"/>
        </w:rPr>
      </w:pPr>
    </w:p>
    <w:p w14:paraId="791DD12C" w14:textId="77777777" w:rsidR="00611F6D" w:rsidRPr="006F2B8F" w:rsidRDefault="00611F6D">
      <w:pPr>
        <w:rPr>
          <w:rFonts w:ascii="Arial" w:hAnsi="Arial" w:cs="Arial"/>
          <w:sz w:val="22"/>
          <w:szCs w:val="22"/>
        </w:rPr>
      </w:pPr>
    </w:p>
    <w:p w14:paraId="63394276" w14:textId="77777777" w:rsidR="00611F6D" w:rsidRPr="006F2B8F" w:rsidRDefault="00611F6D">
      <w:pPr>
        <w:rPr>
          <w:rFonts w:ascii="Arial" w:hAnsi="Arial" w:cs="Arial"/>
          <w:sz w:val="22"/>
          <w:szCs w:val="22"/>
        </w:rPr>
      </w:pPr>
    </w:p>
    <w:p w14:paraId="6E5C8F07" w14:textId="77777777" w:rsidR="00611F6D" w:rsidRPr="006F2B8F" w:rsidRDefault="00611F6D">
      <w:pPr>
        <w:rPr>
          <w:rFonts w:ascii="Arial" w:hAnsi="Arial" w:cs="Arial"/>
          <w:sz w:val="22"/>
          <w:szCs w:val="22"/>
        </w:rPr>
      </w:pPr>
    </w:p>
    <w:p w14:paraId="31457FD4" w14:textId="77777777" w:rsidR="00611F6D" w:rsidRPr="006F2B8F" w:rsidRDefault="00611F6D">
      <w:pPr>
        <w:rPr>
          <w:rFonts w:ascii="Arial" w:hAnsi="Arial" w:cs="Arial"/>
          <w:sz w:val="22"/>
          <w:szCs w:val="22"/>
        </w:rPr>
      </w:pPr>
    </w:p>
    <w:p w14:paraId="57D1CFC0" w14:textId="77777777" w:rsidR="00611F6D" w:rsidRPr="006F2B8F" w:rsidRDefault="00611F6D">
      <w:pPr>
        <w:rPr>
          <w:rFonts w:ascii="Arial" w:hAnsi="Arial" w:cs="Arial"/>
          <w:sz w:val="22"/>
          <w:szCs w:val="22"/>
        </w:rPr>
      </w:pPr>
    </w:p>
    <w:p w14:paraId="70B8848B" w14:textId="77777777" w:rsidR="00611F6D" w:rsidRPr="006F2B8F" w:rsidRDefault="00611F6D">
      <w:pPr>
        <w:rPr>
          <w:rFonts w:ascii="Arial" w:hAnsi="Arial" w:cs="Arial"/>
          <w:sz w:val="22"/>
          <w:szCs w:val="22"/>
        </w:rPr>
      </w:pPr>
    </w:p>
    <w:p w14:paraId="3037E40E" w14:textId="77777777" w:rsidR="00611F6D" w:rsidRPr="006F2B8F" w:rsidRDefault="00611F6D">
      <w:pPr>
        <w:rPr>
          <w:rFonts w:ascii="Arial" w:hAnsi="Arial" w:cs="Arial"/>
          <w:sz w:val="22"/>
          <w:szCs w:val="22"/>
        </w:rPr>
      </w:pPr>
    </w:p>
    <w:p w14:paraId="5FEBE45C" w14:textId="77777777" w:rsidR="00611F6D" w:rsidRPr="006F2B8F" w:rsidRDefault="00611F6D">
      <w:pPr>
        <w:rPr>
          <w:rFonts w:ascii="Arial" w:hAnsi="Arial" w:cs="Arial"/>
          <w:sz w:val="22"/>
          <w:szCs w:val="22"/>
        </w:rPr>
      </w:pPr>
    </w:p>
    <w:p w14:paraId="7BD65321" w14:textId="77777777" w:rsidR="00611F6D" w:rsidRPr="006F2B8F" w:rsidRDefault="00611F6D">
      <w:pPr>
        <w:rPr>
          <w:rFonts w:ascii="Arial" w:hAnsi="Arial" w:cs="Arial"/>
          <w:sz w:val="22"/>
          <w:szCs w:val="22"/>
        </w:rPr>
      </w:pPr>
    </w:p>
    <w:p w14:paraId="7CBA4E10" w14:textId="77777777" w:rsidR="00611F6D" w:rsidRPr="006F2B8F" w:rsidRDefault="00611F6D">
      <w:pPr>
        <w:rPr>
          <w:rFonts w:ascii="Arial" w:hAnsi="Arial" w:cs="Arial"/>
          <w:sz w:val="22"/>
          <w:szCs w:val="22"/>
        </w:rPr>
      </w:pPr>
    </w:p>
    <w:p w14:paraId="64FFD31D" w14:textId="77777777" w:rsidR="00611F6D" w:rsidRPr="006F2B8F" w:rsidRDefault="00611F6D">
      <w:pPr>
        <w:rPr>
          <w:rFonts w:ascii="Arial" w:hAnsi="Arial" w:cs="Arial"/>
          <w:sz w:val="22"/>
          <w:szCs w:val="22"/>
        </w:rPr>
      </w:pPr>
    </w:p>
    <w:p w14:paraId="1A32BDF7" w14:textId="77777777" w:rsidR="00611F6D" w:rsidRPr="006F2B8F" w:rsidRDefault="00611F6D">
      <w:pPr>
        <w:rPr>
          <w:rFonts w:ascii="Arial" w:hAnsi="Arial" w:cs="Arial"/>
          <w:sz w:val="22"/>
          <w:szCs w:val="22"/>
        </w:rPr>
      </w:pPr>
    </w:p>
    <w:p w14:paraId="6C340ECE" w14:textId="77777777" w:rsidR="00611F6D" w:rsidRPr="006F2B8F" w:rsidRDefault="00611F6D">
      <w:pPr>
        <w:rPr>
          <w:rFonts w:ascii="Arial" w:hAnsi="Arial" w:cs="Arial"/>
          <w:sz w:val="22"/>
          <w:szCs w:val="22"/>
        </w:rPr>
      </w:pPr>
    </w:p>
    <w:p w14:paraId="508FC659" w14:textId="77777777" w:rsidR="00611F6D" w:rsidRPr="006F2B8F" w:rsidRDefault="00611F6D">
      <w:pPr>
        <w:rPr>
          <w:rFonts w:ascii="Arial" w:hAnsi="Arial" w:cs="Arial"/>
          <w:sz w:val="22"/>
          <w:szCs w:val="22"/>
        </w:rPr>
      </w:pPr>
    </w:p>
    <w:p w14:paraId="7A73455D" w14:textId="77777777" w:rsidR="00611F6D" w:rsidRPr="006F2B8F" w:rsidRDefault="00611F6D">
      <w:pPr>
        <w:rPr>
          <w:rFonts w:ascii="Arial" w:hAnsi="Arial" w:cs="Arial"/>
          <w:sz w:val="22"/>
          <w:szCs w:val="22"/>
        </w:rPr>
      </w:pPr>
    </w:p>
    <w:p w14:paraId="2C1BA4C4" w14:textId="77777777" w:rsidR="00611F6D" w:rsidRPr="006F2B8F" w:rsidRDefault="00611F6D">
      <w:pPr>
        <w:rPr>
          <w:rFonts w:ascii="Arial" w:hAnsi="Arial" w:cs="Arial"/>
          <w:sz w:val="22"/>
          <w:szCs w:val="22"/>
        </w:rPr>
      </w:pPr>
    </w:p>
    <w:p w14:paraId="216CAA26" w14:textId="77777777" w:rsidR="00611F6D" w:rsidRPr="006F2B8F" w:rsidRDefault="00611F6D">
      <w:pPr>
        <w:rPr>
          <w:rFonts w:ascii="Arial" w:hAnsi="Arial" w:cs="Arial"/>
          <w:sz w:val="22"/>
          <w:szCs w:val="22"/>
        </w:rPr>
      </w:pPr>
    </w:p>
    <w:p w14:paraId="7A751CDE" w14:textId="77777777" w:rsidR="00611F6D" w:rsidRPr="006F2B8F" w:rsidRDefault="00611F6D">
      <w:pPr>
        <w:rPr>
          <w:rFonts w:ascii="Arial" w:hAnsi="Arial" w:cs="Arial"/>
          <w:sz w:val="22"/>
          <w:szCs w:val="22"/>
        </w:rPr>
      </w:pPr>
    </w:p>
    <w:p w14:paraId="27E2362D" w14:textId="77777777" w:rsidR="003C282C"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Care</w:t>
      </w:r>
      <w:proofErr w:type="gramEnd"/>
      <w:r w:rsidRPr="006F2B8F">
        <w:rPr>
          <w:rFonts w:ascii="Arial" w:eastAsia="Times New Roman" w:hAnsi="Arial" w:cs="Arial"/>
          <w:kern w:val="0"/>
          <w:sz w:val="22"/>
          <w:szCs w:val="22"/>
          <w:lang w:eastAsia="en-GB"/>
          <w14:ligatures w14:val="none"/>
        </w:rPr>
        <w:t xml:space="preserve"> Act 2014. (2014) </w:t>
      </w:r>
    </w:p>
    <w:p w14:paraId="66DF9909" w14:textId="77777777" w:rsidR="003C282C"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Chapter 23</w:t>
      </w:r>
      <w:r w:rsidRPr="006F2B8F">
        <w:rPr>
          <w:rFonts w:ascii="Arial" w:eastAsia="Times New Roman" w:hAnsi="Arial" w:cs="Arial"/>
          <w:kern w:val="0"/>
          <w:sz w:val="22"/>
          <w:szCs w:val="22"/>
          <w:lang w:eastAsia="en-GB"/>
          <w14:ligatures w14:val="none"/>
        </w:rPr>
        <w:t xml:space="preserve">. London: The Stationery Office. </w:t>
      </w:r>
    </w:p>
    <w:p w14:paraId="2DC0F0EB" w14:textId="41800228"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kern w:val="0"/>
          <w:sz w:val="22"/>
          <w:szCs w:val="22"/>
          <w:lang w:eastAsia="en-GB"/>
          <w14:ligatures w14:val="none"/>
        </w:rPr>
        <w:t>Available at: </w:t>
      </w:r>
      <w:hyperlink r:id="rId4" w:tgtFrame="_new" w:history="1">
        <w:r w:rsidRPr="006F2B8F">
          <w:rPr>
            <w:rFonts w:ascii="Arial" w:eastAsia="Times New Roman" w:hAnsi="Arial" w:cs="Arial"/>
            <w:color w:val="0000FF"/>
            <w:kern w:val="0"/>
            <w:sz w:val="22"/>
            <w:szCs w:val="22"/>
            <w:u w:val="single"/>
            <w:lang w:eastAsia="en-GB"/>
            <w14:ligatures w14:val="none"/>
          </w:rPr>
          <w:t>https://www.legislation.gov.uk/ukpga/2014/23</w:t>
        </w:r>
      </w:hyperlink>
      <w:r w:rsidRPr="006F2B8F">
        <w:rPr>
          <w:rFonts w:ascii="Arial" w:eastAsia="Times New Roman" w:hAnsi="Arial" w:cs="Arial"/>
          <w:kern w:val="0"/>
          <w:sz w:val="22"/>
          <w:szCs w:val="22"/>
          <w:lang w:eastAsia="en-GB"/>
          <w14:ligatures w14:val="none"/>
        </w:rPr>
        <w:t> </w:t>
      </w:r>
    </w:p>
    <w:p w14:paraId="10CA6CBC" w14:textId="77777777" w:rsidR="003C282C"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Department</w:t>
      </w:r>
      <w:proofErr w:type="gramEnd"/>
      <w:r w:rsidRPr="006F2B8F">
        <w:rPr>
          <w:rFonts w:ascii="Arial" w:eastAsia="Times New Roman" w:hAnsi="Arial" w:cs="Arial"/>
          <w:kern w:val="0"/>
          <w:sz w:val="22"/>
          <w:szCs w:val="22"/>
          <w:lang w:eastAsia="en-GB"/>
          <w14:ligatures w14:val="none"/>
        </w:rPr>
        <w:t xml:space="preserve"> of Health (2012) </w:t>
      </w:r>
    </w:p>
    <w:p w14:paraId="5DE732D3" w14:textId="2AFEECAD"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Compassion in Practice: Nursing, Midwifery and Care Staff – Our Vision and Strategy</w:t>
      </w:r>
      <w:r w:rsidRPr="006F2B8F">
        <w:rPr>
          <w:rFonts w:ascii="Arial" w:eastAsia="Times New Roman" w:hAnsi="Arial" w:cs="Arial"/>
          <w:kern w:val="0"/>
          <w:sz w:val="22"/>
          <w:szCs w:val="22"/>
          <w:lang w:eastAsia="en-GB"/>
          <w14:ligatures w14:val="none"/>
        </w:rPr>
        <w:t>. London: Department of Health.</w:t>
      </w:r>
    </w:p>
    <w:p w14:paraId="4209E719" w14:textId="77777777" w:rsidR="003C282C"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Department</w:t>
      </w:r>
      <w:proofErr w:type="gramEnd"/>
      <w:r w:rsidRPr="006F2B8F">
        <w:rPr>
          <w:rFonts w:ascii="Arial" w:eastAsia="Times New Roman" w:hAnsi="Arial" w:cs="Arial"/>
          <w:kern w:val="0"/>
          <w:sz w:val="22"/>
          <w:szCs w:val="22"/>
          <w:lang w:eastAsia="en-GB"/>
          <w14:ligatures w14:val="none"/>
        </w:rPr>
        <w:t xml:space="preserve"> of Health and Social Care (2021) </w:t>
      </w:r>
    </w:p>
    <w:p w14:paraId="09959F20" w14:textId="40BA3181"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People at the Heart of Care: Adult Social Care Reform White Paper</w:t>
      </w:r>
      <w:r w:rsidRPr="006F2B8F">
        <w:rPr>
          <w:rFonts w:ascii="Arial" w:eastAsia="Times New Roman" w:hAnsi="Arial" w:cs="Arial"/>
          <w:kern w:val="0"/>
          <w:sz w:val="22"/>
          <w:szCs w:val="22"/>
          <w:lang w:eastAsia="en-GB"/>
          <w14:ligatures w14:val="none"/>
        </w:rPr>
        <w:t>. London: DHSC.</w:t>
      </w:r>
    </w:p>
    <w:p w14:paraId="68275144" w14:textId="77777777" w:rsidR="003C282C"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Equality</w:t>
      </w:r>
      <w:proofErr w:type="gramEnd"/>
      <w:r w:rsidRPr="006F2B8F">
        <w:rPr>
          <w:rFonts w:ascii="Arial" w:eastAsia="Times New Roman" w:hAnsi="Arial" w:cs="Arial"/>
          <w:kern w:val="0"/>
          <w:sz w:val="22"/>
          <w:szCs w:val="22"/>
          <w:lang w:eastAsia="en-GB"/>
          <w14:ligatures w14:val="none"/>
        </w:rPr>
        <w:t xml:space="preserve"> Act 2010. (2010) </w:t>
      </w:r>
    </w:p>
    <w:p w14:paraId="2078DE2E" w14:textId="77777777" w:rsidR="003C282C"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Chapter 15</w:t>
      </w:r>
      <w:r w:rsidRPr="006F2B8F">
        <w:rPr>
          <w:rFonts w:ascii="Arial" w:eastAsia="Times New Roman" w:hAnsi="Arial" w:cs="Arial"/>
          <w:kern w:val="0"/>
          <w:sz w:val="22"/>
          <w:szCs w:val="22"/>
          <w:lang w:eastAsia="en-GB"/>
          <w14:ligatures w14:val="none"/>
        </w:rPr>
        <w:t xml:space="preserve">. London: The Stationery Office. </w:t>
      </w:r>
    </w:p>
    <w:p w14:paraId="4C063344" w14:textId="47659E5B"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kern w:val="0"/>
          <w:sz w:val="22"/>
          <w:szCs w:val="22"/>
          <w:lang w:eastAsia="en-GB"/>
          <w14:ligatures w14:val="none"/>
        </w:rPr>
        <w:t>Available at: </w:t>
      </w:r>
      <w:hyperlink r:id="rId5" w:tgtFrame="_new" w:history="1">
        <w:r w:rsidRPr="006F2B8F">
          <w:rPr>
            <w:rFonts w:ascii="Arial" w:eastAsia="Times New Roman" w:hAnsi="Arial" w:cs="Arial"/>
            <w:color w:val="0000FF"/>
            <w:kern w:val="0"/>
            <w:sz w:val="22"/>
            <w:szCs w:val="22"/>
            <w:u w:val="single"/>
            <w:lang w:eastAsia="en-GB"/>
            <w14:ligatures w14:val="none"/>
          </w:rPr>
          <w:t>https://www.legislation.gov.uk/ukpga/2010/15</w:t>
        </w:r>
      </w:hyperlink>
      <w:r w:rsidRPr="006F2B8F">
        <w:rPr>
          <w:rFonts w:ascii="Arial" w:eastAsia="Times New Roman" w:hAnsi="Arial" w:cs="Arial"/>
          <w:kern w:val="0"/>
          <w:sz w:val="22"/>
          <w:szCs w:val="22"/>
          <w:lang w:eastAsia="en-GB"/>
          <w14:ligatures w14:val="none"/>
        </w:rPr>
        <w:t> </w:t>
      </w:r>
    </w:p>
    <w:p w14:paraId="38887259" w14:textId="77777777" w:rsidR="003C282C"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Health</w:t>
      </w:r>
      <w:proofErr w:type="gramEnd"/>
      <w:r w:rsidRPr="006F2B8F">
        <w:rPr>
          <w:rFonts w:ascii="Arial" w:eastAsia="Times New Roman" w:hAnsi="Arial" w:cs="Arial"/>
          <w:kern w:val="0"/>
          <w:sz w:val="22"/>
          <w:szCs w:val="22"/>
          <w:lang w:eastAsia="en-GB"/>
          <w14:ligatures w14:val="none"/>
        </w:rPr>
        <w:t xml:space="preserve"> and Care Professions Council (2024) </w:t>
      </w:r>
    </w:p>
    <w:p w14:paraId="24E98ABA" w14:textId="57F04B5F"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Standards of Conduct, Performance and Ethics</w:t>
      </w:r>
      <w:r w:rsidRPr="006F2B8F">
        <w:rPr>
          <w:rFonts w:ascii="Arial" w:eastAsia="Times New Roman" w:hAnsi="Arial" w:cs="Arial"/>
          <w:kern w:val="0"/>
          <w:sz w:val="22"/>
          <w:szCs w:val="22"/>
          <w:lang w:eastAsia="en-GB"/>
          <w14:ligatures w14:val="none"/>
        </w:rPr>
        <w:t>. London: HCPC.</w:t>
      </w:r>
    </w:p>
    <w:p w14:paraId="047B163A" w14:textId="77777777" w:rsidR="003C282C"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Health</w:t>
      </w:r>
      <w:proofErr w:type="gramEnd"/>
      <w:r w:rsidRPr="006F2B8F">
        <w:rPr>
          <w:rFonts w:ascii="Arial" w:eastAsia="Times New Roman" w:hAnsi="Arial" w:cs="Arial"/>
          <w:kern w:val="0"/>
          <w:sz w:val="22"/>
          <w:szCs w:val="22"/>
          <w:lang w:eastAsia="en-GB"/>
          <w14:ligatures w14:val="none"/>
        </w:rPr>
        <w:t xml:space="preserve"> and Social Care Act 2012. (2012) </w:t>
      </w:r>
    </w:p>
    <w:p w14:paraId="6F5EC6F9" w14:textId="77777777" w:rsidR="003C282C"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Chapter 7</w:t>
      </w:r>
      <w:r w:rsidRPr="006F2B8F">
        <w:rPr>
          <w:rFonts w:ascii="Arial" w:eastAsia="Times New Roman" w:hAnsi="Arial" w:cs="Arial"/>
          <w:kern w:val="0"/>
          <w:sz w:val="22"/>
          <w:szCs w:val="22"/>
          <w:lang w:eastAsia="en-GB"/>
          <w14:ligatures w14:val="none"/>
        </w:rPr>
        <w:t xml:space="preserve">. London: The Stationery Office. </w:t>
      </w:r>
    </w:p>
    <w:p w14:paraId="2E7BBEF0" w14:textId="011074D5"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kern w:val="0"/>
          <w:sz w:val="22"/>
          <w:szCs w:val="22"/>
          <w:lang w:eastAsia="en-GB"/>
          <w14:ligatures w14:val="none"/>
        </w:rPr>
        <w:t>Available at: </w:t>
      </w:r>
      <w:hyperlink r:id="rId6" w:tgtFrame="_new" w:history="1">
        <w:r w:rsidRPr="006F2B8F">
          <w:rPr>
            <w:rFonts w:ascii="Arial" w:eastAsia="Times New Roman" w:hAnsi="Arial" w:cs="Arial"/>
            <w:color w:val="0000FF"/>
            <w:kern w:val="0"/>
            <w:sz w:val="22"/>
            <w:szCs w:val="22"/>
            <w:u w:val="single"/>
            <w:lang w:eastAsia="en-GB"/>
            <w14:ligatures w14:val="none"/>
          </w:rPr>
          <w:t>https://www.legislation.gov.uk/ukpga/2012/7</w:t>
        </w:r>
      </w:hyperlink>
      <w:r w:rsidRPr="006F2B8F">
        <w:rPr>
          <w:rFonts w:ascii="Arial" w:eastAsia="Times New Roman" w:hAnsi="Arial" w:cs="Arial"/>
          <w:kern w:val="0"/>
          <w:sz w:val="22"/>
          <w:szCs w:val="22"/>
          <w:lang w:eastAsia="en-GB"/>
          <w14:ligatures w14:val="none"/>
        </w:rPr>
        <w:t> </w:t>
      </w:r>
    </w:p>
    <w:p w14:paraId="08C2CFCC" w14:textId="77777777" w:rsidR="006F2B8F"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Kitson</w:t>
      </w:r>
      <w:proofErr w:type="gramEnd"/>
      <w:r w:rsidRPr="006F2B8F">
        <w:rPr>
          <w:rFonts w:ascii="Arial" w:eastAsia="Times New Roman" w:hAnsi="Arial" w:cs="Arial"/>
          <w:kern w:val="0"/>
          <w:sz w:val="22"/>
          <w:szCs w:val="22"/>
          <w:lang w:eastAsia="en-GB"/>
          <w14:ligatures w14:val="none"/>
        </w:rPr>
        <w:t xml:space="preserve">, A., Marshall, A., Bassett, K. and Zeitz, K. (2013) </w:t>
      </w:r>
    </w:p>
    <w:p w14:paraId="5C58CDF5" w14:textId="1836C8D2"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kern w:val="0"/>
          <w:sz w:val="22"/>
          <w:szCs w:val="22"/>
          <w:lang w:eastAsia="en-GB"/>
          <w14:ligatures w14:val="none"/>
        </w:rPr>
        <w:t>‘What are the core elements of patient-centred care? A narrative review and synthesis of the literature’, </w:t>
      </w:r>
      <w:r w:rsidRPr="006F2B8F">
        <w:rPr>
          <w:rFonts w:ascii="Arial" w:eastAsia="Times New Roman" w:hAnsi="Arial" w:cs="Arial"/>
          <w:i/>
          <w:iCs/>
          <w:kern w:val="0"/>
          <w:sz w:val="22"/>
          <w:szCs w:val="22"/>
          <w:lang w:eastAsia="en-GB"/>
          <w14:ligatures w14:val="none"/>
        </w:rPr>
        <w:t>Journal of Advanced Nursing</w:t>
      </w:r>
      <w:r w:rsidRPr="006F2B8F">
        <w:rPr>
          <w:rFonts w:ascii="Arial" w:eastAsia="Times New Roman" w:hAnsi="Arial" w:cs="Arial"/>
          <w:kern w:val="0"/>
          <w:sz w:val="22"/>
          <w:szCs w:val="22"/>
          <w:lang w:eastAsia="en-GB"/>
          <w14:ligatures w14:val="none"/>
        </w:rPr>
        <w:t>, 69(1), pp. 4–15.</w:t>
      </w:r>
    </w:p>
    <w:p w14:paraId="0BCC9990" w14:textId="77777777" w:rsidR="006F2B8F"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Mental</w:t>
      </w:r>
      <w:proofErr w:type="gramEnd"/>
      <w:r w:rsidRPr="006F2B8F">
        <w:rPr>
          <w:rFonts w:ascii="Arial" w:eastAsia="Times New Roman" w:hAnsi="Arial" w:cs="Arial"/>
          <w:kern w:val="0"/>
          <w:sz w:val="22"/>
          <w:szCs w:val="22"/>
          <w:lang w:eastAsia="en-GB"/>
          <w14:ligatures w14:val="none"/>
        </w:rPr>
        <w:t xml:space="preserve"> Capacity Act 2005. (2005)</w:t>
      </w:r>
    </w:p>
    <w:p w14:paraId="05CA7729" w14:textId="77777777" w:rsidR="006F2B8F"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kern w:val="0"/>
          <w:sz w:val="22"/>
          <w:szCs w:val="22"/>
          <w:lang w:eastAsia="en-GB"/>
          <w14:ligatures w14:val="none"/>
        </w:rPr>
        <w:t> </w:t>
      </w:r>
      <w:r w:rsidRPr="006F2B8F">
        <w:rPr>
          <w:rFonts w:ascii="Arial" w:eastAsia="Times New Roman" w:hAnsi="Arial" w:cs="Arial"/>
          <w:i/>
          <w:iCs/>
          <w:kern w:val="0"/>
          <w:sz w:val="22"/>
          <w:szCs w:val="22"/>
          <w:lang w:eastAsia="en-GB"/>
          <w14:ligatures w14:val="none"/>
        </w:rPr>
        <w:t>Chapter 9</w:t>
      </w:r>
      <w:r w:rsidRPr="006F2B8F">
        <w:rPr>
          <w:rFonts w:ascii="Arial" w:eastAsia="Times New Roman" w:hAnsi="Arial" w:cs="Arial"/>
          <w:kern w:val="0"/>
          <w:sz w:val="22"/>
          <w:szCs w:val="22"/>
          <w:lang w:eastAsia="en-GB"/>
          <w14:ligatures w14:val="none"/>
        </w:rPr>
        <w:t xml:space="preserve">. London: The Stationery Office. </w:t>
      </w:r>
    </w:p>
    <w:p w14:paraId="55E228DD" w14:textId="432BE3AF"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kern w:val="0"/>
          <w:sz w:val="22"/>
          <w:szCs w:val="22"/>
          <w:lang w:eastAsia="en-GB"/>
          <w14:ligatures w14:val="none"/>
        </w:rPr>
        <w:t>Available at: </w:t>
      </w:r>
      <w:hyperlink r:id="rId7" w:tgtFrame="_new" w:history="1">
        <w:r w:rsidRPr="006F2B8F">
          <w:rPr>
            <w:rFonts w:ascii="Arial" w:eastAsia="Times New Roman" w:hAnsi="Arial" w:cs="Arial"/>
            <w:color w:val="0000FF"/>
            <w:kern w:val="0"/>
            <w:sz w:val="22"/>
            <w:szCs w:val="22"/>
            <w:u w:val="single"/>
            <w:lang w:eastAsia="en-GB"/>
            <w14:ligatures w14:val="none"/>
          </w:rPr>
          <w:t>https://www.legislation.gov.uk/ukpga/2005/9</w:t>
        </w:r>
      </w:hyperlink>
      <w:r w:rsidRPr="006F2B8F">
        <w:rPr>
          <w:rFonts w:ascii="Arial" w:eastAsia="Times New Roman" w:hAnsi="Arial" w:cs="Arial"/>
          <w:kern w:val="0"/>
          <w:sz w:val="22"/>
          <w:szCs w:val="22"/>
          <w:lang w:eastAsia="en-GB"/>
          <w14:ligatures w14:val="none"/>
        </w:rPr>
        <w:t> </w:t>
      </w:r>
    </w:p>
    <w:p w14:paraId="0C712E34" w14:textId="77777777" w:rsidR="006F2B8F"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National</w:t>
      </w:r>
      <w:proofErr w:type="gramEnd"/>
      <w:r w:rsidRPr="006F2B8F">
        <w:rPr>
          <w:rFonts w:ascii="Arial" w:eastAsia="Times New Roman" w:hAnsi="Arial" w:cs="Arial"/>
          <w:kern w:val="0"/>
          <w:sz w:val="22"/>
          <w:szCs w:val="22"/>
          <w:lang w:eastAsia="en-GB"/>
          <w14:ligatures w14:val="none"/>
        </w:rPr>
        <w:t xml:space="preserve"> Institute for Health and Care Excellence (2021) </w:t>
      </w:r>
    </w:p>
    <w:p w14:paraId="60467F99" w14:textId="434A176B"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Shared Decision Making (NG197).</w:t>
      </w:r>
      <w:r w:rsidRPr="006F2B8F">
        <w:rPr>
          <w:rFonts w:ascii="Arial" w:eastAsia="Times New Roman" w:hAnsi="Arial" w:cs="Arial"/>
          <w:kern w:val="0"/>
          <w:sz w:val="22"/>
          <w:szCs w:val="22"/>
          <w:lang w:eastAsia="en-GB"/>
          <w14:ligatures w14:val="none"/>
        </w:rPr>
        <w:t> London: NICE.</w:t>
      </w:r>
    </w:p>
    <w:p w14:paraId="2327BF68" w14:textId="77777777" w:rsidR="006F2B8F"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NHS</w:t>
      </w:r>
      <w:proofErr w:type="gramEnd"/>
      <w:r w:rsidRPr="006F2B8F">
        <w:rPr>
          <w:rFonts w:ascii="Arial" w:eastAsia="Times New Roman" w:hAnsi="Arial" w:cs="Arial"/>
          <w:kern w:val="0"/>
          <w:sz w:val="22"/>
          <w:szCs w:val="22"/>
          <w:lang w:eastAsia="en-GB"/>
          <w14:ligatures w14:val="none"/>
        </w:rPr>
        <w:t xml:space="preserve"> England (2024) </w:t>
      </w:r>
    </w:p>
    <w:p w14:paraId="0B99FE35" w14:textId="6D063B8F"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The NHS Constitution for England</w:t>
      </w:r>
      <w:r w:rsidRPr="006F2B8F">
        <w:rPr>
          <w:rFonts w:ascii="Arial" w:eastAsia="Times New Roman" w:hAnsi="Arial" w:cs="Arial"/>
          <w:kern w:val="0"/>
          <w:sz w:val="22"/>
          <w:szCs w:val="22"/>
          <w:lang w:eastAsia="en-GB"/>
          <w14:ligatures w14:val="none"/>
        </w:rPr>
        <w:t>. London: NHS England.</w:t>
      </w:r>
    </w:p>
    <w:p w14:paraId="1E4DC4E7" w14:textId="77777777" w:rsidR="006F2B8F"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Nursing</w:t>
      </w:r>
      <w:proofErr w:type="gramEnd"/>
      <w:r w:rsidRPr="006F2B8F">
        <w:rPr>
          <w:rFonts w:ascii="Arial" w:eastAsia="Times New Roman" w:hAnsi="Arial" w:cs="Arial"/>
          <w:kern w:val="0"/>
          <w:sz w:val="22"/>
          <w:szCs w:val="22"/>
          <w:lang w:eastAsia="en-GB"/>
          <w14:ligatures w14:val="none"/>
        </w:rPr>
        <w:t xml:space="preserve"> and Midwifery Council (2018) </w:t>
      </w:r>
    </w:p>
    <w:p w14:paraId="2DB9E0C4" w14:textId="46E6C62F"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The Code: Professional Standards of Practice and Behaviour for Nurses, Midwives and Nursing Associates</w:t>
      </w:r>
      <w:r w:rsidRPr="006F2B8F">
        <w:rPr>
          <w:rFonts w:ascii="Arial" w:eastAsia="Times New Roman" w:hAnsi="Arial" w:cs="Arial"/>
          <w:kern w:val="0"/>
          <w:sz w:val="22"/>
          <w:szCs w:val="22"/>
          <w:lang w:eastAsia="en-GB"/>
          <w14:ligatures w14:val="none"/>
        </w:rPr>
        <w:t>. London: NMC.</w:t>
      </w:r>
    </w:p>
    <w:p w14:paraId="4EF08ACE" w14:textId="77777777" w:rsidR="00611F6D"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Rogers</w:t>
      </w:r>
      <w:proofErr w:type="gramEnd"/>
      <w:r w:rsidRPr="006F2B8F">
        <w:rPr>
          <w:rFonts w:ascii="Arial" w:eastAsia="Times New Roman" w:hAnsi="Arial" w:cs="Arial"/>
          <w:kern w:val="0"/>
          <w:sz w:val="22"/>
          <w:szCs w:val="22"/>
          <w:lang w:eastAsia="en-GB"/>
          <w14:ligatures w14:val="none"/>
        </w:rPr>
        <w:t>, C.R. (1961) </w:t>
      </w:r>
      <w:r w:rsidRPr="006F2B8F">
        <w:rPr>
          <w:rFonts w:ascii="Arial" w:eastAsia="Times New Roman" w:hAnsi="Arial" w:cs="Arial"/>
          <w:i/>
          <w:iCs/>
          <w:kern w:val="0"/>
          <w:sz w:val="22"/>
          <w:szCs w:val="22"/>
          <w:lang w:eastAsia="en-GB"/>
          <w14:ligatures w14:val="none"/>
        </w:rPr>
        <w:t>On Becoming a Person: A Therapist's View of Psychotherapy</w:t>
      </w:r>
      <w:r w:rsidRPr="006F2B8F">
        <w:rPr>
          <w:rFonts w:ascii="Arial" w:eastAsia="Times New Roman" w:hAnsi="Arial" w:cs="Arial"/>
          <w:kern w:val="0"/>
          <w:sz w:val="22"/>
          <w:szCs w:val="22"/>
          <w:lang w:eastAsia="en-GB"/>
          <w14:ligatures w14:val="none"/>
        </w:rPr>
        <w:t>. Boston, MA: Houghton Mifflin.</w:t>
      </w:r>
    </w:p>
    <w:p w14:paraId="76CC8F0B" w14:textId="77777777" w:rsidR="006F2B8F"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Royal</w:t>
      </w:r>
      <w:proofErr w:type="gramEnd"/>
      <w:r w:rsidRPr="006F2B8F">
        <w:rPr>
          <w:rFonts w:ascii="Arial" w:eastAsia="Times New Roman" w:hAnsi="Arial" w:cs="Arial"/>
          <w:kern w:val="0"/>
          <w:sz w:val="22"/>
          <w:szCs w:val="22"/>
          <w:lang w:eastAsia="en-GB"/>
          <w14:ligatures w14:val="none"/>
        </w:rPr>
        <w:t xml:space="preserve"> College of Nursing (2024) </w:t>
      </w:r>
    </w:p>
    <w:p w14:paraId="7D09E53D" w14:textId="2887A4DE"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Principles of Nursing Practice</w:t>
      </w:r>
      <w:r w:rsidRPr="006F2B8F">
        <w:rPr>
          <w:rFonts w:ascii="Arial" w:eastAsia="Times New Roman" w:hAnsi="Arial" w:cs="Arial"/>
          <w:kern w:val="0"/>
          <w:sz w:val="22"/>
          <w:szCs w:val="22"/>
          <w:lang w:eastAsia="en-GB"/>
          <w14:ligatures w14:val="none"/>
        </w:rPr>
        <w:t>. London: RCN. Available at: </w:t>
      </w:r>
      <w:hyperlink r:id="rId8" w:tgtFrame="_new" w:history="1">
        <w:r w:rsidRPr="006F2B8F">
          <w:rPr>
            <w:rFonts w:ascii="Arial" w:eastAsia="Times New Roman" w:hAnsi="Arial" w:cs="Arial"/>
            <w:color w:val="0000FF"/>
            <w:kern w:val="0"/>
            <w:sz w:val="22"/>
            <w:szCs w:val="22"/>
            <w:u w:val="single"/>
            <w:lang w:eastAsia="en-GB"/>
            <w14:ligatures w14:val="none"/>
          </w:rPr>
          <w:t>https://www.rcn.org.uk</w:t>
        </w:r>
      </w:hyperlink>
    </w:p>
    <w:p w14:paraId="187C53D0" w14:textId="77777777" w:rsidR="006F2B8F" w:rsidRPr="006F2B8F" w:rsidRDefault="00611F6D" w:rsidP="00611F6D">
      <w:pPr>
        <w:spacing w:after="0" w:line="240" w:lineRule="auto"/>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World</w:t>
      </w:r>
      <w:proofErr w:type="gramEnd"/>
      <w:r w:rsidRPr="006F2B8F">
        <w:rPr>
          <w:rFonts w:ascii="Arial" w:eastAsia="Times New Roman" w:hAnsi="Arial" w:cs="Arial"/>
          <w:kern w:val="0"/>
          <w:sz w:val="22"/>
          <w:szCs w:val="22"/>
          <w:lang w:eastAsia="en-GB"/>
          <w14:ligatures w14:val="none"/>
        </w:rPr>
        <w:t xml:space="preserve"> Health Organization (2021) </w:t>
      </w:r>
    </w:p>
    <w:p w14:paraId="7FAC3E48" w14:textId="20989441" w:rsidR="00611F6D" w:rsidRPr="006F2B8F" w:rsidRDefault="00611F6D" w:rsidP="00611F6D">
      <w:pPr>
        <w:spacing w:after="0" w:line="240" w:lineRule="auto"/>
        <w:rPr>
          <w:rFonts w:ascii="Arial" w:eastAsia="Times New Roman" w:hAnsi="Arial" w:cs="Arial"/>
          <w:kern w:val="0"/>
          <w:sz w:val="22"/>
          <w:szCs w:val="22"/>
          <w:lang w:eastAsia="en-GB"/>
          <w14:ligatures w14:val="none"/>
        </w:rPr>
      </w:pPr>
      <w:r w:rsidRPr="006F2B8F">
        <w:rPr>
          <w:rFonts w:ascii="Arial" w:eastAsia="Times New Roman" w:hAnsi="Arial" w:cs="Arial"/>
          <w:i/>
          <w:iCs/>
          <w:kern w:val="0"/>
          <w:sz w:val="22"/>
          <w:szCs w:val="22"/>
          <w:lang w:eastAsia="en-GB"/>
          <w14:ligatures w14:val="none"/>
        </w:rPr>
        <w:t>Global Strategy on Integrated People-Centred Health Services</w:t>
      </w:r>
      <w:r w:rsidRPr="006F2B8F">
        <w:rPr>
          <w:rFonts w:ascii="Arial" w:eastAsia="Times New Roman" w:hAnsi="Arial" w:cs="Arial"/>
          <w:kern w:val="0"/>
          <w:sz w:val="22"/>
          <w:szCs w:val="22"/>
          <w:lang w:eastAsia="en-GB"/>
          <w14:ligatures w14:val="none"/>
        </w:rPr>
        <w:t>. Geneva: World Health Organization.</w:t>
      </w:r>
    </w:p>
    <w:p w14:paraId="6E7ACE1A" w14:textId="77777777" w:rsidR="006F2B8F" w:rsidRPr="006F2B8F" w:rsidRDefault="00611F6D" w:rsidP="00611F6D">
      <w:pPr>
        <w:rPr>
          <w:rFonts w:ascii="Arial" w:eastAsia="Times New Roman" w:hAnsi="Arial" w:cs="Arial"/>
          <w:kern w:val="0"/>
          <w:sz w:val="22"/>
          <w:szCs w:val="22"/>
          <w:lang w:eastAsia="en-GB"/>
          <w14:ligatures w14:val="none"/>
        </w:rPr>
      </w:pPr>
      <w:proofErr w:type="gramStart"/>
      <w:r w:rsidRPr="006F2B8F">
        <w:rPr>
          <w:rFonts w:ascii="Arial" w:eastAsia="Times New Roman" w:hAnsi="Arial" w:cs="Arial"/>
          <w:kern w:val="0"/>
          <w:sz w:val="22"/>
          <w:szCs w:val="22"/>
          <w:lang w:eastAsia="en-GB"/>
          <w14:ligatures w14:val="none"/>
        </w:rPr>
        <w:t>  World</w:t>
      </w:r>
      <w:proofErr w:type="gramEnd"/>
      <w:r w:rsidRPr="006F2B8F">
        <w:rPr>
          <w:rFonts w:ascii="Arial" w:eastAsia="Times New Roman" w:hAnsi="Arial" w:cs="Arial"/>
          <w:kern w:val="0"/>
          <w:sz w:val="22"/>
          <w:szCs w:val="22"/>
          <w:lang w:eastAsia="en-GB"/>
          <w14:ligatures w14:val="none"/>
        </w:rPr>
        <w:t xml:space="preserve"> Medical Association (2022) </w:t>
      </w:r>
    </w:p>
    <w:p w14:paraId="57125F9E" w14:textId="74A81000" w:rsidR="00611F6D" w:rsidRPr="006F2B8F" w:rsidRDefault="00611F6D" w:rsidP="00611F6D">
      <w:pPr>
        <w:rPr>
          <w:rFonts w:ascii="Arial" w:hAnsi="Arial" w:cs="Arial"/>
          <w:sz w:val="22"/>
          <w:szCs w:val="22"/>
        </w:rPr>
      </w:pPr>
      <w:r w:rsidRPr="006F2B8F">
        <w:rPr>
          <w:rFonts w:ascii="Arial" w:eastAsia="Times New Roman" w:hAnsi="Arial" w:cs="Arial"/>
          <w:i/>
          <w:iCs/>
          <w:kern w:val="0"/>
          <w:sz w:val="22"/>
          <w:szCs w:val="22"/>
          <w:lang w:eastAsia="en-GB"/>
          <w14:ligatures w14:val="none"/>
        </w:rPr>
        <w:t>WMA International Code of Medical Ethics</w:t>
      </w:r>
      <w:r w:rsidRPr="006F2B8F">
        <w:rPr>
          <w:rFonts w:ascii="Arial" w:eastAsia="Times New Roman" w:hAnsi="Arial" w:cs="Arial"/>
          <w:kern w:val="0"/>
          <w:sz w:val="22"/>
          <w:szCs w:val="22"/>
          <w:lang w:eastAsia="en-GB"/>
          <w14:ligatures w14:val="none"/>
        </w:rPr>
        <w:t>. Ferney-Voltaire: World Medical Association. Available at: </w:t>
      </w:r>
      <w:hyperlink r:id="rId9" w:tgtFrame="_new" w:history="1">
        <w:r w:rsidRPr="006F2B8F">
          <w:rPr>
            <w:rFonts w:ascii="Arial" w:eastAsia="Times New Roman" w:hAnsi="Arial" w:cs="Arial"/>
            <w:color w:val="0000FF"/>
            <w:kern w:val="0"/>
            <w:sz w:val="22"/>
            <w:szCs w:val="22"/>
            <w:u w:val="single"/>
            <w:lang w:eastAsia="en-GB"/>
            <w14:ligatures w14:val="none"/>
          </w:rPr>
          <w:t>https://www.wma.net</w:t>
        </w:r>
      </w:hyperlink>
      <w:r w:rsidRPr="006F2B8F">
        <w:rPr>
          <w:rFonts w:ascii="Arial" w:eastAsia="Times New Roman" w:hAnsi="Arial" w:cs="Arial"/>
          <w:kern w:val="0"/>
          <w:sz w:val="22"/>
          <w:szCs w:val="22"/>
          <w:lang w:eastAsia="en-GB"/>
          <w14:ligatures w14:val="none"/>
        </w:rPr>
        <w:t> </w:t>
      </w:r>
    </w:p>
    <w:sectPr w:rsidR="00611F6D" w:rsidRPr="006F2B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Vrinda">
    <w:panose1 w:val="020B0502040204020203"/>
    <w:charset w:val="01"/>
    <w:family w:val="roman"/>
    <w:pitch w:val="variable"/>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979"/>
    <w:rsid w:val="00240979"/>
    <w:rsid w:val="002E2FA5"/>
    <w:rsid w:val="003C282C"/>
    <w:rsid w:val="005C2590"/>
    <w:rsid w:val="005E2F4A"/>
    <w:rsid w:val="006002FB"/>
    <w:rsid w:val="00611F6D"/>
    <w:rsid w:val="006F2B8F"/>
    <w:rsid w:val="007077BB"/>
    <w:rsid w:val="00876227"/>
    <w:rsid w:val="00DD487D"/>
    <w:rsid w:val="00F95DA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4:docId w14:val="0B3107F1"/>
  <w15:chartTrackingRefBased/>
  <w15:docId w15:val="{CEACC73D-D2FB-3847-9A03-C9CA7D8BE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240979"/>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unhideWhenUsed/>
    <w:qFormat/>
    <w:rsid w:val="00240979"/>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40979"/>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40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979"/>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240979"/>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40979"/>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40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979"/>
    <w:rPr>
      <w:rFonts w:eastAsiaTheme="majorEastAsia" w:cstheme="majorBidi"/>
      <w:color w:val="272727" w:themeColor="text1" w:themeTint="D8"/>
    </w:rPr>
  </w:style>
  <w:style w:type="paragraph" w:styleId="Title">
    <w:name w:val="Title"/>
    <w:basedOn w:val="Normal"/>
    <w:next w:val="Normal"/>
    <w:link w:val="TitleChar"/>
    <w:uiPriority w:val="10"/>
    <w:qFormat/>
    <w:rsid w:val="0024097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4097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4097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4097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40979"/>
    <w:pPr>
      <w:spacing w:before="160"/>
      <w:jc w:val="center"/>
    </w:pPr>
    <w:rPr>
      <w:i/>
      <w:iCs/>
      <w:color w:val="404040" w:themeColor="text1" w:themeTint="BF"/>
    </w:rPr>
  </w:style>
  <w:style w:type="character" w:customStyle="1" w:styleId="QuoteChar">
    <w:name w:val="Quote Char"/>
    <w:basedOn w:val="DefaultParagraphFont"/>
    <w:link w:val="Quote"/>
    <w:uiPriority w:val="29"/>
    <w:rsid w:val="00240979"/>
    <w:rPr>
      <w:rFonts w:cs="Vrinda"/>
      <w:i/>
      <w:iCs/>
      <w:color w:val="404040" w:themeColor="text1" w:themeTint="BF"/>
    </w:rPr>
  </w:style>
  <w:style w:type="paragraph" w:styleId="ListParagraph">
    <w:name w:val="List Paragraph"/>
    <w:basedOn w:val="Normal"/>
    <w:uiPriority w:val="34"/>
    <w:qFormat/>
    <w:rsid w:val="00240979"/>
    <w:pPr>
      <w:ind w:left="720"/>
      <w:contextualSpacing/>
    </w:pPr>
  </w:style>
  <w:style w:type="character" w:styleId="IntenseEmphasis">
    <w:name w:val="Intense Emphasis"/>
    <w:basedOn w:val="DefaultParagraphFont"/>
    <w:uiPriority w:val="21"/>
    <w:qFormat/>
    <w:rsid w:val="00240979"/>
    <w:rPr>
      <w:i/>
      <w:iCs/>
      <w:color w:val="0F4761" w:themeColor="accent1" w:themeShade="BF"/>
    </w:rPr>
  </w:style>
  <w:style w:type="paragraph" w:styleId="IntenseQuote">
    <w:name w:val="Intense Quote"/>
    <w:basedOn w:val="Normal"/>
    <w:next w:val="Normal"/>
    <w:link w:val="IntenseQuoteChar"/>
    <w:uiPriority w:val="30"/>
    <w:qFormat/>
    <w:rsid w:val="00240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979"/>
    <w:rPr>
      <w:rFonts w:cs="Vrinda"/>
      <w:i/>
      <w:iCs/>
      <w:color w:val="0F4761" w:themeColor="accent1" w:themeShade="BF"/>
    </w:rPr>
  </w:style>
  <w:style w:type="character" w:styleId="IntenseReference">
    <w:name w:val="Intense Reference"/>
    <w:basedOn w:val="DefaultParagraphFont"/>
    <w:uiPriority w:val="32"/>
    <w:qFormat/>
    <w:rsid w:val="00240979"/>
    <w:rPr>
      <w:b/>
      <w:bCs/>
      <w:smallCaps/>
      <w:color w:val="0F4761" w:themeColor="accent1" w:themeShade="BF"/>
      <w:spacing w:val="5"/>
    </w:rPr>
  </w:style>
  <w:style w:type="paragraph" w:customStyle="1" w:styleId="isselectedend">
    <w:name w:val="isselectedend"/>
    <w:basedOn w:val="Normal"/>
    <w:rsid w:val="00240979"/>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NormalWeb">
    <w:name w:val="Normal (Web)"/>
    <w:basedOn w:val="Normal"/>
    <w:uiPriority w:val="99"/>
    <w:semiHidden/>
    <w:unhideWhenUsed/>
    <w:rsid w:val="00240979"/>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apple-converted-space">
    <w:name w:val="apple-converted-space"/>
    <w:basedOn w:val="DefaultParagraphFont"/>
    <w:rsid w:val="00611F6D"/>
  </w:style>
  <w:style w:type="character" w:styleId="Emphasis">
    <w:name w:val="Emphasis"/>
    <w:basedOn w:val="DefaultParagraphFont"/>
    <w:uiPriority w:val="20"/>
    <w:qFormat/>
    <w:rsid w:val="00611F6D"/>
    <w:rPr>
      <w:i/>
      <w:iCs/>
    </w:rPr>
  </w:style>
  <w:style w:type="character" w:styleId="Hyperlink">
    <w:name w:val="Hyperlink"/>
    <w:basedOn w:val="DefaultParagraphFont"/>
    <w:uiPriority w:val="99"/>
    <w:semiHidden/>
    <w:unhideWhenUsed/>
    <w:rsid w:val="00611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n.org.uk/" TargetMode="External"/><Relationship Id="rId3" Type="http://schemas.openxmlformats.org/officeDocument/2006/relationships/webSettings" Target="webSettings.xml"/><Relationship Id="rId7" Type="http://schemas.openxmlformats.org/officeDocument/2006/relationships/hyperlink" Target="https://www.legislation.gov.uk/ukpga/2005/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2/7" TargetMode="External"/><Relationship Id="rId11" Type="http://schemas.openxmlformats.org/officeDocument/2006/relationships/theme" Target="theme/theme1.xml"/><Relationship Id="rId5" Type="http://schemas.openxmlformats.org/officeDocument/2006/relationships/hyperlink" Target="https://www.legislation.gov.uk/ukpga/2010/15" TargetMode="External"/><Relationship Id="rId10" Type="http://schemas.openxmlformats.org/officeDocument/2006/relationships/fontTable" Target="fontTable.xml"/><Relationship Id="rId4" Type="http://schemas.openxmlformats.org/officeDocument/2006/relationships/hyperlink" Target="https://www.legislation.gov.uk/ukpga/2014/23" TargetMode="External"/><Relationship Id="rId9" Type="http://schemas.openxmlformats.org/officeDocument/2006/relationships/hyperlink" Target="https://www.wm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2647</Words>
  <Characters>15088</Characters>
  <Application>Microsoft Office Word</Application>
  <DocSecurity>0</DocSecurity>
  <Lines>125</Lines>
  <Paragraphs>35</Paragraphs>
  <ScaleCrop>false</ScaleCrop>
  <Company/>
  <LinksUpToDate>false</LinksUpToDate>
  <CharactersWithSpaces>17700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Sadiya Islam (2435367)</dc:creator>
  <cp:keywords/>
  <dc:description/>
  <cp:lastModifiedBy>Sadiya Islam (2435367)</cp:lastModifiedBy>
  <cp:revision>8</cp:revision>
  <dcterms:created xsi:type="dcterms:W3CDTF">2026-07-25T22:26:00Z</dcterms:created>
  <dcterms:modified xsi:type="dcterms:W3CDTF">2026-07-25T22:36:00Z</dcterms:modified>
</cp:coreProperties>
</file>