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65CF" w:rsidRDefault="00CC65CF" w:rsidP="00CC65CF">
      <w:pPr>
        <w:jc w:val="center"/>
        <w:rPr>
          <w:i/>
        </w:rPr>
      </w:pPr>
      <w:r>
        <w:rPr>
          <w:i/>
        </w:rPr>
        <w:t>What are the uses of mythology in epinician poetry? Provide examples from at least 3 odes.</w:t>
      </w:r>
    </w:p>
    <w:p w:rsidR="00CC65CF" w:rsidRPr="00CC65CF" w:rsidRDefault="00CC65CF" w:rsidP="00CC65CF">
      <w:pPr>
        <w:jc w:val="center"/>
        <w:rPr>
          <w:i/>
        </w:rPr>
      </w:pPr>
    </w:p>
    <w:p w:rsidR="001268DE" w:rsidRDefault="001268DE" w:rsidP="001268DE">
      <w:r>
        <w:t xml:space="preserve">Victory odes – or </w:t>
      </w:r>
      <w:proofErr w:type="spellStart"/>
      <w:r>
        <w:t>epinikia</w:t>
      </w:r>
      <w:proofErr w:type="spellEnd"/>
      <w:r>
        <w:rPr>
          <w:rStyle w:val="FootnoteReference"/>
        </w:rPr>
        <w:footnoteReference w:id="1"/>
      </w:r>
      <w:r>
        <w:t xml:space="preserve"> - are lyrical poems commissioned in order to commemorate the victory of someone in battle or athletic events. Epinician poets such as Pindar and </w:t>
      </w:r>
      <w:proofErr w:type="spellStart"/>
      <w:r>
        <w:t>Bacchylides</w:t>
      </w:r>
      <w:proofErr w:type="spellEnd"/>
      <w:r>
        <w:t xml:space="preserve"> were among poets</w:t>
      </w:r>
      <w:r>
        <w:rPr>
          <w:rStyle w:val="FootnoteReference"/>
        </w:rPr>
        <w:footnoteReference w:id="2"/>
      </w:r>
      <w:r>
        <w:t>. The two poets existed at the same time; it is heavily speculated that they were rivals of one another, and some of their works contain the same people or places</w:t>
      </w:r>
      <w:r>
        <w:rPr>
          <w:rStyle w:val="FootnoteReference"/>
        </w:rPr>
        <w:footnoteReference w:id="3"/>
      </w:r>
      <w:r>
        <w:t xml:space="preserve">, both including odes on </w:t>
      </w:r>
      <w:proofErr w:type="spellStart"/>
      <w:r>
        <w:t>Hieron</w:t>
      </w:r>
      <w:proofErr w:type="spellEnd"/>
      <w:r>
        <w:t>. It can be argued that mythology is useful in the odes in order to create a better reputation or to honour the one whom the ode is dedicated to</w:t>
      </w:r>
      <w:r>
        <w:rPr>
          <w:rStyle w:val="FootnoteReference"/>
        </w:rPr>
        <w:footnoteReference w:id="4"/>
      </w:r>
      <w:r>
        <w:t>.  The use of mythology is also important in providing context for the events themselves, including tales for the origins and reasonings for certain events or to link the events back to the gods</w:t>
      </w:r>
      <w:r>
        <w:rPr>
          <w:rStyle w:val="FootnoteReference"/>
        </w:rPr>
        <w:footnoteReference w:id="5"/>
      </w:r>
      <w:r>
        <w:t>. Though it could be seen that the focus of the odes is more focused on the mythology than it is to praising the victor. Overall, one could argue that the mythology used in the odes is important in commemorating the winner of athletic games by representing the town, event or the family of that person.</w:t>
      </w:r>
    </w:p>
    <w:p w:rsidR="001268DE" w:rsidRDefault="001268DE" w:rsidP="001268DE">
      <w:r>
        <w:t>All of the odes looked at, that are in their full form, not fragmented, follow a very simple structure. Firstly, the poet starts by highlighting to whom the ode is dedicated to</w:t>
      </w:r>
      <w:r>
        <w:rPr>
          <w:rStyle w:val="FootnoteReference"/>
        </w:rPr>
        <w:footnoteReference w:id="6"/>
      </w:r>
      <w:r>
        <w:t>. After about 20 lines, the poet will then begin to branch away from that and begin talking about mythology</w:t>
      </w:r>
      <w:r>
        <w:rPr>
          <w:rStyle w:val="FootnoteReference"/>
        </w:rPr>
        <w:footnoteReference w:id="7"/>
      </w:r>
      <w:r>
        <w:t xml:space="preserve">. In Pindar’s </w:t>
      </w:r>
      <w:r w:rsidRPr="00160894">
        <w:rPr>
          <w:i/>
        </w:rPr>
        <w:t>Isthmian 1</w:t>
      </w:r>
      <w:r>
        <w:rPr>
          <w:i/>
        </w:rPr>
        <w:t xml:space="preserve"> </w:t>
      </w:r>
      <w:r>
        <w:t xml:space="preserve">he does not actually spend a lot of time describing the events of the chariot race, rather he spends time explaining how important success is to a person and going into the deeper meanings of things. This is not uncommon and appears to be a theme that </w:t>
      </w:r>
      <w:proofErr w:type="spellStart"/>
      <w:r>
        <w:t>Bacchylides</w:t>
      </w:r>
      <w:proofErr w:type="spellEnd"/>
      <w:r>
        <w:t xml:space="preserve"> does. Another example would be the fragments of </w:t>
      </w:r>
      <w:proofErr w:type="spellStart"/>
      <w:r>
        <w:t>Ibycus</w:t>
      </w:r>
      <w:proofErr w:type="spellEnd"/>
      <w:r>
        <w:rPr>
          <w:rStyle w:val="FootnoteReference"/>
        </w:rPr>
        <w:footnoteReference w:id="8"/>
      </w:r>
      <w:r>
        <w:t>. He also has a tendency to remind people of their shortcomings and how their mortality and general state of being makes them lesser than the gods</w:t>
      </w:r>
      <w:r>
        <w:rPr>
          <w:rStyle w:val="FootnoteReference"/>
        </w:rPr>
        <w:footnoteReference w:id="9"/>
      </w:r>
      <w:r>
        <w:t xml:space="preserve">. The three odes observed here all contain a narrative of a mythological tale as the second of the three parts to the ode. For example, in </w:t>
      </w:r>
      <w:proofErr w:type="spellStart"/>
      <w:r>
        <w:t>Bacchylides</w:t>
      </w:r>
      <w:proofErr w:type="spellEnd"/>
      <w:r>
        <w:t xml:space="preserve">’ </w:t>
      </w:r>
      <w:r w:rsidRPr="00027EC1">
        <w:rPr>
          <w:i/>
        </w:rPr>
        <w:t>Ode 3</w:t>
      </w:r>
      <w:r>
        <w:rPr>
          <w:i/>
        </w:rPr>
        <w:t xml:space="preserve"> for </w:t>
      </w:r>
      <w:proofErr w:type="spellStart"/>
      <w:r>
        <w:rPr>
          <w:i/>
        </w:rPr>
        <w:t>Hieron</w:t>
      </w:r>
      <w:proofErr w:type="spellEnd"/>
      <w:r>
        <w:rPr>
          <w:i/>
        </w:rPr>
        <w:t xml:space="preserve"> of Syracuse Chariot Race at Olympia</w:t>
      </w:r>
      <w:r>
        <w:t xml:space="preserve"> which was composed in 468 B.C</w:t>
      </w:r>
      <w:r>
        <w:rPr>
          <w:rStyle w:val="FootnoteReference"/>
        </w:rPr>
        <w:footnoteReference w:id="10"/>
      </w:r>
      <w:r>
        <w:t xml:space="preserve">, he begins by </w:t>
      </w:r>
      <w:r w:rsidR="006A1BA2">
        <w:t xml:space="preserve">describing the festivities and illustrating the greatness of </w:t>
      </w:r>
      <w:proofErr w:type="spellStart"/>
      <w:r w:rsidR="006A1BA2">
        <w:t>Hieron’s</w:t>
      </w:r>
      <w:proofErr w:type="spellEnd"/>
      <w:r w:rsidR="006A1BA2">
        <w:t xml:space="preserve"> steeds</w:t>
      </w:r>
      <w:r>
        <w:rPr>
          <w:rStyle w:val="FootnoteReference"/>
        </w:rPr>
        <w:footnoteReference w:id="11"/>
      </w:r>
      <w:r>
        <w:t xml:space="preserve"> and then goes on to narrate the somewhat unfortunate tale of Croesus and how Apollo and Zeus aid him and his family</w:t>
      </w:r>
      <w:r>
        <w:rPr>
          <w:rStyle w:val="FootnoteReference"/>
        </w:rPr>
        <w:footnoteReference w:id="12"/>
      </w:r>
      <w:r>
        <w:t xml:space="preserve">. Whilst this is not mythology, it does show an element of </w:t>
      </w:r>
      <w:proofErr w:type="spellStart"/>
      <w:r>
        <w:t>deus</w:t>
      </w:r>
      <w:proofErr w:type="spellEnd"/>
      <w:r>
        <w:t xml:space="preserve"> ex </w:t>
      </w:r>
      <w:proofErr w:type="spellStart"/>
      <w:r>
        <w:t>machina</w:t>
      </w:r>
      <w:proofErr w:type="spellEnd"/>
      <w:r>
        <w:t>. He then goes on to remind his audience to not be greedy and remember their mortality and that the gods are far more powerful</w:t>
      </w:r>
      <w:r>
        <w:rPr>
          <w:rStyle w:val="FootnoteReference"/>
        </w:rPr>
        <w:footnoteReference w:id="13"/>
      </w:r>
      <w:r>
        <w:t xml:space="preserve">. </w:t>
      </w:r>
      <w:proofErr w:type="spellStart"/>
      <w:r w:rsidR="006A1BA2">
        <w:t>Bacchylides</w:t>
      </w:r>
      <w:proofErr w:type="spellEnd"/>
      <w:r w:rsidR="006A1BA2">
        <w:t xml:space="preserve">’ </w:t>
      </w:r>
      <w:r>
        <w:rPr>
          <w:i/>
        </w:rPr>
        <w:t xml:space="preserve">Ode 5 For </w:t>
      </w:r>
      <w:proofErr w:type="spellStart"/>
      <w:r>
        <w:rPr>
          <w:i/>
        </w:rPr>
        <w:t>Hieron</w:t>
      </w:r>
      <w:proofErr w:type="spellEnd"/>
      <w:r>
        <w:rPr>
          <w:i/>
        </w:rPr>
        <w:t xml:space="preserve"> of Syracuse Single-Horse Victory at Olympia</w:t>
      </w:r>
      <w:r>
        <w:t xml:space="preserve">, composed in 476 BCE, follows a similar pattern but </w:t>
      </w:r>
      <w:proofErr w:type="spellStart"/>
      <w:r>
        <w:t>Bacchylides</w:t>
      </w:r>
      <w:proofErr w:type="spellEnd"/>
      <w:r>
        <w:t xml:space="preserve"> actually refers back to </w:t>
      </w:r>
      <w:proofErr w:type="spellStart"/>
      <w:r>
        <w:t>Hieron</w:t>
      </w:r>
      <w:proofErr w:type="spellEnd"/>
      <w:r>
        <w:t xml:space="preserve"> at the end of the ode in congratulations</w:t>
      </w:r>
      <w:r>
        <w:rPr>
          <w:rStyle w:val="FootnoteReference"/>
        </w:rPr>
        <w:footnoteReference w:id="14"/>
      </w:r>
      <w:r>
        <w:t xml:space="preserve">. This shows that there is little focus on the actual person that the odes are commemorating in </w:t>
      </w:r>
      <w:proofErr w:type="spellStart"/>
      <w:r>
        <w:t>Bacchylides</w:t>
      </w:r>
      <w:proofErr w:type="spellEnd"/>
      <w:r>
        <w:t xml:space="preserve">’ odes and this also translates to some of Pindar’s work but in </w:t>
      </w:r>
      <w:r>
        <w:rPr>
          <w:i/>
        </w:rPr>
        <w:t>Isthmian 1</w:t>
      </w:r>
      <w:r>
        <w:t xml:space="preserve"> he does actually follow the latter of the two of </w:t>
      </w:r>
      <w:proofErr w:type="spellStart"/>
      <w:r>
        <w:lastRenderedPageBreak/>
        <w:t>Bacchylides</w:t>
      </w:r>
      <w:proofErr w:type="spellEnd"/>
      <w:r>
        <w:t>’ structures and ends up finishing the ode by commemorating Herodotus again</w:t>
      </w:r>
      <w:r>
        <w:rPr>
          <w:rStyle w:val="FootnoteReference"/>
        </w:rPr>
        <w:footnoteReference w:id="15"/>
      </w:r>
      <w:r>
        <w:t>. Therefore, the narrative of the myths told within the odes is the largest part. They do always link back to the event, town or the person being commemorated in some way though</w:t>
      </w:r>
      <w:r>
        <w:rPr>
          <w:rStyle w:val="FootnoteReference"/>
        </w:rPr>
        <w:footnoteReference w:id="16"/>
      </w:r>
      <w:r>
        <w:t>.</w:t>
      </w:r>
    </w:p>
    <w:p w:rsidR="001268DE" w:rsidRDefault="001268DE" w:rsidP="001268DE">
      <w:r>
        <w:t xml:space="preserve">As previously stated, the way that myths are selected is tied to the victor or the location. Pindar’s </w:t>
      </w:r>
      <w:r>
        <w:rPr>
          <w:i/>
        </w:rPr>
        <w:t>Isthmian 1</w:t>
      </w:r>
      <w:r>
        <w:t xml:space="preserve"> ties into the location of the games. The Isthmian games were a festival dedicated to Poseidon</w:t>
      </w:r>
      <w:r>
        <w:rPr>
          <w:rStyle w:val="FootnoteReference"/>
        </w:rPr>
        <w:footnoteReference w:id="17"/>
      </w:r>
      <w:r>
        <w:t xml:space="preserve"> so it is not unexpected that Pindar involves a mythological tale which pertains to Poseidon. Furthermore, Pindar steeps the ode in information from the area</w:t>
      </w:r>
      <w:r>
        <w:rPr>
          <w:rStyle w:val="FootnoteReference"/>
        </w:rPr>
        <w:footnoteReference w:id="18"/>
      </w:r>
      <w:r>
        <w:t xml:space="preserve">. </w:t>
      </w:r>
      <w:proofErr w:type="spellStart"/>
      <w:r>
        <w:t>Bacchylides</w:t>
      </w:r>
      <w:proofErr w:type="spellEnd"/>
      <w:r>
        <w:t xml:space="preserve">’ </w:t>
      </w:r>
      <w:r>
        <w:rPr>
          <w:i/>
        </w:rPr>
        <w:t xml:space="preserve">Ode 3 for </w:t>
      </w:r>
      <w:proofErr w:type="spellStart"/>
      <w:r>
        <w:rPr>
          <w:i/>
        </w:rPr>
        <w:t>Hieron</w:t>
      </w:r>
      <w:proofErr w:type="spellEnd"/>
      <w:r>
        <w:rPr>
          <w:i/>
        </w:rPr>
        <w:t xml:space="preserve"> of Syracuse Chariot Race at Olympia</w:t>
      </w:r>
      <w:r>
        <w:t xml:space="preserve"> links to </w:t>
      </w:r>
      <w:r w:rsidR="00FE77D6">
        <w:t>mortals</w:t>
      </w:r>
      <w:r>
        <w:t xml:space="preserve"> directly, speaking of</w:t>
      </w:r>
      <w:r w:rsidR="00DC1876">
        <w:t xml:space="preserve"> a mortal</w:t>
      </w:r>
      <w:r>
        <w:t xml:space="preserve"> who was aided by the gods</w:t>
      </w:r>
      <w:r w:rsidR="00FE77D6">
        <w:t xml:space="preserve"> after his city was attacked</w:t>
      </w:r>
      <w:r>
        <w:rPr>
          <w:rStyle w:val="FootnoteReference"/>
        </w:rPr>
        <w:footnoteReference w:id="19"/>
      </w:r>
      <w:r>
        <w:t>.</w:t>
      </w:r>
      <w:r w:rsidR="00FE77D6">
        <w:t xml:space="preserve"> This ode presents </w:t>
      </w:r>
      <w:proofErr w:type="spellStart"/>
      <w:r w:rsidR="00FE77D6">
        <w:t>a</w:t>
      </w:r>
      <w:proofErr w:type="spellEnd"/>
      <w:r w:rsidR="00FE77D6">
        <w:t xml:space="preserve"> role model</w:t>
      </w:r>
      <w:r w:rsidR="00CD44A2">
        <w:t xml:space="preserve"> for being </w:t>
      </w:r>
      <w:proofErr w:type="spellStart"/>
      <w:r w:rsidR="00CD44A2">
        <w:t>a</w:t>
      </w:r>
      <w:proofErr w:type="spellEnd"/>
      <w:r w:rsidR="00CD44A2">
        <w:t xml:space="preserve"> gracious and caring person with power, as </w:t>
      </w:r>
      <w:proofErr w:type="spellStart"/>
      <w:r w:rsidR="00CD44A2">
        <w:t>Hieron</w:t>
      </w:r>
      <w:proofErr w:type="spellEnd"/>
      <w:r w:rsidR="00CD44A2">
        <w:t xml:space="preserve"> was, along with his other tyrant brothers</w:t>
      </w:r>
      <w:r w:rsidR="00CD44A2">
        <w:rPr>
          <w:rStyle w:val="FootnoteReference"/>
        </w:rPr>
        <w:footnoteReference w:id="20"/>
      </w:r>
      <w:proofErr w:type="gramStart"/>
      <w:r w:rsidR="00CD44A2">
        <w:t xml:space="preserve">. </w:t>
      </w:r>
      <w:proofErr w:type="gramEnd"/>
      <w:r w:rsidR="00CD44A2">
        <w:t xml:space="preserve">Scholars, such as Elizabeth </w:t>
      </w:r>
      <w:proofErr w:type="spellStart"/>
      <w:r w:rsidR="00CD44A2">
        <w:t>Pitotto</w:t>
      </w:r>
      <w:proofErr w:type="spellEnd"/>
      <w:r w:rsidR="00CD44A2">
        <w:t xml:space="preserve">, gather from various </w:t>
      </w:r>
      <w:r w:rsidR="0064422F">
        <w:t>archaeological</w:t>
      </w:r>
      <w:r w:rsidR="00CD44A2">
        <w:t xml:space="preserve"> evidence that the </w:t>
      </w:r>
      <w:proofErr w:type="spellStart"/>
      <w:r w:rsidR="00CD44A2">
        <w:t>Hieron</w:t>
      </w:r>
      <w:proofErr w:type="spellEnd"/>
      <w:r w:rsidR="00CD44A2">
        <w:t xml:space="preserve"> did seek to make a lasting name for himself by claiming honour for all of his victories</w:t>
      </w:r>
      <w:r w:rsidR="00CD44A2">
        <w:rPr>
          <w:rStyle w:val="FootnoteReference"/>
        </w:rPr>
        <w:footnoteReference w:id="21"/>
      </w:r>
      <w:r w:rsidR="00CD44A2">
        <w:t xml:space="preserve">. This is likely why we have so many odes by Pindar and </w:t>
      </w:r>
      <w:proofErr w:type="spellStart"/>
      <w:r w:rsidR="00CD44A2">
        <w:t>Bacchylides</w:t>
      </w:r>
      <w:proofErr w:type="spellEnd"/>
      <w:r w:rsidR="00CD44A2">
        <w:t xml:space="preserve"> for the tyrant.</w:t>
      </w:r>
      <w:r w:rsidR="00BE0DC2">
        <w:t xml:space="preserve"> For someone to develop hubris, especially when they have power, has always been seen as </w:t>
      </w:r>
      <w:proofErr w:type="spellStart"/>
      <w:r w:rsidR="00BE0DC2">
        <w:t>a</w:t>
      </w:r>
      <w:proofErr w:type="spellEnd"/>
      <w:r w:rsidR="00BE0DC2">
        <w:t xml:space="preserve"> negative thing due to their resulting actions, something which can be seen in Greek tragedy</w:t>
      </w:r>
      <w:r w:rsidR="00BE0DC2">
        <w:rPr>
          <w:rStyle w:val="FootnoteReference"/>
        </w:rPr>
        <w:footnoteReference w:id="22"/>
      </w:r>
      <w:r w:rsidR="00BE0DC2">
        <w:t>.</w:t>
      </w:r>
      <w:r w:rsidR="00D57876">
        <w:t xml:space="preserve"> However, </w:t>
      </w:r>
      <w:proofErr w:type="spellStart"/>
      <w:r w:rsidR="00D57876">
        <w:t>Bacchylides</w:t>
      </w:r>
      <w:proofErr w:type="spellEnd"/>
      <w:r w:rsidR="00D57876">
        <w:t xml:space="preserve"> makes it clear in this ode </w:t>
      </w:r>
      <w:r w:rsidR="00DE4902">
        <w:t>that for one to not have humility and if they were to be pious then they would be blessed by the gods</w:t>
      </w:r>
      <w:r w:rsidR="00DE4902">
        <w:rPr>
          <w:rStyle w:val="FootnoteReference"/>
        </w:rPr>
        <w:footnoteReference w:id="23"/>
      </w:r>
      <w:r w:rsidR="00DE4902">
        <w:t>.</w:t>
      </w:r>
      <w:r w:rsidR="00715EB9">
        <w:t xml:space="preserve"> Pindar d</w:t>
      </w:r>
      <w:r w:rsidR="0064422F">
        <w:t>id</w:t>
      </w:r>
      <w:r w:rsidR="00715EB9">
        <w:t xml:space="preserve"> not seem to think there is </w:t>
      </w:r>
      <w:r w:rsidR="0064422F">
        <w:t xml:space="preserve">a </w:t>
      </w:r>
      <w:r w:rsidR="00715EB9">
        <w:t>danger of this</w:t>
      </w:r>
      <w:r w:rsidR="00715EB9">
        <w:rPr>
          <w:rStyle w:val="FootnoteReference"/>
        </w:rPr>
        <w:footnoteReference w:id="24"/>
      </w:r>
      <w:r w:rsidR="009F0991">
        <w:t xml:space="preserve">. Rutherford actually suggests that this is an instance of Pindar urging </w:t>
      </w:r>
      <w:proofErr w:type="spellStart"/>
      <w:r w:rsidR="009F0991">
        <w:t>Hieron</w:t>
      </w:r>
      <w:proofErr w:type="spellEnd"/>
      <w:r w:rsidR="009F0991">
        <w:t xml:space="preserve"> to continue with his plans through the character of </w:t>
      </w:r>
      <w:proofErr w:type="spellStart"/>
      <w:r w:rsidR="009F0991">
        <w:t>Arcesilas</w:t>
      </w:r>
      <w:proofErr w:type="spellEnd"/>
      <w:r w:rsidR="009F0991">
        <w:rPr>
          <w:rStyle w:val="FootnoteReference"/>
        </w:rPr>
        <w:footnoteReference w:id="25"/>
      </w:r>
      <w:r w:rsidR="009F0991">
        <w:t>.</w:t>
      </w:r>
      <w:r>
        <w:t xml:space="preserve"> </w:t>
      </w:r>
      <w:r>
        <w:rPr>
          <w:i/>
        </w:rPr>
        <w:t xml:space="preserve">Ode 5 for </w:t>
      </w:r>
      <w:proofErr w:type="spellStart"/>
      <w:r>
        <w:rPr>
          <w:i/>
        </w:rPr>
        <w:t>Hieron</w:t>
      </w:r>
      <w:proofErr w:type="spellEnd"/>
      <w:r>
        <w:rPr>
          <w:i/>
        </w:rPr>
        <w:t xml:space="preserve"> of Syracuse Single-Horse Victory at Olympia</w:t>
      </w:r>
      <w:r>
        <w:t xml:space="preserve"> is a little different because he speaks more about </w:t>
      </w:r>
      <w:proofErr w:type="spellStart"/>
      <w:r>
        <w:t>Hieron</w:t>
      </w:r>
      <w:proofErr w:type="spellEnd"/>
      <w:r>
        <w:t xml:space="preserve">, presenting the man as great before going on to narrate a lengthy tale about </w:t>
      </w:r>
      <w:r w:rsidR="00C35E8E">
        <w:t>i</w:t>
      </w:r>
      <w:r>
        <w:t>nescapable fate and how the gods favour certain people</w:t>
      </w:r>
      <w:r w:rsidR="009F0991">
        <w:rPr>
          <w:rStyle w:val="FootnoteReference"/>
        </w:rPr>
        <w:footnoteReference w:id="26"/>
      </w:r>
      <w:r>
        <w:t xml:space="preserve">, wishing such good fortune upon </w:t>
      </w:r>
      <w:proofErr w:type="spellStart"/>
      <w:r>
        <w:t>Hieron</w:t>
      </w:r>
      <w:proofErr w:type="spellEnd"/>
      <w:r w:rsidR="009F0991">
        <w:rPr>
          <w:rStyle w:val="FootnoteReference"/>
        </w:rPr>
        <w:footnoteReference w:id="27"/>
      </w:r>
      <w:r>
        <w:t xml:space="preserve">. Stern comments that the myth, especially </w:t>
      </w:r>
      <w:proofErr w:type="spellStart"/>
      <w:r>
        <w:t>Meleager’s</w:t>
      </w:r>
      <w:proofErr w:type="spellEnd"/>
      <w:r>
        <w:t xml:space="preserve"> section</w:t>
      </w:r>
      <w:r>
        <w:rPr>
          <w:rStyle w:val="FootnoteReference"/>
        </w:rPr>
        <w:footnoteReference w:id="28"/>
      </w:r>
      <w:r>
        <w:t>, is set out much like a Homeric epic</w:t>
      </w:r>
      <w:r>
        <w:rPr>
          <w:rStyle w:val="FootnoteReference"/>
        </w:rPr>
        <w:footnoteReference w:id="29"/>
      </w:r>
      <w:r>
        <w:t>. Indeed, the passage does read like the speeches of the Homeric epics, his use of epithets to honour those which he speaks of and the apparition of one lost in order to illustrate the shortcomings of humanity are reminiscent of Homer’s work</w:t>
      </w:r>
      <w:r>
        <w:rPr>
          <w:rStyle w:val="FootnoteReference"/>
        </w:rPr>
        <w:footnoteReference w:id="30"/>
      </w:r>
      <w:r>
        <w:t xml:space="preserve">. The continuous referencing of Zeus and many of the other gods in the two </w:t>
      </w:r>
      <w:proofErr w:type="spellStart"/>
      <w:r>
        <w:t>Bacchylides</w:t>
      </w:r>
      <w:proofErr w:type="spellEnd"/>
      <w:r>
        <w:t xml:space="preserve"> odes referenced also stems from the location. The events which </w:t>
      </w:r>
      <w:proofErr w:type="spellStart"/>
      <w:r>
        <w:t>Hieron</w:t>
      </w:r>
      <w:proofErr w:type="spellEnd"/>
      <w:r>
        <w:t xml:space="preserve"> has won in these two instances are both at Olympia where the temple of Zeus is along with many other temples to other gods</w:t>
      </w:r>
      <w:r>
        <w:rPr>
          <w:rStyle w:val="FootnoteReference"/>
        </w:rPr>
        <w:footnoteReference w:id="31"/>
      </w:r>
      <w:r>
        <w:t>. Furthermore, the games at Olympia were also dedicated to Zeus, hence his significant appearance in both of these odes</w:t>
      </w:r>
      <w:r>
        <w:rPr>
          <w:rStyle w:val="FootnoteReference"/>
        </w:rPr>
        <w:footnoteReference w:id="32"/>
      </w:r>
      <w:r>
        <w:t xml:space="preserve">. These myths are not always presented as positive tales, </w:t>
      </w:r>
      <w:proofErr w:type="spellStart"/>
      <w:r>
        <w:t>Bacchylides</w:t>
      </w:r>
      <w:proofErr w:type="spellEnd"/>
      <w:r>
        <w:t xml:space="preserve">’ </w:t>
      </w:r>
      <w:r>
        <w:rPr>
          <w:i/>
        </w:rPr>
        <w:t xml:space="preserve">Ode 5 for </w:t>
      </w:r>
      <w:proofErr w:type="spellStart"/>
      <w:r>
        <w:rPr>
          <w:i/>
        </w:rPr>
        <w:t>Hieron</w:t>
      </w:r>
      <w:proofErr w:type="spellEnd"/>
      <w:r>
        <w:rPr>
          <w:i/>
        </w:rPr>
        <w:t xml:space="preserve"> at Syracuse Single Horse Victory at Olympia</w:t>
      </w:r>
      <w:r>
        <w:t xml:space="preserve"> </w:t>
      </w:r>
      <w:r>
        <w:lastRenderedPageBreak/>
        <w:t xml:space="preserve">gives a rather sad and negative account to do with </w:t>
      </w:r>
      <w:proofErr w:type="spellStart"/>
      <w:r>
        <w:t>Meleager</w:t>
      </w:r>
      <w:proofErr w:type="spellEnd"/>
      <w:r>
        <w:t xml:space="preserve">. However, this just highlights the fortune of </w:t>
      </w:r>
      <w:proofErr w:type="spellStart"/>
      <w:r>
        <w:t>Hieron</w:t>
      </w:r>
      <w:proofErr w:type="spellEnd"/>
      <w:r>
        <w:t xml:space="preserve"> and how well everything has gone for him, whilst also humbling him</w:t>
      </w:r>
      <w:r>
        <w:rPr>
          <w:rStyle w:val="FootnoteReference"/>
        </w:rPr>
        <w:footnoteReference w:id="33"/>
      </w:r>
      <w:r>
        <w:t>.</w:t>
      </w:r>
      <w:r w:rsidR="00B21550">
        <w:t xml:space="preserve"> </w:t>
      </w:r>
      <w:proofErr w:type="spellStart"/>
      <w:r w:rsidR="00B21550">
        <w:t>Pitotto</w:t>
      </w:r>
      <w:proofErr w:type="spellEnd"/>
      <w:r w:rsidR="00B21550">
        <w:t xml:space="preserve"> also makes a comment on how a poet composes their odes in such a way</w:t>
      </w:r>
      <w:r w:rsidR="00067FE4">
        <w:t xml:space="preserve"> that allow for the existing values that a person presents can be emphasised</w:t>
      </w:r>
      <w:r w:rsidR="00067FE4">
        <w:rPr>
          <w:rStyle w:val="FootnoteReference"/>
        </w:rPr>
        <w:footnoteReference w:id="34"/>
      </w:r>
      <w:r w:rsidR="00067FE4">
        <w:t xml:space="preserve">. This can be seen with how both Pindar and </w:t>
      </w:r>
      <w:proofErr w:type="spellStart"/>
      <w:r w:rsidR="00067FE4">
        <w:t>Bacchylides</w:t>
      </w:r>
      <w:proofErr w:type="spellEnd"/>
      <w:r w:rsidR="00067FE4">
        <w:t xml:space="preserve"> treat </w:t>
      </w:r>
      <w:proofErr w:type="spellStart"/>
      <w:r w:rsidR="00067FE4">
        <w:t>Hieron</w:t>
      </w:r>
      <w:proofErr w:type="spellEnd"/>
      <w:r w:rsidR="00067FE4">
        <w:t xml:space="preserve"> within their works, he was a powerful tyrant that the people liked, as such, you can play on that, using mythology to work with the themes of </w:t>
      </w:r>
      <w:proofErr w:type="spellStart"/>
      <w:r w:rsidR="00067FE4">
        <w:t>Hieron’s</w:t>
      </w:r>
      <w:proofErr w:type="spellEnd"/>
      <w:r w:rsidR="00067FE4">
        <w:t xml:space="preserve"> propaganda</w:t>
      </w:r>
      <w:r w:rsidR="00067FE4">
        <w:rPr>
          <w:rStyle w:val="FootnoteReference"/>
        </w:rPr>
        <w:footnoteReference w:id="35"/>
      </w:r>
      <w:r w:rsidR="00067FE4">
        <w:t xml:space="preserve">. </w:t>
      </w:r>
      <w:r>
        <w:t xml:space="preserve"> </w:t>
      </w:r>
      <w:r w:rsidR="00067FE4">
        <w:t>Evidently</w:t>
      </w:r>
      <w:r>
        <w:t>, there is always some link between the myths, event and the ode; the myths are chosen in order to commemorate both the one for whom the ode is for and/or to celebrate the event.</w:t>
      </w:r>
    </w:p>
    <w:p w:rsidR="001268DE" w:rsidRDefault="001268DE" w:rsidP="001268DE">
      <w:r>
        <w:t>To conclude, the reason that one could infer a belief that the mythology included in epinician odes becomes more important than commemorating the victor themselves is due to the general structure and context. The mythology in the odes serves as a way of further establishing the greatness of the victor. However, sometimes this is done through the use of a myth containing negative themes or disaster in order to highlight the luck of the subject</w:t>
      </w:r>
      <w:r>
        <w:rPr>
          <w:rStyle w:val="FootnoteReference"/>
        </w:rPr>
        <w:footnoteReference w:id="36"/>
      </w:r>
      <w:r>
        <w:t xml:space="preserve">. As such, overall, the odes are focused on commemorating the victor but they also follow a structure which involves heavy usage of myths. </w:t>
      </w:r>
      <w:r w:rsidR="00EB3D8C">
        <w:t xml:space="preserve">Furthermore, they can also be used by an author to </w:t>
      </w:r>
      <w:r w:rsidR="00BE0DC2">
        <w:t>convey lessons to an audience, much as a Greek tragedy may do</w:t>
      </w:r>
      <w:r w:rsidR="00BE0DC2">
        <w:rPr>
          <w:rStyle w:val="FootnoteReference"/>
        </w:rPr>
        <w:footnoteReference w:id="37"/>
      </w:r>
      <w:r w:rsidR="00BE0DC2">
        <w:t xml:space="preserve">. </w:t>
      </w:r>
    </w:p>
    <w:p w:rsidR="001268DE" w:rsidRDefault="001268DE" w:rsidP="001268DE"/>
    <w:p w:rsidR="001268DE" w:rsidRDefault="00CC65CF">
      <w:r>
        <w:t>Word Count: 1426</w:t>
      </w:r>
    </w:p>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Default="00CC65CF"/>
    <w:p w:rsidR="00CC65CF" w:rsidRPr="00E928EE" w:rsidRDefault="007F75E6">
      <w:pPr>
        <w:rPr>
          <w:b/>
        </w:rPr>
      </w:pPr>
      <w:r w:rsidRPr="00E928EE">
        <w:rPr>
          <w:b/>
          <w:u w:val="single"/>
        </w:rPr>
        <w:lastRenderedPageBreak/>
        <w:t>Bibliography</w:t>
      </w:r>
    </w:p>
    <w:p w:rsidR="00E928EE" w:rsidRPr="00725A84" w:rsidRDefault="00E928EE">
      <w:r>
        <w:t>Cairns</w:t>
      </w:r>
      <w:r w:rsidR="00725A84">
        <w:t xml:space="preserve">, D.L. (2011) </w:t>
      </w:r>
      <w:r w:rsidR="00725A84" w:rsidRPr="00725A84">
        <w:rPr>
          <w:i/>
        </w:rPr>
        <w:t xml:space="preserve">The Principle </w:t>
      </w:r>
      <w:proofErr w:type="gramStart"/>
      <w:r w:rsidR="00725A84" w:rsidRPr="00725A84">
        <w:rPr>
          <w:i/>
        </w:rPr>
        <w:t>Of</w:t>
      </w:r>
      <w:proofErr w:type="gramEnd"/>
      <w:r w:rsidR="00725A84" w:rsidRPr="00725A84">
        <w:rPr>
          <w:i/>
        </w:rPr>
        <w:t xml:space="preserve"> Alternation And The Tyrant's Happiness In </w:t>
      </w:r>
      <w:proofErr w:type="spellStart"/>
      <w:r w:rsidR="00725A84" w:rsidRPr="00725A84">
        <w:rPr>
          <w:i/>
        </w:rPr>
        <w:t>Bacchylidean</w:t>
      </w:r>
      <w:proofErr w:type="spellEnd"/>
      <w:r w:rsidR="00725A84" w:rsidRPr="00725A84">
        <w:rPr>
          <w:i/>
        </w:rPr>
        <w:t xml:space="preserve"> Epinician</w:t>
      </w:r>
      <w:r w:rsidR="00725A84">
        <w:rPr>
          <w:i/>
        </w:rPr>
        <w:t xml:space="preserve">. </w:t>
      </w:r>
      <w:r w:rsidR="00725A84">
        <w:t xml:space="preserve">University of Edinburgh </w:t>
      </w:r>
    </w:p>
    <w:p w:rsidR="00E928EE" w:rsidRPr="00E9238B" w:rsidRDefault="00E928EE">
      <w:r>
        <w:t>Cummins</w:t>
      </w:r>
      <w:r w:rsidR="00E9238B">
        <w:t xml:space="preserve">, M.F. (2010) </w:t>
      </w:r>
      <w:r w:rsidR="00E9238B" w:rsidRPr="00E9238B">
        <w:rPr>
          <w:i/>
        </w:rPr>
        <w:t xml:space="preserve">Sicilian Tyrants </w:t>
      </w:r>
      <w:proofErr w:type="gramStart"/>
      <w:r w:rsidR="00E9238B" w:rsidRPr="00E9238B">
        <w:rPr>
          <w:i/>
        </w:rPr>
        <w:t>And</w:t>
      </w:r>
      <w:proofErr w:type="gramEnd"/>
      <w:r w:rsidR="00E9238B" w:rsidRPr="00E9238B">
        <w:rPr>
          <w:i/>
        </w:rPr>
        <w:t xml:space="preserve"> Their Victorious Brothers Ii: The </w:t>
      </w:r>
      <w:proofErr w:type="spellStart"/>
      <w:r w:rsidR="00E9238B" w:rsidRPr="00E9238B">
        <w:rPr>
          <w:i/>
        </w:rPr>
        <w:t>Deinomenids</w:t>
      </w:r>
      <w:proofErr w:type="spellEnd"/>
      <w:r w:rsidR="00E9238B">
        <w:rPr>
          <w:i/>
        </w:rPr>
        <w:t xml:space="preserve">. </w:t>
      </w:r>
      <w:r w:rsidR="00E9238B">
        <w:t>The Classical Journal, Vol. 106, No. 1</w:t>
      </w:r>
      <w:r w:rsidR="00E9238B">
        <w:t>.</w:t>
      </w:r>
      <w:r w:rsidR="00E9238B">
        <w:t xml:space="preserve"> </w:t>
      </w:r>
      <w:r w:rsidR="00E9238B">
        <w:t>P</w:t>
      </w:r>
      <w:r w:rsidR="00E9238B">
        <w:t>p. 1-20</w:t>
      </w:r>
    </w:p>
    <w:p w:rsidR="00E928EE" w:rsidRPr="00E9238B" w:rsidRDefault="00E928EE">
      <w:r>
        <w:t>Hornblower</w:t>
      </w:r>
      <w:r w:rsidR="00E9238B">
        <w:t xml:space="preserve">, S. (2016) </w:t>
      </w:r>
      <w:r w:rsidR="00E9238B">
        <w:rPr>
          <w:i/>
        </w:rPr>
        <w:t>Epinician Poetry</w:t>
      </w:r>
      <w:r w:rsidR="00E9238B">
        <w:t>. Oxford Classical Dictionary.</w:t>
      </w:r>
    </w:p>
    <w:p w:rsidR="00E928EE" w:rsidRPr="00E9238B" w:rsidRDefault="00E928EE">
      <w:r>
        <w:t>Morgan</w:t>
      </w:r>
      <w:r w:rsidR="00725A84">
        <w:t>, K.A.</w:t>
      </w:r>
      <w:r w:rsidR="00E9238B">
        <w:t xml:space="preserve"> (2015)</w:t>
      </w:r>
      <w:r w:rsidR="00725A84">
        <w:t xml:space="preserve"> </w:t>
      </w:r>
      <w:r w:rsidR="00725A84" w:rsidRPr="00725A84">
        <w:rPr>
          <w:i/>
        </w:rPr>
        <w:t>Pindar and the Construction of Syracusan Monarchy in the Fifth Century B.C.</w:t>
      </w:r>
      <w:r w:rsidR="00725A84">
        <w:rPr>
          <w:i/>
        </w:rPr>
        <w:t xml:space="preserve"> </w:t>
      </w:r>
      <w:r w:rsidR="00E9238B">
        <w:t>Oxford Scholarship Online</w:t>
      </w:r>
    </w:p>
    <w:p w:rsidR="00E928EE" w:rsidRPr="00E9238B" w:rsidRDefault="00E928EE">
      <w:proofErr w:type="spellStart"/>
      <w:r>
        <w:t>Pitotto</w:t>
      </w:r>
      <w:proofErr w:type="spellEnd"/>
      <w:r w:rsidR="00E9238B">
        <w:t xml:space="preserve">, E. (2014) </w:t>
      </w:r>
      <w:r w:rsidR="00E9238B" w:rsidRPr="00E9238B">
        <w:rPr>
          <w:i/>
        </w:rPr>
        <w:t xml:space="preserve">Olympia and Syracuse, the Polis and </w:t>
      </w:r>
      <w:proofErr w:type="spellStart"/>
      <w:r w:rsidR="00E9238B" w:rsidRPr="00E9238B">
        <w:rPr>
          <w:i/>
        </w:rPr>
        <w:t>Panhellas</w:t>
      </w:r>
      <w:proofErr w:type="spellEnd"/>
      <w:r w:rsidR="00E9238B" w:rsidRPr="00E9238B">
        <w:rPr>
          <w:i/>
        </w:rPr>
        <w:t xml:space="preserve"> in the </w:t>
      </w:r>
      <w:proofErr w:type="spellStart"/>
      <w:r w:rsidR="00E9238B" w:rsidRPr="00E9238B">
        <w:rPr>
          <w:i/>
        </w:rPr>
        <w:t>Epinicians</w:t>
      </w:r>
      <w:proofErr w:type="spellEnd"/>
      <w:r w:rsidR="00E9238B" w:rsidRPr="00E9238B">
        <w:rPr>
          <w:i/>
        </w:rPr>
        <w:t xml:space="preserve"> for </w:t>
      </w:r>
      <w:proofErr w:type="spellStart"/>
      <w:r w:rsidR="00E9238B" w:rsidRPr="00E9238B">
        <w:rPr>
          <w:i/>
        </w:rPr>
        <w:t>Hieron</w:t>
      </w:r>
      <w:proofErr w:type="spellEnd"/>
      <w:r w:rsidR="00E9238B">
        <w:t xml:space="preserve">. </w:t>
      </w:r>
      <w:r w:rsidR="00E9238B">
        <w:t>Classical World, vol. 108, no. 1</w:t>
      </w:r>
      <w:r w:rsidR="00E9238B">
        <w:t>.</w:t>
      </w:r>
      <w:r w:rsidR="00E9238B">
        <w:t xml:space="preserve"> Pp.3–26</w:t>
      </w:r>
    </w:p>
    <w:p w:rsidR="00E928EE" w:rsidRPr="00725A84" w:rsidRDefault="00E928EE">
      <w:r>
        <w:t>Rutherford</w:t>
      </w:r>
      <w:r w:rsidR="00725A84">
        <w:t xml:space="preserve">, R. (2005). </w:t>
      </w:r>
      <w:r w:rsidR="00725A84">
        <w:rPr>
          <w:i/>
        </w:rPr>
        <w:t xml:space="preserve">Blackwell Introduction to the Classical World: Classical Literature </w:t>
      </w:r>
      <w:proofErr w:type="gramStart"/>
      <w:r w:rsidR="00725A84">
        <w:rPr>
          <w:i/>
        </w:rPr>
        <w:t>A</w:t>
      </w:r>
      <w:proofErr w:type="gramEnd"/>
      <w:r w:rsidR="00725A84">
        <w:rPr>
          <w:i/>
        </w:rPr>
        <w:t xml:space="preserve"> </w:t>
      </w:r>
      <w:proofErr w:type="spellStart"/>
      <w:r w:rsidR="00725A84">
        <w:rPr>
          <w:i/>
        </w:rPr>
        <w:t>Consise</w:t>
      </w:r>
      <w:proofErr w:type="spellEnd"/>
      <w:r w:rsidR="00725A84">
        <w:rPr>
          <w:i/>
        </w:rPr>
        <w:t xml:space="preserve"> History</w:t>
      </w:r>
      <w:r w:rsidR="00725A84">
        <w:t>. Blackwell Publishing.</w:t>
      </w:r>
    </w:p>
    <w:p w:rsidR="00E928EE" w:rsidRDefault="00E928EE">
      <w:r>
        <w:t>Stern</w:t>
      </w:r>
      <w:r w:rsidR="00725A84">
        <w:t xml:space="preserve">, J. (1966) </w:t>
      </w:r>
      <w:r w:rsidR="00725A84" w:rsidRPr="00725A84">
        <w:rPr>
          <w:i/>
        </w:rPr>
        <w:t xml:space="preserve">The Imagery of </w:t>
      </w:r>
      <w:proofErr w:type="spellStart"/>
      <w:r w:rsidR="00725A84" w:rsidRPr="00725A84">
        <w:rPr>
          <w:i/>
        </w:rPr>
        <w:t>Bacchylides</w:t>
      </w:r>
      <w:proofErr w:type="spellEnd"/>
      <w:r w:rsidR="00725A84" w:rsidRPr="00725A84">
        <w:rPr>
          <w:i/>
        </w:rPr>
        <w:t>’ Ode 5</w:t>
      </w:r>
      <w:r w:rsidR="00725A84">
        <w:t>. University of New York</w:t>
      </w:r>
    </w:p>
    <w:p w:rsidR="00E928EE" w:rsidRDefault="00E928EE">
      <w:r>
        <w:t>Ulrich</w:t>
      </w:r>
      <w:r w:rsidR="00A23301">
        <w:t>, S. (2006</w:t>
      </w:r>
      <w:proofErr w:type="gramStart"/>
      <w:r w:rsidR="00A23301">
        <w:t xml:space="preserve">) </w:t>
      </w:r>
      <w:r w:rsidR="00A23301" w:rsidRPr="00A23301">
        <w:t> </w:t>
      </w:r>
      <w:r w:rsidR="00A23301" w:rsidRPr="00A23301">
        <w:rPr>
          <w:i/>
        </w:rPr>
        <w:t>Olympia</w:t>
      </w:r>
      <w:proofErr w:type="gramEnd"/>
      <w:r w:rsidR="00A23301">
        <w:t>.</w:t>
      </w:r>
      <w:r w:rsidR="00A23301" w:rsidRPr="00A23301">
        <w:t xml:space="preserve"> </w:t>
      </w:r>
      <w:r w:rsidR="00A23301" w:rsidRPr="00A23301">
        <w:t>I</w:t>
      </w:r>
      <w:r w:rsidR="00A23301" w:rsidRPr="00A23301">
        <w:t xml:space="preserve">n: Brill’s New Pauly, Antiquity volumes edited by: Hubert </w:t>
      </w:r>
      <w:proofErr w:type="spellStart"/>
      <w:r w:rsidR="00A23301" w:rsidRPr="00A23301">
        <w:t>Cancik</w:t>
      </w:r>
      <w:proofErr w:type="spellEnd"/>
      <w:r w:rsidR="00A23301" w:rsidRPr="00A23301">
        <w:t xml:space="preserve"> </w:t>
      </w:r>
      <w:proofErr w:type="gramStart"/>
      <w:r w:rsidR="00A23301" w:rsidRPr="00A23301">
        <w:t>and ,</w:t>
      </w:r>
      <w:proofErr w:type="gramEnd"/>
      <w:r w:rsidR="00A23301" w:rsidRPr="00A23301">
        <w:t xml:space="preserve"> Helmuth Schneider, English Edition by: Christine F. Salazar, Classical Tradition volumes edited by: Manfred </w:t>
      </w:r>
      <w:proofErr w:type="spellStart"/>
      <w:r w:rsidR="00A23301" w:rsidRPr="00A23301">
        <w:t>Landfester</w:t>
      </w:r>
      <w:proofErr w:type="spellEnd"/>
      <w:r w:rsidR="00A23301" w:rsidRPr="00A23301">
        <w:t>, English Edition by: Francis G. Gentry. Consulted online on 22 January 2019</w:t>
      </w:r>
    </w:p>
    <w:p w:rsidR="00E928EE" w:rsidRDefault="00E928EE">
      <w:r>
        <w:t>Wolfgang</w:t>
      </w:r>
      <w:r w:rsidR="00E9238B">
        <w:t>, D. (2006)</w:t>
      </w:r>
      <w:r w:rsidR="00E9238B" w:rsidRPr="001A5632">
        <w:t xml:space="preserve"> </w:t>
      </w:r>
      <w:proofErr w:type="spellStart"/>
      <w:r w:rsidR="001A5632" w:rsidRPr="00A23301">
        <w:rPr>
          <w:i/>
        </w:rPr>
        <w:t>Isthmia</w:t>
      </w:r>
      <w:proofErr w:type="spellEnd"/>
      <w:r w:rsidR="00A23301">
        <w:t>.</w:t>
      </w:r>
      <w:r w:rsidR="001A5632" w:rsidRPr="001A5632">
        <w:t xml:space="preserve"> </w:t>
      </w:r>
      <w:r w:rsidR="00A23301">
        <w:t>I</w:t>
      </w:r>
      <w:r w:rsidR="001A5632" w:rsidRPr="001A5632">
        <w:t xml:space="preserve">n: Brill’s New Pauly, Antiquity volumes edited by: Hubert </w:t>
      </w:r>
      <w:proofErr w:type="spellStart"/>
      <w:r w:rsidR="001A5632" w:rsidRPr="001A5632">
        <w:t>Cancik</w:t>
      </w:r>
      <w:proofErr w:type="spellEnd"/>
      <w:r w:rsidR="001A5632" w:rsidRPr="001A5632">
        <w:t xml:space="preserve"> </w:t>
      </w:r>
      <w:proofErr w:type="gramStart"/>
      <w:r w:rsidR="001A5632" w:rsidRPr="001A5632">
        <w:t>and ,</w:t>
      </w:r>
      <w:proofErr w:type="gramEnd"/>
      <w:r w:rsidR="001A5632" w:rsidRPr="001A5632">
        <w:t xml:space="preserve"> Helmuth Schneider, English Edition by: Christine F. Salazar, Classical Tradition volumes edited by: Manfred </w:t>
      </w:r>
      <w:proofErr w:type="spellStart"/>
      <w:r w:rsidR="001A5632" w:rsidRPr="001A5632">
        <w:t>Landfester</w:t>
      </w:r>
      <w:proofErr w:type="spellEnd"/>
      <w:r w:rsidR="001A5632" w:rsidRPr="001A5632">
        <w:t>, English Edition by: Francis G. Gentry. Consulted online on 22 January 2019</w:t>
      </w:r>
    </w:p>
    <w:p w:rsidR="007F75E6" w:rsidRDefault="007F75E6"/>
    <w:p w:rsidR="00E928EE" w:rsidRDefault="00E928EE">
      <w:pPr>
        <w:rPr>
          <w:u w:val="single"/>
        </w:rPr>
      </w:pPr>
      <w:r>
        <w:rPr>
          <w:u w:val="single"/>
        </w:rPr>
        <w:t>Ancient Sources</w:t>
      </w:r>
    </w:p>
    <w:p w:rsidR="00E928EE" w:rsidRDefault="00E928EE" w:rsidP="00E928EE">
      <w:proofErr w:type="spellStart"/>
      <w:r w:rsidRPr="00E928EE">
        <w:t>Bacchylides</w:t>
      </w:r>
      <w:proofErr w:type="spellEnd"/>
      <w:r>
        <w:t xml:space="preserve">, </w:t>
      </w:r>
      <w:r w:rsidRPr="00E928EE">
        <w:t>Ode</w:t>
      </w:r>
      <w:r>
        <w:t xml:space="preserve"> 3</w:t>
      </w:r>
      <w:r w:rsidRPr="00E928EE">
        <w:t>.</w:t>
      </w:r>
      <w:r w:rsidRPr="00E928EE">
        <w:t xml:space="preserve"> Diane </w:t>
      </w:r>
      <w:proofErr w:type="spellStart"/>
      <w:r w:rsidRPr="00E928EE">
        <w:t>Arnson</w:t>
      </w:r>
      <w:proofErr w:type="spellEnd"/>
      <w:r w:rsidRPr="00E928EE">
        <w:t xml:space="preserve"> </w:t>
      </w:r>
      <w:proofErr w:type="spellStart"/>
      <w:r w:rsidRPr="00E928EE">
        <w:t>Svarlien</w:t>
      </w:r>
      <w:proofErr w:type="spellEnd"/>
      <w:r>
        <w:t xml:space="preserve"> (trans)</w:t>
      </w:r>
      <w:r w:rsidRPr="00E928EE">
        <w:t>. 1991.</w:t>
      </w:r>
    </w:p>
    <w:p w:rsidR="00E928EE" w:rsidRDefault="00E928EE" w:rsidP="00E928EE">
      <w:proofErr w:type="spellStart"/>
      <w:r w:rsidRPr="00E928EE">
        <w:t>Bacchylides</w:t>
      </w:r>
      <w:proofErr w:type="spellEnd"/>
      <w:r>
        <w:t xml:space="preserve">, </w:t>
      </w:r>
      <w:r w:rsidRPr="00E928EE">
        <w:t>Ode</w:t>
      </w:r>
      <w:r>
        <w:t xml:space="preserve"> </w:t>
      </w:r>
      <w:r>
        <w:t>5</w:t>
      </w:r>
      <w:r w:rsidRPr="00E928EE">
        <w:t xml:space="preserve">. Diane </w:t>
      </w:r>
      <w:proofErr w:type="spellStart"/>
      <w:r w:rsidRPr="00E928EE">
        <w:t>Arnson</w:t>
      </w:r>
      <w:proofErr w:type="spellEnd"/>
      <w:r w:rsidRPr="00E928EE">
        <w:t xml:space="preserve"> </w:t>
      </w:r>
      <w:proofErr w:type="spellStart"/>
      <w:r w:rsidRPr="00E928EE">
        <w:t>Svarlien</w:t>
      </w:r>
      <w:proofErr w:type="spellEnd"/>
      <w:r>
        <w:t xml:space="preserve"> (trans)</w:t>
      </w:r>
      <w:r w:rsidRPr="00E928EE">
        <w:t>. 1991.</w:t>
      </w:r>
    </w:p>
    <w:p w:rsidR="00E928EE" w:rsidRDefault="00E928EE" w:rsidP="00E928EE">
      <w:r>
        <w:t>Homer</w:t>
      </w:r>
      <w:r w:rsidR="003B7726">
        <w:t>,</w:t>
      </w:r>
      <w:r>
        <w:t xml:space="preserve"> Odyssey.</w:t>
      </w:r>
      <w:r w:rsidR="00154689">
        <w:t xml:space="preserve"> E.V. </w:t>
      </w:r>
      <w:proofErr w:type="spellStart"/>
      <w:r w:rsidR="00154689">
        <w:t>Rieu</w:t>
      </w:r>
      <w:proofErr w:type="spellEnd"/>
      <w:r w:rsidR="00154689">
        <w:t xml:space="preserve"> (trans). 1946. London: Penguin Group.</w:t>
      </w:r>
    </w:p>
    <w:p w:rsidR="00E928EE" w:rsidRDefault="00725A84" w:rsidP="00E928EE">
      <w:r w:rsidRPr="00E928EE">
        <w:t>Pindar</w:t>
      </w:r>
      <w:r>
        <w:t>,</w:t>
      </w:r>
      <w:r w:rsidRPr="00E928EE">
        <w:t xml:space="preserve"> </w:t>
      </w:r>
      <w:r w:rsidR="00E928EE" w:rsidRPr="00E928EE">
        <w:t>Odes</w:t>
      </w:r>
      <w:r>
        <w:t>, Isthmian 1</w:t>
      </w:r>
      <w:r w:rsidR="00E928EE" w:rsidRPr="00E928EE">
        <w:t xml:space="preserve">. Diane </w:t>
      </w:r>
      <w:proofErr w:type="spellStart"/>
      <w:r w:rsidR="00E928EE" w:rsidRPr="00E928EE">
        <w:t>Arnson</w:t>
      </w:r>
      <w:proofErr w:type="spellEnd"/>
      <w:r w:rsidR="00E928EE" w:rsidRPr="00E928EE">
        <w:t xml:space="preserve"> </w:t>
      </w:r>
      <w:proofErr w:type="spellStart"/>
      <w:r w:rsidR="00E928EE" w:rsidRPr="00E928EE">
        <w:t>Svarlien</w:t>
      </w:r>
      <w:proofErr w:type="spellEnd"/>
      <w:r>
        <w:t xml:space="preserve"> (trans)</w:t>
      </w:r>
      <w:r w:rsidR="00E928EE" w:rsidRPr="00E928EE">
        <w:t>. 1990.</w:t>
      </w:r>
    </w:p>
    <w:p w:rsidR="00E928EE" w:rsidRPr="00E928EE" w:rsidRDefault="00E928EE" w:rsidP="00E928EE">
      <w:proofErr w:type="spellStart"/>
      <w:r>
        <w:t>Ibycus</w:t>
      </w:r>
      <w:proofErr w:type="spellEnd"/>
      <w:r>
        <w:t xml:space="preserve"> Fragments 322-325</w:t>
      </w:r>
      <w:bookmarkStart w:id="0" w:name="_GoBack"/>
      <w:bookmarkEnd w:id="0"/>
      <w:r w:rsidR="00154689">
        <w:t>. 1991. Loeb Classical Library.</w:t>
      </w:r>
    </w:p>
    <w:sectPr w:rsidR="00E928EE" w:rsidRPr="00E928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3E95" w:rsidRDefault="00DF3E95" w:rsidP="001268DE">
      <w:pPr>
        <w:spacing w:after="0" w:line="240" w:lineRule="auto"/>
      </w:pPr>
      <w:r>
        <w:separator/>
      </w:r>
    </w:p>
  </w:endnote>
  <w:endnote w:type="continuationSeparator" w:id="0">
    <w:p w:rsidR="00DF3E95" w:rsidRDefault="00DF3E95" w:rsidP="00126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3E95" w:rsidRDefault="00DF3E95" w:rsidP="001268DE">
      <w:pPr>
        <w:spacing w:after="0" w:line="240" w:lineRule="auto"/>
      </w:pPr>
      <w:r>
        <w:separator/>
      </w:r>
    </w:p>
  </w:footnote>
  <w:footnote w:type="continuationSeparator" w:id="0">
    <w:p w:rsidR="00DF3E95" w:rsidRDefault="00DF3E95" w:rsidP="001268DE">
      <w:pPr>
        <w:spacing w:after="0" w:line="240" w:lineRule="auto"/>
      </w:pPr>
      <w:r>
        <w:continuationSeparator/>
      </w:r>
    </w:p>
  </w:footnote>
  <w:footnote w:id="1">
    <w:p w:rsidR="001268DE" w:rsidRDefault="001268DE" w:rsidP="001268DE">
      <w:pPr>
        <w:pStyle w:val="FootnoteText"/>
      </w:pPr>
      <w:r>
        <w:rPr>
          <w:rStyle w:val="FootnoteReference"/>
        </w:rPr>
        <w:footnoteRef/>
      </w:r>
      <w:r>
        <w:t xml:space="preserve"> Rutherford. 2005. 176</w:t>
      </w:r>
    </w:p>
  </w:footnote>
  <w:footnote w:id="2">
    <w:p w:rsidR="001268DE" w:rsidRDefault="001268DE" w:rsidP="001268DE">
      <w:pPr>
        <w:pStyle w:val="FootnoteText"/>
      </w:pPr>
      <w:r>
        <w:rPr>
          <w:rStyle w:val="FootnoteReference"/>
        </w:rPr>
        <w:footnoteRef/>
      </w:r>
      <w:r>
        <w:t xml:space="preserve"> Hornblower. 2006</w:t>
      </w:r>
    </w:p>
  </w:footnote>
  <w:footnote w:id="3">
    <w:p w:rsidR="001268DE" w:rsidRDefault="001268DE" w:rsidP="001268DE">
      <w:pPr>
        <w:pStyle w:val="FootnoteText"/>
      </w:pPr>
      <w:r>
        <w:rPr>
          <w:rStyle w:val="FootnoteReference"/>
        </w:rPr>
        <w:footnoteRef/>
      </w:r>
      <w:r>
        <w:t xml:space="preserve"> Rutherford. 2005. 176</w:t>
      </w:r>
    </w:p>
  </w:footnote>
  <w:footnote w:id="4">
    <w:p w:rsidR="001268DE" w:rsidRDefault="001268DE" w:rsidP="001268DE">
      <w:pPr>
        <w:pStyle w:val="FootnoteText"/>
      </w:pPr>
      <w:r>
        <w:rPr>
          <w:rStyle w:val="FootnoteReference"/>
        </w:rPr>
        <w:footnoteRef/>
      </w:r>
      <w:r>
        <w:t xml:space="preserve"> Morgan. 2015</w:t>
      </w:r>
    </w:p>
  </w:footnote>
  <w:footnote w:id="5">
    <w:p w:rsidR="001268DE" w:rsidRDefault="001268DE" w:rsidP="001268DE">
      <w:pPr>
        <w:pStyle w:val="FootnoteText"/>
      </w:pPr>
      <w:r>
        <w:rPr>
          <w:rStyle w:val="FootnoteReference"/>
        </w:rPr>
        <w:footnoteRef/>
      </w:r>
      <w:r>
        <w:t xml:space="preserve"> Rutherford. 2005. 178</w:t>
      </w:r>
    </w:p>
  </w:footnote>
  <w:footnote w:id="6">
    <w:p w:rsidR="001268DE" w:rsidRDefault="001268DE" w:rsidP="001268DE">
      <w:pPr>
        <w:pStyle w:val="FootnoteText"/>
      </w:pPr>
      <w:r>
        <w:rPr>
          <w:rStyle w:val="FootnoteReference"/>
        </w:rPr>
        <w:footnoteRef/>
      </w:r>
      <w:r>
        <w:t xml:space="preserve"> </w:t>
      </w:r>
      <w:proofErr w:type="spellStart"/>
      <w:r w:rsidR="0068409B">
        <w:t>Bacchylides</w:t>
      </w:r>
      <w:proofErr w:type="spellEnd"/>
      <w:r w:rsidR="0068409B">
        <w:t xml:space="preserve">. Ode </w:t>
      </w:r>
      <w:r w:rsidR="006A1BA2">
        <w:t>5</w:t>
      </w:r>
      <w:r w:rsidR="0068409B">
        <w:t>. 1-16</w:t>
      </w:r>
    </w:p>
  </w:footnote>
  <w:footnote w:id="7">
    <w:p w:rsidR="001268DE" w:rsidRDefault="001268DE" w:rsidP="001268DE">
      <w:pPr>
        <w:pStyle w:val="FootnoteText"/>
      </w:pPr>
      <w:r>
        <w:rPr>
          <w:rStyle w:val="FootnoteReference"/>
        </w:rPr>
        <w:footnoteRef/>
      </w:r>
      <w:r>
        <w:t xml:space="preserve"> </w:t>
      </w:r>
      <w:proofErr w:type="spellStart"/>
      <w:r w:rsidR="006A1BA2">
        <w:t>Bacchylides</w:t>
      </w:r>
      <w:proofErr w:type="spellEnd"/>
      <w:r w:rsidR="006A1BA2">
        <w:t>. Ode 5. 16-195</w:t>
      </w:r>
    </w:p>
  </w:footnote>
  <w:footnote w:id="8">
    <w:p w:rsidR="001268DE" w:rsidRDefault="001268DE" w:rsidP="001268DE">
      <w:pPr>
        <w:pStyle w:val="FootnoteText"/>
      </w:pPr>
      <w:r>
        <w:rPr>
          <w:rStyle w:val="FootnoteReference"/>
        </w:rPr>
        <w:footnoteRef/>
      </w:r>
      <w:r>
        <w:t xml:space="preserve"> </w:t>
      </w:r>
      <w:proofErr w:type="spellStart"/>
      <w:r w:rsidR="006A1BA2">
        <w:t>Ibycus</w:t>
      </w:r>
      <w:proofErr w:type="spellEnd"/>
      <w:r w:rsidR="006A1BA2">
        <w:t xml:space="preserve">. </w:t>
      </w:r>
      <w:proofErr w:type="spellStart"/>
      <w:r w:rsidR="006A1BA2">
        <w:t>Frr</w:t>
      </w:r>
      <w:proofErr w:type="spellEnd"/>
      <w:r w:rsidR="006A1BA2">
        <w:t xml:space="preserve"> 322-325</w:t>
      </w:r>
    </w:p>
  </w:footnote>
  <w:footnote w:id="9">
    <w:p w:rsidR="001268DE" w:rsidRDefault="001268DE" w:rsidP="001268DE">
      <w:pPr>
        <w:pStyle w:val="FootnoteText"/>
      </w:pPr>
      <w:r>
        <w:rPr>
          <w:rStyle w:val="FootnoteReference"/>
        </w:rPr>
        <w:footnoteRef/>
      </w:r>
      <w:r>
        <w:t xml:space="preserve"> Rutherford. 2005. 176</w:t>
      </w:r>
    </w:p>
  </w:footnote>
  <w:footnote w:id="10">
    <w:p w:rsidR="001268DE" w:rsidRDefault="001268DE" w:rsidP="001268DE">
      <w:pPr>
        <w:pStyle w:val="FootnoteText"/>
      </w:pPr>
      <w:r>
        <w:rPr>
          <w:rStyle w:val="FootnoteReference"/>
        </w:rPr>
        <w:footnoteRef/>
      </w:r>
      <w:r>
        <w:t xml:space="preserve"> </w:t>
      </w:r>
      <w:r w:rsidR="00715EB9">
        <w:t>Rutherford. 2005. 180</w:t>
      </w:r>
    </w:p>
  </w:footnote>
  <w:footnote w:id="11">
    <w:p w:rsidR="001268DE" w:rsidRDefault="001268DE" w:rsidP="001268DE">
      <w:pPr>
        <w:pStyle w:val="FootnoteText"/>
      </w:pPr>
      <w:r>
        <w:rPr>
          <w:rStyle w:val="FootnoteReference"/>
        </w:rPr>
        <w:footnoteRef/>
      </w:r>
      <w:r>
        <w:t xml:space="preserve"> </w:t>
      </w:r>
      <w:proofErr w:type="spellStart"/>
      <w:r w:rsidR="006A1BA2">
        <w:t>Bacchylides</w:t>
      </w:r>
      <w:proofErr w:type="spellEnd"/>
      <w:r w:rsidR="006A1BA2">
        <w:t>. Ode 3. 1-21</w:t>
      </w:r>
    </w:p>
  </w:footnote>
  <w:footnote w:id="12">
    <w:p w:rsidR="001268DE" w:rsidRDefault="001268DE" w:rsidP="001268DE">
      <w:pPr>
        <w:pStyle w:val="FootnoteText"/>
      </w:pPr>
      <w:r>
        <w:rPr>
          <w:rStyle w:val="FootnoteReference"/>
        </w:rPr>
        <w:footnoteRef/>
      </w:r>
      <w:r>
        <w:t xml:space="preserve"> </w:t>
      </w:r>
      <w:proofErr w:type="spellStart"/>
      <w:r w:rsidR="006A1BA2">
        <w:t>Bachylides</w:t>
      </w:r>
      <w:proofErr w:type="spellEnd"/>
      <w:r w:rsidR="006A1BA2">
        <w:t>. Ode 3. 21-85</w:t>
      </w:r>
    </w:p>
  </w:footnote>
  <w:footnote w:id="13">
    <w:p w:rsidR="001268DE" w:rsidRDefault="001268DE" w:rsidP="001268DE">
      <w:pPr>
        <w:pStyle w:val="FootnoteText"/>
      </w:pPr>
      <w:r>
        <w:rPr>
          <w:rStyle w:val="FootnoteReference"/>
        </w:rPr>
        <w:footnoteRef/>
      </w:r>
      <w:r>
        <w:t xml:space="preserve"> Stern. 1966. 37</w:t>
      </w:r>
    </w:p>
  </w:footnote>
  <w:footnote w:id="14">
    <w:p w:rsidR="001268DE" w:rsidRDefault="001268DE" w:rsidP="001268DE">
      <w:pPr>
        <w:pStyle w:val="FootnoteText"/>
      </w:pPr>
      <w:r>
        <w:rPr>
          <w:rStyle w:val="FootnoteReference"/>
        </w:rPr>
        <w:footnoteRef/>
      </w:r>
      <w:r>
        <w:t xml:space="preserve"> </w:t>
      </w:r>
      <w:proofErr w:type="spellStart"/>
      <w:r w:rsidR="006A1BA2">
        <w:t>Bacchylides</w:t>
      </w:r>
      <w:proofErr w:type="spellEnd"/>
      <w:r w:rsidR="006A1BA2">
        <w:t>. Ode 5. 180-191</w:t>
      </w:r>
    </w:p>
  </w:footnote>
  <w:footnote w:id="15">
    <w:p w:rsidR="001268DE" w:rsidRDefault="001268DE" w:rsidP="001268DE">
      <w:pPr>
        <w:pStyle w:val="FootnoteText"/>
      </w:pPr>
      <w:r>
        <w:rPr>
          <w:rStyle w:val="FootnoteReference"/>
        </w:rPr>
        <w:footnoteRef/>
      </w:r>
      <w:r>
        <w:t xml:space="preserve"> </w:t>
      </w:r>
      <w:proofErr w:type="spellStart"/>
      <w:r w:rsidR="00DC1876">
        <w:t>Pindar.Isthmian</w:t>
      </w:r>
      <w:proofErr w:type="spellEnd"/>
      <w:r w:rsidR="00DC1876">
        <w:t xml:space="preserve"> 1. 60-70</w:t>
      </w:r>
    </w:p>
  </w:footnote>
  <w:footnote w:id="16">
    <w:p w:rsidR="001268DE" w:rsidRDefault="001268DE" w:rsidP="001268DE">
      <w:pPr>
        <w:pStyle w:val="FootnoteText"/>
      </w:pPr>
      <w:r>
        <w:rPr>
          <w:rStyle w:val="FootnoteReference"/>
        </w:rPr>
        <w:footnoteRef/>
      </w:r>
      <w:r>
        <w:t xml:space="preserve"> Stern. 1966. 41</w:t>
      </w:r>
    </w:p>
  </w:footnote>
  <w:footnote w:id="17">
    <w:p w:rsidR="001268DE" w:rsidRDefault="001268DE" w:rsidP="001268DE">
      <w:pPr>
        <w:pStyle w:val="FootnoteText"/>
      </w:pPr>
      <w:r>
        <w:rPr>
          <w:rStyle w:val="FootnoteReference"/>
        </w:rPr>
        <w:footnoteRef/>
      </w:r>
      <w:r>
        <w:t xml:space="preserve"> Wolfgang. 2006</w:t>
      </w:r>
    </w:p>
  </w:footnote>
  <w:footnote w:id="18">
    <w:p w:rsidR="001268DE" w:rsidRDefault="001268DE" w:rsidP="001268DE">
      <w:pPr>
        <w:pStyle w:val="FootnoteText"/>
      </w:pPr>
      <w:r>
        <w:rPr>
          <w:rStyle w:val="FootnoteReference"/>
        </w:rPr>
        <w:footnoteRef/>
      </w:r>
      <w:r>
        <w:t xml:space="preserve"> Pindar. </w:t>
      </w:r>
      <w:proofErr w:type="spellStart"/>
      <w:r>
        <w:t>Isthmenes</w:t>
      </w:r>
      <w:proofErr w:type="spellEnd"/>
      <w:r>
        <w:t xml:space="preserve"> 1. 6-70</w:t>
      </w:r>
    </w:p>
  </w:footnote>
  <w:footnote w:id="19">
    <w:p w:rsidR="001268DE" w:rsidRDefault="001268DE" w:rsidP="001268DE">
      <w:pPr>
        <w:pStyle w:val="FootnoteText"/>
      </w:pPr>
      <w:r>
        <w:rPr>
          <w:rStyle w:val="FootnoteReference"/>
        </w:rPr>
        <w:footnoteRef/>
      </w:r>
      <w:r>
        <w:t xml:space="preserve"> </w:t>
      </w:r>
      <w:proofErr w:type="spellStart"/>
      <w:r w:rsidR="00DC1876">
        <w:t>Bacchylies</w:t>
      </w:r>
      <w:proofErr w:type="spellEnd"/>
      <w:r w:rsidR="00DC1876">
        <w:t xml:space="preserve">. Ode 3. </w:t>
      </w:r>
      <w:r w:rsidR="00FE77D6">
        <w:t>25-64</w:t>
      </w:r>
    </w:p>
  </w:footnote>
  <w:footnote w:id="20">
    <w:p w:rsidR="00CD44A2" w:rsidRDefault="00CD44A2">
      <w:pPr>
        <w:pStyle w:val="FootnoteText"/>
      </w:pPr>
      <w:r>
        <w:rPr>
          <w:rStyle w:val="FootnoteReference"/>
        </w:rPr>
        <w:footnoteRef/>
      </w:r>
      <w:r>
        <w:t xml:space="preserve"> Cummins</w:t>
      </w:r>
      <w:proofErr w:type="gramStart"/>
      <w:r>
        <w:t xml:space="preserve">. </w:t>
      </w:r>
      <w:proofErr w:type="gramEnd"/>
      <w:r>
        <w:t>2010. 7</w:t>
      </w:r>
    </w:p>
  </w:footnote>
  <w:footnote w:id="21">
    <w:p w:rsidR="00CD44A2" w:rsidRDefault="00CD44A2">
      <w:pPr>
        <w:pStyle w:val="FootnoteText"/>
      </w:pPr>
      <w:r>
        <w:rPr>
          <w:rStyle w:val="FootnoteReference"/>
        </w:rPr>
        <w:footnoteRef/>
      </w:r>
      <w:r>
        <w:t xml:space="preserve"> </w:t>
      </w:r>
      <w:proofErr w:type="spellStart"/>
      <w:r>
        <w:t>Pitotto</w:t>
      </w:r>
      <w:proofErr w:type="spellEnd"/>
      <w:proofErr w:type="gramStart"/>
      <w:r>
        <w:t xml:space="preserve">. </w:t>
      </w:r>
      <w:proofErr w:type="gramEnd"/>
      <w:r>
        <w:t>2014. 15</w:t>
      </w:r>
    </w:p>
  </w:footnote>
  <w:footnote w:id="22">
    <w:p w:rsidR="00BE0DC2" w:rsidRDefault="00BE0DC2">
      <w:pPr>
        <w:pStyle w:val="FootnoteText"/>
      </w:pPr>
      <w:r>
        <w:rPr>
          <w:rStyle w:val="FootnoteReference"/>
        </w:rPr>
        <w:footnoteRef/>
      </w:r>
      <w:r>
        <w:t xml:space="preserve"> Soph. Oedipus Rex. </w:t>
      </w:r>
      <w:r w:rsidR="004036F9">
        <w:t>1-1310</w:t>
      </w:r>
    </w:p>
  </w:footnote>
  <w:footnote w:id="23">
    <w:p w:rsidR="00DE4902" w:rsidRDefault="00DE4902">
      <w:pPr>
        <w:pStyle w:val="FootnoteText"/>
      </w:pPr>
      <w:r>
        <w:rPr>
          <w:rStyle w:val="FootnoteReference"/>
        </w:rPr>
        <w:footnoteRef/>
      </w:r>
      <w:r>
        <w:t xml:space="preserve"> </w:t>
      </w:r>
      <w:proofErr w:type="spellStart"/>
      <w:r>
        <w:t>Bacchylides</w:t>
      </w:r>
      <w:proofErr w:type="spellEnd"/>
      <w:r>
        <w:t>. Ode 3. 59-98</w:t>
      </w:r>
    </w:p>
  </w:footnote>
  <w:footnote w:id="24">
    <w:p w:rsidR="00715EB9" w:rsidRDefault="00715EB9">
      <w:pPr>
        <w:pStyle w:val="FootnoteText"/>
      </w:pPr>
      <w:r>
        <w:rPr>
          <w:rStyle w:val="FootnoteReference"/>
        </w:rPr>
        <w:footnoteRef/>
      </w:r>
      <w:r>
        <w:t xml:space="preserve"> </w:t>
      </w:r>
      <w:r w:rsidR="009F0991">
        <w:t xml:space="preserve">Pindar. </w:t>
      </w:r>
      <w:proofErr w:type="spellStart"/>
      <w:r w:rsidR="009F0991">
        <w:t>Py</w:t>
      </w:r>
      <w:proofErr w:type="spellEnd"/>
      <w:r w:rsidR="009F0991">
        <w:t>. 1.86ff</w:t>
      </w:r>
    </w:p>
  </w:footnote>
  <w:footnote w:id="25">
    <w:p w:rsidR="009F0991" w:rsidRDefault="009F0991">
      <w:pPr>
        <w:pStyle w:val="FootnoteText"/>
      </w:pPr>
      <w:r>
        <w:rPr>
          <w:rStyle w:val="FootnoteReference"/>
        </w:rPr>
        <w:footnoteRef/>
      </w:r>
      <w:r>
        <w:t xml:space="preserve"> Rutherford. 2005. 180</w:t>
      </w:r>
    </w:p>
  </w:footnote>
  <w:footnote w:id="26">
    <w:p w:rsidR="009F0991" w:rsidRDefault="009F0991">
      <w:pPr>
        <w:pStyle w:val="FootnoteText"/>
      </w:pPr>
      <w:r>
        <w:rPr>
          <w:rStyle w:val="FootnoteReference"/>
        </w:rPr>
        <w:footnoteRef/>
      </w:r>
      <w:r>
        <w:t xml:space="preserve"> </w:t>
      </w:r>
      <w:proofErr w:type="spellStart"/>
      <w:r>
        <w:t>Bacchylides</w:t>
      </w:r>
      <w:proofErr w:type="spellEnd"/>
      <w:r>
        <w:t xml:space="preserve">. Ode 5. </w:t>
      </w:r>
      <w:r w:rsidR="00F30DE0">
        <w:t>7-176</w:t>
      </w:r>
    </w:p>
  </w:footnote>
  <w:footnote w:id="27">
    <w:p w:rsidR="009F0991" w:rsidRDefault="009F0991">
      <w:pPr>
        <w:pStyle w:val="FootnoteText"/>
      </w:pPr>
      <w:r>
        <w:rPr>
          <w:rStyle w:val="FootnoteReference"/>
        </w:rPr>
        <w:footnoteRef/>
      </w:r>
      <w:r>
        <w:t xml:space="preserve"> </w:t>
      </w:r>
      <w:proofErr w:type="spellStart"/>
      <w:r>
        <w:t>Bacchylides</w:t>
      </w:r>
      <w:proofErr w:type="spellEnd"/>
      <w:r>
        <w:t>. Ode 5. 176-201</w:t>
      </w:r>
    </w:p>
  </w:footnote>
  <w:footnote w:id="28">
    <w:p w:rsidR="001268DE" w:rsidRDefault="001268DE" w:rsidP="001268DE">
      <w:pPr>
        <w:pStyle w:val="FootnoteText"/>
      </w:pPr>
      <w:r>
        <w:rPr>
          <w:rStyle w:val="FootnoteReference"/>
        </w:rPr>
        <w:footnoteRef/>
      </w:r>
      <w:r>
        <w:t xml:space="preserve"> </w:t>
      </w:r>
      <w:proofErr w:type="spellStart"/>
      <w:r>
        <w:t>Bacchylides</w:t>
      </w:r>
      <w:proofErr w:type="spellEnd"/>
      <w:r>
        <w:t>. Ode 5. 79-195</w:t>
      </w:r>
    </w:p>
  </w:footnote>
  <w:footnote w:id="29">
    <w:p w:rsidR="001268DE" w:rsidRDefault="001268DE" w:rsidP="001268DE">
      <w:pPr>
        <w:pStyle w:val="FootnoteText"/>
      </w:pPr>
      <w:r>
        <w:rPr>
          <w:rStyle w:val="FootnoteReference"/>
        </w:rPr>
        <w:footnoteRef/>
      </w:r>
      <w:r>
        <w:t xml:space="preserve"> Stern. 1966. 36</w:t>
      </w:r>
    </w:p>
  </w:footnote>
  <w:footnote w:id="30">
    <w:p w:rsidR="001268DE" w:rsidRDefault="001268DE" w:rsidP="001268DE">
      <w:pPr>
        <w:pStyle w:val="FootnoteText"/>
      </w:pPr>
      <w:r>
        <w:rPr>
          <w:rStyle w:val="FootnoteReference"/>
        </w:rPr>
        <w:footnoteRef/>
      </w:r>
      <w:r>
        <w:t xml:space="preserve"> Homer. </w:t>
      </w:r>
      <w:proofErr w:type="spellStart"/>
      <w:r>
        <w:t>Ody</w:t>
      </w:r>
      <w:proofErr w:type="spellEnd"/>
      <w:r>
        <w:t>. Bk 11</w:t>
      </w:r>
    </w:p>
  </w:footnote>
  <w:footnote w:id="31">
    <w:p w:rsidR="001268DE" w:rsidRDefault="001268DE" w:rsidP="001268DE">
      <w:pPr>
        <w:pStyle w:val="FootnoteText"/>
      </w:pPr>
      <w:r>
        <w:rPr>
          <w:rStyle w:val="FootnoteReference"/>
        </w:rPr>
        <w:footnoteRef/>
      </w:r>
      <w:r>
        <w:t xml:space="preserve"> Ulrich. 2006</w:t>
      </w:r>
    </w:p>
  </w:footnote>
  <w:footnote w:id="32">
    <w:p w:rsidR="001268DE" w:rsidRDefault="001268DE" w:rsidP="001268DE">
      <w:pPr>
        <w:pStyle w:val="FootnoteText"/>
      </w:pPr>
      <w:r>
        <w:rPr>
          <w:rStyle w:val="FootnoteReference"/>
        </w:rPr>
        <w:footnoteRef/>
      </w:r>
      <w:r>
        <w:t xml:space="preserve"> </w:t>
      </w:r>
      <w:proofErr w:type="spellStart"/>
      <w:r w:rsidR="00CD44A2">
        <w:t>Bacchylides</w:t>
      </w:r>
      <w:proofErr w:type="spellEnd"/>
      <w:r w:rsidR="00CD44A2">
        <w:t>. Ode 3. 25-75</w:t>
      </w:r>
    </w:p>
    <w:p w:rsidR="00CD44A2" w:rsidRDefault="00CD44A2" w:rsidP="001268DE">
      <w:pPr>
        <w:pStyle w:val="FootnoteText"/>
      </w:pPr>
      <w:proofErr w:type="spellStart"/>
      <w:r>
        <w:t>Bacchylides</w:t>
      </w:r>
      <w:proofErr w:type="spellEnd"/>
      <w:r>
        <w:t>. Ode 5. 20-180</w:t>
      </w:r>
    </w:p>
  </w:footnote>
  <w:footnote w:id="33">
    <w:p w:rsidR="001268DE" w:rsidRDefault="001268DE" w:rsidP="001268DE">
      <w:pPr>
        <w:pStyle w:val="FootnoteText"/>
      </w:pPr>
      <w:r>
        <w:rPr>
          <w:rStyle w:val="FootnoteReference"/>
        </w:rPr>
        <w:footnoteRef/>
      </w:r>
      <w:r>
        <w:t xml:space="preserve"> Cairns. 2011. 17</w:t>
      </w:r>
    </w:p>
  </w:footnote>
  <w:footnote w:id="34">
    <w:p w:rsidR="00067FE4" w:rsidRDefault="00067FE4">
      <w:pPr>
        <w:pStyle w:val="FootnoteText"/>
      </w:pPr>
      <w:r>
        <w:rPr>
          <w:rStyle w:val="FootnoteReference"/>
        </w:rPr>
        <w:footnoteRef/>
      </w:r>
      <w:r>
        <w:t xml:space="preserve"> </w:t>
      </w:r>
      <w:proofErr w:type="spellStart"/>
      <w:r>
        <w:t>Pitotto</w:t>
      </w:r>
      <w:proofErr w:type="spellEnd"/>
      <w:r>
        <w:t>. 2014. 17</w:t>
      </w:r>
    </w:p>
  </w:footnote>
  <w:footnote w:id="35">
    <w:p w:rsidR="00067FE4" w:rsidRDefault="00067FE4">
      <w:pPr>
        <w:pStyle w:val="FootnoteText"/>
      </w:pPr>
      <w:r>
        <w:rPr>
          <w:rStyle w:val="FootnoteReference"/>
        </w:rPr>
        <w:footnoteRef/>
      </w:r>
      <w:r>
        <w:t xml:space="preserve"> </w:t>
      </w:r>
      <w:proofErr w:type="spellStart"/>
      <w:r>
        <w:t>Pitotto</w:t>
      </w:r>
      <w:proofErr w:type="spellEnd"/>
      <w:r>
        <w:t>. 2014.17</w:t>
      </w:r>
    </w:p>
  </w:footnote>
  <w:footnote w:id="36">
    <w:p w:rsidR="001268DE" w:rsidRDefault="001268DE" w:rsidP="001268DE">
      <w:pPr>
        <w:pStyle w:val="FootnoteText"/>
      </w:pPr>
      <w:r>
        <w:rPr>
          <w:rStyle w:val="FootnoteReference"/>
        </w:rPr>
        <w:footnoteRef/>
      </w:r>
      <w:r>
        <w:t xml:space="preserve"> Rutherford. 2005. 178</w:t>
      </w:r>
    </w:p>
  </w:footnote>
  <w:footnote w:id="37">
    <w:p w:rsidR="00BE0DC2" w:rsidRDefault="00BE0DC2">
      <w:pPr>
        <w:pStyle w:val="FootnoteText"/>
      </w:pPr>
      <w:r>
        <w:rPr>
          <w:rStyle w:val="FootnoteReference"/>
        </w:rPr>
        <w:footnoteRef/>
      </w:r>
      <w:r>
        <w:t xml:space="preserve"> </w:t>
      </w:r>
      <w:r w:rsidR="00825226">
        <w:t>Soph. Oedipus Rex. 1-1310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DE060B"/>
    <w:multiLevelType w:val="hybridMultilevel"/>
    <w:tmpl w:val="758CD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8DE"/>
    <w:rsid w:val="00067FE4"/>
    <w:rsid w:val="001268DE"/>
    <w:rsid w:val="00154689"/>
    <w:rsid w:val="001A5632"/>
    <w:rsid w:val="003B7726"/>
    <w:rsid w:val="004036F9"/>
    <w:rsid w:val="0064422F"/>
    <w:rsid w:val="0068409B"/>
    <w:rsid w:val="006A1BA2"/>
    <w:rsid w:val="00715EB9"/>
    <w:rsid w:val="00725A84"/>
    <w:rsid w:val="007F75E6"/>
    <w:rsid w:val="00825226"/>
    <w:rsid w:val="009F0991"/>
    <w:rsid w:val="00A23301"/>
    <w:rsid w:val="00B21550"/>
    <w:rsid w:val="00BE0DC2"/>
    <w:rsid w:val="00BF356D"/>
    <w:rsid w:val="00C35E8E"/>
    <w:rsid w:val="00CC65CF"/>
    <w:rsid w:val="00CD44A2"/>
    <w:rsid w:val="00D57876"/>
    <w:rsid w:val="00DC1876"/>
    <w:rsid w:val="00DE4902"/>
    <w:rsid w:val="00DF3E95"/>
    <w:rsid w:val="00E9238B"/>
    <w:rsid w:val="00E928EE"/>
    <w:rsid w:val="00EB3D8C"/>
    <w:rsid w:val="00F30DE0"/>
    <w:rsid w:val="00FE7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ABA3A"/>
  <w15:chartTrackingRefBased/>
  <w15:docId w15:val="{1F2C3852-35B1-4DD4-8F20-68E32A310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68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268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268DE"/>
    <w:rPr>
      <w:sz w:val="20"/>
      <w:szCs w:val="20"/>
    </w:rPr>
  </w:style>
  <w:style w:type="character" w:styleId="FootnoteReference">
    <w:name w:val="footnote reference"/>
    <w:basedOn w:val="DefaultParagraphFont"/>
    <w:uiPriority w:val="99"/>
    <w:semiHidden/>
    <w:unhideWhenUsed/>
    <w:rsid w:val="001268DE"/>
    <w:rPr>
      <w:vertAlign w:val="superscript"/>
    </w:rPr>
  </w:style>
  <w:style w:type="paragraph" w:styleId="ListParagraph">
    <w:name w:val="List Paragraph"/>
    <w:basedOn w:val="Normal"/>
    <w:uiPriority w:val="34"/>
    <w:qFormat/>
    <w:rsid w:val="001268DE"/>
    <w:pPr>
      <w:ind w:left="720"/>
      <w:contextualSpacing/>
    </w:pPr>
  </w:style>
  <w:style w:type="character" w:styleId="Hyperlink">
    <w:name w:val="Hyperlink"/>
    <w:basedOn w:val="DefaultParagraphFont"/>
    <w:uiPriority w:val="99"/>
    <w:unhideWhenUsed/>
    <w:rsid w:val="00725A84"/>
    <w:rPr>
      <w:color w:val="0000FF"/>
      <w:u w:val="single"/>
    </w:rPr>
  </w:style>
  <w:style w:type="character" w:customStyle="1" w:styleId="citationitalic">
    <w:name w:val="citationitalic"/>
    <w:basedOn w:val="DefaultParagraphFont"/>
    <w:rsid w:val="001A56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39AED6-64F4-4CF4-8D75-2FF851A54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4</Pages>
  <Words>1360</Words>
  <Characters>7755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Dawn Carter</dc:creator>
  <cp:keywords/>
  <dc:description/>
  <cp:lastModifiedBy>Hazel Dawn Carter</cp:lastModifiedBy>
  <cp:revision>13</cp:revision>
  <dcterms:created xsi:type="dcterms:W3CDTF">2019-01-27T16:21:00Z</dcterms:created>
  <dcterms:modified xsi:type="dcterms:W3CDTF">2019-01-27T21:43:00Z</dcterms:modified>
</cp:coreProperties>
</file>