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B600D" w:rsidP="00DB600D" w:rsidRDefault="00C01D80" w14:paraId="7F49A848" w14:textId="5A1821DB">
      <w:pPr>
        <w:rPr>
          <w:sz w:val="28"/>
          <w:szCs w:val="28"/>
        </w:rPr>
      </w:pPr>
      <w:r w:rsidRPr="00812C57">
        <w:rPr>
          <w:sz w:val="28"/>
          <w:szCs w:val="28"/>
        </w:rPr>
        <w:t>ECEY4003      251733</w:t>
      </w:r>
      <w:r w:rsidRPr="00812C57" w:rsidR="00DB600D">
        <w:rPr>
          <w:sz w:val="28"/>
          <w:szCs w:val="28"/>
        </w:rPr>
        <w:t>1</w:t>
      </w:r>
      <w:r w:rsidRPr="00812C57" w:rsidR="00812C57">
        <w:rPr>
          <w:sz w:val="28"/>
          <w:szCs w:val="28"/>
        </w:rPr>
        <w:t xml:space="preserve">   word count 3,</w:t>
      </w:r>
      <w:r w:rsidRPr="1ED1B19E" w:rsidR="7895F085">
        <w:rPr>
          <w:sz w:val="28"/>
          <w:szCs w:val="28"/>
        </w:rPr>
        <w:t>13</w:t>
      </w:r>
      <w:r w:rsidR="00A728D4">
        <w:rPr>
          <w:sz w:val="28"/>
          <w:szCs w:val="28"/>
        </w:rPr>
        <w:t>5</w:t>
      </w:r>
    </w:p>
    <w:p w:rsidRPr="00B97990" w:rsidR="00B97990" w:rsidP="3E03559A" w:rsidRDefault="00B97990" w14:paraId="7008BC5D" w14:textId="44526DC1">
      <w:pPr>
        <w:rPr>
          <w:sz w:val="28"/>
          <w:szCs w:val="28"/>
        </w:rPr>
      </w:pPr>
      <w:r w:rsidRPr="00B97990">
        <w:rPr>
          <w:sz w:val="28"/>
          <w:szCs w:val="28"/>
        </w:rPr>
        <w:t xml:space="preserve">In early childhood, typically from birth to five years, play is widely recognised as a central mechanism for learning and development. </w:t>
      </w:r>
      <w:r w:rsidRPr="3DF93A5F" w:rsidR="373C5B63">
        <w:rPr>
          <w:sz w:val="28"/>
          <w:szCs w:val="28"/>
        </w:rPr>
        <w:t>T</w:t>
      </w:r>
      <w:r w:rsidRPr="3DF93A5F" w:rsidR="373C5B63">
        <w:rPr>
          <w:rFonts w:ascii="Aptos" w:hAnsi="Aptos" w:eastAsia="Aptos" w:cs="Aptos"/>
          <w:sz w:val="28"/>
          <w:szCs w:val="28"/>
        </w:rPr>
        <w:t>he</w:t>
      </w:r>
      <w:r w:rsidRPr="7612D860" w:rsidR="373C5B63">
        <w:rPr>
          <w:rFonts w:ascii="Aptos" w:hAnsi="Aptos" w:eastAsia="Aptos" w:cs="Aptos"/>
          <w:sz w:val="28"/>
          <w:szCs w:val="28"/>
        </w:rPr>
        <w:t xml:space="preserve"> four stages of play most referenced in early years education are derived from the work of Mildred Parten (1932), who examined children’s social participation in play. These stages describe progression from </w:t>
      </w:r>
      <w:r w:rsidRPr="7612D860" w:rsidR="373C5B63">
        <w:rPr>
          <w:rFonts w:ascii="Aptos" w:hAnsi="Aptos" w:eastAsia="Aptos" w:cs="Aptos"/>
          <w:b/>
          <w:bCs/>
          <w:sz w:val="28"/>
          <w:szCs w:val="28"/>
        </w:rPr>
        <w:t>solitary play</w:t>
      </w:r>
      <w:r w:rsidRPr="7612D860" w:rsidR="373C5B63">
        <w:rPr>
          <w:rFonts w:ascii="Aptos" w:hAnsi="Aptos" w:eastAsia="Aptos" w:cs="Aptos"/>
          <w:sz w:val="28"/>
          <w:szCs w:val="28"/>
        </w:rPr>
        <w:t xml:space="preserve">, where a child plays independently, to </w:t>
      </w:r>
      <w:r w:rsidRPr="7612D860" w:rsidR="373C5B63">
        <w:rPr>
          <w:rFonts w:ascii="Aptos" w:hAnsi="Aptos" w:eastAsia="Aptos" w:cs="Aptos"/>
          <w:b/>
          <w:bCs/>
          <w:sz w:val="28"/>
          <w:szCs w:val="28"/>
        </w:rPr>
        <w:t>parallel play</w:t>
      </w:r>
      <w:r w:rsidRPr="7612D860" w:rsidR="373C5B63">
        <w:rPr>
          <w:rFonts w:ascii="Aptos" w:hAnsi="Aptos" w:eastAsia="Aptos" w:cs="Aptos"/>
          <w:sz w:val="28"/>
          <w:szCs w:val="28"/>
        </w:rPr>
        <w:t xml:space="preserve">, where children play alongside one another without direct interaction. Development then moves to </w:t>
      </w:r>
      <w:r w:rsidRPr="7612D860" w:rsidR="373C5B63">
        <w:rPr>
          <w:rFonts w:ascii="Aptos" w:hAnsi="Aptos" w:eastAsia="Aptos" w:cs="Aptos"/>
          <w:b/>
          <w:bCs/>
          <w:sz w:val="28"/>
          <w:szCs w:val="28"/>
        </w:rPr>
        <w:t>associative play</w:t>
      </w:r>
      <w:r w:rsidRPr="7612D860" w:rsidR="373C5B63">
        <w:rPr>
          <w:rFonts w:ascii="Aptos" w:hAnsi="Aptos" w:eastAsia="Aptos" w:cs="Aptos"/>
          <w:sz w:val="28"/>
          <w:szCs w:val="28"/>
        </w:rPr>
        <w:t xml:space="preserve">, characterised by shared materials and conversation without organised goals, and finally to </w:t>
      </w:r>
      <w:r w:rsidRPr="7612D860" w:rsidR="373C5B63">
        <w:rPr>
          <w:rFonts w:ascii="Aptos" w:hAnsi="Aptos" w:eastAsia="Aptos" w:cs="Aptos"/>
          <w:b/>
          <w:bCs/>
          <w:sz w:val="28"/>
          <w:szCs w:val="28"/>
        </w:rPr>
        <w:t>cooperative play</w:t>
      </w:r>
      <w:r w:rsidRPr="7612D860" w:rsidR="373C5B63">
        <w:rPr>
          <w:rFonts w:ascii="Aptos" w:hAnsi="Aptos" w:eastAsia="Aptos" w:cs="Aptos"/>
          <w:sz w:val="28"/>
          <w:szCs w:val="28"/>
        </w:rPr>
        <w:t xml:space="preserve">, in which children collaborate with defined roles and shared purposes. Although developmental progression is suggested, children may move fluidly between stages depending on context and </w:t>
      </w:r>
      <w:r w:rsidRPr="1A29461C" w:rsidR="373C5B63">
        <w:rPr>
          <w:rFonts w:ascii="Aptos" w:hAnsi="Aptos" w:eastAsia="Aptos" w:cs="Aptos"/>
          <w:sz w:val="28"/>
          <w:szCs w:val="28"/>
        </w:rPr>
        <w:t>confidence</w:t>
      </w:r>
      <w:r w:rsidRPr="1A29461C" w:rsidR="1B43E988">
        <w:rPr>
          <w:rFonts w:ascii="Aptos" w:hAnsi="Aptos" w:eastAsia="Aptos" w:cs="Aptos"/>
          <w:sz w:val="28"/>
          <w:szCs w:val="28"/>
        </w:rPr>
        <w:t>.</w:t>
      </w:r>
      <w:r w:rsidRPr="1C9D8863" w:rsidR="1B43E988">
        <w:rPr>
          <w:rFonts w:ascii="Aptos" w:hAnsi="Aptos" w:eastAsia="Aptos" w:cs="Aptos"/>
          <w:sz w:val="28"/>
          <w:szCs w:val="28"/>
        </w:rPr>
        <w:t xml:space="preserve"> </w:t>
      </w:r>
      <w:r w:rsidRPr="3C71496B" w:rsidR="1B43E988">
        <w:rPr>
          <w:rFonts w:ascii="Aptos" w:hAnsi="Aptos" w:eastAsia="Aptos" w:cs="Aptos"/>
          <w:sz w:val="28"/>
          <w:szCs w:val="28"/>
        </w:rPr>
        <w:t xml:space="preserve">(Smith and Connolly, 2018) </w:t>
      </w:r>
    </w:p>
    <w:p w:rsidRPr="00B97990" w:rsidR="00B97990" w:rsidP="00B97990" w:rsidRDefault="00B97990" w14:paraId="26BDA449" w14:textId="4B3B7807">
      <w:pPr>
        <w:rPr>
          <w:sz w:val="28"/>
          <w:szCs w:val="28"/>
        </w:rPr>
      </w:pPr>
      <w:r w:rsidRPr="1A29461C">
        <w:rPr>
          <w:sz w:val="28"/>
          <w:szCs w:val="28"/>
        </w:rPr>
        <w:t>A</w:t>
      </w:r>
      <w:r w:rsidRPr="00B97990">
        <w:rPr>
          <w:sz w:val="28"/>
          <w:szCs w:val="28"/>
        </w:rPr>
        <w:t xml:space="preserve"> holistic approach to early years education assumes that cognitive, social, emotional, physical and creative domains are interconnected rather than discrete (Welsh Government, 2023). However, despite policy endorsement of play-based learning, tensions remain between holistic principles and increasing pressures for measurable academic attainment. Holistic play challenges narrowly defined outcomes by positioning development as multidimensional. Through exploratory activities such as puzzles, pretend play and games, children construct understanding within meaningful contexts rather than through formalised instruction (Sitorus, Siregar and Sari, 2025).</w:t>
      </w:r>
    </w:p>
    <w:p w:rsidRPr="00B97990" w:rsidR="00B97990" w:rsidP="00B97990" w:rsidRDefault="00B97990" w14:paraId="545459C9" w14:textId="079FBA07">
      <w:pPr>
        <w:rPr>
          <w:sz w:val="28"/>
          <w:szCs w:val="28"/>
        </w:rPr>
      </w:pPr>
      <w:r w:rsidRPr="00B97990">
        <w:rPr>
          <w:sz w:val="28"/>
          <w:szCs w:val="28"/>
        </w:rPr>
        <w:t>Outdoor play represents a powerful expression of holistic learning because it simultaneously supports physical, cognitive and social development. Activities such as climbing, balancing and running enhance gross motor competence, coordination and spatial awareness. Beyond physical development, outdoor environments provide rich sensory experiences that stimulate curiosity and inquiry. Natural materials including sand, water and plants encourage experimentation, prediction and observation, supporting early scientific thinking. From a constructivist perspective, Piaget (1952) suggests that children develop knowledge through active engagement with their environment. Outdoor contexts therefore provide authentic opportunities for experiential learning. However, development within these spaces is not solely individual. Vygotsky (1978) emphasises that social interaction mediates learning, highlighting how collaborative exploration extends understanding. Group activities such as den building or cooperative games require negotiation, shared planning and communication, reinforcing social competence alongside cognitive growth.</w:t>
      </w:r>
      <w:r w:rsidRPr="467246D1" w:rsidR="6FDB2546">
        <w:rPr>
          <w:sz w:val="28"/>
          <w:szCs w:val="28"/>
        </w:rPr>
        <w:t xml:space="preserve"> </w:t>
      </w:r>
    </w:p>
    <w:p w:rsidRPr="00B97990" w:rsidR="00B97990" w:rsidP="00B97990" w:rsidRDefault="00B97990" w14:paraId="430568FC" w14:textId="77777777">
      <w:pPr>
        <w:rPr>
          <w:sz w:val="28"/>
          <w:szCs w:val="28"/>
        </w:rPr>
      </w:pPr>
      <w:r w:rsidRPr="00B97990">
        <w:rPr>
          <w:sz w:val="28"/>
          <w:szCs w:val="28"/>
        </w:rPr>
        <w:t>A distinctive feature of outdoor play is the presence of managed risk. Research indicates that engagement in risky play contributes positively to resilience, confidence and self-regulation (Brussoni et al., 2015). When children assess challenges and make decisions within safe boundaries, they develop independence and emotional regulation. Nevertheless, contemporary risk-averse cultures may restrict these experiences, potentially limiting opportunities for developing autonomy. While safeguarding remains essential, overly controlled environments may reduce children’s ability to evaluate and respond to real-life challenges. Effective outdoor provision therefore requires practitioners to balance safety with developmental challenge, demonstrating informed professional judgement.</w:t>
      </w:r>
    </w:p>
    <w:p w:rsidRPr="00B97990" w:rsidR="00B97990" w:rsidP="00B97990" w:rsidRDefault="00B97990" w14:paraId="419953C7" w14:textId="77777777">
      <w:pPr>
        <w:rPr>
          <w:sz w:val="28"/>
          <w:szCs w:val="28"/>
        </w:rPr>
      </w:pPr>
      <w:r w:rsidRPr="00B97990">
        <w:rPr>
          <w:sz w:val="28"/>
          <w:szCs w:val="28"/>
        </w:rPr>
        <w:t>Creative play similarly supports holistic development through symbolic and expressive exploration. Activities such as painting, music, storytelling and dramatic play allow children to represent experiences, experiment with ideas and explore identity. Bodrova and Leong (2007) argue that mature dramatic play strengthens executive functioning and self-regulation, as children must plan scenarios, sustain roles and adhere to shared rules. This highlights that imaginative play is cognitively demanding rather than purely recreational. Whitebread et al. (2012) further emphasise the relationship between play and intrinsic motivation, suggesting that self-directed engagement fosters persistence and independence.</w:t>
      </w:r>
    </w:p>
    <w:p w:rsidRPr="00B97990" w:rsidR="00B97990" w:rsidP="00B97990" w:rsidRDefault="00B97990" w14:paraId="322FD708" w14:textId="77777777">
      <w:pPr>
        <w:rPr>
          <w:sz w:val="28"/>
          <w:szCs w:val="28"/>
        </w:rPr>
      </w:pPr>
      <w:r w:rsidRPr="00B97990">
        <w:rPr>
          <w:sz w:val="28"/>
          <w:szCs w:val="28"/>
        </w:rPr>
        <w:t>Creative play also enhances language development through dialogue, narrative construction and role negotiation. As children articulate thoughts and respond to peers, vocabulary expands and communicative competence strengthens. Zosh et al. (2017) propose that guided playful learning enhances conceptual understanding when adults intentionally extend children’s ideas. This aligns with Bruner’s (1966) concept of scaffolding, which positions adults as facilitators who support learning within meaningful contexts.</w:t>
      </w:r>
    </w:p>
    <w:p w:rsidRPr="00B97990" w:rsidR="00B97990" w:rsidP="00B97990" w:rsidRDefault="00B97990" w14:paraId="70590A4C" w14:textId="77777777">
      <w:pPr>
        <w:rPr>
          <w:sz w:val="28"/>
          <w:szCs w:val="28"/>
        </w:rPr>
      </w:pPr>
      <w:r w:rsidRPr="00B97990">
        <w:rPr>
          <w:sz w:val="28"/>
          <w:szCs w:val="28"/>
        </w:rPr>
        <w:t>However, critical reflection is required to ensure that creative activities remain process-oriented rather than outcome-driven. In some settings, creative tasks may become adult-directed or product-focused, limiting opportunities for experimentation and divergent thinking. Froebel (1887) positioned play as the foundation of early education, advocating environments that nurture imagination and self-expression. Contemporary practice must therefore safeguard creativity as an exploratory process rather than reducing it to evidence of attainment.</w:t>
      </w:r>
    </w:p>
    <w:p w:rsidRPr="00B97990" w:rsidR="00B97990" w:rsidP="00B97990" w:rsidRDefault="00B97990" w14:paraId="22ECEEE3" w14:textId="292616F4">
      <w:pPr>
        <w:rPr>
          <w:sz w:val="28"/>
          <w:szCs w:val="28"/>
        </w:rPr>
      </w:pPr>
      <w:r w:rsidRPr="00B97990">
        <w:rPr>
          <w:sz w:val="28"/>
          <w:szCs w:val="28"/>
        </w:rPr>
        <w:t>In practice, the effectiveness of outdoor and creative play depends upon enabling environments, intentional planning and skilled adult interaction. Hirsh-Pasek et al. (2015) suggest that high-quality provision requires practitioners to observe carefully, intervene sensitively and design environments that promote curiosity while sustaining developmental progression. By balancing autonomy with structured guidance, early years settings can ensure that holistic play genuinely supports comprehensive development.</w:t>
      </w:r>
    </w:p>
    <w:p w:rsidRPr="00B97990" w:rsidR="00B97990" w:rsidP="00B97990" w:rsidRDefault="00B97990" w14:paraId="769535E1" w14:textId="77777777">
      <w:pPr>
        <w:rPr>
          <w:sz w:val="28"/>
          <w:szCs w:val="28"/>
        </w:rPr>
      </w:pPr>
      <w:r w:rsidRPr="00B97990">
        <w:rPr>
          <w:sz w:val="28"/>
          <w:szCs w:val="28"/>
        </w:rPr>
        <w:t>Overall, outdoor and creative play exemplify the principles of holistic education. When implemented critically and reflectively, they foster resilience, confidence, intrinsic motivation and cognitive growth, establishing strong foundations for lifelong learning.</w:t>
      </w:r>
    </w:p>
    <w:p w:rsidRPr="00B97990" w:rsidR="00B97990" w:rsidP="00B97990" w:rsidRDefault="00B97990" w14:paraId="5540FA83" w14:textId="77777777">
      <w:pPr>
        <w:rPr>
          <w:sz w:val="28"/>
          <w:szCs w:val="28"/>
        </w:rPr>
      </w:pPr>
      <w:r w:rsidRPr="00B97990">
        <w:rPr>
          <w:sz w:val="28"/>
          <w:szCs w:val="28"/>
        </w:rPr>
        <w:t>These principles strongly align with the Curriculum for Wales, which positions play as a fundamental vehicle for learning across the early years. Outdoor and creative play directly support the Four Purposes, which aim to develop children as ambitious, capable learners, enterprising, creative contributors, ethical, informed citizens and healthy, confident individuals (Welsh Government, 2022).</w:t>
      </w:r>
    </w:p>
    <w:p w:rsidRPr="00B97990" w:rsidR="00012DAF" w:rsidP="00B97990" w:rsidRDefault="00012DAF" w14:paraId="4E4AD488" w14:textId="77777777">
      <w:pPr>
        <w:rPr>
          <w:sz w:val="28"/>
          <w:szCs w:val="28"/>
        </w:rPr>
      </w:pPr>
    </w:p>
    <w:p w:rsidR="004D702E" w:rsidP="00B97990" w:rsidRDefault="004D702E" w14:paraId="7979335C" w14:textId="77777777">
      <w:pPr>
        <w:rPr>
          <w:sz w:val="28"/>
          <w:szCs w:val="28"/>
        </w:rPr>
      </w:pPr>
    </w:p>
    <w:p w:rsidRPr="00B97990" w:rsidR="00B97990" w:rsidP="00B97990" w:rsidRDefault="00B97990" w14:paraId="38D76482" w14:textId="4C0BBDB2">
      <w:pPr>
        <w:rPr>
          <w:sz w:val="28"/>
          <w:szCs w:val="28"/>
        </w:rPr>
      </w:pPr>
      <w:r w:rsidRPr="00B97990">
        <w:rPr>
          <w:sz w:val="28"/>
          <w:szCs w:val="28"/>
        </w:rPr>
        <w:t>Self-directed play, often referred to as child-initiated or child-led play, describes play that is independently chosen, organised and sustained by children according to their own interests and motivations. Contemporary research emphasises that children learn most effectively when they are actively engaged and intrinsically motivated (Zosh et al., 2017). Whitebread et al. (2017) argue that self-directed play enhances persistence and supports executive functioning. Barker et al. (2018) further suggest that less structured time predicts stronger self-regulation and cognitive flexibility.</w:t>
      </w:r>
    </w:p>
    <w:p w:rsidR="00A65AC8" w:rsidP="1F80B66B" w:rsidRDefault="00B97990" w14:paraId="5A8C4B4D" w14:textId="7205FE7B">
      <w:pPr>
        <w:rPr>
          <w:sz w:val="28"/>
          <w:szCs w:val="28"/>
        </w:rPr>
      </w:pPr>
      <w:r w:rsidRPr="00B97990">
        <w:rPr>
          <w:sz w:val="28"/>
          <w:szCs w:val="28"/>
        </w:rPr>
        <w:t>Although self-directed play is child-initiated, adult support remains essential. Hirsh-Pasek et al. (2015) emphasise that playful learning is most effective when autonomy is combined with guided interaction. Adults can support self-directed play through sustained shared thinking and open-ended questioning. Additionally, practitioners must ensure access to appropriate levels of challenge, including managed risk (Brussoni et al., 2015).</w:t>
      </w:r>
      <w:r w:rsidRPr="00A8488C" w:rsidR="00A8488C">
        <w:rPr>
          <w:rFonts w:ascii="Times New Roman" w:hAnsi="Times New Roman" w:eastAsia="Times New Roman" w:cs="Times New Roman"/>
          <w:kern w:val="0"/>
          <w:lang w:eastAsia="en-GB"/>
          <w14:ligatures w14:val="none"/>
        </w:rPr>
        <w:t xml:space="preserve"> </w:t>
      </w:r>
      <w:r w:rsidRPr="00A8488C" w:rsidR="00A8488C">
        <w:rPr>
          <w:sz w:val="28"/>
          <w:szCs w:val="28"/>
        </w:rPr>
        <w:t xml:space="preserve">Self-directed play, often referred to as child-initiated or child-led play, describes play that is independently chosen, organised and sustained by children according to their own interests and motivations. Within this approach, children determine the direction, content and duration of their activities, while adults adopt a facilitative rather than directive role. Contemporary research emphasises that children learn most effectively when they are actively engaged and intrinsically motivated (Zosh et al., 2017). Rather than viewing children as passive recipients of knowledge, self-directed play positions them as capable learners who construct understanding through exploration, experimentation and social interaction. The importance of self-directed play is strongly supported within recent literature on playful learning. ( Zosh et al., 2017) argue that learning through play enhances deeper conceptual understanding when children are given autonomy alongside subtle adult guidance. Autonomy enables children to pursue personal interests, which increases engagement, persistence and enjoyment. This intrinsic motivation is central to sustaining attention and promoting positive learning dispositions (Whitebread et al., 2017). When children direct their own play, they are more likely to remain engaged for extended periods, thereby strengthening concentration and problem-solving skills. Self-directed play also plays a critical role in developing self-regulation and executive functioning. During child-led activities, children plan actions, monitor progress, negotiate roles and adjust behaviour in response to challenges. Such processes support the development of working memory, cognitive flexibility and emotional regulation (Barker et al., 2018). These skills are widely recognised as strong predictors of later academic achievement and social competence. For example, when children collaboratively construct a pretend scenario, they must follow shared rules, inhibit impulses and sustain roles over time. This demonstrates that self-directed play is cognitively demanding rather than merely recreational. Furthermore, self-directed play promotes language and social development. As children engage in imaginative or collaborative activities, they negotiate meaning, exchange ideas and resolve conflicts. Social dialogue within play contexts enhances vocabulary, narrative skills and communicative competence (Zosh et al., 2017). Play also provides a safe space for emotional expression, enabling children to explore feelings and rehearse social situations. Research suggests that child-led play contributes positively to well-being, resilience and confidence, as children experience a sense of agency and accomplishment (Barker et al., 2018). Although self-directed play is child-initiated, adult support remains essential. The role of the practitioner is to create enabling environments rich in open-ended materials and sufficient time for sustained engagement. Resources such as loose parts, natural materials, creative tools and role-play props encourage exploration and imaginative thinking. (Hirsh-Pasek et al., 2015) emphasise that playful learning is most effective when autonomy is combined with guided interaction. Adults can support self-directed play through sustained shared thinking, open-ended questioning and modelling language without dominating the activity. For example, rather than directing a child how to complete a task, a practitioner might ask, “What do you think will happen if…?” Such prompts extend thinking while preserving ownership of learning. Additionally, adults must ensure that children have access to appropriate levels of challenge, including opportunities for managed risk. Experiences such as climbing, balancing or constructing complex structures promote resilience and decision-making skills when carefully supported (Brussoni et al., 2015). The adult’s role therefore requires professional judgement: knowing when to step back to preserve autonomy and when to intervene to extend learning or ensure safety. Despite strong evidence supporting self-directed play, contemporary educational contexts may limit opportunities for child-led exploration due to increasing curricular demands and accountability measures. There is a risk that structured, adult-led tasks reduce time for autonomous play. However, research indicates that self-directed play develops foundational competencies such as self-regulation, creativity and intrinsic motivation that underpin later academic success (Whitebread et al., 2017). Therefore, rather than viewing self-directed play as separate from learning outcomes, it should be recognised as integral to achieving them. </w:t>
      </w:r>
    </w:p>
    <w:p w:rsidR="00A65AC8" w:rsidP="24C41ACB" w:rsidRDefault="78C81100" w14:paraId="5316C59A" w14:textId="7455A76C">
      <w:pPr>
        <w:rPr>
          <w:sz w:val="28"/>
          <w:szCs w:val="28"/>
        </w:rPr>
      </w:pPr>
      <w:r w:rsidRPr="00A8488C">
        <w:rPr>
          <w:sz w:val="28"/>
          <w:szCs w:val="28"/>
        </w:rPr>
        <w:t xml:space="preserve"> </w:t>
      </w:r>
      <w:r w:rsidRPr="00A8488C" w:rsidR="00A8488C">
        <w:rPr>
          <w:sz w:val="28"/>
          <w:szCs w:val="28"/>
        </w:rPr>
        <w:t>In conclusion, self-directed play is a vital component of early childhood education because it promotes holistic development through autonomy, exploration and social interaction. Supported by contemporary research, it enhances cognitive flexibility, language development, emotional resilience and intrinsic motivation</w:t>
      </w:r>
      <w:r w:rsidRPr="00A8488C" w:rsidR="2C2EE68A">
        <w:rPr>
          <w:sz w:val="28"/>
          <w:szCs w:val="28"/>
        </w:rPr>
        <w:t xml:space="preserve">, </w:t>
      </w:r>
      <w:r w:rsidRPr="00A8488C" w:rsidR="3ADE991E">
        <w:rPr>
          <w:sz w:val="28"/>
          <w:szCs w:val="28"/>
        </w:rPr>
        <w:t xml:space="preserve">Adulterated play </w:t>
      </w:r>
      <w:r w:rsidRPr="00A8488C" w:rsidR="226B7106">
        <w:rPr>
          <w:sz w:val="28"/>
          <w:szCs w:val="28"/>
        </w:rPr>
        <w:t xml:space="preserve">refers to the negative impact of adult intervention </w:t>
      </w:r>
      <w:r w:rsidRPr="00A8488C" w:rsidR="4029905B">
        <w:rPr>
          <w:sz w:val="28"/>
          <w:szCs w:val="28"/>
        </w:rPr>
        <w:t>where play becomes adult led</w:t>
      </w:r>
      <w:r w:rsidRPr="00A8488C" w:rsidR="3ADE991E">
        <w:rPr>
          <w:sz w:val="28"/>
          <w:szCs w:val="28"/>
        </w:rPr>
        <w:t xml:space="preserve"> </w:t>
      </w:r>
      <w:r w:rsidRPr="00A8488C" w:rsidR="4029905B">
        <w:rPr>
          <w:sz w:val="28"/>
          <w:szCs w:val="28"/>
        </w:rPr>
        <w:t>and overly structured</w:t>
      </w:r>
      <w:r w:rsidRPr="00A8488C" w:rsidR="226B7106">
        <w:rPr>
          <w:sz w:val="28"/>
          <w:szCs w:val="28"/>
        </w:rPr>
        <w:t xml:space="preserve"> </w:t>
      </w:r>
      <w:r w:rsidRPr="00A8488C" w:rsidR="4029905B">
        <w:rPr>
          <w:sz w:val="28"/>
          <w:szCs w:val="28"/>
        </w:rPr>
        <w:t>and controlled,</w:t>
      </w:r>
      <w:r w:rsidRPr="00A8488C" w:rsidR="162D9DA4">
        <w:rPr>
          <w:sz w:val="28"/>
          <w:szCs w:val="28"/>
        </w:rPr>
        <w:t xml:space="preserve"> </w:t>
      </w:r>
      <w:r w:rsidRPr="00A8488C" w:rsidR="4029905B">
        <w:rPr>
          <w:sz w:val="28"/>
          <w:szCs w:val="28"/>
        </w:rPr>
        <w:t>rather than spontaneou</w:t>
      </w:r>
      <w:r w:rsidRPr="00A8488C" w:rsidR="0DD2DFDE">
        <w:rPr>
          <w:sz w:val="28"/>
          <w:szCs w:val="28"/>
        </w:rPr>
        <w:t>s</w:t>
      </w:r>
      <w:r w:rsidRPr="00A8488C" w:rsidR="78A58A9F">
        <w:rPr>
          <w:sz w:val="28"/>
          <w:szCs w:val="28"/>
        </w:rPr>
        <w:t>.</w:t>
      </w:r>
      <w:r w:rsidRPr="00A8488C" w:rsidR="226B7106">
        <w:rPr>
          <w:sz w:val="28"/>
          <w:szCs w:val="28"/>
        </w:rPr>
        <w:t xml:space="preserve"> </w:t>
      </w:r>
      <w:r w:rsidRPr="00A8488C" w:rsidR="78A58A9F">
        <w:rPr>
          <w:sz w:val="28"/>
          <w:szCs w:val="28"/>
        </w:rPr>
        <w:t xml:space="preserve">This </w:t>
      </w:r>
      <w:r w:rsidRPr="00A8488C" w:rsidR="35DB4C73">
        <w:rPr>
          <w:sz w:val="28"/>
          <w:szCs w:val="28"/>
        </w:rPr>
        <w:t xml:space="preserve">interference </w:t>
      </w:r>
      <w:r w:rsidRPr="00A8488C" w:rsidR="78A58A9F">
        <w:rPr>
          <w:sz w:val="28"/>
          <w:szCs w:val="28"/>
        </w:rPr>
        <w:t xml:space="preserve">diminishes the </w:t>
      </w:r>
      <w:r w:rsidRPr="00A8488C" w:rsidR="31BFC269">
        <w:rPr>
          <w:sz w:val="28"/>
          <w:szCs w:val="28"/>
        </w:rPr>
        <w:t>value</w:t>
      </w:r>
      <w:r w:rsidRPr="00A8488C" w:rsidR="78A58A9F">
        <w:rPr>
          <w:sz w:val="28"/>
          <w:szCs w:val="28"/>
        </w:rPr>
        <w:t xml:space="preserve"> of play as a development tool</w:t>
      </w:r>
      <w:r w:rsidRPr="00A8488C" w:rsidR="3D96C1EB">
        <w:rPr>
          <w:sz w:val="28"/>
          <w:szCs w:val="28"/>
        </w:rPr>
        <w:t>.</w:t>
      </w:r>
      <w:r w:rsidRPr="00A8488C" w:rsidR="3DCDFA7D">
        <w:rPr>
          <w:sz w:val="28"/>
          <w:szCs w:val="28"/>
        </w:rPr>
        <w:t xml:space="preserve"> </w:t>
      </w:r>
      <w:r w:rsidRPr="00A8488C" w:rsidR="404F13F5">
        <w:rPr>
          <w:sz w:val="28"/>
          <w:szCs w:val="28"/>
        </w:rPr>
        <w:t>However,</w:t>
      </w:r>
      <w:r w:rsidRPr="00A8488C" w:rsidR="00A8488C">
        <w:rPr>
          <w:sz w:val="28"/>
          <w:szCs w:val="28"/>
        </w:rPr>
        <w:t xml:space="preserve"> skilled adult facilitation ensures that environments are enabling and learning is extended through sensitive guidance. When implemented thoughtfully, self-directed play provides a strong foundation for lifelong learning and well-being</w:t>
      </w:r>
      <w:r w:rsidRPr="00A8488C" w:rsidR="43A8A209">
        <w:rPr>
          <w:sz w:val="28"/>
          <w:szCs w:val="28"/>
        </w:rPr>
        <w:t>.</w:t>
      </w:r>
    </w:p>
    <w:p w:rsidR="1B5BC806" w:rsidP="1B5BC806" w:rsidRDefault="43A8A209" w14:paraId="758B5AC2" w14:textId="5330E634">
      <w:pPr>
        <w:rPr>
          <w:rFonts w:ascii="Aptos" w:hAnsi="Aptos" w:eastAsia="Aptos" w:cs="Aptos"/>
          <w:sz w:val="28"/>
          <w:szCs w:val="28"/>
        </w:rPr>
      </w:pPr>
      <w:r w:rsidRPr="00A8488C">
        <w:rPr>
          <w:sz w:val="28"/>
          <w:szCs w:val="28"/>
        </w:rPr>
        <w:t xml:space="preserve"> </w:t>
      </w:r>
      <w:r w:rsidRPr="192CDCB4">
        <w:rPr>
          <w:rFonts w:ascii="Aptos" w:hAnsi="Aptos" w:eastAsia="Aptos" w:cs="Aptos"/>
          <w:sz w:val="28"/>
          <w:szCs w:val="28"/>
        </w:rPr>
        <w:t>(Bruce, 2011</w:t>
      </w:r>
      <w:r w:rsidRPr="1E7F0F0A">
        <w:rPr>
          <w:rFonts w:ascii="Aptos" w:hAnsi="Aptos" w:eastAsia="Aptos" w:cs="Aptos"/>
          <w:sz w:val="28"/>
          <w:szCs w:val="28"/>
        </w:rPr>
        <w:t>)</w:t>
      </w:r>
    </w:p>
    <w:p w:rsidR="0037242B" w:rsidP="1B5BC806" w:rsidRDefault="0037242B" w14:paraId="3472AEE4" w14:textId="77777777">
      <w:pPr>
        <w:rPr>
          <w:sz w:val="28"/>
          <w:szCs w:val="28"/>
        </w:rPr>
      </w:pPr>
    </w:p>
    <w:p w:rsidR="78EDA3A8" w:rsidP="02011716" w:rsidRDefault="78EDA3A8" w14:paraId="348D1E43" w14:textId="6F5A6CD7">
      <w:pPr>
        <w:pStyle w:val="Normal"/>
        <w:rPr>
          <w:sz w:val="28"/>
          <w:szCs w:val="28"/>
        </w:rPr>
      </w:pPr>
    </w:p>
    <w:p w:rsidR="007D0B5E" w:rsidP="00A8488C" w:rsidRDefault="00A8488C" w14:paraId="16E909B0" w14:textId="77777777">
      <w:pPr>
        <w:rPr>
          <w:sz w:val="28"/>
          <w:szCs w:val="28"/>
        </w:rPr>
      </w:pPr>
      <w:r w:rsidRPr="00A8488C">
        <w:rPr>
          <w:sz w:val="28"/>
          <w:szCs w:val="28"/>
        </w:rPr>
        <w:t xml:space="preserve">Observation is a systematic and purposeful process of watching, listening to and documenting children’s behaviour, interactions and learning in order to understand development and inform pedagogical decision-making. Within early childhood education, observation extends beyond simple recording; it functions as a reflective assessment tool used to evaluate progress, identify individual needs and plan responsive, developmentally appropriate experiences. Contemporary policy frameworks emphasise that early years assessment should be formative, continuous and embedded within everyday practice rather than reliant upon formal testing procedures (Department for Education, 2023; Education Endowment Foundation, 2021). Through observation, practitioners gain insight into children’s interests, strengths and areas requiring support, thereby promoting inclusive, child-centred provision. </w:t>
      </w:r>
    </w:p>
    <w:p w:rsidR="002139FA" w:rsidP="00A8488C" w:rsidRDefault="00A8488C" w14:paraId="077C7624" w14:textId="59A7D6D2">
      <w:pPr>
        <w:rPr>
          <w:sz w:val="28"/>
          <w:szCs w:val="28"/>
        </w:rPr>
      </w:pPr>
      <w:r w:rsidRPr="00A8488C">
        <w:rPr>
          <w:sz w:val="28"/>
          <w:szCs w:val="28"/>
        </w:rPr>
        <w:t xml:space="preserve">The Leuven Scale of Well-being and Involvement, developed by Laevers, represents an approach to observation that prioritises the quality of children’s experiences over the measurement of discrete academic outcomes. The scale evaluates two key indicators: well-being, defined as the degree to which a child feels secure, comfortable and confident, and involvement, which refers to the intensity of engagement, concentration and persistence during activities (Laevers, 2015). High levels of involvement are associated with deep-level learning, intrinsic motivation and sustained cognitive engagement. Research suggests that children who demonstrate consistent involvement are more likely to develop higher-order thinking skills and self-regulatory capacities (Whitebread et al., 2017). Consequently, the Leuven approach aligns closely with play-based and holistic pedagogies that position emotional security and engagement as foundational to development. In practice, the Leuven Scale involves structured observation using five-point rating scales for both well-being and involvement. Practitioners observe behavioural indicators such as facial expression, posture, creativity, energy and persistence before assigning a score reflecting the depth of engagement (Laevers, 2015). Importantly, low scores are interpreted not as deficits within the child, but as signals that the learning environment or adult interaction may require adaptation. For example, if a child demonstrates low involvement during a group activity, practitioners may reconsider the appropriateness of the level of challenge or the relevance of the activity to the child’s interests. This strengths-based perspective encourages reflective practice and continuous quality improvement within early years settings (OECD, 2020). However, while the Leuven Observation Technique contributes meaningfully to understanding children’s experiences, it does not assess specific developmental milestones or academic attainment. The model focuses exclusively on emotional well-being and involvement, rather than directly measuring language acquisition, motor development or cognitive progression. As such, it does not provide a fully comprehensive or holistic assessment across all developmental domains. Instead, it may be described as holistic in principle but focused in measurement. The underlying assumption is that optimal development occurs when well-being and involvement are high; therefore, these indicators are viewed as prerequisites for broader learning outcomes (Laevers, 2015). Nevertheless, without supplementary developmental assessment tools, practitioners may lack detailed information regarding specific areas of progress or delay. A notable strength of the Leuven approach lies in its emphasis on emotional security as a prerequisite for learning. By recognising that children cannot engage meaningfully without feeling safe and valued, the scale foregrounds the socio-emotional dimension of early development. Additionally, the involvement scale shifts assessment away from surface-level task completion towards the quality and depth of engagement. This aligns with contemporary understandings of effective early years pedagogy, which prioritise active learning and sustained shared thinking (Education Endowment Foundation, 2021). Furthermore, the accessible five-point rating system makes the tool manageable within busy early years contexts. Despite these strengths, limitations must be acknowledged. Scoring relies heavily on practitioner judgement, which introduces subjectivity and potential bias. Without adequate training and moderation, inter-observer reliability may be compromised. Observations also represent a snapshot in time; a child’s mood, fatigue or external circumstances may influence scores, limiting their representativeness. Cultural differences in the expression of emotion and engagement may further complicate interpretation. Moreover, reducing complex emotional and cognitive experiences to numerical ratings risks oversimplifying nuanced behaviours and contextual influences. Overall, the Leuven Observation Technique should be understood as a tool for evaluating the quality of learning experiences rather than measuring developmental attainment. It contributes significantly to holistic understanding by foregrounding emotional well-being and involvement as central to learning. However, it does not independently provide a comprehensive profile of the child. For a truly holistic assessment, the Leuven Scale should be integrated with developmental frameworks and milestone-based tools, ensuring that both the quality of experience and the progression of skills are considered in early years practice. </w:t>
      </w:r>
    </w:p>
    <w:p w:rsidR="00132034" w:rsidP="00A8488C" w:rsidRDefault="00132034" w14:paraId="7FFBFEDA" w14:textId="77777777">
      <w:pPr>
        <w:rPr>
          <w:sz w:val="28"/>
          <w:szCs w:val="28"/>
        </w:rPr>
      </w:pPr>
    </w:p>
    <w:p w:rsidR="00132034" w:rsidP="00A8488C" w:rsidRDefault="00132034" w14:paraId="4AE8CE37" w14:textId="77777777">
      <w:pPr>
        <w:rPr>
          <w:sz w:val="28"/>
          <w:szCs w:val="28"/>
        </w:rPr>
      </w:pPr>
    </w:p>
    <w:p w:rsidR="002139FA" w:rsidP="00A8488C" w:rsidRDefault="00A8488C" w14:paraId="70ECF6CB" w14:textId="38FB7A2D">
      <w:pPr>
        <w:rPr>
          <w:sz w:val="28"/>
          <w:szCs w:val="28"/>
        </w:rPr>
      </w:pPr>
      <w:r w:rsidRPr="00A8488C">
        <w:rPr>
          <w:sz w:val="28"/>
          <w:szCs w:val="28"/>
        </w:rPr>
        <w:t xml:space="preserve">Play is widely recognised as the primary context through which young children learn and demonstrate their understanding of the world. In early childhood education, observation serves as a systematic and intentional process of watching, listening to and documenting children’s behaviour in order to assess development and inform pedagogical planning. Observing children within play contexts provides practitioners with authentic insight into cognitive, social, emotional and physical competencies. Unlike formal adult-directed tasks, play enables children to express skills spontaneously, offering a more accurate reflection of their independent capabilities. Furthermore, the importance of play is reinforced by Article 31 of the United Nations Convention on the Rights of the Child (UNCRC), which recognises play as a fundamental right essential to children’s well-being and development (United Nations, 1989). Consequently, observing children during play is not only pedagogically appropriate but also aligned with children’s rights frameworks. Research consistently demonstrates that play supports holistic development. Through imaginative, constructive and physical play, children engage in problem-solving, negotiate social roles, develop language and regulate emotions. Observing children within these naturally occurring contexts allows practitioners to see the integration of multiple developmental domains simultaneously. For instance, during role play a child may demonstrate advanced vocabulary, collaborative skills and emotional understanding, illustrating the interconnected nature of learning. (Howard and McInnes, 2013) argue that play should be understood as a medium for meaningful learning rather than as an activity separate from educational progress. Their research highlights that high-quality play environments promote sustained shared thinking and cognitive challenge, reinforcing the educational value of play-based observation. Observing children in play can provide an accurate reflection of developmental progress because children are more likely to demonstrate emerging competencies in self-directed and intrinsically motivated contexts. (Whitebread et al. 2017) suggest that self-directed play fosters executive functioning skills such as planning, cognitive flexibility and persistence. These complex processes may not be readily observable in structured assessments but become evident when children engage deeply in imaginative or problem-based play. Therefore, play-based observation offers a richer and more nuanced understanding of children’s abilities compared to narrow outcome-focused assessment methods. However, while play provides valuable insight, it does not automatically guarantee comprehensive assessment. Some children may not demonstrate certain competencies during free play due to temperament, cultural expectations or limited prior experiences. Additionally, without intentional and systematic observation, practitioners may overlook subtle developmental indicators. ( Howard and McInnes, 2013) caution that simply providing play opportunities is insufficient; the quality of adult interaction and environmental design significantly influences learning outcomes. This highlights the need for skilled adult facilitation to ensure that observation within play contexts captures meaningful developmental information. Adults play a critical role in supporting both play and accurate assessment. An enabling environment is established through the provision of open-ended resources, accessible materials and flexible spaces that promote exploration and autonomy. Practitioners should organise areas to encourage collaboration, sustained engagement and managed risk, while ensuring emotional security and inclusivity. Careful observation informs adaptations, ensuring that the environment reflects children’s interests and supports holistic development. Being rich in open-ended materials encourages children to demonstrate creativity, reasoning and collaboration. Resources such as loose parts, construction materials and role-play props provide opportunities for sustained engagement. Furthermore, adults can enhance learning through sustained shared thinking, using open-ended questioning and responsive dialogue to extend children’s ideas. (Zosh et al. 2017) emphasise that guided playful learning, which combines child autonomy with sensitive adult support, leads to deeper conceptual understanding. This approach aligns with (Howard and McInnes, 2013) assertion that adult involvement should enhance rather than dominate play experiences. Despite the strengths of play-based observation, practitioners must acknowledge limitations. Observations represent a snapshot in time and may be influenced by external factors such as mood or fatigue. Cultural differences in communication styles and emotional expression may also affect interpretation. Therefore, play-based assessment should be repeated over time and considered alongside developmental frameworks to ensure reliability and inclusivity. The UNCRC further reinforces the importance of recognising children as active participants in their learning, underscoring the ethical responsibility to interpret observations sensitively and respectfully (United Nations, 1989). </w:t>
      </w:r>
    </w:p>
    <w:p w:rsidRPr="00A8488C" w:rsidR="00A8488C" w:rsidP="00A8488C" w:rsidRDefault="00A8488C" w14:paraId="3F08913C" w14:textId="4CCD095C">
      <w:pPr>
        <w:rPr>
          <w:sz w:val="28"/>
          <w:szCs w:val="28"/>
        </w:rPr>
      </w:pPr>
      <w:r w:rsidRPr="74B72970" w:rsidR="11ED81F4">
        <w:rPr>
          <w:sz w:val="28"/>
          <w:szCs w:val="28"/>
        </w:rPr>
        <w:t xml:space="preserve">In conclusion, play is central to </w:t>
      </w:r>
      <w:r w:rsidRPr="74B72970" w:rsidR="11ED81F4">
        <w:rPr>
          <w:sz w:val="28"/>
          <w:szCs w:val="28"/>
        </w:rPr>
        <w:t>observing</w:t>
      </w:r>
      <w:r w:rsidRPr="74B72970" w:rsidR="11ED81F4">
        <w:rPr>
          <w:sz w:val="28"/>
          <w:szCs w:val="28"/>
        </w:rPr>
        <w:t xml:space="preserve"> and assessing young children because it provides an authentic and holistic context in which development is naturally expressed. Research </w:t>
      </w:r>
      <w:r w:rsidRPr="74B72970" w:rsidR="11ED81F4">
        <w:rPr>
          <w:sz w:val="28"/>
          <w:szCs w:val="28"/>
        </w:rPr>
        <w:t>demonstrates</w:t>
      </w:r>
      <w:r w:rsidRPr="74B72970" w:rsidR="11ED81F4">
        <w:rPr>
          <w:sz w:val="28"/>
          <w:szCs w:val="28"/>
        </w:rPr>
        <w:t xml:space="preserve"> that play supports cognitive, </w:t>
      </w:r>
      <w:r w:rsidRPr="74B72970" w:rsidR="11ED81F4">
        <w:rPr>
          <w:sz w:val="28"/>
          <w:szCs w:val="28"/>
        </w:rPr>
        <w:t>social</w:t>
      </w:r>
      <w:r w:rsidRPr="74B72970" w:rsidR="11ED81F4">
        <w:rPr>
          <w:sz w:val="28"/>
          <w:szCs w:val="28"/>
        </w:rPr>
        <w:t xml:space="preserve"> and emotional growth, while children’s rights frameworks emphasise its fundamental importance. Although </w:t>
      </w:r>
      <w:r w:rsidRPr="74B72970" w:rsidR="11ED81F4">
        <w:rPr>
          <w:sz w:val="28"/>
          <w:szCs w:val="28"/>
        </w:rPr>
        <w:t>observing</w:t>
      </w:r>
      <w:r w:rsidRPr="74B72970" w:rsidR="11ED81F4">
        <w:rPr>
          <w:sz w:val="28"/>
          <w:szCs w:val="28"/>
        </w:rPr>
        <w:t xml:space="preserve"> children in play offers a rich reflection of developmental stage, </w:t>
      </w:r>
      <w:r w:rsidRPr="74B72970" w:rsidR="11ED81F4">
        <w:rPr>
          <w:sz w:val="28"/>
          <w:szCs w:val="28"/>
        </w:rPr>
        <w:t>accurate</w:t>
      </w:r>
      <w:r w:rsidRPr="74B72970" w:rsidR="11ED81F4">
        <w:rPr>
          <w:sz w:val="28"/>
          <w:szCs w:val="28"/>
        </w:rPr>
        <w:t xml:space="preserve"> assessment depends upon skilled adult facilitation, systematic </w:t>
      </w:r>
      <w:r w:rsidRPr="74B72970" w:rsidR="11ED81F4">
        <w:rPr>
          <w:sz w:val="28"/>
          <w:szCs w:val="28"/>
        </w:rPr>
        <w:t>documentation</w:t>
      </w:r>
      <w:r w:rsidRPr="74B72970" w:rsidR="11ED81F4">
        <w:rPr>
          <w:sz w:val="28"/>
          <w:szCs w:val="28"/>
        </w:rPr>
        <w:t xml:space="preserve"> and integration with broader evaluative approaches. When implemented thoughtfully, play-based observation supports both high-quality pedagogy and the promotion of children’s well-being and rights. </w:t>
      </w:r>
    </w:p>
    <w:p w:rsidR="74B72970" w:rsidP="74B72970" w:rsidRDefault="74B72970" w14:paraId="37FA6F82" w14:textId="64BA8199">
      <w:pPr>
        <w:rPr>
          <w:sz w:val="28"/>
          <w:szCs w:val="28"/>
        </w:rPr>
      </w:pPr>
    </w:p>
    <w:p w:rsidR="74B72970" w:rsidP="74B72970" w:rsidRDefault="74B72970" w14:paraId="18F0B60A" w14:textId="652403EA">
      <w:pPr>
        <w:rPr>
          <w:sz w:val="28"/>
          <w:szCs w:val="28"/>
        </w:rPr>
      </w:pPr>
    </w:p>
    <w:p w:rsidR="40170BEA" w:rsidP="74B72970" w:rsidRDefault="40170BEA" w14:paraId="580588A0" w14:textId="72D37CCF">
      <w:pPr>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strike w:val="0"/>
          <w:dstrike w:val="0"/>
          <w:noProof w:val="0"/>
          <w:color w:val="000000" w:themeColor="text1" w:themeTint="FF" w:themeShade="FF"/>
          <w:sz w:val="28"/>
          <w:szCs w:val="28"/>
          <w:u w:val="single"/>
          <w:lang w:val="en-GB"/>
        </w:rPr>
        <w:t>Reference list.  ECEY4003</w:t>
      </w:r>
    </w:p>
    <w:p w:rsidR="40170BEA" w:rsidP="74B72970" w:rsidRDefault="40170BEA" w14:paraId="00643DF3" w14:textId="30959B3B">
      <w:pPr>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strike w:val="0"/>
          <w:dstrike w:val="0"/>
          <w:noProof w:val="0"/>
          <w:color w:val="000000" w:themeColor="text1" w:themeTint="FF" w:themeShade="FF"/>
          <w:sz w:val="28"/>
          <w:szCs w:val="28"/>
          <w:u w:val="single"/>
          <w:lang w:val="en-GB"/>
        </w:rPr>
        <w:t>Question 1</w:t>
      </w:r>
    </w:p>
    <w:p w:rsidR="40170BEA" w:rsidP="74B72970" w:rsidRDefault="40170BEA" w14:paraId="0B84B167" w14:textId="2286962A">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Bodrova, E. and Leong, D.J. (2007)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Tools of the mind: The Vygotskian approach to early childhood education</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2nd edn. Upper Saddle River, NJ: Pearson.</w:t>
      </w:r>
    </w:p>
    <w:p w:rsidR="40170BEA" w:rsidP="74B72970" w:rsidRDefault="40170BEA" w14:paraId="1608A92B" w14:textId="2A4EB79B">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Bruner, J.S. (1966)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Toward a theory of instruction</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Cambridge, MA: Harvard University Press.</w:t>
      </w:r>
    </w:p>
    <w:p w:rsidR="40170BEA" w:rsidP="74B72970" w:rsidRDefault="40170BEA" w14:paraId="20348199" w14:textId="4CF73E71">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Brussoni, M., Gibbons, R., Gray, C., Ishikawa, T., Sandseter, E.B.H., Bienenstock, A., Chabot, G., Fuselli, P. and Janssen, I. (2015) ‘What is the relationship between risky outdoor play and health in children? A systematic review’,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International Journal of Environmental Research and Public Health</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12(6), pp. 6423–6454.</w:t>
      </w:r>
    </w:p>
    <w:p w:rsidR="40170BEA" w:rsidP="74B72970" w:rsidRDefault="40170BEA" w14:paraId="60E27058" w14:textId="18FA52B1">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Froebel, F. (1887)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The education of man</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New York: D. Appleton and Company.</w:t>
      </w:r>
    </w:p>
    <w:p w:rsidR="40170BEA" w:rsidP="74B72970" w:rsidRDefault="40170BEA" w14:paraId="35217879" w14:textId="0E85CF79">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Hirsh-Pasek, K., Golinkoff, R.M., Berk, L.E. and Singer, D.G. (2015)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A mandate for playful learning in preschool: Presenting the evidence</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Oxford: Oxford University Press.</w:t>
      </w:r>
    </w:p>
    <w:p w:rsidR="40170BEA" w:rsidP="74B72970" w:rsidRDefault="40170BEA" w14:paraId="50FBD91F" w14:textId="1E7B79BE">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Parten, M.B. (1932) ‘Social participation among preschool children’,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Journal of Abnormal and Social Psychology</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27(3), pp. 243–269.</w:t>
      </w:r>
    </w:p>
    <w:p w:rsidR="40170BEA" w:rsidP="74B72970" w:rsidRDefault="40170BEA" w14:paraId="3506CEC3" w14:textId="55849448">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Piaget, J. (1952)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The origins of intelligence in children</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New York: International Universities Press.</w:t>
      </w:r>
    </w:p>
    <w:p w:rsidR="40170BEA" w:rsidP="74B72970" w:rsidRDefault="40170BEA" w14:paraId="710F58F2" w14:textId="1D61E8DB">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Sitorus, R.W., Siregar, K.P. and Sari, R.I. (2025)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The role of play-based learning in early childhood development</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Educia Journal.</w:t>
      </w:r>
    </w:p>
    <w:p w:rsidR="40170BEA" w:rsidP="74B72970" w:rsidRDefault="40170BEA" w14:paraId="09F9A608" w14:textId="7A9D45F5">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Smith, P.K. and Connolly, K. (2018) ‘Parten’s stages of play in the 21st century: An updated review’,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International Journal of Early Years Education</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26(3), pp. 245–262</w:t>
      </w:r>
    </w:p>
    <w:p w:rsidR="40170BEA" w:rsidP="74B72970" w:rsidRDefault="40170BEA" w14:paraId="34052F2F" w14:textId="160B9EBA">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Vygotsky, L.S. (1978)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Mind in society: The development of higher psychological processes</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Cambridge, MA: Harvard University Press.</w:t>
      </w:r>
    </w:p>
    <w:p w:rsidR="40170BEA" w:rsidP="74B72970" w:rsidRDefault="40170BEA" w14:paraId="4B5D194D" w14:textId="0E8472C2">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Welsh Government (2023)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Early childhood play, learning and care in Wales: Quality framework and guidance for 0–5 years</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 Cardiff: Welsh Government. Available at: </w:t>
      </w:r>
      <w:hyperlink r:id="R9121a1ac11874d58">
        <w:r w:rsidRPr="74B72970" w:rsidR="40170BEA">
          <w:rPr>
            <w:rStyle w:val="Hyperlink"/>
            <w:rFonts w:ascii="Aptos" w:hAnsi="Aptos" w:eastAsia="Aptos" w:cs="Aptos"/>
            <w:b w:val="0"/>
            <w:bCs w:val="0"/>
            <w:i w:val="0"/>
            <w:iCs w:val="0"/>
            <w:caps w:val="0"/>
            <w:smallCaps w:val="0"/>
            <w:strike w:val="0"/>
            <w:dstrike w:val="0"/>
            <w:noProof w:val="0"/>
            <w:sz w:val="28"/>
            <w:szCs w:val="28"/>
            <w:lang w:val="en-GB"/>
          </w:rPr>
          <w:t>https://hwb.gov.wales</w:t>
        </w:r>
      </w:hyperlink>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 (Accessed: 28 February 2026).</w:t>
      </w:r>
    </w:p>
    <w:p w:rsidR="40170BEA" w:rsidP="74B72970" w:rsidRDefault="40170BEA" w14:paraId="1ABE96FA" w14:textId="77D0FC1E">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Whitebread, D., Basilio, M., Kuvalja, M. and Verma, M. (2012)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The importance of play: A report on the value of children’s play with a series of policy recommendations</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Brussels: Toy Industries of Europe.</w:t>
      </w:r>
    </w:p>
    <w:p w:rsidR="40170BEA" w:rsidP="74B72970" w:rsidRDefault="40170BEA" w14:paraId="4EAA17F6" w14:textId="6BAF6B98">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Zosh, J.M., Hopkins, E.J., Jensen, H., Liu, C., Neale, D., Hirsh-Pasek, K., Solis, S.L. and Whitebread, D. (2017)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Learning through play: A review of the evidence</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Billund: The LEGO Foundation.</w:t>
      </w:r>
    </w:p>
    <w:p w:rsidR="40170BEA" w:rsidP="74B72970" w:rsidRDefault="40170BEA" w14:paraId="634D9F79" w14:textId="1BBA3727">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strike w:val="0"/>
          <w:dstrike w:val="0"/>
          <w:noProof w:val="0"/>
          <w:color w:val="000000" w:themeColor="text1" w:themeTint="FF" w:themeShade="FF"/>
          <w:sz w:val="28"/>
          <w:szCs w:val="28"/>
          <w:u w:val="single"/>
          <w:lang w:val="en-GB"/>
        </w:rPr>
        <w:t>Question 2</w:t>
      </w:r>
    </w:p>
    <w:p w:rsidR="40170BEA" w:rsidP="74B72970" w:rsidRDefault="40170BEA" w14:paraId="6C30F7CB" w14:textId="338E5322">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Barker, J.E., Semenov, A.D., Michaelson, L., Provan, L.S., Snyder, H.R. and Munakata, Y. (2018) ‘Less-structured time in children’s daily lives predicts self-directed executive functioning’,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Frontiers in Psychology</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9, pp. 1–16.</w:t>
      </w:r>
    </w:p>
    <w:p w:rsidR="40170BEA" w:rsidP="74B72970" w:rsidRDefault="40170BEA" w14:paraId="07D536EA" w14:textId="26148F50">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Brussoni, M., Gibbons, R., Gray, C., Ishikawa, T., Sandseter, E.B.H., Bienenstock, A., Chabot, G., Fuselli, P. and Janssen, I. (2015) ‘What is the relationship between risky outdoor play and health in children? A systematic review’,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International Journal of Environmental Research and Public Health</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12(6), pp. 6423–6454.</w:t>
      </w:r>
    </w:p>
    <w:p w:rsidR="40170BEA" w:rsidP="74B72970" w:rsidRDefault="40170BEA" w14:paraId="7DC3852A" w14:textId="4AB77503">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Hirsh-Pasek, K., Golinkoff, R.M., Berk, L.E. and Singer, D.G. (2015)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A mandate for playful learning in preschool: Presenting the evidence</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Oxford: Oxford University Press.</w:t>
      </w:r>
    </w:p>
    <w:p w:rsidR="40170BEA" w:rsidP="74B72970" w:rsidRDefault="40170BEA" w14:paraId="359FEF00" w14:textId="59E69151">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Whitebread, D., Basilio, M., Kuvalja, M. and Verma, M. (2017) ‘The importance of play: A report on the value of children’s play with a series of policy recommendations’. Brussels: The LEGO Foundation.</w:t>
      </w:r>
    </w:p>
    <w:p w:rsidR="40170BEA" w:rsidP="74B72970" w:rsidRDefault="40170BEA" w14:paraId="7F6060C6" w14:textId="120CB038">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Zosh, J.M., Hopkins, E.J., Jensen, H., Liu, C., Neale, D., Hirsh-Pasek, K., Solis, S.L. and Whitebread, D. (2017)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Learning through play: A review of the evidence</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Billund: The LEGO Foundation.</w:t>
      </w:r>
    </w:p>
    <w:p w:rsidR="40170BEA" w:rsidP="74B72970" w:rsidRDefault="40170BEA" w14:paraId="54A6B251" w14:textId="51335009">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strike w:val="0"/>
          <w:dstrike w:val="0"/>
          <w:noProof w:val="0"/>
          <w:color w:val="000000" w:themeColor="text1" w:themeTint="FF" w:themeShade="FF"/>
          <w:sz w:val="28"/>
          <w:szCs w:val="28"/>
          <w:u w:val="single"/>
          <w:lang w:val="en-GB"/>
        </w:rPr>
        <w:t>Question 3</w:t>
      </w:r>
    </w:p>
    <w:p w:rsidR="40170BEA" w:rsidP="74B72970" w:rsidRDefault="40170BEA" w14:paraId="59A4D450" w14:textId="0DD90A95">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Department for Education (2023)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 xml:space="preserve">Statutory framework for the early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years</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 xml:space="preserve"> foundation stage: Setting the standards for learning,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development</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 xml:space="preserve"> and care for children from birth to five</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 London: Department for Education. Available at: </w:t>
      </w:r>
      <w:hyperlink r:id="R0d4ff77cc1114a5f">
        <w:r w:rsidRPr="74B72970" w:rsidR="40170BEA">
          <w:rPr>
            <w:rStyle w:val="Hyperlink"/>
            <w:rFonts w:ascii="Aptos" w:hAnsi="Aptos" w:eastAsia="Aptos" w:cs="Aptos"/>
            <w:b w:val="0"/>
            <w:bCs w:val="0"/>
            <w:i w:val="0"/>
            <w:iCs w:val="0"/>
            <w:caps w:val="0"/>
            <w:smallCaps w:val="0"/>
            <w:strike w:val="0"/>
            <w:dstrike w:val="0"/>
            <w:noProof w:val="0"/>
            <w:sz w:val="28"/>
            <w:szCs w:val="28"/>
            <w:lang w:val="en-GB"/>
          </w:rPr>
          <w:t>https://www.gov.uk/government/publications/early-years-foundation-stage-framework</w:t>
        </w:r>
      </w:hyperlink>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 (Accessed: </w:t>
      </w:r>
      <w:r w:rsidRPr="74B72970" w:rsidR="7FD1D2A9">
        <w:rPr>
          <w:rFonts w:ascii="Aptos" w:hAnsi="Aptos" w:eastAsia="Aptos" w:cs="Aptos"/>
          <w:b w:val="0"/>
          <w:bCs w:val="0"/>
          <w:i w:val="0"/>
          <w:iCs w:val="0"/>
          <w:caps w:val="0"/>
          <w:smallCaps w:val="0"/>
          <w:noProof w:val="0"/>
          <w:color w:val="000000" w:themeColor="text1" w:themeTint="FF" w:themeShade="FF"/>
          <w:sz w:val="28"/>
          <w:szCs w:val="28"/>
          <w:lang w:val="en-GB"/>
        </w:rPr>
        <w:t xml:space="preserve">8 </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February 2026).</w:t>
      </w:r>
    </w:p>
    <w:p w:rsidR="40170BEA" w:rsidP="74B72970" w:rsidRDefault="40170BEA" w14:paraId="54658788" w14:textId="312A06DF">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Education Endowment Foundation (2021)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Preparing for literacy: Improving communication, language and literacy in the early years</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London: Education Endowment Foundation.</w:t>
      </w:r>
    </w:p>
    <w:p w:rsidR="40170BEA" w:rsidP="74B72970" w:rsidRDefault="40170BEA" w14:paraId="22FF44A7" w14:textId="7F136149">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Laevers, F. (2015)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Well-being and involvement in care settings: A process-oriented self-evaluation instrument</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Leuven: Centre for Experiential Education, KU Leuven.</w:t>
      </w:r>
    </w:p>
    <w:p w:rsidR="40170BEA" w:rsidP="74B72970" w:rsidRDefault="40170BEA" w14:paraId="518A2B68" w14:textId="455606CF">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OECD (2020)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Early learning and child well-being: A study of five-year-olds in England, Estonia, and the United States</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Paris: OECD Publishing.</w:t>
      </w:r>
    </w:p>
    <w:p w:rsidR="40170BEA" w:rsidP="74B72970" w:rsidRDefault="40170BEA" w14:paraId="3FD5FF18" w14:textId="03E3DBF7">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Whitebread, D., Basilio, M., Kuvalja, M. and Verma, M. (2017)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The importance of play: A report on the value of children’s play with a series of policy recommendations</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Brussels: The LEGO Foundation.</w:t>
      </w:r>
    </w:p>
    <w:p w:rsidR="40170BEA" w:rsidP="74B72970" w:rsidRDefault="40170BEA" w14:paraId="477F0581" w14:textId="4E9FE930">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strike w:val="0"/>
          <w:dstrike w:val="0"/>
          <w:noProof w:val="0"/>
          <w:color w:val="000000" w:themeColor="text1" w:themeTint="FF" w:themeShade="FF"/>
          <w:sz w:val="28"/>
          <w:szCs w:val="28"/>
          <w:u w:val="single"/>
          <w:lang w:val="en-GB"/>
        </w:rPr>
        <w:t>Question 4</w:t>
      </w:r>
    </w:p>
    <w:p w:rsidR="40170BEA" w:rsidP="74B72970" w:rsidRDefault="40170BEA" w14:paraId="2F15A4B6" w14:textId="584A994E">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Howard, J. and McInnes, K. (2013) ‘The impact of children’s perception of an activity as play rather than work on emotional well‐being’,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Child: Care, Health and Development</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39(5), pp. 737–742.</w:t>
      </w:r>
    </w:p>
    <w:p w:rsidR="40170BEA" w:rsidP="74B72970" w:rsidRDefault="40170BEA" w14:paraId="0AD203A4" w14:textId="6C2B412A">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United Nations (1989)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Convention on the Rights of the Child</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 New York: United Nations. Available at: </w:t>
      </w:r>
      <w:hyperlink r:id="R56ed9cea4a074d69">
        <w:r w:rsidRPr="74B72970" w:rsidR="40170BEA">
          <w:rPr>
            <w:rStyle w:val="Hyperlink"/>
            <w:rFonts w:ascii="Aptos" w:hAnsi="Aptos" w:eastAsia="Aptos" w:cs="Aptos"/>
            <w:b w:val="0"/>
            <w:bCs w:val="0"/>
            <w:i w:val="0"/>
            <w:iCs w:val="0"/>
            <w:caps w:val="0"/>
            <w:smallCaps w:val="0"/>
            <w:strike w:val="0"/>
            <w:dstrike w:val="0"/>
            <w:noProof w:val="0"/>
            <w:sz w:val="28"/>
            <w:szCs w:val="28"/>
            <w:lang w:val="en-GB"/>
          </w:rPr>
          <w:t>https://www.ohchr.org/en/instruments-mechanisms/instruments/convention-rights-child</w:t>
        </w:r>
      </w:hyperlink>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 (Accessed: </w:t>
      </w:r>
      <w:r w:rsidRPr="74B72970" w:rsidR="1334F576">
        <w:rPr>
          <w:rFonts w:ascii="Aptos" w:hAnsi="Aptos" w:eastAsia="Aptos" w:cs="Aptos"/>
          <w:b w:val="0"/>
          <w:bCs w:val="0"/>
          <w:i w:val="0"/>
          <w:iCs w:val="0"/>
          <w:caps w:val="0"/>
          <w:smallCaps w:val="0"/>
          <w:noProof w:val="0"/>
          <w:color w:val="000000" w:themeColor="text1" w:themeTint="FF" w:themeShade="FF"/>
          <w:sz w:val="28"/>
          <w:szCs w:val="28"/>
          <w:lang w:val="en-GB"/>
        </w:rPr>
        <w:t xml:space="preserve"> 12 </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February 2026).</w:t>
      </w:r>
    </w:p>
    <w:p w:rsidR="40170BEA" w:rsidP="74B72970" w:rsidRDefault="40170BEA" w14:paraId="6CA90645" w14:textId="0AA6E2EF">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Whitebread, D., Basilio, M., Kuvalja, M. and Verma, M. (2017)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The importance of play: A report on the value of children’s play with a series of policy recommendations</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Brussels: The LEGO Foundation.</w:t>
      </w:r>
    </w:p>
    <w:p w:rsidR="40170BEA" w:rsidP="74B72970" w:rsidRDefault="40170BEA" w14:paraId="4B631792" w14:textId="4C574933">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Zosh, J.M., Hopkins, E.J., Jensen, H., Liu, C., Neale, D., Hirsh-Pasek, K., Solis, S.L. and Whitebread, D. (2017)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Learning through play: A review of the evidence</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Billund: The LEGO Foundation.</w:t>
      </w:r>
    </w:p>
    <w:p w:rsidR="40170BEA" w:rsidP="74B72970" w:rsidRDefault="40170BEA" w14:paraId="327F3F2B" w14:textId="4DB0EEB8">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Department for Education (2023)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 xml:space="preserve">Statutory framework for the early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years</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 xml:space="preserve"> foundation stage: Setting the standards for learning, </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development</w:t>
      </w:r>
      <w:r w:rsidRPr="74B72970" w:rsidR="40170BEA">
        <w:rPr>
          <w:rFonts w:ascii="Aptos" w:hAnsi="Aptos" w:eastAsia="Aptos" w:cs="Aptos"/>
          <w:b w:val="0"/>
          <w:bCs w:val="0"/>
          <w:i w:val="1"/>
          <w:iCs w:val="1"/>
          <w:caps w:val="0"/>
          <w:smallCaps w:val="0"/>
          <w:noProof w:val="0"/>
          <w:color w:val="000000" w:themeColor="text1" w:themeTint="FF" w:themeShade="FF"/>
          <w:sz w:val="28"/>
          <w:szCs w:val="28"/>
          <w:lang w:val="en-GB"/>
        </w:rPr>
        <w:t xml:space="preserve"> and care for children from birth to five</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 London: Department for Education. Available at: </w:t>
      </w:r>
      <w:hyperlink r:id="R339e6120cb504e7d">
        <w:r w:rsidRPr="74B72970" w:rsidR="40170BEA">
          <w:rPr>
            <w:rStyle w:val="Hyperlink"/>
            <w:rFonts w:ascii="Aptos" w:hAnsi="Aptos" w:eastAsia="Aptos" w:cs="Aptos"/>
            <w:b w:val="0"/>
            <w:bCs w:val="0"/>
            <w:i w:val="0"/>
            <w:iCs w:val="0"/>
            <w:caps w:val="0"/>
            <w:smallCaps w:val="0"/>
            <w:strike w:val="0"/>
            <w:dstrike w:val="0"/>
            <w:noProof w:val="0"/>
            <w:sz w:val="28"/>
            <w:szCs w:val="28"/>
            <w:lang w:val="en-GB"/>
          </w:rPr>
          <w:t>https://www.gov.uk/government/publications/early-years-foundation-stage-framework</w:t>
        </w:r>
      </w:hyperlink>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 xml:space="preserve"> (Accessed: </w:t>
      </w:r>
      <w:r w:rsidRPr="74B72970" w:rsidR="26FC5B99">
        <w:rPr>
          <w:rFonts w:ascii="Aptos" w:hAnsi="Aptos" w:eastAsia="Aptos" w:cs="Aptos"/>
          <w:b w:val="0"/>
          <w:bCs w:val="0"/>
          <w:i w:val="0"/>
          <w:iCs w:val="0"/>
          <w:caps w:val="0"/>
          <w:smallCaps w:val="0"/>
          <w:noProof w:val="0"/>
          <w:color w:val="000000" w:themeColor="text1" w:themeTint="FF" w:themeShade="FF"/>
          <w:sz w:val="28"/>
          <w:szCs w:val="28"/>
          <w:lang w:val="en-GB"/>
        </w:rPr>
        <w:t xml:space="preserve">16 </w:t>
      </w:r>
      <w:r w:rsidRPr="74B72970" w:rsidR="40170BEA">
        <w:rPr>
          <w:rFonts w:ascii="Aptos" w:hAnsi="Aptos" w:eastAsia="Aptos" w:cs="Aptos"/>
          <w:b w:val="0"/>
          <w:bCs w:val="0"/>
          <w:i w:val="0"/>
          <w:iCs w:val="0"/>
          <w:caps w:val="0"/>
          <w:smallCaps w:val="0"/>
          <w:noProof w:val="0"/>
          <w:color w:val="000000" w:themeColor="text1" w:themeTint="FF" w:themeShade="FF"/>
          <w:sz w:val="28"/>
          <w:szCs w:val="28"/>
          <w:lang w:val="en-GB"/>
        </w:rPr>
        <w:t>February 2026).</w:t>
      </w:r>
    </w:p>
    <w:p w:rsidR="74B72970" w:rsidP="74B72970" w:rsidRDefault="74B72970" w14:paraId="2A930F0D" w14:textId="795178A5">
      <w:pPr>
        <w:rPr>
          <w:rFonts w:ascii="Aptos" w:hAnsi="Aptos" w:eastAsia="Aptos" w:cs="Aptos"/>
          <w:b w:val="0"/>
          <w:bCs w:val="0"/>
          <w:i w:val="0"/>
          <w:iCs w:val="0"/>
          <w:caps w:val="0"/>
          <w:smallCaps w:val="0"/>
          <w:noProof w:val="0"/>
          <w:color w:val="000000" w:themeColor="text1" w:themeTint="FF" w:themeShade="FF"/>
          <w:sz w:val="24"/>
          <w:szCs w:val="24"/>
          <w:lang w:val="en-GB"/>
        </w:rPr>
      </w:pPr>
    </w:p>
    <w:p w:rsidR="74B72970" w:rsidP="74B72970" w:rsidRDefault="74B72970" w14:paraId="2DD1DBED" w14:textId="3FDAEF29">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p>
    <w:p w:rsidR="74B72970" w:rsidP="74B72970" w:rsidRDefault="74B72970" w14:paraId="51C663BD" w14:textId="71F1710E">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p>
    <w:p w:rsidR="74B72970" w:rsidP="74B72970" w:rsidRDefault="74B72970" w14:paraId="03B4FCC7" w14:textId="77C7053F">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p>
    <w:p w:rsidR="74B72970" w:rsidP="74B72970" w:rsidRDefault="74B72970" w14:paraId="4E5F65BB" w14:textId="3E97A6D0">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p>
    <w:p w:rsidR="74B72970" w:rsidP="74B72970" w:rsidRDefault="74B72970" w14:paraId="4B835CB4" w14:textId="33297C85">
      <w:pPr>
        <w:spacing w:before="240" w:after="240"/>
        <w:rPr>
          <w:rFonts w:ascii="Aptos" w:hAnsi="Aptos" w:eastAsia="Aptos" w:cs="Aptos"/>
          <w:b w:val="0"/>
          <w:bCs w:val="0"/>
          <w:i w:val="0"/>
          <w:iCs w:val="0"/>
          <w:caps w:val="0"/>
          <w:smallCaps w:val="0"/>
          <w:noProof w:val="0"/>
          <w:color w:val="000000" w:themeColor="text1" w:themeTint="FF" w:themeShade="FF"/>
          <w:sz w:val="24"/>
          <w:szCs w:val="24"/>
          <w:lang w:val="en-GB"/>
        </w:rPr>
      </w:pPr>
    </w:p>
    <w:p w:rsidR="74B72970" w:rsidP="74B72970" w:rsidRDefault="74B72970" w14:paraId="19B9AA11" w14:textId="3C0808BB">
      <w:pPr>
        <w:spacing w:before="240" w:after="240"/>
        <w:rPr>
          <w:rFonts w:ascii="Aptos" w:hAnsi="Aptos" w:eastAsia="Aptos" w:cs="Aptos"/>
          <w:b w:val="0"/>
          <w:bCs w:val="0"/>
          <w:i w:val="0"/>
          <w:iCs w:val="0"/>
          <w:caps w:val="0"/>
          <w:smallCaps w:val="0"/>
          <w:noProof w:val="0"/>
          <w:color w:val="000000" w:themeColor="text1" w:themeTint="FF" w:themeShade="FF"/>
          <w:sz w:val="28"/>
          <w:szCs w:val="28"/>
          <w:lang w:val="en-GB"/>
        </w:rPr>
      </w:pPr>
    </w:p>
    <w:p w:rsidR="74B72970" w:rsidP="74B72970" w:rsidRDefault="74B72970" w14:paraId="79DDB69E" w14:textId="281BDB9B">
      <w:pPr>
        <w:rPr>
          <w:rFonts w:ascii="Aptos" w:hAnsi="Aptos" w:eastAsia="Aptos" w:cs="Aptos"/>
          <w:b w:val="0"/>
          <w:bCs w:val="0"/>
          <w:i w:val="0"/>
          <w:iCs w:val="0"/>
          <w:caps w:val="0"/>
          <w:smallCaps w:val="0"/>
          <w:noProof w:val="0"/>
          <w:color w:val="000000" w:themeColor="text1" w:themeTint="FF" w:themeShade="FF"/>
          <w:sz w:val="28"/>
          <w:szCs w:val="28"/>
          <w:lang w:val="en-GB"/>
        </w:rPr>
      </w:pPr>
    </w:p>
    <w:p w:rsidR="74B72970" w:rsidP="74B72970" w:rsidRDefault="74B72970" w14:paraId="05248FE8" w14:textId="2ECEE9F8">
      <w:pPr>
        <w:rPr>
          <w:sz w:val="28"/>
          <w:szCs w:val="28"/>
        </w:rPr>
      </w:pPr>
    </w:p>
    <w:sectPr w:rsidRPr="00A8488C" w:rsidR="00A8488C">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8632A"/>
    <w:multiLevelType w:val="multilevel"/>
    <w:tmpl w:val="334E9A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49857F7"/>
    <w:multiLevelType w:val="multilevel"/>
    <w:tmpl w:val="BCE663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C620A56"/>
    <w:multiLevelType w:val="multilevel"/>
    <w:tmpl w:val="5136E6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CD3775C"/>
    <w:multiLevelType w:val="multilevel"/>
    <w:tmpl w:val="CE58C3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CDB3F9A"/>
    <w:multiLevelType w:val="multilevel"/>
    <w:tmpl w:val="5D8635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DCB2136"/>
    <w:multiLevelType w:val="multilevel"/>
    <w:tmpl w:val="B43292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F5C3B4C"/>
    <w:multiLevelType w:val="multilevel"/>
    <w:tmpl w:val="330237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05A5055"/>
    <w:multiLevelType w:val="multilevel"/>
    <w:tmpl w:val="0D64038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50B611A"/>
    <w:multiLevelType w:val="multilevel"/>
    <w:tmpl w:val="D12628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556CF"/>
    <w:multiLevelType w:val="multilevel"/>
    <w:tmpl w:val="10F853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D472689"/>
    <w:multiLevelType w:val="multilevel"/>
    <w:tmpl w:val="371A44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19611FA"/>
    <w:multiLevelType w:val="multilevel"/>
    <w:tmpl w:val="B5F02E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B6421A5"/>
    <w:multiLevelType w:val="multilevel"/>
    <w:tmpl w:val="BE4C18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3E9D5937"/>
    <w:multiLevelType w:val="multilevel"/>
    <w:tmpl w:val="A948E4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1384ADD"/>
    <w:multiLevelType w:val="multilevel"/>
    <w:tmpl w:val="6F08F7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48C744A9"/>
    <w:multiLevelType w:val="multilevel"/>
    <w:tmpl w:val="845C4F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49C24974"/>
    <w:multiLevelType w:val="multilevel"/>
    <w:tmpl w:val="719CFD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4E957363"/>
    <w:multiLevelType w:val="multilevel"/>
    <w:tmpl w:val="D0584E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EAD4F16"/>
    <w:multiLevelType w:val="multilevel"/>
    <w:tmpl w:val="99002D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38E7B2F"/>
    <w:multiLevelType w:val="multilevel"/>
    <w:tmpl w:val="29F4F0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657B711C"/>
    <w:multiLevelType w:val="multilevel"/>
    <w:tmpl w:val="27C076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6DB2C7E"/>
    <w:multiLevelType w:val="multilevel"/>
    <w:tmpl w:val="29864E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7BD0AAA"/>
    <w:multiLevelType w:val="multilevel"/>
    <w:tmpl w:val="AB16D6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D3B47EB"/>
    <w:multiLevelType w:val="multilevel"/>
    <w:tmpl w:val="9C283A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6EDE1009"/>
    <w:multiLevelType w:val="multilevel"/>
    <w:tmpl w:val="C0C035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6FF9695B"/>
    <w:multiLevelType w:val="multilevel"/>
    <w:tmpl w:val="1E70FCA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74233260"/>
    <w:multiLevelType w:val="multilevel"/>
    <w:tmpl w:val="7D4E76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75370774"/>
    <w:multiLevelType w:val="multilevel"/>
    <w:tmpl w:val="565EED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78523B1F"/>
    <w:multiLevelType w:val="multilevel"/>
    <w:tmpl w:val="87C646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7A031F74"/>
    <w:multiLevelType w:val="multilevel"/>
    <w:tmpl w:val="D0C0FE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7C104FE4"/>
    <w:multiLevelType w:val="multilevel"/>
    <w:tmpl w:val="2B90A9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127814525">
    <w:abstractNumId w:val="12"/>
  </w:num>
  <w:num w:numId="2" w16cid:durableId="1129736750">
    <w:abstractNumId w:val="28"/>
  </w:num>
  <w:num w:numId="3" w16cid:durableId="1139613501">
    <w:abstractNumId w:val="15"/>
  </w:num>
  <w:num w:numId="4" w16cid:durableId="1196426267">
    <w:abstractNumId w:val="16"/>
  </w:num>
  <w:num w:numId="5" w16cid:durableId="1233613679">
    <w:abstractNumId w:val="25"/>
  </w:num>
  <w:num w:numId="6" w16cid:durableId="140007212">
    <w:abstractNumId w:val="19"/>
  </w:num>
  <w:num w:numId="7" w16cid:durableId="1470051932">
    <w:abstractNumId w:val="1"/>
  </w:num>
  <w:num w:numId="8" w16cid:durableId="1478570623">
    <w:abstractNumId w:val="8"/>
  </w:num>
  <w:num w:numId="9" w16cid:durableId="1487091197">
    <w:abstractNumId w:val="14"/>
  </w:num>
  <w:num w:numId="10" w16cid:durableId="1593660490">
    <w:abstractNumId w:val="4"/>
  </w:num>
  <w:num w:numId="11" w16cid:durableId="1628900496">
    <w:abstractNumId w:val="7"/>
  </w:num>
  <w:num w:numId="12" w16cid:durableId="1657682691">
    <w:abstractNumId w:val="26"/>
  </w:num>
  <w:num w:numId="13" w16cid:durableId="1756320215">
    <w:abstractNumId w:val="5"/>
  </w:num>
  <w:num w:numId="14" w16cid:durableId="1910382950">
    <w:abstractNumId w:val="11"/>
  </w:num>
  <w:num w:numId="15" w16cid:durableId="1968658872">
    <w:abstractNumId w:val="3"/>
  </w:num>
  <w:num w:numId="16" w16cid:durableId="2003195501">
    <w:abstractNumId w:val="0"/>
  </w:num>
  <w:num w:numId="17" w16cid:durableId="2036885015">
    <w:abstractNumId w:val="6"/>
  </w:num>
  <w:num w:numId="18" w16cid:durableId="2038652695">
    <w:abstractNumId w:val="17"/>
  </w:num>
  <w:num w:numId="19" w16cid:durableId="217669460">
    <w:abstractNumId w:val="24"/>
  </w:num>
  <w:num w:numId="20" w16cid:durableId="27803995">
    <w:abstractNumId w:val="21"/>
  </w:num>
  <w:num w:numId="21" w16cid:durableId="376707926">
    <w:abstractNumId w:val="27"/>
  </w:num>
  <w:num w:numId="22" w16cid:durableId="378633930">
    <w:abstractNumId w:val="2"/>
  </w:num>
  <w:num w:numId="23" w16cid:durableId="459108385">
    <w:abstractNumId w:val="20"/>
  </w:num>
  <w:num w:numId="24" w16cid:durableId="488903143">
    <w:abstractNumId w:val="10"/>
  </w:num>
  <w:num w:numId="25" w16cid:durableId="494951792">
    <w:abstractNumId w:val="18"/>
  </w:num>
  <w:num w:numId="26" w16cid:durableId="724258304">
    <w:abstractNumId w:val="22"/>
  </w:num>
  <w:num w:numId="27" w16cid:durableId="72510027">
    <w:abstractNumId w:val="9"/>
  </w:num>
  <w:num w:numId="28" w16cid:durableId="808984383">
    <w:abstractNumId w:val="23"/>
  </w:num>
  <w:num w:numId="29" w16cid:durableId="899946718">
    <w:abstractNumId w:val="29"/>
  </w:num>
  <w:num w:numId="30" w16cid:durableId="970595445">
    <w:abstractNumId w:val="30"/>
  </w:num>
  <w:num w:numId="31" w16cid:durableId="9729784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D80"/>
    <w:rsid w:val="00010540"/>
    <w:rsid w:val="00012DAF"/>
    <w:rsid w:val="000319E9"/>
    <w:rsid w:val="0008135B"/>
    <w:rsid w:val="00085C73"/>
    <w:rsid w:val="0009254D"/>
    <w:rsid w:val="00092900"/>
    <w:rsid w:val="000A1A72"/>
    <w:rsid w:val="000B5879"/>
    <w:rsid w:val="000C1FE7"/>
    <w:rsid w:val="000E2EC1"/>
    <w:rsid w:val="000F08C2"/>
    <w:rsid w:val="000F1B0C"/>
    <w:rsid w:val="000F2680"/>
    <w:rsid w:val="00102272"/>
    <w:rsid w:val="00125B13"/>
    <w:rsid w:val="0012766B"/>
    <w:rsid w:val="00132034"/>
    <w:rsid w:val="00136E86"/>
    <w:rsid w:val="001460DA"/>
    <w:rsid w:val="00156A7A"/>
    <w:rsid w:val="00160AD6"/>
    <w:rsid w:val="0018396C"/>
    <w:rsid w:val="00187B3D"/>
    <w:rsid w:val="00194300"/>
    <w:rsid w:val="001A2314"/>
    <w:rsid w:val="001A7C56"/>
    <w:rsid w:val="001A7EB9"/>
    <w:rsid w:val="001B5F36"/>
    <w:rsid w:val="001C2387"/>
    <w:rsid w:val="001C2EA2"/>
    <w:rsid w:val="001D2A90"/>
    <w:rsid w:val="001D7FD9"/>
    <w:rsid w:val="002139FA"/>
    <w:rsid w:val="00214E19"/>
    <w:rsid w:val="00226AA9"/>
    <w:rsid w:val="00230A99"/>
    <w:rsid w:val="00255A5D"/>
    <w:rsid w:val="00265F16"/>
    <w:rsid w:val="00273E8A"/>
    <w:rsid w:val="00285ECD"/>
    <w:rsid w:val="00286AA0"/>
    <w:rsid w:val="002A262C"/>
    <w:rsid w:val="002A3A27"/>
    <w:rsid w:val="002A3D3A"/>
    <w:rsid w:val="002E0FCD"/>
    <w:rsid w:val="002E4C4C"/>
    <w:rsid w:val="002E6684"/>
    <w:rsid w:val="002E6D42"/>
    <w:rsid w:val="00304517"/>
    <w:rsid w:val="00340A2E"/>
    <w:rsid w:val="00341911"/>
    <w:rsid w:val="003527B8"/>
    <w:rsid w:val="00356214"/>
    <w:rsid w:val="0037242B"/>
    <w:rsid w:val="00372D6D"/>
    <w:rsid w:val="00376D02"/>
    <w:rsid w:val="003912ED"/>
    <w:rsid w:val="00396124"/>
    <w:rsid w:val="003A2927"/>
    <w:rsid w:val="003A7EF2"/>
    <w:rsid w:val="003C522A"/>
    <w:rsid w:val="003E213C"/>
    <w:rsid w:val="003F0659"/>
    <w:rsid w:val="003F0757"/>
    <w:rsid w:val="00401BAB"/>
    <w:rsid w:val="004229AD"/>
    <w:rsid w:val="00427425"/>
    <w:rsid w:val="004376D1"/>
    <w:rsid w:val="004414A6"/>
    <w:rsid w:val="00472553"/>
    <w:rsid w:val="004729DF"/>
    <w:rsid w:val="00472A00"/>
    <w:rsid w:val="00487F9A"/>
    <w:rsid w:val="00491611"/>
    <w:rsid w:val="004A2C05"/>
    <w:rsid w:val="004C2861"/>
    <w:rsid w:val="004C5DF1"/>
    <w:rsid w:val="004D702E"/>
    <w:rsid w:val="004E3990"/>
    <w:rsid w:val="004F1F40"/>
    <w:rsid w:val="004F63E0"/>
    <w:rsid w:val="004F6635"/>
    <w:rsid w:val="005235F7"/>
    <w:rsid w:val="0052464F"/>
    <w:rsid w:val="00533392"/>
    <w:rsid w:val="00534103"/>
    <w:rsid w:val="00534C87"/>
    <w:rsid w:val="00542461"/>
    <w:rsid w:val="00564290"/>
    <w:rsid w:val="00574861"/>
    <w:rsid w:val="005953DF"/>
    <w:rsid w:val="005B72B5"/>
    <w:rsid w:val="005D701D"/>
    <w:rsid w:val="0060518A"/>
    <w:rsid w:val="00615537"/>
    <w:rsid w:val="006253A7"/>
    <w:rsid w:val="006326EC"/>
    <w:rsid w:val="00643E37"/>
    <w:rsid w:val="00662FB7"/>
    <w:rsid w:val="00666CD8"/>
    <w:rsid w:val="00667D01"/>
    <w:rsid w:val="00683046"/>
    <w:rsid w:val="00692276"/>
    <w:rsid w:val="006A6868"/>
    <w:rsid w:val="006B23B4"/>
    <w:rsid w:val="006B24CB"/>
    <w:rsid w:val="006D746D"/>
    <w:rsid w:val="006E25A3"/>
    <w:rsid w:val="006E4ACF"/>
    <w:rsid w:val="006F7C14"/>
    <w:rsid w:val="007010A0"/>
    <w:rsid w:val="00702887"/>
    <w:rsid w:val="00713F28"/>
    <w:rsid w:val="00746217"/>
    <w:rsid w:val="00752345"/>
    <w:rsid w:val="00763899"/>
    <w:rsid w:val="0077351E"/>
    <w:rsid w:val="00774595"/>
    <w:rsid w:val="00797D7B"/>
    <w:rsid w:val="007A5FAC"/>
    <w:rsid w:val="007B7238"/>
    <w:rsid w:val="007D0B5E"/>
    <w:rsid w:val="007D7700"/>
    <w:rsid w:val="007E5699"/>
    <w:rsid w:val="007E6E60"/>
    <w:rsid w:val="007F3C06"/>
    <w:rsid w:val="007F3C36"/>
    <w:rsid w:val="0080476B"/>
    <w:rsid w:val="00812C57"/>
    <w:rsid w:val="0081598B"/>
    <w:rsid w:val="00815A82"/>
    <w:rsid w:val="00815C6A"/>
    <w:rsid w:val="00816E79"/>
    <w:rsid w:val="00817E9B"/>
    <w:rsid w:val="008251B6"/>
    <w:rsid w:val="00826395"/>
    <w:rsid w:val="008303EA"/>
    <w:rsid w:val="00832B8F"/>
    <w:rsid w:val="0084071B"/>
    <w:rsid w:val="008473D8"/>
    <w:rsid w:val="00851133"/>
    <w:rsid w:val="00867DCD"/>
    <w:rsid w:val="00877AC6"/>
    <w:rsid w:val="00905DDA"/>
    <w:rsid w:val="00912B34"/>
    <w:rsid w:val="00920149"/>
    <w:rsid w:val="00920D4A"/>
    <w:rsid w:val="0094225D"/>
    <w:rsid w:val="00944405"/>
    <w:rsid w:val="009502D4"/>
    <w:rsid w:val="00965E1A"/>
    <w:rsid w:val="009960A2"/>
    <w:rsid w:val="009A6663"/>
    <w:rsid w:val="009B11CE"/>
    <w:rsid w:val="009B122F"/>
    <w:rsid w:val="009B5905"/>
    <w:rsid w:val="009B72A7"/>
    <w:rsid w:val="009C238C"/>
    <w:rsid w:val="009E077A"/>
    <w:rsid w:val="009E5695"/>
    <w:rsid w:val="009F43B2"/>
    <w:rsid w:val="00A02C97"/>
    <w:rsid w:val="00A03169"/>
    <w:rsid w:val="00A0492C"/>
    <w:rsid w:val="00A0675A"/>
    <w:rsid w:val="00A13A6B"/>
    <w:rsid w:val="00A321FC"/>
    <w:rsid w:val="00A330C6"/>
    <w:rsid w:val="00A3411B"/>
    <w:rsid w:val="00A36087"/>
    <w:rsid w:val="00A37DF4"/>
    <w:rsid w:val="00A65AC8"/>
    <w:rsid w:val="00A728D4"/>
    <w:rsid w:val="00A75DD8"/>
    <w:rsid w:val="00A76A54"/>
    <w:rsid w:val="00A82EE3"/>
    <w:rsid w:val="00A8488C"/>
    <w:rsid w:val="00A85309"/>
    <w:rsid w:val="00A92EC3"/>
    <w:rsid w:val="00A96413"/>
    <w:rsid w:val="00AB5CED"/>
    <w:rsid w:val="00AC2938"/>
    <w:rsid w:val="00AD1717"/>
    <w:rsid w:val="00AE0879"/>
    <w:rsid w:val="00AE4B67"/>
    <w:rsid w:val="00B054C0"/>
    <w:rsid w:val="00B1631C"/>
    <w:rsid w:val="00B25BD3"/>
    <w:rsid w:val="00B47FFE"/>
    <w:rsid w:val="00B6067C"/>
    <w:rsid w:val="00B83082"/>
    <w:rsid w:val="00B862D4"/>
    <w:rsid w:val="00B93CEB"/>
    <w:rsid w:val="00B97990"/>
    <w:rsid w:val="00BA6E03"/>
    <w:rsid w:val="00BB016E"/>
    <w:rsid w:val="00BB06BF"/>
    <w:rsid w:val="00BE57A0"/>
    <w:rsid w:val="00BF7C49"/>
    <w:rsid w:val="00C01D80"/>
    <w:rsid w:val="00C075D0"/>
    <w:rsid w:val="00C11B4F"/>
    <w:rsid w:val="00C14489"/>
    <w:rsid w:val="00C22798"/>
    <w:rsid w:val="00C55347"/>
    <w:rsid w:val="00C66409"/>
    <w:rsid w:val="00C9490D"/>
    <w:rsid w:val="00CB4C2F"/>
    <w:rsid w:val="00CB7C66"/>
    <w:rsid w:val="00CC0636"/>
    <w:rsid w:val="00CD109F"/>
    <w:rsid w:val="00CD2E7A"/>
    <w:rsid w:val="00CE15AE"/>
    <w:rsid w:val="00CE293E"/>
    <w:rsid w:val="00CE4F15"/>
    <w:rsid w:val="00CF1791"/>
    <w:rsid w:val="00D04C69"/>
    <w:rsid w:val="00D079D3"/>
    <w:rsid w:val="00D11F43"/>
    <w:rsid w:val="00D12FE3"/>
    <w:rsid w:val="00D16ACB"/>
    <w:rsid w:val="00D171F0"/>
    <w:rsid w:val="00D24B94"/>
    <w:rsid w:val="00D269A1"/>
    <w:rsid w:val="00D318F8"/>
    <w:rsid w:val="00D64AEB"/>
    <w:rsid w:val="00D67F1E"/>
    <w:rsid w:val="00D70039"/>
    <w:rsid w:val="00D77E6A"/>
    <w:rsid w:val="00D912B0"/>
    <w:rsid w:val="00DA56FD"/>
    <w:rsid w:val="00DB600D"/>
    <w:rsid w:val="00DC26E8"/>
    <w:rsid w:val="00DC5230"/>
    <w:rsid w:val="00DD00DD"/>
    <w:rsid w:val="00E23129"/>
    <w:rsid w:val="00E236F7"/>
    <w:rsid w:val="00E270DA"/>
    <w:rsid w:val="00E348DC"/>
    <w:rsid w:val="00E65429"/>
    <w:rsid w:val="00E71940"/>
    <w:rsid w:val="00E915E7"/>
    <w:rsid w:val="00EB7216"/>
    <w:rsid w:val="00EC0CA9"/>
    <w:rsid w:val="00EC63C4"/>
    <w:rsid w:val="00ED4654"/>
    <w:rsid w:val="00ED5681"/>
    <w:rsid w:val="00EE4914"/>
    <w:rsid w:val="00F17155"/>
    <w:rsid w:val="00F21983"/>
    <w:rsid w:val="00F3398D"/>
    <w:rsid w:val="00F428D7"/>
    <w:rsid w:val="00F42DAB"/>
    <w:rsid w:val="00F441EA"/>
    <w:rsid w:val="00F7360A"/>
    <w:rsid w:val="00F75F96"/>
    <w:rsid w:val="00F8182E"/>
    <w:rsid w:val="00F92807"/>
    <w:rsid w:val="00F946CE"/>
    <w:rsid w:val="00FA4469"/>
    <w:rsid w:val="00FA77A3"/>
    <w:rsid w:val="00FB1B85"/>
    <w:rsid w:val="00FD0BCA"/>
    <w:rsid w:val="00FD3AC8"/>
    <w:rsid w:val="00FF7CFE"/>
    <w:rsid w:val="0100543F"/>
    <w:rsid w:val="013F646F"/>
    <w:rsid w:val="0193C7A1"/>
    <w:rsid w:val="01A7ECD3"/>
    <w:rsid w:val="02011716"/>
    <w:rsid w:val="038DB6B9"/>
    <w:rsid w:val="040634C4"/>
    <w:rsid w:val="0421C15F"/>
    <w:rsid w:val="0505C69D"/>
    <w:rsid w:val="05348325"/>
    <w:rsid w:val="0607A7B9"/>
    <w:rsid w:val="06A646ED"/>
    <w:rsid w:val="08B5A899"/>
    <w:rsid w:val="0972CCE0"/>
    <w:rsid w:val="09DFC39E"/>
    <w:rsid w:val="0A4AA461"/>
    <w:rsid w:val="0A6D8AB7"/>
    <w:rsid w:val="0B105839"/>
    <w:rsid w:val="0BDC6B5D"/>
    <w:rsid w:val="0D1059EB"/>
    <w:rsid w:val="0D6B0C7F"/>
    <w:rsid w:val="0DB4430B"/>
    <w:rsid w:val="0DD2DFDE"/>
    <w:rsid w:val="0ECFF517"/>
    <w:rsid w:val="0F4F2E46"/>
    <w:rsid w:val="0FC44CA5"/>
    <w:rsid w:val="0FECAA7E"/>
    <w:rsid w:val="11ED81F4"/>
    <w:rsid w:val="123AE185"/>
    <w:rsid w:val="12BD0584"/>
    <w:rsid w:val="1334F576"/>
    <w:rsid w:val="13E6E803"/>
    <w:rsid w:val="14B67ACD"/>
    <w:rsid w:val="154FDE36"/>
    <w:rsid w:val="15FB4EB7"/>
    <w:rsid w:val="160B2C62"/>
    <w:rsid w:val="160FC236"/>
    <w:rsid w:val="16110FA1"/>
    <w:rsid w:val="162D9DA4"/>
    <w:rsid w:val="192CDCB4"/>
    <w:rsid w:val="1A29461C"/>
    <w:rsid w:val="1B43E988"/>
    <w:rsid w:val="1B559025"/>
    <w:rsid w:val="1B5BC806"/>
    <w:rsid w:val="1C9D8863"/>
    <w:rsid w:val="1CFC253F"/>
    <w:rsid w:val="1DE9DB35"/>
    <w:rsid w:val="1E6A9D57"/>
    <w:rsid w:val="1E7F0F0A"/>
    <w:rsid w:val="1ED1B19E"/>
    <w:rsid w:val="1F0931CD"/>
    <w:rsid w:val="1F80B66B"/>
    <w:rsid w:val="1F9F523C"/>
    <w:rsid w:val="20DF580B"/>
    <w:rsid w:val="20EB0F52"/>
    <w:rsid w:val="212D9EDA"/>
    <w:rsid w:val="21B6A00D"/>
    <w:rsid w:val="226B7106"/>
    <w:rsid w:val="22D1A4E7"/>
    <w:rsid w:val="22DF4039"/>
    <w:rsid w:val="22F1978B"/>
    <w:rsid w:val="24311197"/>
    <w:rsid w:val="24C41ACB"/>
    <w:rsid w:val="266BFA92"/>
    <w:rsid w:val="268AD1D4"/>
    <w:rsid w:val="26E41DA2"/>
    <w:rsid w:val="26FC5B99"/>
    <w:rsid w:val="27E73CD4"/>
    <w:rsid w:val="29170347"/>
    <w:rsid w:val="291ACE98"/>
    <w:rsid w:val="292DA83F"/>
    <w:rsid w:val="2B7828C3"/>
    <w:rsid w:val="2C2EE68A"/>
    <w:rsid w:val="2D5741CC"/>
    <w:rsid w:val="2DDEA44D"/>
    <w:rsid w:val="2E5F5425"/>
    <w:rsid w:val="2F787E88"/>
    <w:rsid w:val="2FDAA925"/>
    <w:rsid w:val="2FEA3E18"/>
    <w:rsid w:val="305424A4"/>
    <w:rsid w:val="30C4AB0E"/>
    <w:rsid w:val="3115FF38"/>
    <w:rsid w:val="31920012"/>
    <w:rsid w:val="31B67CC9"/>
    <w:rsid w:val="31BFC269"/>
    <w:rsid w:val="3216D36A"/>
    <w:rsid w:val="348F6809"/>
    <w:rsid w:val="35DB4C73"/>
    <w:rsid w:val="373C5B63"/>
    <w:rsid w:val="374505CB"/>
    <w:rsid w:val="37892FE9"/>
    <w:rsid w:val="3804D9AD"/>
    <w:rsid w:val="380A0DDA"/>
    <w:rsid w:val="387DA808"/>
    <w:rsid w:val="38E2E058"/>
    <w:rsid w:val="38E6E8AC"/>
    <w:rsid w:val="3A10DBA9"/>
    <w:rsid w:val="3ADE991E"/>
    <w:rsid w:val="3BF859D5"/>
    <w:rsid w:val="3C71496B"/>
    <w:rsid w:val="3D96C1EB"/>
    <w:rsid w:val="3DCDFA7D"/>
    <w:rsid w:val="3DF93A5F"/>
    <w:rsid w:val="3E03559A"/>
    <w:rsid w:val="3E3FB050"/>
    <w:rsid w:val="3EC83790"/>
    <w:rsid w:val="3FA99FF6"/>
    <w:rsid w:val="40170BEA"/>
    <w:rsid w:val="4029905B"/>
    <w:rsid w:val="404F13F5"/>
    <w:rsid w:val="40EA3C3D"/>
    <w:rsid w:val="4141A983"/>
    <w:rsid w:val="41FCCAAA"/>
    <w:rsid w:val="43A8A209"/>
    <w:rsid w:val="4422C998"/>
    <w:rsid w:val="4499E130"/>
    <w:rsid w:val="45073E5D"/>
    <w:rsid w:val="456D4A42"/>
    <w:rsid w:val="45F7FB5E"/>
    <w:rsid w:val="4605D629"/>
    <w:rsid w:val="467246D1"/>
    <w:rsid w:val="46EA041A"/>
    <w:rsid w:val="47045645"/>
    <w:rsid w:val="476CFB6C"/>
    <w:rsid w:val="49D46725"/>
    <w:rsid w:val="4AC93449"/>
    <w:rsid w:val="4C862F5B"/>
    <w:rsid w:val="4CD4D063"/>
    <w:rsid w:val="4DC0D7C9"/>
    <w:rsid w:val="4FFA1D92"/>
    <w:rsid w:val="5002644C"/>
    <w:rsid w:val="5035E24C"/>
    <w:rsid w:val="50D0617C"/>
    <w:rsid w:val="510751CC"/>
    <w:rsid w:val="52FFA2BB"/>
    <w:rsid w:val="537CC74B"/>
    <w:rsid w:val="543C5CF8"/>
    <w:rsid w:val="544AF169"/>
    <w:rsid w:val="56D13BC3"/>
    <w:rsid w:val="5792C5CE"/>
    <w:rsid w:val="58701805"/>
    <w:rsid w:val="59F3439A"/>
    <w:rsid w:val="5AD97A44"/>
    <w:rsid w:val="5B38F299"/>
    <w:rsid w:val="5B6240AE"/>
    <w:rsid w:val="5BE8A2E2"/>
    <w:rsid w:val="5DDB9FBE"/>
    <w:rsid w:val="5E8C1D3F"/>
    <w:rsid w:val="5E8F1E48"/>
    <w:rsid w:val="5F44B0C1"/>
    <w:rsid w:val="5F800C6E"/>
    <w:rsid w:val="60D818B6"/>
    <w:rsid w:val="61CD36D4"/>
    <w:rsid w:val="621004F1"/>
    <w:rsid w:val="62195B10"/>
    <w:rsid w:val="62CBF386"/>
    <w:rsid w:val="64564FEE"/>
    <w:rsid w:val="65EBC299"/>
    <w:rsid w:val="65EDC003"/>
    <w:rsid w:val="6734D78A"/>
    <w:rsid w:val="68048EEF"/>
    <w:rsid w:val="6A318DB6"/>
    <w:rsid w:val="6A5183C1"/>
    <w:rsid w:val="6A641C00"/>
    <w:rsid w:val="6B0FCFB8"/>
    <w:rsid w:val="6DB7B259"/>
    <w:rsid w:val="6E10898F"/>
    <w:rsid w:val="6F305601"/>
    <w:rsid w:val="6FAA6749"/>
    <w:rsid w:val="6FDB2546"/>
    <w:rsid w:val="6FE2EC57"/>
    <w:rsid w:val="708DDCA0"/>
    <w:rsid w:val="70DA6767"/>
    <w:rsid w:val="70FF94F5"/>
    <w:rsid w:val="7185D5BB"/>
    <w:rsid w:val="72211F3B"/>
    <w:rsid w:val="72F2633D"/>
    <w:rsid w:val="73322810"/>
    <w:rsid w:val="74B72970"/>
    <w:rsid w:val="74BD6153"/>
    <w:rsid w:val="74C72A70"/>
    <w:rsid w:val="7510B19A"/>
    <w:rsid w:val="7612D860"/>
    <w:rsid w:val="7822C61B"/>
    <w:rsid w:val="7895F085"/>
    <w:rsid w:val="78A58A9F"/>
    <w:rsid w:val="78C81100"/>
    <w:rsid w:val="78EDA3A8"/>
    <w:rsid w:val="79AE574B"/>
    <w:rsid w:val="7E99D4D5"/>
    <w:rsid w:val="7ECBE59A"/>
    <w:rsid w:val="7F92A6CE"/>
    <w:rsid w:val="7FBEA579"/>
    <w:rsid w:val="7FD1D2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C06E13C"/>
  <w15:chartTrackingRefBased/>
  <w15:docId w15:val="{49300EF7-61EC-4291-BC2F-BD7AFB04E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01D8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1D8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1D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1D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1D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1D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1D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1D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1D8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01D8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01D8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01D8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01D8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01D8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01D8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01D8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01D8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01D80"/>
    <w:rPr>
      <w:rFonts w:eastAsiaTheme="majorEastAsia" w:cstheme="majorBidi"/>
      <w:color w:val="272727" w:themeColor="text1" w:themeTint="D8"/>
    </w:rPr>
  </w:style>
  <w:style w:type="paragraph" w:styleId="Title">
    <w:name w:val="Title"/>
    <w:basedOn w:val="Normal"/>
    <w:next w:val="Normal"/>
    <w:link w:val="TitleChar"/>
    <w:uiPriority w:val="10"/>
    <w:qFormat/>
    <w:rsid w:val="00C01D8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01D8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01D8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01D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1D80"/>
    <w:pPr>
      <w:spacing w:before="160"/>
      <w:jc w:val="center"/>
    </w:pPr>
    <w:rPr>
      <w:i/>
      <w:iCs/>
      <w:color w:val="404040" w:themeColor="text1" w:themeTint="BF"/>
    </w:rPr>
  </w:style>
  <w:style w:type="character" w:styleId="QuoteChar" w:customStyle="1">
    <w:name w:val="Quote Char"/>
    <w:basedOn w:val="DefaultParagraphFont"/>
    <w:link w:val="Quote"/>
    <w:uiPriority w:val="29"/>
    <w:rsid w:val="00C01D80"/>
    <w:rPr>
      <w:i/>
      <w:iCs/>
      <w:color w:val="404040" w:themeColor="text1" w:themeTint="BF"/>
    </w:rPr>
  </w:style>
  <w:style w:type="paragraph" w:styleId="ListParagraph">
    <w:name w:val="List Paragraph"/>
    <w:basedOn w:val="Normal"/>
    <w:uiPriority w:val="34"/>
    <w:qFormat/>
    <w:rsid w:val="00C01D80"/>
    <w:pPr>
      <w:ind w:left="720"/>
      <w:contextualSpacing/>
    </w:pPr>
  </w:style>
  <w:style w:type="character" w:styleId="IntenseEmphasis">
    <w:name w:val="Intense Emphasis"/>
    <w:basedOn w:val="DefaultParagraphFont"/>
    <w:uiPriority w:val="21"/>
    <w:qFormat/>
    <w:rsid w:val="00C01D80"/>
    <w:rPr>
      <w:i/>
      <w:iCs/>
      <w:color w:val="0F4761" w:themeColor="accent1" w:themeShade="BF"/>
    </w:rPr>
  </w:style>
  <w:style w:type="paragraph" w:styleId="IntenseQuote">
    <w:name w:val="Intense Quote"/>
    <w:basedOn w:val="Normal"/>
    <w:next w:val="Normal"/>
    <w:link w:val="IntenseQuoteChar"/>
    <w:uiPriority w:val="30"/>
    <w:qFormat/>
    <w:rsid w:val="00C01D8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01D80"/>
    <w:rPr>
      <w:i/>
      <w:iCs/>
      <w:color w:val="0F4761" w:themeColor="accent1" w:themeShade="BF"/>
    </w:rPr>
  </w:style>
  <w:style w:type="character" w:styleId="IntenseReference">
    <w:name w:val="Intense Reference"/>
    <w:basedOn w:val="DefaultParagraphFont"/>
    <w:uiPriority w:val="32"/>
    <w:qFormat/>
    <w:rsid w:val="00C01D80"/>
    <w:rPr>
      <w:b/>
      <w:bCs/>
      <w:smallCaps/>
      <w:color w:val="0F4761" w:themeColor="accent1" w:themeShade="BF"/>
      <w:spacing w:val="5"/>
    </w:rPr>
  </w:style>
  <w:style w:type="paragraph" w:styleId="NormalWeb">
    <w:name w:val="Normal (Web)"/>
    <w:basedOn w:val="Normal"/>
    <w:uiPriority w:val="99"/>
    <w:semiHidden/>
    <w:unhideWhenUsed/>
    <w:rsid w:val="00C01D80"/>
    <w:rPr>
      <w:rFonts w:ascii="Times New Roman" w:hAnsi="Times New Roman" w:cs="Times New Roman"/>
    </w:rPr>
  </w:style>
  <w:style w:type="character" w:styleId="Hyperlink">
    <w:uiPriority w:val="99"/>
    <w:name w:val="Hyperlink"/>
    <w:basedOn w:val="DefaultParagraphFont"/>
    <w:unhideWhenUsed/>
    <w:rsid w:val="74B7297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yperlink" Target="https://hwb.gov.wales/" TargetMode="External" Id="R9121a1ac11874d58" /><Relationship Type="http://schemas.openxmlformats.org/officeDocument/2006/relationships/hyperlink" Target="https://www.gov.uk/government/publications/early-years-foundation-stage-framework" TargetMode="External" Id="R0d4ff77cc1114a5f" /><Relationship Type="http://schemas.openxmlformats.org/officeDocument/2006/relationships/hyperlink" Target="https://www.ohchr.org/en/instruments-mechanisms/instruments/convention-rights-child" TargetMode="External" Id="R56ed9cea4a074d69" /><Relationship Type="http://schemas.openxmlformats.org/officeDocument/2006/relationships/hyperlink" Target="https://www.gov.uk/government/publications/early-years-foundation-stage-framework" TargetMode="External" Id="R339e6120cb504e7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4f971b7a74022bba4367f1a5f21a2016">
  <xsd:schema xmlns:xsd="http://www.w3.org/2001/XMLSchema" xmlns:xs="http://www.w3.org/2001/XMLSchema" xmlns:p="http://schemas.microsoft.com/office/2006/metadata/properties" xmlns:ns3="b4f9f7ee-5770-4a14-8925-17f3d16e50b7" targetNamespace="http://schemas.microsoft.com/office/2006/metadata/properties" ma:root="true" ma:fieldsID="31a9f5c9a3573ca65f03a7ba9b6065f6"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822423-1C41-40A1-8E97-4EEE9E725A60}">
  <ds:schemaRefs>
    <ds:schemaRef ds:uri="http://schemas.microsoft.com/sharepoint/v3/contenttype/forms"/>
  </ds:schemaRefs>
</ds:datastoreItem>
</file>

<file path=customXml/itemProps2.xml><?xml version="1.0" encoding="utf-8"?>
<ds:datastoreItem xmlns:ds="http://schemas.openxmlformats.org/officeDocument/2006/customXml" ds:itemID="{EFABF2D6-8901-42EB-9162-010EE778179D}">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BFAD67C0-DD2D-44B6-A130-9F46FA8F5B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Janine Morgan (2517331)</dc:creator>
  <keywords/>
  <dc:description/>
  <lastModifiedBy>Janine Morgan (2517331)</lastModifiedBy>
  <revision>83</revision>
  <dcterms:created xsi:type="dcterms:W3CDTF">2026-02-28T12:18:00.0000000Z</dcterms:created>
  <dcterms:modified xsi:type="dcterms:W3CDTF">2026-02-28T21:27:40.3211724Z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