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2D8EEB"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Heather </w:t>
      </w:r>
      <w:proofErr w:type="spellStart"/>
      <w:r>
        <w:rPr>
          <w:rFonts w:ascii="Helvetica" w:hAnsi="Helvetica" w:cs="Helvetica"/>
          <w:color w:val="000000"/>
          <w:sz w:val="22"/>
          <w:szCs w:val="22"/>
        </w:rPr>
        <w:t>Kelman</w:t>
      </w:r>
      <w:proofErr w:type="spellEnd"/>
    </w:p>
    <w:p w14:paraId="24D090FF"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Ways of Perceiving </w:t>
      </w:r>
    </w:p>
    <w:p w14:paraId="70574AA2"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Conformity and Voyeurism </w:t>
      </w:r>
    </w:p>
    <w:p w14:paraId="5FD70FB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word count: 1,197</w:t>
      </w:r>
    </w:p>
    <w:p w14:paraId="5881CBA5"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Julia Lockhart </w:t>
      </w:r>
    </w:p>
    <w:p w14:paraId="066E6AB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1704216 </w:t>
      </w:r>
    </w:p>
    <w:p w14:paraId="54FF8B12"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A872706"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DF10A3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320BAB1"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9A6D751"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09F0F0D"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1114149"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E026602"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D10486B"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4B72E14"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26F7CD3"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A14700A"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D1AEAC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CACADA7"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78EBAB5"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99D7FD4"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A3DCC32"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FCF6E62"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3CA85BD"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B7958F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955A848"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625BBBA"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09FCC27"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D67B821"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F0F9A28"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499FE6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2C05681"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7C38474"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2BD3E12"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102E98B"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7C64B65"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D4740A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1871948"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6E1D35F"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076B2C9"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4B5A99B"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8385808"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495F1A3"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763E609"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E7CCFB8"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539A79F"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FE0808A"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2AFF8B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3E44783"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79842AE"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743021A"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0B460B5"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noProof/>
          <w:color w:val="000000"/>
          <w:sz w:val="22"/>
          <w:szCs w:val="22"/>
          <w:lang w:eastAsia="en-GB"/>
        </w:rPr>
        <w:lastRenderedPageBreak/>
        <w:drawing>
          <wp:inline distT="0" distB="0" distL="0" distR="0" wp14:anchorId="05CF4923" wp14:editId="7C358127">
            <wp:extent cx="2908935" cy="4114756"/>
            <wp:effectExtent l="0" t="0" r="1206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omdesign.jpg"/>
                    <pic:cNvPicPr/>
                  </pic:nvPicPr>
                  <pic:blipFill>
                    <a:blip r:embed="rId4">
                      <a:extLst>
                        <a:ext uri="{28A0092B-C50C-407E-A947-70E740481C1C}">
                          <a14:useLocalDpi xmlns:a14="http://schemas.microsoft.com/office/drawing/2010/main" val="0"/>
                        </a:ext>
                      </a:extLst>
                    </a:blip>
                    <a:stretch>
                      <a:fillRect/>
                    </a:stretch>
                  </pic:blipFill>
                  <pic:spPr>
                    <a:xfrm>
                      <a:off x="0" y="0"/>
                      <a:ext cx="2908935" cy="4114756"/>
                    </a:xfrm>
                    <a:prstGeom prst="rect">
                      <a:avLst/>
                    </a:prstGeom>
                  </pic:spPr>
                </pic:pic>
              </a:graphicData>
            </a:graphic>
          </wp:inline>
        </w:drawing>
      </w:r>
    </w:p>
    <w:p w14:paraId="32EEE19D"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152000E"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1D8DF86"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803C144"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Within my Imagined Gallery space</w:t>
      </w:r>
      <w:r w:rsidR="00C81747">
        <w:rPr>
          <w:rFonts w:ascii="Helvetica" w:hAnsi="Helvetica" w:cs="Helvetica"/>
          <w:color w:val="000000"/>
          <w:sz w:val="22"/>
          <w:szCs w:val="22"/>
        </w:rPr>
        <w:t>,</w:t>
      </w:r>
      <w:r>
        <w:rPr>
          <w:rFonts w:ascii="Helvetica" w:hAnsi="Helvetica" w:cs="Helvetica"/>
          <w:color w:val="000000"/>
          <w:sz w:val="22"/>
          <w:szCs w:val="22"/>
        </w:rPr>
        <w:t xml:space="preserve"> I will be featuring pieces of art </w:t>
      </w:r>
      <w:r w:rsidR="00C81747">
        <w:rPr>
          <w:rFonts w:ascii="Helvetica" w:hAnsi="Helvetica" w:cs="Helvetica"/>
          <w:color w:val="000000"/>
          <w:sz w:val="22"/>
          <w:szCs w:val="22"/>
        </w:rPr>
        <w:t>with the view that they will be</w:t>
      </w:r>
      <w:r>
        <w:rPr>
          <w:rFonts w:ascii="Helvetica" w:hAnsi="Helvetica" w:cs="Helvetica"/>
          <w:color w:val="000000"/>
          <w:sz w:val="22"/>
          <w:szCs w:val="22"/>
        </w:rPr>
        <w:t xml:space="preserve"> looked at by making your way around a circular room. In the centre of my gallery space I have decided to create a domed confined space in which the pieces of artwork I have chosen will be displayed. I decided to use the idea of having viewfinders to see the work because I felt this was a good physical representation of the topic I have chosen to research and base my exhibition on. The idea of my gallery space is to challenge societal norms and unpi</w:t>
      </w:r>
      <w:r w:rsidR="00C81747">
        <w:rPr>
          <w:rFonts w:ascii="Helvetica" w:hAnsi="Helvetica" w:cs="Helvetica"/>
          <w:color w:val="000000"/>
          <w:sz w:val="22"/>
          <w:szCs w:val="22"/>
        </w:rPr>
        <w:t>ck what it means to be a modern-</w:t>
      </w:r>
      <w:r>
        <w:rPr>
          <w:rFonts w:ascii="Helvetica" w:hAnsi="Helvetica" w:cs="Helvetica"/>
          <w:color w:val="000000"/>
          <w:sz w:val="22"/>
          <w:szCs w:val="22"/>
        </w:rPr>
        <w:t xml:space="preserve">day human being using the key words ‘Voyeurism’ and ‘Conformity’. I began by looking at the idea of voyeurism which means to gain sexual pleasure from watching others naked or engaged in sexual activity, or adversely to gain pleasure from watching someone else in pain or distress. Initially I felt uncomfortable about approaching this topic. However, as I read further into it I gained a wider understanding of the sorts of topics which could stem from this key word. Jay </w:t>
      </w:r>
      <w:proofErr w:type="spellStart"/>
      <w:r>
        <w:rPr>
          <w:rFonts w:ascii="Helvetica" w:hAnsi="Helvetica" w:cs="Helvetica"/>
          <w:color w:val="000000"/>
          <w:sz w:val="22"/>
          <w:szCs w:val="22"/>
        </w:rPr>
        <w:t>Sidpara</w:t>
      </w:r>
      <w:proofErr w:type="spellEnd"/>
      <w:r>
        <w:rPr>
          <w:rFonts w:ascii="Helvetica" w:hAnsi="Helvetica" w:cs="Helvetica"/>
          <w:color w:val="000000"/>
          <w:sz w:val="22"/>
          <w:szCs w:val="22"/>
        </w:rPr>
        <w:t xml:space="preserve"> states in the blurb of his book ‘</w:t>
      </w:r>
      <w:r>
        <w:rPr>
          <w:rFonts w:ascii="Helvetica" w:hAnsi="Helvetica" w:cs="Helvetica"/>
          <w:i/>
          <w:iCs/>
          <w:color w:val="000000"/>
          <w:sz w:val="22"/>
          <w:szCs w:val="22"/>
        </w:rPr>
        <w:t xml:space="preserve">The Art </w:t>
      </w:r>
      <w:proofErr w:type="gramStart"/>
      <w:r>
        <w:rPr>
          <w:rFonts w:ascii="Helvetica" w:hAnsi="Helvetica" w:cs="Helvetica"/>
          <w:i/>
          <w:iCs/>
          <w:color w:val="000000"/>
          <w:sz w:val="22"/>
          <w:szCs w:val="22"/>
        </w:rPr>
        <w:t>Of</w:t>
      </w:r>
      <w:proofErr w:type="gramEnd"/>
      <w:r>
        <w:rPr>
          <w:rFonts w:ascii="Helvetica" w:hAnsi="Helvetica" w:cs="Helvetica"/>
          <w:i/>
          <w:iCs/>
          <w:color w:val="000000"/>
          <w:sz w:val="22"/>
          <w:szCs w:val="22"/>
        </w:rPr>
        <w:t xml:space="preserve"> Voyeurism’ (2017) </w:t>
      </w:r>
      <w:r>
        <w:rPr>
          <w:rFonts w:ascii="Helvetica" w:hAnsi="Helvetica" w:cs="Helvetica"/>
          <w:color w:val="000000"/>
          <w:sz w:val="22"/>
          <w:szCs w:val="22"/>
        </w:rPr>
        <w:t>that ‘The art of voyeurism examines and questions our acceptance of the many facets of art’. This encouraged my fascination by the idea of exploring why people find great interest in watching or reading about other people</w:t>
      </w:r>
      <w:r w:rsidR="00C81747">
        <w:rPr>
          <w:rFonts w:ascii="Helvetica" w:hAnsi="Helvetica" w:cs="Helvetica"/>
          <w:color w:val="000000"/>
          <w:sz w:val="22"/>
          <w:szCs w:val="22"/>
        </w:rPr>
        <w:t>’</w:t>
      </w:r>
      <w:r>
        <w:rPr>
          <w:rFonts w:ascii="Helvetica" w:hAnsi="Helvetica" w:cs="Helvetica"/>
          <w:color w:val="000000"/>
          <w:sz w:val="22"/>
          <w:szCs w:val="22"/>
        </w:rPr>
        <w:t>s l</w:t>
      </w:r>
      <w:r w:rsidR="00C81747">
        <w:rPr>
          <w:rFonts w:ascii="Helvetica" w:hAnsi="Helvetica" w:cs="Helvetica"/>
          <w:color w:val="000000"/>
          <w:sz w:val="22"/>
          <w:szCs w:val="22"/>
        </w:rPr>
        <w:t>ives, whether that be in a real-</w:t>
      </w:r>
      <w:r>
        <w:rPr>
          <w:rFonts w:ascii="Helvetica" w:hAnsi="Helvetica" w:cs="Helvetica"/>
          <w:color w:val="000000"/>
          <w:sz w:val="22"/>
          <w:szCs w:val="22"/>
        </w:rPr>
        <w:t xml:space="preserve">life situation or fictional. It isn't something that had ever crossed my mind before as being unnatural because it is widely considered a cultural norm. Yet often people might find that they are living their lives almost completely through the lives of others. (2012;118) </w:t>
      </w:r>
    </w:p>
    <w:p w14:paraId="531A2046"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C54FDB7"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 In modern society, social media is vastly popular and addictive amongst all platforms. The very reason it was created was for people to keep up to date with the lives of others. Having done some online research into statistics, I came across some extreme information provided by the company Google, which say ‘over half of 18 - 34 year old </w:t>
      </w:r>
      <w:proofErr w:type="spellStart"/>
      <w:r>
        <w:rPr>
          <w:rFonts w:ascii="Helvetica" w:hAnsi="Helvetica" w:cs="Helvetica"/>
          <w:color w:val="000000"/>
          <w:sz w:val="22"/>
          <w:szCs w:val="22"/>
        </w:rPr>
        <w:t>youtube</w:t>
      </w:r>
      <w:proofErr w:type="spellEnd"/>
      <w:r>
        <w:rPr>
          <w:rFonts w:ascii="Helvetica" w:hAnsi="Helvetica" w:cs="Helvetica"/>
          <w:color w:val="000000"/>
          <w:sz w:val="22"/>
          <w:szCs w:val="22"/>
        </w:rPr>
        <w:t xml:space="preserve"> watchers were willing to stop whatever they were doing straight away in order to watch a new video provided by their favourite channel</w:t>
      </w:r>
      <w:proofErr w:type="gramStart"/>
      <w:r>
        <w:rPr>
          <w:rFonts w:ascii="Helvetica" w:hAnsi="Helvetica" w:cs="Helvetica"/>
          <w:color w:val="000000"/>
          <w:sz w:val="22"/>
          <w:szCs w:val="22"/>
        </w:rPr>
        <w:t>’(</w:t>
      </w:r>
      <w:proofErr w:type="gramEnd"/>
      <w:r>
        <w:rPr>
          <w:rFonts w:ascii="Helvetica" w:hAnsi="Helvetica" w:cs="Helvetica"/>
          <w:color w:val="000000"/>
          <w:sz w:val="22"/>
          <w:szCs w:val="22"/>
        </w:rPr>
        <w:t xml:space="preserve">2016). these statistics suggest that often people really do put a halt on their own lives to see what others are doing with theirs. I decided to read more into theories revolved around psychology to see where I could find some links and discovered there are a lot of theories regarding the idea of ‘selling a product’ to someone, popularly used as marketing techniques in the media. I read about the </w:t>
      </w:r>
      <w:proofErr w:type="spellStart"/>
      <w:r>
        <w:rPr>
          <w:rFonts w:ascii="Helvetica" w:hAnsi="Helvetica" w:cs="Helvetica"/>
          <w:color w:val="000000"/>
          <w:sz w:val="22"/>
          <w:szCs w:val="22"/>
        </w:rPr>
        <w:t>Soloman</w:t>
      </w:r>
      <w:proofErr w:type="spellEnd"/>
      <w:r>
        <w:rPr>
          <w:rFonts w:ascii="Helvetica" w:hAnsi="Helvetica" w:cs="Helvetica"/>
          <w:color w:val="000000"/>
          <w:sz w:val="22"/>
          <w:szCs w:val="22"/>
        </w:rPr>
        <w:t xml:space="preserve"> Asch experiment which I came across in the book ‘</w:t>
      </w:r>
      <w:r>
        <w:rPr>
          <w:rFonts w:ascii="Helvetica" w:hAnsi="Helvetica" w:cs="Helvetica"/>
          <w:i/>
          <w:iCs/>
          <w:color w:val="000000"/>
          <w:sz w:val="22"/>
          <w:szCs w:val="22"/>
        </w:rPr>
        <w:t>Sociology: Understand</w:t>
      </w:r>
      <w:r>
        <w:rPr>
          <w:rFonts w:ascii="Helvetica" w:hAnsi="Helvetica" w:cs="Helvetica"/>
          <w:i/>
          <w:iCs/>
          <w:color w:val="000000"/>
          <w:sz w:val="22"/>
          <w:szCs w:val="22"/>
        </w:rPr>
        <w:t>ing a Diverse Society, Updated</w:t>
      </w:r>
      <w:proofErr w:type="gramStart"/>
      <w:r>
        <w:rPr>
          <w:rFonts w:ascii="Helvetica" w:hAnsi="Helvetica" w:cs="Helvetica"/>
          <w:i/>
          <w:iCs/>
          <w:color w:val="000000"/>
          <w:sz w:val="22"/>
          <w:szCs w:val="22"/>
        </w:rPr>
        <w:t>’</w:t>
      </w:r>
      <w:r w:rsidRPr="00757D77">
        <w:rPr>
          <w:rFonts w:ascii="Helvetica" w:hAnsi="Helvetica" w:cs="Helvetica"/>
          <w:iCs/>
          <w:color w:val="000000"/>
          <w:sz w:val="22"/>
          <w:szCs w:val="22"/>
        </w:rPr>
        <w:t xml:space="preserve"> </w:t>
      </w:r>
      <w:r w:rsidR="00C81747">
        <w:rPr>
          <w:rFonts w:ascii="Helvetica" w:hAnsi="Helvetica" w:cs="Helvetica"/>
          <w:iCs/>
          <w:color w:val="000000"/>
          <w:sz w:val="22"/>
          <w:szCs w:val="22"/>
        </w:rPr>
        <w:t>.</w:t>
      </w:r>
      <w:r>
        <w:rPr>
          <w:rFonts w:ascii="Helvetica" w:hAnsi="Helvetica" w:cs="Helvetica"/>
          <w:color w:val="000000"/>
          <w:sz w:val="22"/>
          <w:szCs w:val="22"/>
        </w:rPr>
        <w:t>This</w:t>
      </w:r>
      <w:proofErr w:type="gramEnd"/>
      <w:r>
        <w:rPr>
          <w:rFonts w:ascii="Helvetica" w:hAnsi="Helvetica" w:cs="Helvetica"/>
          <w:color w:val="000000"/>
          <w:sz w:val="22"/>
          <w:szCs w:val="22"/>
        </w:rPr>
        <w:t xml:space="preserve"> experiment sets about proving the conformity of humans based on what they are told to believe. In the experiment, people were shown three lines and asked to match the correct line to one of the three A, B, and C, the answer was clearly shown to be C but the people doing the experiment were told that the answer was either A or B, these people were influenced in their decision and instead of looking to their own opinions and thoughts to answer the question, they were immediately influenced by what someone else had told them to answer. Similar displays of this behaviour can be seen in advertisement for consumer products. Whilst reading the book ‘</w:t>
      </w:r>
      <w:r>
        <w:rPr>
          <w:rFonts w:ascii="Helvetica" w:hAnsi="Helvetica" w:cs="Helvetica"/>
          <w:i/>
          <w:iCs/>
          <w:color w:val="000000"/>
          <w:sz w:val="22"/>
          <w:szCs w:val="22"/>
        </w:rPr>
        <w:t>Visual Perception: Physiology, Psychology and Ecology’</w:t>
      </w:r>
      <w:r>
        <w:rPr>
          <w:rFonts w:ascii="Helvetica" w:hAnsi="Helvetica" w:cs="Helvetica"/>
          <w:color w:val="000000"/>
          <w:sz w:val="22"/>
          <w:szCs w:val="22"/>
        </w:rPr>
        <w:t xml:space="preserve"> (2011:284) I read about a marketing technique called ‘Visual Priming’. Visual priming essentially means that the more you are shown something the more you acknowledge what you have seen in your everyday life. This is a good example of how social conformity may have come about as a result of repeatedly seeing ‘normal</w:t>
      </w:r>
      <w:r w:rsidR="00C81747">
        <w:rPr>
          <w:rFonts w:ascii="Helvetica" w:hAnsi="Helvetica" w:cs="Helvetica"/>
          <w:color w:val="000000"/>
          <w:sz w:val="22"/>
          <w:szCs w:val="22"/>
        </w:rPr>
        <w:t xml:space="preserve">’ or ‘perfect’ humans on television </w:t>
      </w:r>
      <w:r>
        <w:rPr>
          <w:rFonts w:ascii="Helvetica" w:hAnsi="Helvetica" w:cs="Helvetica"/>
          <w:color w:val="000000"/>
          <w:sz w:val="22"/>
          <w:szCs w:val="22"/>
        </w:rPr>
        <w:t xml:space="preserve">or likewise. I became aware that what it means to be considered a societal norm differs when it comes to various cultures and geographical locations, again visual priming plays a part in how each person perceives this difference. </w:t>
      </w:r>
    </w:p>
    <w:p w14:paraId="5396189E" w14:textId="77777777" w:rsidR="00C81747" w:rsidRDefault="00C8174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bookmarkStart w:id="0" w:name="_GoBack"/>
      <w:bookmarkEnd w:id="0"/>
    </w:p>
    <w:p w14:paraId="403B35A6"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  </w:t>
      </w:r>
      <w:r w:rsidR="00C81747">
        <w:rPr>
          <w:rFonts w:ascii="Helvetica" w:hAnsi="Helvetica" w:cs="Helvetica"/>
          <w:noProof/>
          <w:color w:val="000000"/>
          <w:sz w:val="22"/>
          <w:szCs w:val="22"/>
          <w:lang w:eastAsia="en-GB"/>
        </w:rPr>
        <w:drawing>
          <wp:inline distT="0" distB="0" distL="0" distR="0" wp14:anchorId="2BA8B346" wp14:editId="01F252E2">
            <wp:extent cx="4803140" cy="4803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ssay photos copy.jpg"/>
                    <pic:cNvPicPr/>
                  </pic:nvPicPr>
                  <pic:blipFill>
                    <a:blip r:embed="rId5">
                      <a:extLst>
                        <a:ext uri="{28A0092B-C50C-407E-A947-70E740481C1C}">
                          <a14:useLocalDpi xmlns:a14="http://schemas.microsoft.com/office/drawing/2010/main" val="0"/>
                        </a:ext>
                      </a:extLst>
                    </a:blip>
                    <a:stretch>
                      <a:fillRect/>
                    </a:stretch>
                  </pic:blipFill>
                  <pic:spPr>
                    <a:xfrm>
                      <a:off x="0" y="0"/>
                      <a:ext cx="4803140" cy="4803140"/>
                    </a:xfrm>
                    <a:prstGeom prst="rect">
                      <a:avLst/>
                    </a:prstGeom>
                  </pic:spPr>
                </pic:pic>
              </a:graphicData>
            </a:graphic>
          </wp:inline>
        </w:drawing>
      </w:r>
      <w:r>
        <w:rPr>
          <w:rFonts w:ascii="Helvetica" w:hAnsi="Helvetica" w:cs="Helvetica"/>
          <w:color w:val="000000"/>
          <w:sz w:val="22"/>
          <w:szCs w:val="22"/>
        </w:rPr>
        <w:t xml:space="preserve">   </w:t>
      </w:r>
    </w:p>
    <w:p w14:paraId="3A85E963"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E574AC4"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5DC05D7"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The artworks I have chosen to use in my gallery space have been selected as a group to portray the same purpose collectively. I wanted to use the idea of distorted or unnatural portrayals of the human face to coincide with my theme of conformity and voyeurism. The first artwork that I will be displaying within my gallery space is a piec</w:t>
      </w:r>
      <w:r w:rsidR="00C81747">
        <w:rPr>
          <w:rFonts w:ascii="Helvetica" w:hAnsi="Helvetica" w:cs="Helvetica"/>
          <w:color w:val="000000"/>
          <w:sz w:val="22"/>
          <w:szCs w:val="22"/>
        </w:rPr>
        <w:t>e by Francis Bacon titled ‘self-</w:t>
      </w:r>
      <w:r>
        <w:rPr>
          <w:rFonts w:ascii="Helvetica" w:hAnsi="Helvetica" w:cs="Helvetica"/>
          <w:color w:val="000000"/>
          <w:sz w:val="22"/>
          <w:szCs w:val="22"/>
        </w:rPr>
        <w:t>portrait’. Interestingly although Bacon was well known for his portraiture, it was unusual that he would paint with the subject being himself. I chose this image because of the facial distortion which links to my idea discussing the conformity of humans and what is discussed or publicly shown to be a ‘normal’ person, or inclusive of the facial features which can be related to by the large majority of the population. A study in the 1970’s suggested that people who were considered to have a normal appearance were more likely to experience ‘helping behaviour’ from others, whereas a facial disfigurement lead to less helping behaviour f</w:t>
      </w:r>
      <w:r w:rsidR="00C81747">
        <w:rPr>
          <w:rFonts w:ascii="Helvetica" w:hAnsi="Helvetica" w:cs="Helvetica"/>
          <w:color w:val="000000"/>
          <w:sz w:val="22"/>
          <w:szCs w:val="22"/>
        </w:rPr>
        <w:t xml:space="preserve">rom the general public. However, </w:t>
      </w:r>
      <w:r>
        <w:rPr>
          <w:rFonts w:ascii="Helvetica" w:hAnsi="Helvetica" w:cs="Helvetica"/>
          <w:color w:val="000000"/>
          <w:sz w:val="22"/>
          <w:szCs w:val="22"/>
        </w:rPr>
        <w:t>Bull and Stevens carried out a new research into this topic in the 1980s and found there was no correlation to prove these resul</w:t>
      </w:r>
      <w:r w:rsidR="00C81747">
        <w:rPr>
          <w:rFonts w:ascii="Helvetica" w:hAnsi="Helvetica" w:cs="Helvetica"/>
          <w:color w:val="000000"/>
          <w:sz w:val="22"/>
          <w:szCs w:val="22"/>
        </w:rPr>
        <w:t>ts and actually</w:t>
      </w:r>
      <w:r>
        <w:rPr>
          <w:rFonts w:ascii="Helvetica" w:hAnsi="Helvetica" w:cs="Helvetica"/>
          <w:color w:val="000000"/>
          <w:sz w:val="22"/>
          <w:szCs w:val="22"/>
        </w:rPr>
        <w:t xml:space="preserve"> the facial disfigurements led to more interest or attention (2012;203). The second piece of artwork which I will be including within my gallery space is a piece by Johannes </w:t>
      </w:r>
      <w:proofErr w:type="spellStart"/>
      <w:r>
        <w:rPr>
          <w:rFonts w:ascii="Helvetica" w:hAnsi="Helvetica" w:cs="Helvetica"/>
          <w:color w:val="000000"/>
          <w:sz w:val="22"/>
          <w:szCs w:val="22"/>
        </w:rPr>
        <w:t>Stotter</w:t>
      </w:r>
      <w:proofErr w:type="spellEnd"/>
      <w:r>
        <w:rPr>
          <w:rFonts w:ascii="Helvetica" w:hAnsi="Helvetica" w:cs="Helvetica"/>
          <w:color w:val="000000"/>
          <w:sz w:val="22"/>
          <w:szCs w:val="22"/>
        </w:rPr>
        <w:t xml:space="preserve">. I decided to use this piece of her work particularly because I felt it was the most effective example of the type of work I wanted to display. This piece of work will be displayed as an image due to the nature of the subjects being humans themselves it would not be feasible to include the actual artwork within my space. This image features two women body painted to look like a tropical frog. I decided to feature this as a piece of work because I liked the idea of how the people are presented here within the form of a different animal to discuss the way conformity within people encourages them to only envision the human form in a specific way, without considering the potential disguised forms that can exist. The third artist which I will be featuring within my gallery space is that of Jose </w:t>
      </w:r>
      <w:proofErr w:type="spellStart"/>
      <w:r>
        <w:rPr>
          <w:rFonts w:ascii="Helvetica" w:hAnsi="Helvetica" w:cs="Helvetica"/>
          <w:color w:val="000000"/>
          <w:sz w:val="22"/>
          <w:szCs w:val="22"/>
        </w:rPr>
        <w:t>Romussi</w:t>
      </w:r>
      <w:proofErr w:type="spellEnd"/>
      <w:r>
        <w:rPr>
          <w:rFonts w:ascii="Helvetica" w:hAnsi="Helvetica" w:cs="Helvetica"/>
          <w:color w:val="000000"/>
          <w:sz w:val="22"/>
          <w:szCs w:val="22"/>
        </w:rPr>
        <w:t xml:space="preserve">. </w:t>
      </w:r>
      <w:proofErr w:type="spellStart"/>
      <w:r>
        <w:rPr>
          <w:rFonts w:ascii="Helvetica" w:hAnsi="Helvetica" w:cs="Helvetica"/>
          <w:color w:val="000000"/>
          <w:sz w:val="22"/>
          <w:szCs w:val="22"/>
        </w:rPr>
        <w:t>Romussi</w:t>
      </w:r>
      <w:proofErr w:type="spellEnd"/>
      <w:r>
        <w:rPr>
          <w:rFonts w:ascii="Helvetica" w:hAnsi="Helvetica" w:cs="Helvetica"/>
          <w:color w:val="000000"/>
          <w:sz w:val="22"/>
          <w:szCs w:val="22"/>
        </w:rPr>
        <w:t xml:space="preserve"> uses embroidery techniques to create his portraits. Specifically</w:t>
      </w:r>
      <w:r w:rsidR="00C81747">
        <w:rPr>
          <w:rFonts w:ascii="Helvetica" w:hAnsi="Helvetica" w:cs="Helvetica"/>
          <w:color w:val="000000"/>
          <w:sz w:val="22"/>
          <w:szCs w:val="22"/>
        </w:rPr>
        <w:t>,</w:t>
      </w:r>
      <w:r>
        <w:rPr>
          <w:rFonts w:ascii="Helvetica" w:hAnsi="Helvetica" w:cs="Helvetica"/>
          <w:color w:val="000000"/>
          <w:sz w:val="22"/>
          <w:szCs w:val="22"/>
        </w:rPr>
        <w:t xml:space="preserve"> this artist embroiders the faces of his subjects in order to remove identity and almost re-invent this idea of what it means to be a human or of a human form. The final two artists which I have chosen to feature in my gallery space will be Charlotte Caron and Brian Moore. Caron is a </w:t>
      </w:r>
      <w:proofErr w:type="spellStart"/>
      <w:r>
        <w:rPr>
          <w:rFonts w:ascii="Helvetica" w:hAnsi="Helvetica" w:cs="Helvetica"/>
          <w:color w:val="000000"/>
          <w:sz w:val="22"/>
          <w:szCs w:val="22"/>
        </w:rPr>
        <w:t>french</w:t>
      </w:r>
      <w:proofErr w:type="spellEnd"/>
      <w:r>
        <w:rPr>
          <w:rFonts w:ascii="Helvetica" w:hAnsi="Helvetica" w:cs="Helvetica"/>
          <w:color w:val="000000"/>
          <w:sz w:val="22"/>
          <w:szCs w:val="22"/>
        </w:rPr>
        <w:t xml:space="preserve"> artist who often features animals in her artworks and similarly to Brian Moore almost gives an animalistic attitude towards the humans she features. Again</w:t>
      </w:r>
      <w:r w:rsidR="00C81747">
        <w:rPr>
          <w:rFonts w:ascii="Helvetica" w:hAnsi="Helvetica" w:cs="Helvetica"/>
          <w:color w:val="000000"/>
          <w:sz w:val="22"/>
          <w:szCs w:val="22"/>
        </w:rPr>
        <w:t>,</w:t>
      </w:r>
      <w:r>
        <w:rPr>
          <w:rFonts w:ascii="Helvetica" w:hAnsi="Helvetica" w:cs="Helvetica"/>
          <w:color w:val="000000"/>
          <w:sz w:val="22"/>
          <w:szCs w:val="22"/>
        </w:rPr>
        <w:t xml:space="preserve"> something which I found interesting about Both of these pieces of work is the way that removing human facial features almost dehumanises them and they almost become completely different beings all together once their recognisable features have been removed. </w:t>
      </w:r>
    </w:p>
    <w:p w14:paraId="54D8CB44"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BFAD875"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14EB170"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val="single" w:color="000000"/>
        </w:rPr>
      </w:pPr>
      <w:r>
        <w:rPr>
          <w:rFonts w:ascii="Helvetica" w:hAnsi="Helvetica" w:cs="Helvetica"/>
          <w:color w:val="000000"/>
          <w:sz w:val="22"/>
          <w:szCs w:val="22"/>
          <w:u w:val="single" w:color="000000"/>
        </w:rPr>
        <w:t xml:space="preserve">Bibliography </w:t>
      </w:r>
    </w:p>
    <w:p w14:paraId="42F9BA41"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color="000000"/>
        </w:rPr>
      </w:pPr>
      <w:r>
        <w:rPr>
          <w:rFonts w:ascii="Helvetica" w:hAnsi="Helvetica" w:cs="Helvetica"/>
          <w:color w:val="000000"/>
          <w:sz w:val="22"/>
          <w:szCs w:val="22"/>
          <w:u w:color="000000"/>
        </w:rPr>
        <w:t xml:space="preserve">Andersen, L. Margaret and Taylor, F. Howard (2007) Sociology: Understanding a Diverse Society, Cengage Learning </w:t>
      </w:r>
    </w:p>
    <w:p w14:paraId="016B1BAC"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color="000000"/>
        </w:rPr>
      </w:pPr>
      <w:r>
        <w:rPr>
          <w:rFonts w:ascii="Helvetica" w:hAnsi="Helvetica" w:cs="Helvetica"/>
          <w:color w:val="000000"/>
          <w:sz w:val="22"/>
          <w:szCs w:val="22"/>
          <w:u w:color="000000"/>
        </w:rPr>
        <w:t>Bull. R, Rumsey. N (2012) The Social Psychology of Facial Appearance, Springer science &amp; Business media</w:t>
      </w:r>
    </w:p>
    <w:p w14:paraId="05113C14"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color="000000"/>
        </w:rPr>
      </w:pPr>
      <w:r>
        <w:rPr>
          <w:rFonts w:ascii="Helvetica" w:hAnsi="Helvetica" w:cs="Helvetica"/>
          <w:color w:val="000000"/>
          <w:sz w:val="22"/>
          <w:szCs w:val="22"/>
          <w:u w:color="000000"/>
        </w:rPr>
        <w:t xml:space="preserve">Bruce. V, </w:t>
      </w:r>
      <w:proofErr w:type="spellStart"/>
      <w:r>
        <w:rPr>
          <w:rFonts w:ascii="Helvetica" w:hAnsi="Helvetica" w:cs="Helvetica"/>
          <w:color w:val="000000"/>
          <w:sz w:val="22"/>
          <w:szCs w:val="22"/>
          <w:u w:color="000000"/>
        </w:rPr>
        <w:t>Georgeson</w:t>
      </w:r>
      <w:proofErr w:type="spellEnd"/>
      <w:r>
        <w:rPr>
          <w:rFonts w:ascii="Helvetica" w:hAnsi="Helvetica" w:cs="Helvetica"/>
          <w:color w:val="000000"/>
          <w:sz w:val="22"/>
          <w:szCs w:val="22"/>
          <w:u w:color="000000"/>
        </w:rPr>
        <w:t xml:space="preserve">, A. Mark, Green, R. Patrick (2014) Visual Perception: Physiology, Psychology and Ecology, Psychology Press </w:t>
      </w:r>
      <w:proofErr w:type="spellStart"/>
      <w:r>
        <w:rPr>
          <w:rFonts w:ascii="Helvetica" w:hAnsi="Helvetica" w:cs="Helvetica"/>
          <w:color w:val="000000"/>
          <w:sz w:val="22"/>
          <w:szCs w:val="22"/>
          <w:u w:color="000000"/>
        </w:rPr>
        <w:t>Quackenbush</w:t>
      </w:r>
      <w:proofErr w:type="spellEnd"/>
      <w:r>
        <w:rPr>
          <w:rFonts w:ascii="Helvetica" w:hAnsi="Helvetica" w:cs="Helvetica"/>
          <w:color w:val="000000"/>
          <w:sz w:val="22"/>
          <w:szCs w:val="22"/>
          <w:u w:color="000000"/>
        </w:rPr>
        <w:t xml:space="preserve">, J (2011) Curiosity Guides: The Human Genome, </w:t>
      </w:r>
      <w:proofErr w:type="spellStart"/>
      <w:r>
        <w:rPr>
          <w:rFonts w:ascii="Helvetica" w:hAnsi="Helvetica" w:cs="Helvetica"/>
          <w:color w:val="000000"/>
          <w:sz w:val="22"/>
          <w:szCs w:val="22"/>
          <w:u w:color="000000"/>
        </w:rPr>
        <w:t>Charlesbridge</w:t>
      </w:r>
      <w:proofErr w:type="spellEnd"/>
      <w:r>
        <w:rPr>
          <w:rFonts w:ascii="Helvetica" w:hAnsi="Helvetica" w:cs="Helvetica"/>
          <w:color w:val="000000"/>
          <w:sz w:val="22"/>
          <w:szCs w:val="22"/>
          <w:u w:color="000000"/>
        </w:rPr>
        <w:t xml:space="preserve"> </w:t>
      </w:r>
    </w:p>
    <w:p w14:paraId="013A6D4A"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color="000000"/>
        </w:rPr>
      </w:pPr>
      <w:r>
        <w:rPr>
          <w:rFonts w:ascii="Helvetica" w:hAnsi="Helvetica" w:cs="Helvetica"/>
          <w:color w:val="000000"/>
          <w:sz w:val="22"/>
          <w:szCs w:val="22"/>
          <w:u w:color="000000"/>
        </w:rPr>
        <w:t xml:space="preserve">Miller, K. Nancy (2012) But Enough About Me: Why We Read Other People's Lives by Nancy K. Miller, Columbia University Press </w:t>
      </w:r>
    </w:p>
    <w:p w14:paraId="397F5A53" w14:textId="77777777" w:rsidR="00757D77" w:rsidRDefault="00757D77" w:rsidP="00757D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color="000000"/>
        </w:rPr>
      </w:pPr>
      <w:proofErr w:type="spellStart"/>
      <w:r>
        <w:rPr>
          <w:rFonts w:ascii="Helvetica" w:hAnsi="Helvetica" w:cs="Helvetica"/>
          <w:color w:val="000000"/>
          <w:sz w:val="22"/>
          <w:szCs w:val="22"/>
          <w:u w:color="000000"/>
        </w:rPr>
        <w:t>Sidpara</w:t>
      </w:r>
      <w:proofErr w:type="spellEnd"/>
      <w:r>
        <w:rPr>
          <w:rFonts w:ascii="Helvetica" w:hAnsi="Helvetica" w:cs="Helvetica"/>
          <w:color w:val="000000"/>
          <w:sz w:val="22"/>
          <w:szCs w:val="22"/>
          <w:u w:color="000000"/>
        </w:rPr>
        <w:t xml:space="preserve">, J (2017) The Art </w:t>
      </w:r>
      <w:proofErr w:type="gramStart"/>
      <w:r>
        <w:rPr>
          <w:rFonts w:ascii="Helvetica" w:hAnsi="Helvetica" w:cs="Helvetica"/>
          <w:color w:val="000000"/>
          <w:sz w:val="22"/>
          <w:szCs w:val="22"/>
          <w:u w:color="000000"/>
        </w:rPr>
        <w:t>Of</w:t>
      </w:r>
      <w:proofErr w:type="gramEnd"/>
      <w:r>
        <w:rPr>
          <w:rFonts w:ascii="Helvetica" w:hAnsi="Helvetica" w:cs="Helvetica"/>
          <w:color w:val="000000"/>
          <w:sz w:val="22"/>
          <w:szCs w:val="22"/>
          <w:u w:color="000000"/>
        </w:rPr>
        <w:t xml:space="preserve"> Voyeurism, Austin </w:t>
      </w:r>
      <w:proofErr w:type="spellStart"/>
      <w:r>
        <w:rPr>
          <w:rFonts w:ascii="Helvetica" w:hAnsi="Helvetica" w:cs="Helvetica"/>
          <w:color w:val="000000"/>
          <w:sz w:val="22"/>
          <w:szCs w:val="22"/>
          <w:u w:color="000000"/>
        </w:rPr>
        <w:t>Macauley</w:t>
      </w:r>
      <w:proofErr w:type="spellEnd"/>
      <w:r>
        <w:rPr>
          <w:rFonts w:ascii="Helvetica" w:hAnsi="Helvetica" w:cs="Helvetica"/>
          <w:color w:val="000000"/>
          <w:sz w:val="22"/>
          <w:szCs w:val="22"/>
          <w:u w:color="000000"/>
        </w:rPr>
        <w:t xml:space="preserve"> Publishers Limited</w:t>
      </w:r>
    </w:p>
    <w:p w14:paraId="65B903AF" w14:textId="77777777" w:rsidR="00757D77" w:rsidRDefault="00757D77" w:rsidP="00757D77">
      <w:r>
        <w:rPr>
          <w:rFonts w:ascii="Helvetica" w:hAnsi="Helvetica" w:cs="Helvetica"/>
          <w:color w:val="000000"/>
          <w:sz w:val="22"/>
          <w:szCs w:val="22"/>
          <w:u w:color="000000"/>
        </w:rPr>
        <w:t xml:space="preserve">Think with Google. 2016. </w:t>
      </w:r>
      <w:r>
        <w:rPr>
          <w:rFonts w:ascii="Helvetica" w:hAnsi="Helvetica" w:cs="Helvetica"/>
          <w:i/>
          <w:iCs/>
          <w:color w:val="000000"/>
          <w:sz w:val="22"/>
          <w:szCs w:val="22"/>
          <w:u w:color="000000"/>
        </w:rPr>
        <w:t>5 online video trends to inform your 2017 media plan</w:t>
      </w:r>
      <w:r>
        <w:rPr>
          <w:rFonts w:ascii="Helvetica" w:hAnsi="Helvetica" w:cs="Helvetica"/>
          <w:color w:val="000000"/>
          <w:sz w:val="22"/>
          <w:szCs w:val="22"/>
          <w:u w:color="000000"/>
        </w:rPr>
        <w:t xml:space="preserve">. [ONLINE] Available at: </w:t>
      </w:r>
      <w:hyperlink r:id="rId6" w:history="1">
        <w:r>
          <w:rPr>
            <w:rFonts w:ascii="Helvetica" w:hAnsi="Helvetica" w:cs="Helvetica"/>
            <w:color w:val="1664AC"/>
            <w:sz w:val="22"/>
            <w:szCs w:val="22"/>
            <w:u w:val="single" w:color="1664AC"/>
          </w:rPr>
          <w:t>https://www.thinkwithgoogle.com/consumer-insights/online-video-trends-2017-media-plan/</w:t>
        </w:r>
      </w:hyperlink>
      <w:r>
        <w:rPr>
          <w:rFonts w:ascii="Helvetica" w:hAnsi="Helvetica" w:cs="Helvetica"/>
          <w:color w:val="000000"/>
          <w:sz w:val="22"/>
          <w:szCs w:val="22"/>
          <w:u w:color="000000"/>
        </w:rPr>
        <w:t>. [Accessed 23 April 2018].</w:t>
      </w:r>
    </w:p>
    <w:sectPr w:rsidR="00757D77" w:rsidSect="000D2EE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7D77"/>
    <w:rsid w:val="000D2EE1"/>
    <w:rsid w:val="002832D5"/>
    <w:rsid w:val="00757D77"/>
    <w:rsid w:val="00C81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B4AC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g"/><Relationship Id="rId5" Type="http://schemas.openxmlformats.org/officeDocument/2006/relationships/image" Target="media/image2.jpg"/><Relationship Id="rId6" Type="http://schemas.openxmlformats.org/officeDocument/2006/relationships/hyperlink" Target="https://www.thinkwithgoogle.com/consumer-insights/online-video-trends-2017-media-plan/"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1197</Words>
  <Characters>6825</Characters>
  <Application>Microsoft Macintosh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heatherkelman1@gmail.com</dc:creator>
  <cp:keywords/>
  <dc:description/>
  <cp:lastModifiedBy>heatherkelman1@gmail.com</cp:lastModifiedBy>
  <cp:revision>2</cp:revision>
  <dcterms:created xsi:type="dcterms:W3CDTF">2018-05-07T11:46:00Z</dcterms:created>
  <dcterms:modified xsi:type="dcterms:W3CDTF">2018-05-07T11:46:00Z</dcterms:modified>
</cp:coreProperties>
</file>