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200" w:after="200" w:line="360"/>
        <w:ind w:right="0" w:left="0" w:firstLine="0"/>
        <w:jc w:val="left"/>
        <w:rPr>
          <w:rFonts w:ascii="Times New Roman" w:hAnsi="Times New Roman" w:cs="Times New Roman" w:eastAsia="Times New Roman"/>
          <w:b/>
          <w:color w:val="auto"/>
          <w:spacing w:val="0"/>
          <w:position w:val="0"/>
          <w:sz w:val="48"/>
          <w:shd w:fill="auto" w:val="clear"/>
        </w:rPr>
      </w:pPr>
      <w:r>
        <w:rPr>
          <w:rFonts w:ascii="Times New Roman" w:hAnsi="Times New Roman" w:cs="Times New Roman" w:eastAsia="Times New Roman"/>
          <w:b/>
          <w:color w:val="auto"/>
          <w:spacing w:val="0"/>
          <w:position w:val="0"/>
          <w:sz w:val="32"/>
          <w:shd w:fill="auto" w:val="clear"/>
        </w:rPr>
        <w:t xml:space="preserve">                                                      </w:t>
      </w:r>
      <w:r>
        <w:rPr>
          <w:rFonts w:ascii="Times New Roman" w:hAnsi="Times New Roman" w:cs="Times New Roman" w:eastAsia="Times New Roman"/>
          <w:b/>
          <w:color w:val="auto"/>
          <w:spacing w:val="0"/>
          <w:position w:val="0"/>
          <w:sz w:val="48"/>
          <w:shd w:fill="auto" w:val="clear"/>
        </w:rPr>
        <w:t xml:space="preserve">Reflection report</w:t>
      </w:r>
    </w:p>
    <w:p>
      <w:pPr>
        <w:spacing w:before="20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Diana Gospodinova Dimova</w:t>
      </w:r>
    </w:p>
    <w:p>
      <w:pPr>
        <w:spacing w:before="20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Community engagement</w:t>
      </w:r>
    </w:p>
    <w:p>
      <w:pPr>
        <w:spacing w:before="20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Tanja Nathan</w:t>
      </w:r>
    </w:p>
    <w:p>
      <w:pPr>
        <w:spacing w:before="20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20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8"/>
          <w:shd w:fill="auto" w:val="clear"/>
        </w:rPr>
      </w:pPr>
    </w:p>
    <w:p>
      <w:pPr>
        <w:keepNext w:val="true"/>
        <w:keepLines w:val="true"/>
        <w:spacing w:before="120" w:after="12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20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reflective process gives a brief analysis of the role play assigned along with a brief explanation on the experience gained. The analysis also gives a brief description about the Gibbs reflective cycle and the explanation of reflective practices accordingly. The write up also includes a particular action plan in order to improve the identified strengths and weaknesses of the role play comprehensively.</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Explanation on the concept of reflective practice (Description)</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reflective practice involves the basic thinking process of the task performed in the past to extract any kind of learning outcome. As per the views of Nguyen and Do (2017, p. 89), the overall role play is quite important in terms of the learning process within students. Think this opportunity of preparing a role play was quite interesting.  I chose the scenario for the company L’Oreal as often I have seen beauty advisors working tirelessly for the profile. I think the concept of reflective practice is more of learning outcomes than performance analysis (</w:t>
      </w:r>
      <w:r>
        <w:rPr>
          <w:rFonts w:ascii="Times New Roman" w:hAnsi="Times New Roman" w:cs="Times New Roman" w:eastAsia="Times New Roman"/>
          <w:color w:val="auto"/>
          <w:spacing w:val="0"/>
          <w:position w:val="0"/>
          <w:sz w:val="24"/>
          <w:shd w:fill="FFFFFF" w:val="clear"/>
        </w:rPr>
        <w:t xml:space="preserve">Sekarwinahyu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2019, p.223)</w:t>
      </w:r>
      <w:r>
        <w:rPr>
          <w:rFonts w:ascii="Times New Roman" w:hAnsi="Times New Roman" w:cs="Times New Roman" w:eastAsia="Times New Roman"/>
          <w:color w:val="auto"/>
          <w:spacing w:val="0"/>
          <w:position w:val="0"/>
          <w:sz w:val="24"/>
          <w:shd w:fill="auto" w:val="clear"/>
        </w:rPr>
        <w:t xml:space="preserve">.</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setting was created as per the requirement of the learning outcomes. As commented by Braund (2015, p.113), the overall learning process are quite enhanced in cases of reflective talks assignments. I also agree to the same as preparation of this role play is quite hectic and required in detailing research. As opined by Ku</w:t>
      </w:r>
      <w:r>
        <w:rPr>
          <w:rFonts w:ascii="Times New Roman" w:hAnsi="Times New Roman" w:cs="Times New Roman" w:eastAsia="Times New Roman"/>
          <w:color w:val="auto"/>
          <w:spacing w:val="0"/>
          <w:position w:val="0"/>
          <w:sz w:val="24"/>
          <w:shd w:fill="auto" w:val="clear"/>
        </w:rPr>
        <w:t xml:space="preserve">śnierek (2015, p.109), the overall community engagement prices is quite fruitful through role plays and enactment of real scenes. I think this aspect is one of the major reasons to strongly believe in the concept of reflective learning.  As commented by </w:t>
      </w:r>
      <w:r>
        <w:rPr>
          <w:rFonts w:ascii="Times New Roman" w:hAnsi="Times New Roman" w:cs="Times New Roman" w:eastAsia="Times New Roman"/>
          <w:color w:val="auto"/>
          <w:spacing w:val="0"/>
          <w:position w:val="0"/>
          <w:sz w:val="24"/>
          <w:shd w:fill="FFFFFF" w:val="clear"/>
        </w:rPr>
        <w:t xml:space="preserve">Brom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auto" w:val="clear"/>
        </w:rPr>
        <w:t xml:space="preserve"> (2016, p.325), Reflective learning takes a lot of critical thinking and logical reasoning approaches to develop a particular stand in some issues. Managerial issues and people management in company as L’Oreal requires focus from the critical aspect of the role. </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Explanations of the role play (Feelings)</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mentioned above, I think enactment of real scenes gives much more scope to learning and reflective practices in a profound way. I also felt the same while giving my performance in front of my fellow classmates and my teacher. I think one of the most important elements regarding the overall performance prices is the visualisation perfection.  I had earlier practiced well for this role and also took a narrow range of feedback from my close friends. As commented by </w:t>
      </w:r>
      <w:r>
        <w:rPr>
          <w:rFonts w:ascii="Times New Roman" w:hAnsi="Times New Roman" w:cs="Times New Roman" w:eastAsia="Times New Roman"/>
          <w:color w:val="auto"/>
          <w:spacing w:val="0"/>
          <w:position w:val="0"/>
          <w:sz w:val="24"/>
          <w:shd w:fill="FFFFFF" w:val="clear"/>
        </w:rPr>
        <w:t xml:space="preserve">Altun (2015, p.357</w:t>
      </w:r>
      <w:r>
        <w:rPr>
          <w:rFonts w:ascii="Times New Roman" w:hAnsi="Times New Roman" w:cs="Times New Roman" w:eastAsia="Times New Roman"/>
          <w:color w:val="auto"/>
          <w:spacing w:val="0"/>
          <w:position w:val="0"/>
          <w:sz w:val="24"/>
          <w:shd w:fill="auto" w:val="clear"/>
        </w:rPr>
        <w:t xml:space="preserve">), feedback process is a great tool for reflective analytical assessment.  I  practiced some voice modulation skills in order to develop a keen understanding of the various process of the speaking. I would admit, I was quite nervous while performing  the overall role play but got some motivation as I knew I had made some strong points to show in my role play.</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Reflective statement (Evaluation)</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overall enactment prices required much of focus in terms of the character designing. As commented by </w:t>
      </w:r>
      <w:r>
        <w:rPr>
          <w:rFonts w:ascii="Times New Roman" w:hAnsi="Times New Roman" w:cs="Times New Roman" w:eastAsia="Times New Roman"/>
          <w:color w:val="auto"/>
          <w:spacing w:val="0"/>
          <w:position w:val="0"/>
          <w:sz w:val="24"/>
          <w:shd w:fill="FFFFFF" w:val="clear"/>
        </w:rPr>
        <w:t xml:space="preserve">Bressler (2015, p.13</w:t>
      </w:r>
      <w:r>
        <w:rPr>
          <w:rFonts w:ascii="Times New Roman" w:hAnsi="Times New Roman" w:cs="Times New Roman" w:eastAsia="Times New Roman"/>
          <w:color w:val="auto"/>
          <w:spacing w:val="0"/>
          <w:position w:val="0"/>
          <w:sz w:val="24"/>
          <w:shd w:fill="auto" w:val="clear"/>
        </w:rPr>
        <w:t xml:space="preserve">), the overall process of character designing in a role play is the centre of the whole issues. As per the feedback received from my tutors and my partner, I think I can improve in many aspects.  The major strengths if my role plays designing process I came across are as follows:</w:t>
      </w:r>
    </w:p>
    <w:p>
      <w:pPr>
        <w:numPr>
          <w:ilvl w:val="0"/>
          <w:numId w:val="12"/>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Appropriate content </w:t>
      </w:r>
      <w:r>
        <w:rPr>
          <w:rFonts w:ascii="Times New Roman" w:hAnsi="Times New Roman" w:cs="Times New Roman" w:eastAsia="Times New Roman"/>
          <w:color w:val="auto"/>
          <w:spacing w:val="0"/>
          <w:position w:val="0"/>
          <w:sz w:val="24"/>
          <w:shd w:fill="auto" w:val="clear"/>
        </w:rPr>
        <w:t xml:space="preserve">: As per the feedback received by my tutors, I think the major plus point of my role play was the content and the concept.I believe I was able to show the overall setting of an official conversation of working hours shift in a proper manner. </w:t>
      </w:r>
    </w:p>
    <w:p>
      <w:pPr>
        <w:numPr>
          <w:ilvl w:val="0"/>
          <w:numId w:val="1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Equal distribution of timings to the characters</w:t>
      </w:r>
      <w:r>
        <w:rPr>
          <w:rFonts w:ascii="Times New Roman" w:hAnsi="Times New Roman" w:cs="Times New Roman" w:eastAsia="Times New Roman"/>
          <w:color w:val="auto"/>
          <w:spacing w:val="0"/>
          <w:position w:val="0"/>
          <w:sz w:val="24"/>
          <w:shd w:fill="auto" w:val="clear"/>
        </w:rPr>
        <w:t xml:space="preserve">: In my role play designing, I applied equal attention to both the characters in order to bring out the scenario those points out all the concerns of the characters prominently.</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major weak points that came as a part of my role-play designing can be summarised as follows</w:t>
      </w:r>
    </w:p>
    <w:p>
      <w:pPr>
        <w:numPr>
          <w:ilvl w:val="0"/>
          <w:numId w:val="15"/>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Delivering my presentation with confidence:</w:t>
      </w:r>
      <w:r>
        <w:rPr>
          <w:rFonts w:ascii="Times New Roman" w:hAnsi="Times New Roman" w:cs="Times New Roman" w:eastAsia="Times New Roman"/>
          <w:color w:val="auto"/>
          <w:spacing w:val="0"/>
          <w:position w:val="0"/>
          <w:sz w:val="24"/>
          <w:shd w:fill="auto" w:val="clear"/>
        </w:rPr>
        <w:t xml:space="preserve"> I think in the process of character building primarily, I did not give much attention to the usage of my body landuage and speech in the role play. Though the right concept I couldn’t deliver the presentation to the audience.I was reading from my notes ,and also I did not  time myself,there was a silence after my speech.</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Lack of more job defining role of HR manager</w:t>
      </w:r>
      <w:r>
        <w:rPr>
          <w:rFonts w:ascii="Times New Roman" w:hAnsi="Times New Roman" w:cs="Times New Roman" w:eastAsia="Times New Roman"/>
          <w:color w:val="auto"/>
          <w:spacing w:val="0"/>
          <w:position w:val="0"/>
          <w:sz w:val="24"/>
          <w:shd w:fill="auto" w:val="clear"/>
        </w:rPr>
        <w:t xml:space="preserve">: I think I tried to portray the role of HR manager as descriptive as I can. By initialling the terms of negotiation, I tried to include the role of People management as one of the primary job responsibilities of the HR manager (</w:t>
      </w:r>
      <w:r>
        <w:rPr>
          <w:rFonts w:ascii="Times New Roman" w:hAnsi="Times New Roman" w:cs="Times New Roman" w:eastAsia="Times New Roman"/>
          <w:color w:val="auto"/>
          <w:spacing w:val="0"/>
          <w:position w:val="0"/>
          <w:sz w:val="24"/>
          <w:shd w:fill="FFFFFF" w:val="clear"/>
        </w:rPr>
        <w:t xml:space="preserve">Wartaka, 2016, p. 19)</w:t>
      </w:r>
      <w:r>
        <w:rPr>
          <w:rFonts w:ascii="Times New Roman" w:hAnsi="Times New Roman" w:cs="Times New Roman" w:eastAsia="Times New Roman"/>
          <w:color w:val="auto"/>
          <w:spacing w:val="0"/>
          <w:position w:val="0"/>
          <w:sz w:val="24"/>
          <w:shd w:fill="auto" w:val="clear"/>
        </w:rPr>
        <w:t xml:space="preserve">. I also think I was unable to deliver the role quite appropriately,because I don’have experience of this job possition.</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Analysis</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depiction of my role play did not went quite well in context to my performance. I was also able to analyse my prime strengths and weaknesses as per the feedback given to me by my tutors and my partner.If I compare my performans to the others students,I can say that most of them were very good and confident in performing a situation from their job.My bigest mistake was that I choose a play role that is not from my job,and I had no experience. However as commented by </w:t>
      </w:r>
      <w:r>
        <w:rPr>
          <w:rFonts w:ascii="Times New Roman" w:hAnsi="Times New Roman" w:cs="Times New Roman" w:eastAsia="Times New Roman"/>
          <w:color w:val="auto"/>
          <w:spacing w:val="0"/>
          <w:position w:val="0"/>
          <w:sz w:val="24"/>
          <w:shd w:fill="FFFFFF" w:val="clear"/>
        </w:rPr>
        <w:t xml:space="preserve">Kyle and Obizhaeva (2018, p.28</w:t>
      </w:r>
      <w:r>
        <w:rPr>
          <w:rFonts w:ascii="Times New Roman" w:hAnsi="Times New Roman" w:cs="Times New Roman" w:eastAsia="Times New Roman"/>
          <w:color w:val="auto"/>
          <w:spacing w:val="0"/>
          <w:position w:val="0"/>
          <w:sz w:val="24"/>
          <w:shd w:fill="auto" w:val="clear"/>
        </w:rPr>
        <w:t xml:space="preserve">), the overall inclusion of improvement is one of the most important facets of developing a particular task. I also pointed out some improvement measures for the better portrayal of my role play in future. The feedback given to me and the overall role play made me understood that communication skills matter a lot in cases of community engagement (</w:t>
      </w:r>
      <w:r>
        <w:rPr>
          <w:rFonts w:ascii="Times New Roman" w:hAnsi="Times New Roman" w:cs="Times New Roman" w:eastAsia="Times New Roman"/>
          <w:color w:val="auto"/>
          <w:spacing w:val="0"/>
          <w:position w:val="0"/>
          <w:sz w:val="24"/>
          <w:shd w:fill="FFFFFF" w:val="clear"/>
        </w:rPr>
        <w:t xml:space="preserve">Altun 2015, p.355)</w:t>
      </w:r>
      <w:r>
        <w:rPr>
          <w:rFonts w:ascii="Times New Roman" w:hAnsi="Times New Roman" w:cs="Times New Roman" w:eastAsia="Times New Roman"/>
          <w:color w:val="auto"/>
          <w:spacing w:val="0"/>
          <w:position w:val="0"/>
          <w:sz w:val="24"/>
          <w:shd w:fill="auto" w:val="clear"/>
        </w:rPr>
        <w:t xml:space="preserve">. The overall portrayal of the HR manager of L’Oreal with the beauty advisor demonstrated the importance of communication in the work field precisely.</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discussion, I can conclude that the overall learning process of my role play could have been made much better by the inclusion of the following points:</w:t>
      </w:r>
    </w:p>
    <w:p>
      <w:pPr>
        <w:numPr>
          <w:ilvl w:val="0"/>
          <w:numId w:val="21"/>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Inclusion of great performing</w:t>
      </w:r>
      <w:r>
        <w:rPr>
          <w:rFonts w:ascii="Times New Roman" w:hAnsi="Times New Roman" w:cs="Times New Roman" w:eastAsia="Times New Roman"/>
          <w:color w:val="auto"/>
          <w:spacing w:val="0"/>
          <w:position w:val="0"/>
          <w:sz w:val="24"/>
          <w:shd w:fill="auto" w:val="clear"/>
        </w:rPr>
        <w:t xml:space="preserve">: The lack of experience in performing front of audience and reducing the level of stress, which I think I will improve next time.</w:t>
      </w:r>
    </w:p>
    <w:p>
      <w:pPr>
        <w:numPr>
          <w:ilvl w:val="0"/>
          <w:numId w:val="2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Better use of situation in depicting the subject</w:t>
      </w:r>
      <w:r>
        <w:rPr>
          <w:rFonts w:ascii="Times New Roman" w:hAnsi="Times New Roman" w:cs="Times New Roman" w:eastAsia="Times New Roman"/>
          <w:color w:val="auto"/>
          <w:spacing w:val="0"/>
          <w:position w:val="0"/>
          <w:sz w:val="24"/>
          <w:shd w:fill="auto" w:val="clear"/>
        </w:rPr>
        <w:t xml:space="preserve">: I think I can also improve my role play for the next time by properly depicting the subject matter through more situational analysis. I used an official setting to depict the elements of community management; however, next time, I will prefer a different setting for the same.  </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Action plan</w:t>
      </w:r>
    </w:p>
    <w:tbl>
      <w:tblPr/>
      <w:tblGrid>
        <w:gridCol w:w="1493"/>
        <w:gridCol w:w="1556"/>
        <w:gridCol w:w="1645"/>
        <w:gridCol w:w="1747"/>
        <w:gridCol w:w="1671"/>
        <w:gridCol w:w="949"/>
      </w:tblGrid>
      <w:tr>
        <w:trPr>
          <w:trHeight w:val="1" w:hRule="atLeast"/>
          <w:jc w:val="left"/>
        </w:trPr>
        <w:tc>
          <w:tcPr>
            <w:tcW w:w="1493"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Action Step</w:t>
            </w:r>
          </w:p>
        </w:tc>
        <w:tc>
          <w:tcPr>
            <w:tcW w:w="155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Responsible Person</w:t>
            </w:r>
          </w:p>
        </w:tc>
        <w:tc>
          <w:tcPr>
            <w:tcW w:w="16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Necessary Resources</w:t>
            </w:r>
          </w:p>
        </w:tc>
        <w:tc>
          <w:tcPr>
            <w:tcW w:w="174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Potential Challenges</w:t>
            </w:r>
          </w:p>
        </w:tc>
        <w:tc>
          <w:tcPr>
            <w:tcW w:w="167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Result</w:t>
            </w:r>
          </w:p>
        </w:tc>
        <w:tc>
          <w:tcPr>
            <w:tcW w:w="94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Time frame</w:t>
            </w:r>
          </w:p>
        </w:tc>
      </w:tr>
      <w:tr>
        <w:trPr>
          <w:trHeight w:val="1" w:hRule="atLeast"/>
          <w:jc w:val="left"/>
        </w:trPr>
        <w:tc>
          <w:tcPr>
            <w:tcW w:w="1493"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Reading more conversation and practice speaking front of colleagues and friends.To time myself carefully.</w:t>
            </w:r>
          </w:p>
        </w:tc>
        <w:tc>
          <w:tcPr>
            <w:tcW w:w="155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Self</w:t>
            </w:r>
          </w:p>
        </w:tc>
        <w:tc>
          <w:tcPr>
            <w:tcW w:w="16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Books, online reading materials in case of online reading purposes.</w:t>
            </w:r>
          </w:p>
        </w:tc>
        <w:tc>
          <w:tcPr>
            <w:tcW w:w="174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Identification of points of learning from the relevant materials of study.</w:t>
            </w:r>
          </w:p>
        </w:tc>
        <w:tc>
          <w:tcPr>
            <w:tcW w:w="167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Increased expression in terms of conversational writing and community engagement</w:t>
            </w:r>
          </w:p>
        </w:tc>
        <w:tc>
          <w:tcPr>
            <w:tcW w:w="94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 months</w:t>
            </w:r>
          </w:p>
        </w:tc>
      </w:tr>
      <w:tr>
        <w:trPr>
          <w:trHeight w:val="1" w:hRule="atLeast"/>
          <w:jc w:val="left"/>
        </w:trPr>
        <w:tc>
          <w:tcPr>
            <w:tcW w:w="1493"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Better analysis of subject by attending more role plays and theatre plays </w:t>
            </w:r>
          </w:p>
        </w:tc>
        <w:tc>
          <w:tcPr>
            <w:tcW w:w="155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Self</w:t>
            </w:r>
          </w:p>
        </w:tc>
        <w:tc>
          <w:tcPr>
            <w:tcW w:w="164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Role play clubs or events demonstrating correct character portrayal matters.</w:t>
            </w:r>
          </w:p>
          <w:p>
            <w:pPr>
              <w:spacing w:before="0" w:after="0" w:line="360"/>
              <w:ind w:right="0" w:left="0" w:firstLine="0"/>
              <w:jc w:val="both"/>
              <w:rPr>
                <w:color w:val="auto"/>
                <w:spacing w:val="0"/>
                <w:position w:val="0"/>
                <w:shd w:fill="auto" w:val="clear"/>
              </w:rPr>
            </w:pPr>
          </w:p>
        </w:tc>
        <w:tc>
          <w:tcPr>
            <w:tcW w:w="174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Subject matter identification is quite difficult from role plays</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Analysis and implementation process requires professional advice for better performance</w:t>
            </w:r>
          </w:p>
        </w:tc>
        <w:tc>
          <w:tcPr>
            <w:tcW w:w="167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Increasing ability to handle complex subject matters and depict the same precisely in given option of settings (official or unofficial)</w:t>
            </w:r>
          </w:p>
        </w:tc>
        <w:tc>
          <w:tcPr>
            <w:tcW w:w="94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 months</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Action Plan for improvement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Nguyen and Do, 2017, p.35)</w:t>
      </w:r>
    </w:p>
    <w:p>
      <w:pPr>
        <w:keepNext w:val="true"/>
        <w:keepLines w:val="true"/>
        <w:spacing w:before="120" w:after="12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discussion, it can be derived that the overall process of role play can be very learning. It helps in the overall learning of the various skills and prices that are important in terms of the overall development of the character portrayal and subject matter depiction. The role play enactment process also helps in the overall increase in the self confidence as well as the overall increase of the motivation building in one’s character. These traits are quite important in terms of building an effective community management process. The depiction of the overall role play assessment through the Gibbs Reflective Cycle helps in the building of the various learning analysis quite feasible.</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32"/>
          <w:shd w:fill="FFFFFF"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Altun, M., 2015, April. Using role-play activities to develop speaking skills: A case study in the language classroom. In </w:t>
      </w:r>
      <w:r>
        <w:rPr>
          <w:rFonts w:ascii="Times New Roman" w:hAnsi="Times New Roman" w:cs="Times New Roman" w:eastAsia="Times New Roman"/>
          <w:i/>
          <w:color w:val="auto"/>
          <w:spacing w:val="0"/>
          <w:position w:val="0"/>
          <w:sz w:val="24"/>
          <w:shd w:fill="FFFFFF" w:val="clear"/>
        </w:rPr>
        <w:t xml:space="preserve">Book of Proceedings</w:t>
      </w:r>
      <w:r>
        <w:rPr>
          <w:rFonts w:ascii="Times New Roman" w:hAnsi="Times New Roman" w:cs="Times New Roman" w:eastAsia="Times New Roman"/>
          <w:color w:val="auto"/>
          <w:spacing w:val="0"/>
          <w:position w:val="0"/>
          <w:sz w:val="24"/>
          <w:shd w:fill="FFFFFF" w:val="clear"/>
        </w:rPr>
        <w:t xml:space="preserve"> (p. 354-359).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Braund, M. (2015). Drama and learning science: an empty space?. </w:t>
      </w:r>
      <w:r>
        <w:rPr>
          <w:rFonts w:ascii="Times New Roman" w:hAnsi="Times New Roman" w:cs="Times New Roman" w:eastAsia="Times New Roman"/>
          <w:i/>
          <w:color w:val="auto"/>
          <w:spacing w:val="0"/>
          <w:position w:val="0"/>
          <w:sz w:val="24"/>
          <w:shd w:fill="auto" w:val="clear"/>
        </w:rPr>
        <w:t xml:space="preserve">British Educational Research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(1), 102-121.</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Bressler, N., 2015. Assessing Logical Fallacies in Persuasion: Using Role-play to Identify and Critique Solid Reasoning in Public Speaking. </w:t>
      </w:r>
      <w:r>
        <w:rPr>
          <w:rFonts w:ascii="Times New Roman" w:hAnsi="Times New Roman" w:cs="Times New Roman" w:eastAsia="Times New Roman"/>
          <w:i/>
          <w:color w:val="auto"/>
          <w:spacing w:val="0"/>
          <w:position w:val="0"/>
          <w:sz w:val="24"/>
          <w:shd w:fill="FFFFFF" w:val="clear"/>
        </w:rPr>
        <w:t xml:space="preserve">Discourse: The Journal of the SCASD</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w:t>
      </w:r>
      <w:r>
        <w:rPr>
          <w:rFonts w:ascii="Times New Roman" w:hAnsi="Times New Roman" w:cs="Times New Roman" w:eastAsia="Times New Roman"/>
          <w:color w:val="auto"/>
          <w:spacing w:val="0"/>
          <w:position w:val="0"/>
          <w:sz w:val="24"/>
          <w:shd w:fill="FFFFFF" w:val="clear"/>
        </w:rPr>
        <w:t xml:space="preserve">(1), p.8-18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Brom, C., </w:t>
      </w:r>
      <w:r>
        <w:rPr>
          <w:rFonts w:ascii="Times New Roman" w:hAnsi="Times New Roman" w:cs="Times New Roman" w:eastAsia="Times New Roman"/>
          <w:color w:val="auto"/>
          <w:spacing w:val="0"/>
          <w:position w:val="0"/>
          <w:sz w:val="24"/>
          <w:shd w:fill="FFFFFF" w:val="clear"/>
        </w:rPr>
        <w:t xml:space="preserve">Šisler, V., Slussareff, M., Selmbacherov</w:t>
      </w:r>
      <w:r>
        <w:rPr>
          <w:rFonts w:ascii="Times New Roman" w:hAnsi="Times New Roman" w:cs="Times New Roman" w:eastAsia="Times New Roman"/>
          <w:color w:val="auto"/>
          <w:spacing w:val="0"/>
          <w:position w:val="0"/>
          <w:sz w:val="24"/>
          <w:shd w:fill="FFFFFF" w:val="clear"/>
        </w:rPr>
        <w:t xml:space="preserve">á, T. and Hlávka, Z., 2016. You like it, you learn it: affectivity and learning in competitive social role play gaming. </w:t>
      </w:r>
      <w:r>
        <w:rPr>
          <w:rFonts w:ascii="Times New Roman" w:hAnsi="Times New Roman" w:cs="Times New Roman" w:eastAsia="Times New Roman"/>
          <w:i/>
          <w:color w:val="auto"/>
          <w:spacing w:val="0"/>
          <w:position w:val="0"/>
          <w:sz w:val="24"/>
          <w:shd w:fill="FFFFFF" w:val="clear"/>
        </w:rPr>
        <w:t xml:space="preserve">International Journal of Computer-Supported Collaborative Learning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(3), pp.313-348.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García, N.M., 2018. Using Dialogues, Role Plays, Songs, and Poetry in Teaching Speaking. </w:t>
      </w:r>
      <w:r>
        <w:rPr>
          <w:rFonts w:ascii="Times New Roman" w:hAnsi="Times New Roman" w:cs="Times New Roman" w:eastAsia="Times New Roman"/>
          <w:i/>
          <w:color w:val="auto"/>
          <w:spacing w:val="0"/>
          <w:position w:val="0"/>
          <w:sz w:val="24"/>
          <w:shd w:fill="FFFFFF" w:val="clear"/>
        </w:rPr>
        <w:t xml:space="preserve">The TESOL Encyclopedia of English Language Teaching</w:t>
      </w:r>
      <w:r>
        <w:rPr>
          <w:rFonts w:ascii="Times New Roman" w:hAnsi="Times New Roman" w:cs="Times New Roman" w:eastAsia="Times New Roman"/>
          <w:color w:val="auto"/>
          <w:spacing w:val="0"/>
          <w:position w:val="0"/>
          <w:sz w:val="24"/>
          <w:shd w:fill="FFFFFF" w:val="clear"/>
        </w:rPr>
        <w:t xml:space="preserve">, pp.1-6.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w:t>
      </w:r>
      <w:r>
        <w:rPr>
          <w:rFonts w:ascii="Times New Roman" w:hAnsi="Times New Roman" w:cs="Times New Roman" w:eastAsia="Times New Roman"/>
          <w:color w:val="auto"/>
          <w:spacing w:val="0"/>
          <w:position w:val="0"/>
          <w:sz w:val="24"/>
          <w:shd w:fill="auto" w:val="clear"/>
        </w:rPr>
        <w:t xml:space="preserve">śnierek, A., 2015. Developing students’ speaking skills through role-play. </w:t>
      </w:r>
      <w:r>
        <w:rPr>
          <w:rFonts w:ascii="Times New Roman" w:hAnsi="Times New Roman" w:cs="Times New Roman" w:eastAsia="Times New Roman"/>
          <w:i/>
          <w:color w:val="auto"/>
          <w:spacing w:val="0"/>
          <w:position w:val="0"/>
          <w:sz w:val="24"/>
          <w:shd w:fill="auto" w:val="clear"/>
        </w:rPr>
        <w:t xml:space="preserve">World Scientific News</w:t>
      </w:r>
      <w:r>
        <w:rPr>
          <w:rFonts w:ascii="Times New Roman" w:hAnsi="Times New Roman" w:cs="Times New Roman" w:eastAsia="Times New Roman"/>
          <w:color w:val="auto"/>
          <w:spacing w:val="0"/>
          <w:position w:val="0"/>
          <w:sz w:val="24"/>
          <w:shd w:fill="auto" w:val="clear"/>
        </w:rPr>
        <w:t xml:space="preserve">, (7), pp.73-111.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Kyle, A.S. and Obizhaeva, A.A., 2018. Adverse Selection and Liquidity: From Theory to Practice. </w:t>
      </w:r>
      <w:r>
        <w:rPr>
          <w:rFonts w:ascii="Times New Roman" w:hAnsi="Times New Roman" w:cs="Times New Roman" w:eastAsia="Times New Roman"/>
          <w:i/>
          <w:color w:val="auto"/>
          <w:spacing w:val="0"/>
          <w:position w:val="0"/>
          <w:sz w:val="24"/>
          <w:shd w:fill="FFFFFF" w:val="clear"/>
        </w:rPr>
        <w:t xml:space="preserve">Anna A., Adverse Selection and Liquidity: From Theory to Practice (June 3, 2018)</w:t>
      </w:r>
      <w:r>
        <w:rPr>
          <w:rFonts w:ascii="Times New Roman" w:hAnsi="Times New Roman" w:cs="Times New Roman" w:eastAsia="Times New Roman"/>
          <w:color w:val="auto"/>
          <w:spacing w:val="0"/>
          <w:position w:val="0"/>
          <w:sz w:val="24"/>
          <w:shd w:fill="FFFFFF" w:val="clear"/>
        </w:rPr>
        <w:t xml:space="preserve">. Pp26-29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Nguyen, H.B. and Do, N.N.T., 2017. Students’attitudes towards drama-based role play in oral performance. </w:t>
      </w:r>
      <w:r>
        <w:rPr>
          <w:rFonts w:ascii="Times New Roman" w:hAnsi="Times New Roman" w:cs="Times New Roman" w:eastAsia="Times New Roman"/>
          <w:i/>
          <w:color w:val="auto"/>
          <w:spacing w:val="0"/>
          <w:position w:val="0"/>
          <w:sz w:val="24"/>
          <w:shd w:fill="auto" w:val="clear"/>
        </w:rPr>
        <w:t xml:space="preserve">European Journal of Foreign Language Teaching</w:t>
      </w:r>
      <w:r>
        <w:rPr>
          <w:rFonts w:ascii="Times New Roman" w:hAnsi="Times New Roman" w:cs="Times New Roman" w:eastAsia="Times New Roman"/>
          <w:color w:val="auto"/>
          <w:spacing w:val="0"/>
          <w:position w:val="0"/>
          <w:sz w:val="24"/>
          <w:shd w:fill="auto" w:val="clear"/>
        </w:rPr>
        <w:t xml:space="preserve">.pp.34-37</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Sekarwinahyu, M., Rustaman, N.Y., Widodo, A. and Riandi, R., 2019, February. Development of problem based learning for online tutorial program in plant development using Gibbs’ reflective cycle and e-portfolio to enhance reflective thinking skills. In </w:t>
      </w:r>
      <w:r>
        <w:rPr>
          <w:rFonts w:ascii="Times New Roman" w:hAnsi="Times New Roman" w:cs="Times New Roman" w:eastAsia="Times New Roman"/>
          <w:i/>
          <w:color w:val="auto"/>
          <w:spacing w:val="0"/>
          <w:position w:val="0"/>
          <w:sz w:val="24"/>
          <w:shd w:fill="FFFFFF" w:val="clear"/>
        </w:rPr>
        <w:t xml:space="preserve">Journal of Physics: Conference Series</w:t>
      </w:r>
      <w:r>
        <w:rPr>
          <w:rFonts w:ascii="Times New Roman" w:hAnsi="Times New Roman" w:cs="Times New Roman" w:eastAsia="Times New Roman"/>
          <w:color w:val="auto"/>
          <w:spacing w:val="0"/>
          <w:position w:val="0"/>
          <w:sz w:val="24"/>
          <w:shd w:fill="FFFFFF" w:val="clear"/>
        </w:rPr>
        <w:t xml:space="preserve"> (Vol. 1157, No. 2, p. 029-35). IOP Publishing.</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Suryani, L., 2015. The effectiveness of role play in teaching speaking. </w:t>
      </w:r>
      <w:r>
        <w:rPr>
          <w:rFonts w:ascii="Times New Roman" w:hAnsi="Times New Roman" w:cs="Times New Roman" w:eastAsia="Times New Roman"/>
          <w:i/>
          <w:color w:val="auto"/>
          <w:spacing w:val="0"/>
          <w:position w:val="0"/>
          <w:sz w:val="24"/>
          <w:shd w:fill="FFFFFF" w:val="clear"/>
        </w:rPr>
        <w:t xml:space="preserve">ELTIN JOURNAL, Journal of English Language Teaching in Indonesia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(2). P.23-29</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Wartaka, M., 2016. Analysis of the consumers preferences of lipstick product and its relationship with the segmentation of the lipstick products. </w:t>
      </w:r>
      <w:r>
        <w:rPr>
          <w:rFonts w:ascii="Times New Roman" w:hAnsi="Times New Roman" w:cs="Times New Roman" w:eastAsia="Times New Roman"/>
          <w:i/>
          <w:color w:val="auto"/>
          <w:spacing w:val="0"/>
          <w:position w:val="0"/>
          <w:sz w:val="24"/>
          <w:shd w:fill="FFFFFF" w:val="clear"/>
        </w:rPr>
        <w:t xml:space="preserve">The Management Journal of Binaniaga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(02), pp.7-20.</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8"/>
          <w:shd w:fill="FFFFFF" w:val="clear"/>
        </w:rPr>
      </w:pPr>
    </w:p>
    <w:p>
      <w:pPr>
        <w:keepNext w:val="true"/>
        <w:keepLines w:val="true"/>
        <w:spacing w:before="120" w:after="120" w:line="360"/>
        <w:ind w:right="0" w:left="0" w:firstLine="0"/>
        <w:jc w:val="both"/>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Appendix</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Gibbs Reflective Cycle</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223" w:dyaOrig="4292">
          <v:rect xmlns:o="urn:schemas-microsoft-com:office:office" xmlns:v="urn:schemas-microsoft-com:vml" id="rectole0000000000" style="width:261.150000pt;height:21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Calibri" w:hAnsi="Calibri" w:cs="Calibri" w:eastAsia="Calibri"/>
          <w:color w:val="auto"/>
          <w:spacing w:val="0"/>
          <w:position w:val="0"/>
          <w:sz w:val="22"/>
          <w:shd w:fill="auto" w:val="clear"/>
        </w:rPr>
      </w:pPr>
      <w:r>
        <w:object w:dxaOrig="10022" w:dyaOrig="15226">
          <v:rect xmlns:o="urn:schemas-microsoft-com:office:office" xmlns:v="urn:schemas-microsoft-com:vml" id="rectole0000000001" style="width:501.100000pt;height:761.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object w:dxaOrig="10609" w:dyaOrig="15874">
          <v:rect xmlns:o="urn:schemas-microsoft-com:office:office" xmlns:v="urn:schemas-microsoft-com:vml" id="rectole0000000002" style="width:530.450000pt;height:793.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106" w:firstLine="0"/>
        <w:jc w:val="left"/>
        <w:rPr>
          <w:rFonts w:ascii="Times New Roman" w:hAnsi="Times New Roman" w:cs="Times New Roman" w:eastAsia="Times New Roman"/>
          <w:color w:val="auto"/>
          <w:spacing w:val="0"/>
          <w:position w:val="0"/>
          <w:sz w:val="20"/>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2">
    <w:abstractNumId w:val="12"/>
  </w:num>
  <w:num w:numId="15">
    <w:abstractNumId w:val="6"/>
  </w: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