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FA84" w14:textId="77777777" w:rsidR="00566A87" w:rsidRDefault="00566A87">
      <w:pPr>
        <w:rPr>
          <w:b/>
          <w:bCs/>
          <w:sz w:val="24"/>
          <w:szCs w:val="24"/>
          <w:u w:val="single"/>
        </w:rPr>
      </w:pPr>
    </w:p>
    <w:p w14:paraId="6F62D1E2" w14:textId="77777777" w:rsidR="007B4133" w:rsidRDefault="007B4133" w:rsidP="007B4133">
      <w:pPr>
        <w:jc w:val="center"/>
        <w:rPr>
          <w:b/>
          <w:bCs/>
          <w:sz w:val="24"/>
          <w:szCs w:val="24"/>
        </w:rPr>
      </w:pPr>
    </w:p>
    <w:p w14:paraId="464FB405" w14:textId="77777777" w:rsidR="007B4133" w:rsidRDefault="007B4133" w:rsidP="007B4133">
      <w:pPr>
        <w:jc w:val="center"/>
        <w:rPr>
          <w:b/>
          <w:bCs/>
          <w:sz w:val="24"/>
          <w:szCs w:val="24"/>
        </w:rPr>
      </w:pPr>
    </w:p>
    <w:p w14:paraId="4B001651" w14:textId="77777777" w:rsidR="007B4133" w:rsidRDefault="007B4133" w:rsidP="007B4133">
      <w:pPr>
        <w:jc w:val="center"/>
        <w:rPr>
          <w:b/>
          <w:bCs/>
          <w:sz w:val="24"/>
          <w:szCs w:val="24"/>
        </w:rPr>
      </w:pPr>
    </w:p>
    <w:p w14:paraId="06C5E8D8" w14:textId="77777777" w:rsidR="007B4133" w:rsidRDefault="007B4133" w:rsidP="007B4133">
      <w:pPr>
        <w:jc w:val="center"/>
        <w:rPr>
          <w:b/>
          <w:bCs/>
          <w:sz w:val="24"/>
          <w:szCs w:val="24"/>
        </w:rPr>
      </w:pPr>
    </w:p>
    <w:p w14:paraId="302BF150" w14:textId="77777777" w:rsidR="007B4133" w:rsidRDefault="007B4133" w:rsidP="007B4133">
      <w:pPr>
        <w:jc w:val="center"/>
        <w:rPr>
          <w:b/>
          <w:bCs/>
          <w:sz w:val="24"/>
          <w:szCs w:val="24"/>
        </w:rPr>
      </w:pPr>
    </w:p>
    <w:p w14:paraId="32F98286" w14:textId="77777777" w:rsidR="007B4133" w:rsidRDefault="007B4133" w:rsidP="007B4133">
      <w:pPr>
        <w:jc w:val="center"/>
        <w:rPr>
          <w:b/>
          <w:bCs/>
          <w:sz w:val="24"/>
          <w:szCs w:val="24"/>
        </w:rPr>
      </w:pPr>
    </w:p>
    <w:p w14:paraId="7EA49A97" w14:textId="20D553B8" w:rsidR="00566A87" w:rsidRPr="00783D9F" w:rsidRDefault="00566A87" w:rsidP="007B4133">
      <w:pPr>
        <w:jc w:val="center"/>
        <w:rPr>
          <w:rFonts w:ascii="Arial" w:hAnsi="Arial" w:cs="Arial"/>
          <w:sz w:val="24"/>
          <w:szCs w:val="24"/>
        </w:rPr>
      </w:pPr>
      <w:r w:rsidRPr="00783D9F">
        <w:rPr>
          <w:rFonts w:ascii="Arial" w:hAnsi="Arial" w:cs="Arial"/>
          <w:sz w:val="24"/>
          <w:szCs w:val="24"/>
        </w:rPr>
        <w:t>1450605 Alyson Greening</w:t>
      </w:r>
    </w:p>
    <w:p w14:paraId="1CA46EE3" w14:textId="77777777" w:rsidR="00566A87" w:rsidRPr="00783D9F" w:rsidRDefault="00566A87" w:rsidP="007B4133">
      <w:pPr>
        <w:jc w:val="center"/>
        <w:rPr>
          <w:rFonts w:ascii="Arial" w:hAnsi="Arial" w:cs="Arial"/>
          <w:sz w:val="24"/>
          <w:szCs w:val="24"/>
        </w:rPr>
      </w:pPr>
    </w:p>
    <w:p w14:paraId="6842FDA8" w14:textId="77777777" w:rsidR="00566A87" w:rsidRPr="00783D9F" w:rsidRDefault="00566A87" w:rsidP="007B4133">
      <w:pPr>
        <w:jc w:val="center"/>
        <w:rPr>
          <w:rFonts w:ascii="Arial" w:hAnsi="Arial" w:cs="Arial"/>
          <w:sz w:val="24"/>
          <w:szCs w:val="24"/>
        </w:rPr>
      </w:pPr>
      <w:r w:rsidRPr="00783D9F">
        <w:rPr>
          <w:rFonts w:ascii="Arial" w:hAnsi="Arial" w:cs="Arial"/>
          <w:sz w:val="24"/>
          <w:szCs w:val="24"/>
        </w:rPr>
        <w:t>Week one</w:t>
      </w:r>
    </w:p>
    <w:p w14:paraId="3717EC90" w14:textId="77777777" w:rsidR="00566A87" w:rsidRPr="00783D9F" w:rsidRDefault="00566A87" w:rsidP="007B4133">
      <w:pPr>
        <w:jc w:val="center"/>
        <w:rPr>
          <w:rFonts w:ascii="Arial" w:hAnsi="Arial" w:cs="Arial"/>
          <w:sz w:val="24"/>
          <w:szCs w:val="24"/>
        </w:rPr>
      </w:pPr>
    </w:p>
    <w:p w14:paraId="309B960E" w14:textId="77777777" w:rsidR="00C318AE" w:rsidRDefault="00566A87" w:rsidP="007B4133">
      <w:pPr>
        <w:jc w:val="center"/>
        <w:rPr>
          <w:b/>
          <w:bCs/>
          <w:sz w:val="24"/>
          <w:szCs w:val="24"/>
          <w:u w:val="single"/>
        </w:rPr>
      </w:pPr>
      <w:r w:rsidRPr="00783D9F">
        <w:rPr>
          <w:rFonts w:ascii="Arial" w:hAnsi="Arial" w:cs="Arial"/>
          <w:sz w:val="24"/>
          <w:szCs w:val="24"/>
        </w:rPr>
        <w:t>Deconstruction exercise</w:t>
      </w:r>
    </w:p>
    <w:p w14:paraId="195FC68C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552DB703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135AFAFB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56AC864F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03A2658D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14AE84B4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6F2E5893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5020DEA6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5F5F70E6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6B61154C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369D0685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1B29DC4D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6F462447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758DBB61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0018C9CD" w14:textId="77777777" w:rsidR="00C318AE" w:rsidRDefault="00C318AE" w:rsidP="007B4133">
      <w:pPr>
        <w:jc w:val="center"/>
        <w:rPr>
          <w:b/>
          <w:bCs/>
          <w:sz w:val="24"/>
          <w:szCs w:val="24"/>
          <w:u w:val="single"/>
        </w:rPr>
      </w:pPr>
    </w:p>
    <w:p w14:paraId="5782FB0D" w14:textId="6E6EA7BB" w:rsidR="00566A87" w:rsidRPr="00C318AE" w:rsidRDefault="00C318AE" w:rsidP="00C318AE">
      <w:pPr>
        <w:jc w:val="right"/>
        <w:rPr>
          <w:sz w:val="24"/>
          <w:szCs w:val="24"/>
        </w:rPr>
      </w:pPr>
      <w:r w:rsidRPr="00C318AE">
        <w:rPr>
          <w:sz w:val="24"/>
          <w:szCs w:val="24"/>
        </w:rPr>
        <w:t>16</w:t>
      </w:r>
      <w:r w:rsidRPr="00C318AE">
        <w:rPr>
          <w:sz w:val="24"/>
          <w:szCs w:val="24"/>
          <w:vertAlign w:val="superscript"/>
        </w:rPr>
        <w:t>th</w:t>
      </w:r>
      <w:r w:rsidRPr="00C318AE">
        <w:rPr>
          <w:sz w:val="24"/>
          <w:szCs w:val="24"/>
        </w:rPr>
        <w:t xml:space="preserve"> October 2023</w:t>
      </w:r>
      <w:r w:rsidR="00566A87" w:rsidRPr="00C318AE">
        <w:rPr>
          <w:sz w:val="24"/>
          <w:szCs w:val="24"/>
        </w:rPr>
        <w:br w:type="page"/>
      </w:r>
    </w:p>
    <w:p w14:paraId="4A6D6240" w14:textId="58AF0A49" w:rsidR="0004295D" w:rsidRPr="009027DC" w:rsidRDefault="0004295D">
      <w:pPr>
        <w:rPr>
          <w:b/>
          <w:bCs/>
          <w:sz w:val="24"/>
          <w:szCs w:val="24"/>
        </w:rPr>
      </w:pPr>
      <w:r w:rsidRPr="00D342D0">
        <w:rPr>
          <w:b/>
          <w:bCs/>
          <w:sz w:val="24"/>
          <w:szCs w:val="24"/>
        </w:rPr>
        <w:lastRenderedPageBreak/>
        <w:t>Repairing the loss of the past</w:t>
      </w:r>
      <w:r w:rsidR="00435D30" w:rsidRPr="00D342D0">
        <w:rPr>
          <w:b/>
          <w:bCs/>
          <w:sz w:val="24"/>
          <w:szCs w:val="24"/>
        </w:rPr>
        <w:t xml:space="preserve">: the use of written, </w:t>
      </w:r>
      <w:proofErr w:type="gramStart"/>
      <w:r w:rsidR="00435D30" w:rsidRPr="00D342D0">
        <w:rPr>
          <w:b/>
          <w:bCs/>
          <w:sz w:val="24"/>
          <w:szCs w:val="24"/>
        </w:rPr>
        <w:t>oral</w:t>
      </w:r>
      <w:proofErr w:type="gramEnd"/>
      <w:r w:rsidR="00435D30" w:rsidRPr="00D342D0">
        <w:rPr>
          <w:b/>
          <w:bCs/>
          <w:sz w:val="24"/>
          <w:szCs w:val="24"/>
        </w:rPr>
        <w:t xml:space="preserve"> and physical evidence in the </w:t>
      </w:r>
      <w:r w:rsidR="00C405EF" w:rsidRPr="00D342D0">
        <w:rPr>
          <w:b/>
          <w:bCs/>
          <w:i/>
          <w:iCs/>
          <w:sz w:val="24"/>
          <w:szCs w:val="24"/>
        </w:rPr>
        <w:t xml:space="preserve">Ecclesiastical History of </w:t>
      </w:r>
      <w:proofErr w:type="spellStart"/>
      <w:r w:rsidR="00C405EF" w:rsidRPr="00D342D0">
        <w:rPr>
          <w:b/>
          <w:bCs/>
          <w:i/>
          <w:iCs/>
          <w:sz w:val="24"/>
          <w:szCs w:val="24"/>
        </w:rPr>
        <w:t>Orderic</w:t>
      </w:r>
      <w:proofErr w:type="spellEnd"/>
      <w:r w:rsidR="00C405EF" w:rsidRPr="00D342D0">
        <w:rPr>
          <w:b/>
          <w:bCs/>
          <w:i/>
          <w:iCs/>
          <w:sz w:val="24"/>
          <w:szCs w:val="24"/>
        </w:rPr>
        <w:t xml:space="preserve"> Vitalis (1113-42</w:t>
      </w:r>
      <w:r w:rsidR="004D34B4" w:rsidRPr="00D342D0">
        <w:rPr>
          <w:b/>
          <w:bCs/>
          <w:i/>
          <w:iCs/>
          <w:sz w:val="24"/>
          <w:szCs w:val="24"/>
        </w:rPr>
        <w:t>)</w:t>
      </w:r>
      <w:r w:rsidR="00D342D0" w:rsidRPr="00D342D0">
        <w:rPr>
          <w:b/>
          <w:bCs/>
          <w:i/>
          <w:iCs/>
          <w:sz w:val="24"/>
          <w:szCs w:val="24"/>
        </w:rPr>
        <w:t xml:space="preserve"> </w:t>
      </w:r>
      <w:r w:rsidR="009027DC">
        <w:rPr>
          <w:b/>
          <w:bCs/>
          <w:sz w:val="24"/>
          <w:szCs w:val="24"/>
        </w:rPr>
        <w:t>(Charles C Rozier)</w:t>
      </w:r>
    </w:p>
    <w:p w14:paraId="05AE1AAE" w14:textId="316010EE" w:rsidR="0004295D" w:rsidRPr="0004295D" w:rsidRDefault="004D34B4">
      <w:pPr>
        <w:rPr>
          <w:sz w:val="24"/>
          <w:szCs w:val="24"/>
        </w:rPr>
      </w:pPr>
      <w:r>
        <w:rPr>
          <w:sz w:val="24"/>
          <w:szCs w:val="24"/>
        </w:rPr>
        <w:t>This article examines the use</w:t>
      </w:r>
      <w:r w:rsidR="00D45A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 w:rsidR="00911AFF">
        <w:rPr>
          <w:sz w:val="24"/>
          <w:szCs w:val="24"/>
        </w:rPr>
        <w:t xml:space="preserve">various forms of </w:t>
      </w:r>
      <w:r w:rsidR="00D45A2D">
        <w:rPr>
          <w:sz w:val="24"/>
          <w:szCs w:val="24"/>
        </w:rPr>
        <w:t>evidence</w:t>
      </w:r>
      <w:r w:rsidR="00911AFF">
        <w:rPr>
          <w:sz w:val="24"/>
          <w:szCs w:val="24"/>
        </w:rPr>
        <w:t xml:space="preserve"> </w:t>
      </w:r>
      <w:r w:rsidR="007A11F3">
        <w:rPr>
          <w:sz w:val="24"/>
          <w:szCs w:val="24"/>
        </w:rPr>
        <w:t xml:space="preserve">employed by </w:t>
      </w:r>
      <w:proofErr w:type="spellStart"/>
      <w:r w:rsidR="007A11F3">
        <w:rPr>
          <w:sz w:val="24"/>
          <w:szCs w:val="24"/>
        </w:rPr>
        <w:t>Orderic</w:t>
      </w:r>
      <w:proofErr w:type="spellEnd"/>
      <w:r w:rsidR="007A11F3">
        <w:rPr>
          <w:sz w:val="24"/>
          <w:szCs w:val="24"/>
        </w:rPr>
        <w:t xml:space="preserve"> Vitalis in his writing of ecclesiastical history</w:t>
      </w:r>
      <w:r w:rsidR="005B4515">
        <w:rPr>
          <w:sz w:val="24"/>
          <w:szCs w:val="24"/>
        </w:rPr>
        <w:t xml:space="preserve"> and explores the effectiveness</w:t>
      </w:r>
      <w:r w:rsidR="006C1BED">
        <w:rPr>
          <w:sz w:val="24"/>
          <w:szCs w:val="24"/>
        </w:rPr>
        <w:t xml:space="preserve"> of such evidence.  </w:t>
      </w:r>
      <w:r w:rsidR="00776324">
        <w:rPr>
          <w:sz w:val="24"/>
          <w:szCs w:val="24"/>
        </w:rPr>
        <w:t xml:space="preserve">Much of this article relies on </w:t>
      </w:r>
      <w:r w:rsidR="00C43F74">
        <w:rPr>
          <w:sz w:val="24"/>
          <w:szCs w:val="24"/>
        </w:rPr>
        <w:t xml:space="preserve">the translation published by Marjorie Chibnall </w:t>
      </w:r>
      <w:r w:rsidR="00D658E6">
        <w:rPr>
          <w:sz w:val="24"/>
          <w:szCs w:val="24"/>
        </w:rPr>
        <w:t>alongside other supporting works.</w:t>
      </w:r>
      <w:r w:rsidR="00023413">
        <w:rPr>
          <w:sz w:val="24"/>
          <w:szCs w:val="24"/>
        </w:rPr>
        <w:t xml:space="preserve">  </w:t>
      </w:r>
      <w:r w:rsidR="00E73B8C">
        <w:rPr>
          <w:sz w:val="24"/>
          <w:szCs w:val="24"/>
        </w:rPr>
        <w:t xml:space="preserve">This work consists of both the original </w:t>
      </w:r>
      <w:proofErr w:type="spellStart"/>
      <w:r w:rsidR="00E73B8C">
        <w:rPr>
          <w:sz w:val="24"/>
          <w:szCs w:val="24"/>
        </w:rPr>
        <w:t>latin</w:t>
      </w:r>
      <w:proofErr w:type="spellEnd"/>
      <w:r w:rsidR="00E73B8C">
        <w:rPr>
          <w:sz w:val="24"/>
          <w:szCs w:val="24"/>
        </w:rPr>
        <w:t xml:space="preserve"> text and the English translation </w:t>
      </w:r>
      <w:r w:rsidR="002C0254">
        <w:rPr>
          <w:sz w:val="24"/>
          <w:szCs w:val="24"/>
        </w:rPr>
        <w:t xml:space="preserve">on facing pages. </w:t>
      </w:r>
      <w:r w:rsidR="006253D6">
        <w:rPr>
          <w:sz w:val="24"/>
          <w:szCs w:val="24"/>
        </w:rPr>
        <w:t>I have therefore considered all source material to be secondary ones</w:t>
      </w:r>
      <w:r w:rsidR="00ED4BB8">
        <w:rPr>
          <w:sz w:val="24"/>
          <w:szCs w:val="24"/>
        </w:rPr>
        <w:t xml:space="preserve">. </w:t>
      </w:r>
      <w:r w:rsidR="009027DC">
        <w:rPr>
          <w:sz w:val="24"/>
          <w:szCs w:val="24"/>
        </w:rPr>
        <w:t>There is no evidence that any of the research has been carried out online</w:t>
      </w:r>
      <w:r w:rsidR="0052523D">
        <w:rPr>
          <w:sz w:val="24"/>
          <w:szCs w:val="24"/>
        </w:rPr>
        <w:t>.</w:t>
      </w:r>
    </w:p>
    <w:p w14:paraId="3A152FAB" w14:textId="543DB379" w:rsidR="0004295D" w:rsidRPr="009027DC" w:rsidRDefault="0004295D">
      <w:pPr>
        <w:rPr>
          <w:rFonts w:cstheme="minorHAnsi"/>
          <w:b/>
          <w:bCs/>
          <w:sz w:val="24"/>
          <w:szCs w:val="24"/>
          <w:u w:val="single"/>
        </w:rPr>
      </w:pPr>
      <w:r w:rsidRPr="009027DC">
        <w:rPr>
          <w:rFonts w:cstheme="minorHAnsi"/>
          <w:b/>
          <w:bCs/>
          <w:sz w:val="24"/>
          <w:szCs w:val="24"/>
          <w:u w:val="single"/>
        </w:rPr>
        <w:t>Secondary Source Material</w:t>
      </w:r>
    </w:p>
    <w:p w14:paraId="636DCCC5" w14:textId="3236F564" w:rsidR="00CC32B5" w:rsidRPr="009027DC" w:rsidRDefault="00520640" w:rsidP="00520640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M. Chibnall, ‘General introduction’, in The Ecclesiastical History of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 (hereafter Ecclesiastical History), ed. M. Chibnall (6 vols., Oxford, 1969–80)</w:t>
      </w:r>
    </w:p>
    <w:p w14:paraId="29D01FC0" w14:textId="1C1F152A" w:rsidR="00520640" w:rsidRPr="009027DC" w:rsidRDefault="00520640" w:rsidP="00520640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D. Roach</w:t>
      </w:r>
      <w:r w:rsidR="00CC32B5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and C. C. Rozier, ‘Interpreting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Vitalis’, in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Vitalis: Life, Works and Interpretations, ed.</w:t>
      </w:r>
    </w:p>
    <w:p w14:paraId="5FEED1ED" w14:textId="02CAF351" w:rsidR="00CC32B5" w:rsidRPr="009027DC" w:rsidRDefault="00520640" w:rsidP="00520640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C. C. Rozier and others (Woodbridge, 2016)</w:t>
      </w:r>
    </w:p>
    <w:p w14:paraId="5602B653" w14:textId="3E7EAD30" w:rsidR="00520640" w:rsidRPr="009027DC" w:rsidRDefault="00520640" w:rsidP="00520640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E. van Houts, ‘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and his father, </w:t>
      </w:r>
      <w:proofErr w:type="spellStart"/>
      <w:r w:rsidRPr="009027DC">
        <w:rPr>
          <w:rFonts w:cstheme="minorHAnsi"/>
          <w:kern w:val="0"/>
        </w:rPr>
        <w:t>Odelerius</w:t>
      </w:r>
      <w:proofErr w:type="spellEnd"/>
      <w:r w:rsidRPr="009027DC">
        <w:rPr>
          <w:rFonts w:cstheme="minorHAnsi"/>
          <w:kern w:val="0"/>
        </w:rPr>
        <w:t xml:space="preserve">’, in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="008550E3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Vitalis: Life, Works and Interpretations.</w:t>
      </w:r>
    </w:p>
    <w:p w14:paraId="21AE2B4A" w14:textId="7C2DDEA3" w:rsidR="0077304F" w:rsidRPr="009027DC" w:rsidRDefault="00520640" w:rsidP="008550E3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J. Weston and C. C. Rozier, ‘Descriptive catalogue of manuscripts featuring</w:t>
      </w:r>
      <w:r w:rsidR="008550E3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the hand of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Vitalis’, in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Vitalis: Life, Works and Interpretations</w:t>
      </w:r>
    </w:p>
    <w:p w14:paraId="609F09BF" w14:textId="7F201CC9" w:rsidR="00371118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The </w:t>
      </w:r>
      <w:proofErr w:type="spellStart"/>
      <w:r w:rsidRPr="009027DC">
        <w:rPr>
          <w:rFonts w:cstheme="minorHAnsi"/>
          <w:kern w:val="0"/>
        </w:rPr>
        <w:t>Gesta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Normannorum</w:t>
      </w:r>
      <w:proofErr w:type="spellEnd"/>
      <w:r w:rsidRPr="009027DC">
        <w:rPr>
          <w:rFonts w:cstheme="minorHAnsi"/>
          <w:kern w:val="0"/>
        </w:rPr>
        <w:t xml:space="preserve"> Ducum of William of </w:t>
      </w:r>
      <w:proofErr w:type="spellStart"/>
      <w:r w:rsidRPr="009027DC">
        <w:rPr>
          <w:rFonts w:cstheme="minorHAnsi"/>
          <w:kern w:val="0"/>
        </w:rPr>
        <w:t>Jumièges</w:t>
      </w:r>
      <w:proofErr w:type="spellEnd"/>
      <w:r w:rsidRPr="009027DC">
        <w:rPr>
          <w:rFonts w:cstheme="minorHAnsi"/>
          <w:kern w:val="0"/>
        </w:rPr>
        <w:t xml:space="preserve">,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 and</w:t>
      </w:r>
      <w:r w:rsidR="00371118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Robert of </w:t>
      </w:r>
      <w:proofErr w:type="spellStart"/>
      <w:r w:rsidRPr="009027DC">
        <w:rPr>
          <w:rFonts w:cstheme="minorHAnsi"/>
          <w:kern w:val="0"/>
        </w:rPr>
        <w:t>Toringi</w:t>
      </w:r>
      <w:proofErr w:type="spellEnd"/>
      <w:r w:rsidRPr="009027DC">
        <w:rPr>
          <w:rFonts w:cstheme="minorHAnsi"/>
          <w:kern w:val="0"/>
        </w:rPr>
        <w:t xml:space="preserve">, ed. and trans. E. van Houts </w:t>
      </w:r>
    </w:p>
    <w:p w14:paraId="3A840312" w14:textId="0800D421" w:rsidR="00862794" w:rsidRPr="009027DC" w:rsidRDefault="0077304F" w:rsidP="00862794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proofErr w:type="spellStart"/>
      <w:r w:rsidRPr="009027DC">
        <w:rPr>
          <w:rFonts w:cstheme="minorHAnsi"/>
          <w:kern w:val="0"/>
        </w:rPr>
        <w:t>Orderici</w:t>
      </w:r>
      <w:proofErr w:type="spellEnd"/>
      <w:r w:rsidRPr="009027DC">
        <w:rPr>
          <w:rFonts w:cstheme="minorHAnsi"/>
          <w:kern w:val="0"/>
        </w:rPr>
        <w:t xml:space="preserve"> Vitalis </w:t>
      </w:r>
      <w:proofErr w:type="spellStart"/>
      <w:r w:rsidRPr="009027DC">
        <w:rPr>
          <w:rFonts w:cstheme="minorHAnsi"/>
          <w:kern w:val="0"/>
        </w:rPr>
        <w:t>Ecclesiasticae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Historiae</w:t>
      </w:r>
      <w:proofErr w:type="spellEnd"/>
      <w:r w:rsidRPr="009027DC">
        <w:rPr>
          <w:rFonts w:cstheme="minorHAnsi"/>
          <w:kern w:val="0"/>
        </w:rPr>
        <w:t xml:space="preserve"> Libri </w:t>
      </w:r>
      <w:proofErr w:type="spellStart"/>
      <w:r w:rsidRPr="009027DC">
        <w:rPr>
          <w:rFonts w:cstheme="minorHAnsi"/>
          <w:kern w:val="0"/>
        </w:rPr>
        <w:t>Tredecim</w:t>
      </w:r>
      <w:proofErr w:type="spellEnd"/>
      <w:r w:rsidRPr="009027DC">
        <w:rPr>
          <w:rFonts w:cstheme="minorHAnsi"/>
          <w:kern w:val="0"/>
        </w:rPr>
        <w:t>, ed. and trans. A. le Prévost (5 vols., Paris, 1838–55</w:t>
      </w:r>
      <w:r w:rsidR="0091767A" w:rsidRPr="009027DC">
        <w:rPr>
          <w:rFonts w:cstheme="minorHAnsi"/>
          <w:kern w:val="0"/>
        </w:rPr>
        <w:t>)</w:t>
      </w:r>
    </w:p>
    <w:p w14:paraId="2D2FDBF5" w14:textId="1915F892" w:rsidR="006A2A32" w:rsidRPr="009027DC" w:rsidRDefault="0077304F" w:rsidP="006A2A32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M. Chibnall, The World of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 (Woodbridge,</w:t>
      </w:r>
      <w:r w:rsidR="00862794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1984).</w:t>
      </w:r>
      <w:r w:rsidR="006A2A32" w:rsidRPr="009027DC">
        <w:rPr>
          <w:rFonts w:cstheme="minorHAnsi"/>
          <w:kern w:val="0"/>
        </w:rPr>
        <w:t xml:space="preserve">  A. </w:t>
      </w:r>
      <w:r w:rsidRPr="009027DC">
        <w:rPr>
          <w:rFonts w:cstheme="minorHAnsi"/>
          <w:kern w:val="0"/>
        </w:rPr>
        <w:t>Gransden, Historical Writing in England (2 vols., 1974–82)</w:t>
      </w:r>
    </w:p>
    <w:p w14:paraId="29BE155A" w14:textId="151352CD" w:rsidR="0091767A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B. Guenée, </w:t>
      </w:r>
      <w:proofErr w:type="spellStart"/>
      <w:r w:rsidRPr="009027DC">
        <w:rPr>
          <w:rFonts w:cstheme="minorHAnsi"/>
          <w:kern w:val="0"/>
        </w:rPr>
        <w:t>Histoire</w:t>
      </w:r>
      <w:proofErr w:type="spellEnd"/>
      <w:r w:rsidRPr="009027DC">
        <w:rPr>
          <w:rFonts w:cstheme="minorHAnsi"/>
          <w:kern w:val="0"/>
        </w:rPr>
        <w:t xml:space="preserve"> et culture </w:t>
      </w:r>
      <w:proofErr w:type="spellStart"/>
      <w:r w:rsidRPr="009027DC">
        <w:rPr>
          <w:rFonts w:cstheme="minorHAnsi"/>
          <w:kern w:val="0"/>
        </w:rPr>
        <w:t>historique</w:t>
      </w:r>
      <w:proofErr w:type="spellEnd"/>
      <w:r w:rsidRPr="009027DC">
        <w:rPr>
          <w:rFonts w:cstheme="minorHAnsi"/>
          <w:kern w:val="0"/>
        </w:rPr>
        <w:t xml:space="preserve"> dans </w:t>
      </w:r>
      <w:proofErr w:type="spellStart"/>
      <w:r w:rsidRPr="009027DC">
        <w:rPr>
          <w:rFonts w:cstheme="minorHAnsi"/>
          <w:kern w:val="0"/>
        </w:rPr>
        <w:t>l’Occident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médiéval</w:t>
      </w:r>
      <w:proofErr w:type="spellEnd"/>
      <w:r w:rsidRPr="009027DC">
        <w:rPr>
          <w:rFonts w:cstheme="minorHAnsi"/>
          <w:kern w:val="0"/>
        </w:rPr>
        <w:t xml:space="preserve"> (Paris, 1980)</w:t>
      </w:r>
    </w:p>
    <w:p w14:paraId="2D4F2758" w14:textId="1699292B" w:rsidR="0077304F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M. </w:t>
      </w:r>
      <w:proofErr w:type="spellStart"/>
      <w:r w:rsidRPr="009027DC">
        <w:rPr>
          <w:rFonts w:cstheme="minorHAnsi"/>
          <w:kern w:val="0"/>
        </w:rPr>
        <w:t>Kempshall</w:t>
      </w:r>
      <w:proofErr w:type="spellEnd"/>
      <w:r w:rsidRPr="009027DC">
        <w:rPr>
          <w:rFonts w:cstheme="minorHAnsi"/>
          <w:kern w:val="0"/>
        </w:rPr>
        <w:t>, Rhetoric and the</w:t>
      </w:r>
      <w:r w:rsidR="00380880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Writing of History, 400–1500 (Manchester, 2011).</w:t>
      </w:r>
    </w:p>
    <w:p w14:paraId="6D45F224" w14:textId="77777777" w:rsidR="00876DF6" w:rsidRPr="009027DC" w:rsidRDefault="00876DF6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3054DF0E" w14:textId="77777777" w:rsidR="0043395B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A. J. Hingst, The Written World: Past and Place in the</w:t>
      </w:r>
      <w:r w:rsidR="00876DF6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Work of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 (Notre Dame, Ind., 2009</w:t>
      </w:r>
      <w:proofErr w:type="gramStart"/>
      <w:r w:rsidRPr="009027DC">
        <w:rPr>
          <w:rFonts w:cstheme="minorHAnsi"/>
          <w:kern w:val="0"/>
        </w:rPr>
        <w:t>);</w:t>
      </w:r>
      <w:proofErr w:type="gramEnd"/>
      <w:r w:rsidRPr="009027DC">
        <w:rPr>
          <w:rFonts w:cstheme="minorHAnsi"/>
          <w:kern w:val="0"/>
        </w:rPr>
        <w:t xml:space="preserve"> </w:t>
      </w:r>
    </w:p>
    <w:p w14:paraId="07635AD3" w14:textId="77777777" w:rsidR="0043395B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L. V. Hicks, ‘Monastic authority and the landscape in the</w:t>
      </w:r>
      <w:r w:rsidR="0043395B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Ecclesiastical History of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Vitalis’, in Authority and Gender in Medieval and Renaissance Chronicles, ed.</w:t>
      </w:r>
      <w:r w:rsidR="0043395B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J. </w:t>
      </w:r>
      <w:proofErr w:type="spellStart"/>
      <w:r w:rsidRPr="009027DC">
        <w:rPr>
          <w:rFonts w:cstheme="minorHAnsi"/>
          <w:kern w:val="0"/>
        </w:rPr>
        <w:t>Dresvina</w:t>
      </w:r>
      <w:proofErr w:type="spellEnd"/>
      <w:r w:rsidRPr="009027DC">
        <w:rPr>
          <w:rFonts w:cstheme="minorHAnsi"/>
          <w:kern w:val="0"/>
        </w:rPr>
        <w:t xml:space="preserve"> and N. Sparks (Cambridge, 2012)</w:t>
      </w:r>
      <w:r w:rsidR="0043395B" w:rsidRPr="009027DC">
        <w:rPr>
          <w:rFonts w:cstheme="minorHAnsi"/>
          <w:kern w:val="0"/>
        </w:rPr>
        <w:t xml:space="preserve">. </w:t>
      </w:r>
    </w:p>
    <w:p w14:paraId="04BBA8C3" w14:textId="2F3E734C" w:rsidR="0077304F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D. Roach, ‘The material and the visual: objects and</w:t>
      </w:r>
      <w:r w:rsidR="0043395B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 xml:space="preserve">memories in the Historia </w:t>
      </w:r>
      <w:proofErr w:type="spellStart"/>
      <w:r w:rsidRPr="009027DC">
        <w:rPr>
          <w:rFonts w:cstheme="minorHAnsi"/>
          <w:kern w:val="0"/>
        </w:rPr>
        <w:t>Ecclesiastica</w:t>
      </w:r>
      <w:proofErr w:type="spellEnd"/>
      <w:r w:rsidRPr="009027DC">
        <w:rPr>
          <w:rFonts w:cstheme="minorHAnsi"/>
          <w:kern w:val="0"/>
        </w:rPr>
        <w:t xml:space="preserve"> of 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Vitalis’, Haskins Society Jour., xxiv (2013</w:t>
      </w:r>
      <w:r w:rsidR="002958EC" w:rsidRPr="009027DC">
        <w:rPr>
          <w:rFonts w:cstheme="minorHAnsi"/>
          <w:kern w:val="0"/>
        </w:rPr>
        <w:t>)</w:t>
      </w:r>
    </w:p>
    <w:p w14:paraId="529140B1" w14:textId="749C69A3" w:rsidR="008550E3" w:rsidRPr="009027DC" w:rsidRDefault="0077304F" w:rsidP="0077304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‘</w:t>
      </w:r>
      <w:proofErr w:type="spellStart"/>
      <w:r w:rsidRPr="009027DC">
        <w:rPr>
          <w:rFonts w:cstheme="minorHAnsi"/>
          <w:kern w:val="0"/>
        </w:rPr>
        <w:t>Orderic</w:t>
      </w:r>
      <w:proofErr w:type="spellEnd"/>
      <w:r w:rsidRPr="009027DC">
        <w:rPr>
          <w:rFonts w:cstheme="minorHAnsi"/>
          <w:kern w:val="0"/>
        </w:rPr>
        <w:t xml:space="preserve"> Vitalis and the first crusade’, Jour. Medieval Hist., xlii (2016)</w:t>
      </w:r>
    </w:p>
    <w:p w14:paraId="73A0DD75" w14:textId="77777777" w:rsidR="00C35E12" w:rsidRPr="009027DC" w:rsidRDefault="00C35E12" w:rsidP="00C35E12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P. Damian-Grint, The New Historians of the 12th-Century Renaissance: Inventing Vernacular Authority (Woodbridge, 1999)</w:t>
      </w:r>
    </w:p>
    <w:p w14:paraId="1C24847F" w14:textId="77777777" w:rsidR="0011616A" w:rsidRPr="009027DC" w:rsidRDefault="00C35E12" w:rsidP="00C35E12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E. van Houts, </w:t>
      </w:r>
      <w:proofErr w:type="gramStart"/>
      <w:r w:rsidRPr="009027DC">
        <w:rPr>
          <w:rFonts w:cstheme="minorHAnsi"/>
          <w:kern w:val="0"/>
        </w:rPr>
        <w:t>Memory</w:t>
      </w:r>
      <w:proofErr w:type="gramEnd"/>
      <w:r w:rsidRPr="009027DC">
        <w:rPr>
          <w:rFonts w:cstheme="minorHAnsi"/>
          <w:kern w:val="0"/>
        </w:rPr>
        <w:t xml:space="preserve"> and Gender in Medieval Europe,</w:t>
      </w:r>
      <w:r w:rsidR="0011616A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900–1200 (Basingstoke, 1999)</w:t>
      </w:r>
      <w:r w:rsidR="0011616A" w:rsidRPr="009027DC">
        <w:rPr>
          <w:rFonts w:cstheme="minorHAnsi"/>
          <w:kern w:val="0"/>
        </w:rPr>
        <w:t xml:space="preserve">. </w:t>
      </w:r>
    </w:p>
    <w:p w14:paraId="6CC1E11B" w14:textId="77777777" w:rsidR="00E94A24" w:rsidRPr="009027DC" w:rsidRDefault="00C35E12" w:rsidP="00C35E12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C. Given-Wilson, Chronicles: </w:t>
      </w:r>
      <w:proofErr w:type="gramStart"/>
      <w:r w:rsidRPr="009027DC">
        <w:rPr>
          <w:rFonts w:cstheme="minorHAnsi"/>
          <w:kern w:val="0"/>
        </w:rPr>
        <w:t>the</w:t>
      </w:r>
      <w:proofErr w:type="gramEnd"/>
      <w:r w:rsidRPr="009027DC">
        <w:rPr>
          <w:rFonts w:cstheme="minorHAnsi"/>
          <w:kern w:val="0"/>
        </w:rPr>
        <w:t xml:space="preserve"> Writing of History in Medieval England</w:t>
      </w:r>
      <w:r w:rsidR="0011616A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(2004)</w:t>
      </w:r>
      <w:r w:rsidR="00E94A24" w:rsidRPr="009027DC">
        <w:rPr>
          <w:rFonts w:cstheme="minorHAnsi"/>
          <w:kern w:val="0"/>
        </w:rPr>
        <w:t xml:space="preserve">. </w:t>
      </w:r>
    </w:p>
    <w:p w14:paraId="35ED10CA" w14:textId="77777777" w:rsidR="00E94A24" w:rsidRPr="009027DC" w:rsidRDefault="00C35E12" w:rsidP="00C35E12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Y. N. Harari, ‘</w:t>
      </w:r>
      <w:proofErr w:type="spellStart"/>
      <w:r w:rsidRPr="009027DC">
        <w:rPr>
          <w:rFonts w:cstheme="minorHAnsi"/>
          <w:kern w:val="0"/>
        </w:rPr>
        <w:t>Eyewitnessing</w:t>
      </w:r>
      <w:proofErr w:type="spellEnd"/>
      <w:r w:rsidRPr="009027DC">
        <w:rPr>
          <w:rFonts w:cstheme="minorHAnsi"/>
          <w:kern w:val="0"/>
        </w:rPr>
        <w:t xml:space="preserve"> in accounts of the first crusade: the </w:t>
      </w:r>
      <w:proofErr w:type="spellStart"/>
      <w:r w:rsidRPr="009027DC">
        <w:rPr>
          <w:rFonts w:cstheme="minorHAnsi"/>
          <w:kern w:val="0"/>
        </w:rPr>
        <w:t>Gesta</w:t>
      </w:r>
      <w:proofErr w:type="spellEnd"/>
      <w:r w:rsidRPr="009027DC">
        <w:rPr>
          <w:rFonts w:cstheme="minorHAnsi"/>
          <w:kern w:val="0"/>
        </w:rPr>
        <w:t xml:space="preserve"> Francorum and other</w:t>
      </w:r>
      <w:r w:rsidR="00E94A24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contemporary narratives’, Crusades, iii (2004)</w:t>
      </w:r>
      <w:r w:rsidR="00E94A24" w:rsidRPr="009027DC">
        <w:rPr>
          <w:rFonts w:cstheme="minorHAnsi"/>
          <w:kern w:val="0"/>
        </w:rPr>
        <w:t>.</w:t>
      </w:r>
    </w:p>
    <w:p w14:paraId="61F82A11" w14:textId="329D833C" w:rsidR="002958EC" w:rsidRPr="009027DC" w:rsidRDefault="00C35E12" w:rsidP="00C35E12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E. Lapina, ‘</w:t>
      </w:r>
      <w:proofErr w:type="spellStart"/>
      <w:r w:rsidRPr="009027DC">
        <w:rPr>
          <w:rFonts w:cstheme="minorHAnsi"/>
          <w:kern w:val="0"/>
        </w:rPr>
        <w:t>Nec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signis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nec</w:t>
      </w:r>
      <w:proofErr w:type="spellEnd"/>
      <w:r w:rsidRPr="009027DC">
        <w:rPr>
          <w:rFonts w:cstheme="minorHAnsi"/>
          <w:kern w:val="0"/>
        </w:rPr>
        <w:t xml:space="preserve"> testis </w:t>
      </w:r>
      <w:proofErr w:type="spellStart"/>
      <w:r w:rsidRPr="009027DC">
        <w:rPr>
          <w:rFonts w:cstheme="minorHAnsi"/>
          <w:kern w:val="0"/>
        </w:rPr>
        <w:t>creditur</w:t>
      </w:r>
      <w:proofErr w:type="spellEnd"/>
      <w:r w:rsidRPr="009027DC">
        <w:rPr>
          <w:rFonts w:cstheme="minorHAnsi"/>
          <w:kern w:val="0"/>
        </w:rPr>
        <w:t xml:space="preserve"> … : the problem of</w:t>
      </w:r>
      <w:r w:rsidR="00E94A24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eyewitness in the chronicles of the first crusade’, Viator, xxxviii (2007)</w:t>
      </w:r>
      <w:r w:rsidR="0079323F" w:rsidRPr="009027DC">
        <w:rPr>
          <w:rFonts w:cstheme="minorHAnsi"/>
          <w:kern w:val="0"/>
        </w:rPr>
        <w:t>.</w:t>
      </w:r>
    </w:p>
    <w:p w14:paraId="7327E2FB" w14:textId="2A318E46" w:rsidR="0079323F" w:rsidRPr="009027DC" w:rsidRDefault="001E7FB0" w:rsidP="001E7FB0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B. Weiler, ‘Monastic historical culture and the utility of a remote past’, in How the Past Was Used: Historical Cultures, </w:t>
      </w:r>
      <w:proofErr w:type="spellStart"/>
      <w:r w:rsidRPr="009027DC">
        <w:rPr>
          <w:rFonts w:cstheme="minorHAnsi"/>
          <w:kern w:val="0"/>
        </w:rPr>
        <w:t>c.750</w:t>
      </w:r>
      <w:proofErr w:type="spellEnd"/>
      <w:r w:rsidRPr="009027DC">
        <w:rPr>
          <w:rFonts w:cstheme="minorHAnsi"/>
          <w:kern w:val="0"/>
        </w:rPr>
        <w:t>–2000, ed. P. Lambert and B. Weiler (Proc. British Academy, ccvii, 2017).</w:t>
      </w:r>
    </w:p>
    <w:p w14:paraId="14235076" w14:textId="0C5483C6" w:rsidR="00F0175E" w:rsidRPr="009027DC" w:rsidRDefault="00F0175E" w:rsidP="00F0175E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S. Boynton, Shaping a Monastic Identity: Liturgy and History at the Imperial Abbey of </w:t>
      </w:r>
      <w:proofErr w:type="spellStart"/>
      <w:r w:rsidRPr="009027DC">
        <w:rPr>
          <w:rFonts w:cstheme="minorHAnsi"/>
          <w:kern w:val="0"/>
        </w:rPr>
        <w:t>Farfa</w:t>
      </w:r>
      <w:proofErr w:type="spellEnd"/>
      <w:r w:rsidRPr="009027DC">
        <w:rPr>
          <w:rFonts w:cstheme="minorHAnsi"/>
          <w:kern w:val="0"/>
        </w:rPr>
        <w:t>, 1000–1125 (2006).</w:t>
      </w:r>
    </w:p>
    <w:p w14:paraId="180196EF" w14:textId="77777777" w:rsidR="00F0175E" w:rsidRPr="009027DC" w:rsidRDefault="00F0175E" w:rsidP="00F0175E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J. Raaijmakers, The Making of the Monastic Community of Fulda, </w:t>
      </w:r>
      <w:proofErr w:type="spellStart"/>
      <w:r w:rsidRPr="009027DC">
        <w:rPr>
          <w:rFonts w:cstheme="minorHAnsi"/>
          <w:kern w:val="0"/>
        </w:rPr>
        <w:t>c.744</w:t>
      </w:r>
      <w:proofErr w:type="spellEnd"/>
      <w:r w:rsidRPr="009027DC">
        <w:rPr>
          <w:rFonts w:cstheme="minorHAnsi"/>
          <w:kern w:val="0"/>
        </w:rPr>
        <w:t>–</w:t>
      </w:r>
      <w:proofErr w:type="spellStart"/>
      <w:r w:rsidRPr="009027DC">
        <w:rPr>
          <w:rFonts w:cstheme="minorHAnsi"/>
          <w:kern w:val="0"/>
        </w:rPr>
        <w:t>c.900</w:t>
      </w:r>
      <w:proofErr w:type="spellEnd"/>
      <w:r w:rsidRPr="009027DC">
        <w:rPr>
          <w:rFonts w:cstheme="minorHAnsi"/>
          <w:kern w:val="0"/>
        </w:rPr>
        <w:t xml:space="preserve"> (Cambridge, 2012).</w:t>
      </w:r>
    </w:p>
    <w:p w14:paraId="0A7C2001" w14:textId="0FC08910" w:rsidR="00F0175E" w:rsidRPr="009027DC" w:rsidRDefault="00F0175E" w:rsidP="00F0175E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lastRenderedPageBreak/>
        <w:t xml:space="preserve"> C. C. Rozier, ‘Symeon of Durham as cantor and historian at Durham Cathedral Priory, </w:t>
      </w:r>
      <w:proofErr w:type="spellStart"/>
      <w:r w:rsidRPr="009027DC">
        <w:rPr>
          <w:rFonts w:cstheme="minorHAnsi"/>
          <w:kern w:val="0"/>
        </w:rPr>
        <w:t>c.1090</w:t>
      </w:r>
      <w:proofErr w:type="spellEnd"/>
      <w:r w:rsidRPr="009027DC">
        <w:rPr>
          <w:rFonts w:cstheme="minorHAnsi"/>
          <w:kern w:val="0"/>
        </w:rPr>
        <w:t>–1129’, in Medieval Cantors and</w:t>
      </w:r>
    </w:p>
    <w:p w14:paraId="56E48620" w14:textId="77777777" w:rsidR="00F0175E" w:rsidRPr="009027DC" w:rsidRDefault="00F0175E" w:rsidP="00F0175E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their Craft: Music, Liturgy and the Shaping of History, ed. K. A.-M. Bugyis, A. B. Kraebel and M. E. Fassler (York,</w:t>
      </w:r>
    </w:p>
    <w:p w14:paraId="11E4059F" w14:textId="17FA6992" w:rsidR="001E7FB0" w:rsidRPr="009027DC" w:rsidRDefault="00F0175E" w:rsidP="00F0175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027DC">
        <w:rPr>
          <w:rFonts w:cstheme="minorHAnsi"/>
          <w:kern w:val="0"/>
        </w:rPr>
        <w:t>2017)</w:t>
      </w:r>
    </w:p>
    <w:p w14:paraId="3D2B11F2" w14:textId="77777777" w:rsidR="002B6029" w:rsidRPr="009027DC" w:rsidRDefault="002B6029" w:rsidP="002B6029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R. Bartlett, ‘The Viking hiatus in the cult of saints as seen in the 12th century’, in The Long 12th-</w:t>
      </w:r>
      <w:proofErr w:type="gramStart"/>
      <w:r w:rsidRPr="009027DC">
        <w:rPr>
          <w:rFonts w:cstheme="minorHAnsi"/>
          <w:kern w:val="0"/>
        </w:rPr>
        <w:t>Century</w:t>
      </w:r>
      <w:proofErr w:type="gramEnd"/>
    </w:p>
    <w:p w14:paraId="14F0DB13" w14:textId="77777777" w:rsidR="002B6029" w:rsidRPr="009027DC" w:rsidRDefault="002B6029" w:rsidP="002B6029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View of the Anglo-Saxon Past, ed. M. Brett and D. A. Woodman (Aldershot, 2015).</w:t>
      </w:r>
    </w:p>
    <w:p w14:paraId="48C932FB" w14:textId="32EE54E7" w:rsidR="002B6029" w:rsidRPr="009027DC" w:rsidRDefault="002B6029" w:rsidP="002B6029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J. Barrow, ‘Danish ferocities and abandoned monasteries: the 12th-century view’, in The Long 12th-Century View of the</w:t>
      </w:r>
    </w:p>
    <w:p w14:paraId="66EE1650" w14:textId="69B5AE95" w:rsidR="00F0175E" w:rsidRPr="009027DC" w:rsidRDefault="002B6029" w:rsidP="002B602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027DC">
        <w:rPr>
          <w:rFonts w:cstheme="minorHAnsi"/>
          <w:kern w:val="0"/>
        </w:rPr>
        <w:t>Anglo-Saxon Past, pp. 77–93.</w:t>
      </w:r>
    </w:p>
    <w:p w14:paraId="1BCC7D14" w14:textId="77777777" w:rsidR="00FD10D7" w:rsidRPr="009027DC" w:rsidRDefault="00FD10D7" w:rsidP="00FD10D7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Dudo of St Quentin: History of the Normans, trans. E. Christiansen (Woodbridge, 1998).</w:t>
      </w:r>
    </w:p>
    <w:p w14:paraId="15B89DE9" w14:textId="77777777" w:rsidR="003667DE" w:rsidRPr="009027DC" w:rsidRDefault="00FD10D7" w:rsidP="00FD10D7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Gesta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Normannorum</w:t>
      </w:r>
      <w:proofErr w:type="spellEnd"/>
      <w:r w:rsidRPr="009027DC">
        <w:rPr>
          <w:rFonts w:cstheme="minorHAnsi"/>
          <w:kern w:val="0"/>
        </w:rPr>
        <w:t xml:space="preserve"> Ducum; on Dudo’s historical method, see B. Bachrach, ‘Writing Latin history for a lay audience </w:t>
      </w:r>
      <w:proofErr w:type="spellStart"/>
      <w:r w:rsidRPr="009027DC">
        <w:rPr>
          <w:rFonts w:cstheme="minorHAnsi"/>
          <w:kern w:val="0"/>
        </w:rPr>
        <w:t>c.1000</w:t>
      </w:r>
      <w:proofErr w:type="spellEnd"/>
      <w:r w:rsidR="003667DE" w:rsidRPr="009027DC">
        <w:rPr>
          <w:rFonts w:cstheme="minorHAnsi"/>
          <w:kern w:val="0"/>
        </w:rPr>
        <w:t>.</w:t>
      </w:r>
    </w:p>
    <w:p w14:paraId="20DD79B1" w14:textId="35C3058C" w:rsidR="002B6029" w:rsidRPr="009027DC" w:rsidRDefault="00FD10D7" w:rsidP="00FD10D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027DC">
        <w:rPr>
          <w:rFonts w:cstheme="minorHAnsi"/>
          <w:kern w:val="0"/>
        </w:rPr>
        <w:t>‘Dudo of Saint Quentin at the Norman court’, Haskins Society Jour., xx (2008), 58–77.</w:t>
      </w:r>
    </w:p>
    <w:p w14:paraId="3461BD85" w14:textId="13F95A76" w:rsidR="00BD0D03" w:rsidRPr="009027DC" w:rsidRDefault="004F7513" w:rsidP="00BD0D03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M. Chibnall, ‘The Merovingian monastery of St. </w:t>
      </w:r>
      <w:proofErr w:type="spellStart"/>
      <w:r w:rsidRPr="009027DC">
        <w:rPr>
          <w:rFonts w:cstheme="minorHAnsi"/>
          <w:kern w:val="0"/>
        </w:rPr>
        <w:t>Evroul</w:t>
      </w:r>
      <w:proofErr w:type="spellEnd"/>
      <w:r w:rsidRPr="009027DC">
        <w:rPr>
          <w:rFonts w:cstheme="minorHAnsi"/>
          <w:kern w:val="0"/>
        </w:rPr>
        <w:t xml:space="preserve"> in the light of conf </w:t>
      </w:r>
      <w:proofErr w:type="spellStart"/>
      <w:r w:rsidRPr="009027DC">
        <w:rPr>
          <w:rFonts w:cstheme="minorHAnsi"/>
          <w:kern w:val="0"/>
        </w:rPr>
        <w:t>licting</w:t>
      </w:r>
      <w:proofErr w:type="spellEnd"/>
      <w:r w:rsidRPr="009027DC">
        <w:rPr>
          <w:rFonts w:cstheme="minorHAnsi"/>
          <w:kern w:val="0"/>
        </w:rPr>
        <w:t xml:space="preserve"> traditions’, Stud.</w:t>
      </w:r>
      <w:r w:rsidR="00BD0D03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Church History, viii (1972)</w:t>
      </w:r>
      <w:r w:rsidR="00BD0D03" w:rsidRPr="009027DC">
        <w:rPr>
          <w:rFonts w:cstheme="minorHAnsi"/>
          <w:kern w:val="0"/>
        </w:rPr>
        <w:t>.</w:t>
      </w:r>
    </w:p>
    <w:p w14:paraId="2328177B" w14:textId="7EF0B10A" w:rsidR="00841D1F" w:rsidRPr="009027DC" w:rsidRDefault="00841D1F" w:rsidP="00BD0D03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L. V. Hicks, ‘Coming and going: the use of outdoor space in Norman and Anglo-Norman chronicles’, Anglo-Norman Studies, xxxii (2009)</w:t>
      </w:r>
      <w:r w:rsidR="00265BBD" w:rsidRPr="009027DC">
        <w:rPr>
          <w:rFonts w:cstheme="minorHAnsi"/>
          <w:kern w:val="0"/>
        </w:rPr>
        <w:t>.</w:t>
      </w:r>
    </w:p>
    <w:p w14:paraId="041DF20B" w14:textId="4DB02759" w:rsidR="00265BBD" w:rsidRPr="009027DC" w:rsidRDefault="003720DF" w:rsidP="003720D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J. C. Lake, ‘Truth, plausibility and the virtues of narrative at the millennium’, Jour. Medieval Hist., xxxv (2009), 221–38.</w:t>
      </w:r>
    </w:p>
    <w:p w14:paraId="536B6AD8" w14:textId="77777777" w:rsidR="00F4671F" w:rsidRPr="009027DC" w:rsidRDefault="00F4671F" w:rsidP="00F4671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G. Martin and R. M. Thomson, ‘History and history books’, in Cambridge History of the Book in Britain,</w:t>
      </w:r>
    </w:p>
    <w:p w14:paraId="5AEEB942" w14:textId="0F1FC9BA" w:rsidR="00E102D6" w:rsidRPr="009027DC" w:rsidRDefault="00F4671F" w:rsidP="00E102D6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ii: 1100–1400, ed. R. M. Thomson and N. J. Morgan (Cambridge, 2007</w:t>
      </w:r>
      <w:r w:rsidR="00E102D6" w:rsidRPr="009027DC">
        <w:rPr>
          <w:rFonts w:cstheme="minorHAnsi"/>
          <w:kern w:val="0"/>
        </w:rPr>
        <w:t>).</w:t>
      </w:r>
    </w:p>
    <w:p w14:paraId="1345FC2F" w14:textId="57D71801" w:rsidR="00F4671F" w:rsidRPr="009027DC" w:rsidRDefault="00F4671F" w:rsidP="00F4671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R. W. Southern, ‘Aspects of the European tradition of historical writing, iv: the sense of the past’,</w:t>
      </w:r>
    </w:p>
    <w:p w14:paraId="072BE87D" w14:textId="77777777" w:rsidR="001D6603" w:rsidRPr="009027DC" w:rsidRDefault="00F4671F" w:rsidP="00F4671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Trans. Royal Hist. Soc., 5th ser., xxiii (1973), 243–63</w:t>
      </w:r>
      <w:r w:rsidR="001D6603" w:rsidRPr="009027DC">
        <w:rPr>
          <w:rFonts w:cstheme="minorHAnsi"/>
          <w:kern w:val="0"/>
        </w:rPr>
        <w:t>.</w:t>
      </w:r>
    </w:p>
    <w:p w14:paraId="66C46B2D" w14:textId="2EAF8A84" w:rsidR="00F4671F" w:rsidRPr="009027DC" w:rsidRDefault="00F4671F" w:rsidP="00F4671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>E. van Houts, ‘Historical</w:t>
      </w:r>
      <w:r w:rsidR="001D6603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writing’, in A Companion to the Anglo-Norman World, ed. C. Harper-Bill and E. van Houts (Woodbridge,</w:t>
      </w:r>
      <w:r w:rsidR="001D6603" w:rsidRPr="009027DC">
        <w:rPr>
          <w:rFonts w:cstheme="minorHAnsi"/>
          <w:kern w:val="0"/>
        </w:rPr>
        <w:t xml:space="preserve"> </w:t>
      </w:r>
      <w:r w:rsidRPr="009027DC">
        <w:rPr>
          <w:rFonts w:cstheme="minorHAnsi"/>
          <w:kern w:val="0"/>
        </w:rPr>
        <w:t>2002)</w:t>
      </w:r>
      <w:r w:rsidR="009B3B45" w:rsidRPr="009027DC">
        <w:rPr>
          <w:rFonts w:cstheme="minorHAnsi"/>
          <w:kern w:val="0"/>
        </w:rPr>
        <w:t>.</w:t>
      </w:r>
    </w:p>
    <w:p w14:paraId="7A328B47" w14:textId="6C865AB2" w:rsidR="003720DF" w:rsidRPr="009027DC" w:rsidRDefault="00F4671F" w:rsidP="00F4671F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9027DC">
        <w:rPr>
          <w:rFonts w:cstheme="minorHAnsi"/>
          <w:kern w:val="0"/>
        </w:rPr>
        <w:t xml:space="preserve"> M. Brett, ‘The use of universal chronicle at Worcester’, in </w:t>
      </w:r>
      <w:proofErr w:type="spellStart"/>
      <w:r w:rsidRPr="009027DC">
        <w:rPr>
          <w:rFonts w:cstheme="minorHAnsi"/>
          <w:kern w:val="0"/>
        </w:rPr>
        <w:t>L’Historiographie</w:t>
      </w:r>
      <w:proofErr w:type="spellEnd"/>
      <w:r w:rsidR="009B3B45"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médiévale</w:t>
      </w:r>
      <w:proofErr w:type="spellEnd"/>
      <w:r w:rsidRPr="009027DC">
        <w:rPr>
          <w:rFonts w:cstheme="minorHAnsi"/>
          <w:kern w:val="0"/>
        </w:rPr>
        <w:t xml:space="preserve"> </w:t>
      </w:r>
      <w:proofErr w:type="spellStart"/>
      <w:r w:rsidRPr="009027DC">
        <w:rPr>
          <w:rFonts w:cstheme="minorHAnsi"/>
          <w:kern w:val="0"/>
        </w:rPr>
        <w:t>en</w:t>
      </w:r>
      <w:proofErr w:type="spellEnd"/>
      <w:r w:rsidRPr="009027DC">
        <w:rPr>
          <w:rFonts w:cstheme="minorHAnsi"/>
          <w:kern w:val="0"/>
        </w:rPr>
        <w:t xml:space="preserve"> Europe, ed. J.-P Genet (Paris, 1991)</w:t>
      </w:r>
      <w:r w:rsidR="00245428" w:rsidRPr="009027DC">
        <w:rPr>
          <w:rFonts w:cstheme="minorHAnsi"/>
          <w:kern w:val="0"/>
        </w:rPr>
        <w:t xml:space="preserve">. </w:t>
      </w:r>
      <w:r w:rsidRPr="009027DC">
        <w:rPr>
          <w:rFonts w:cstheme="minorHAnsi"/>
          <w:kern w:val="0"/>
        </w:rPr>
        <w:t xml:space="preserve">M. T. </w:t>
      </w:r>
      <w:proofErr w:type="spellStart"/>
      <w:r w:rsidRPr="009027DC">
        <w:rPr>
          <w:rFonts w:cstheme="minorHAnsi"/>
          <w:kern w:val="0"/>
        </w:rPr>
        <w:t>Clanchy</w:t>
      </w:r>
      <w:proofErr w:type="spellEnd"/>
      <w:r w:rsidRPr="009027DC">
        <w:rPr>
          <w:rFonts w:cstheme="minorHAnsi"/>
          <w:kern w:val="0"/>
        </w:rPr>
        <w:t xml:space="preserve">, From Memory to Written Record: England, 1066–1307 (2nd </w:t>
      </w:r>
      <w:proofErr w:type="spellStart"/>
      <w:r w:rsidRPr="009027DC">
        <w:rPr>
          <w:rFonts w:cstheme="minorHAnsi"/>
          <w:kern w:val="0"/>
        </w:rPr>
        <w:t>edn</w:t>
      </w:r>
      <w:proofErr w:type="spellEnd"/>
      <w:r w:rsidRPr="009027DC">
        <w:rPr>
          <w:rFonts w:cstheme="minorHAnsi"/>
          <w:kern w:val="0"/>
        </w:rPr>
        <w:t>., Oxford, 1993)</w:t>
      </w:r>
      <w:r w:rsidR="00245428" w:rsidRPr="009027DC">
        <w:rPr>
          <w:rFonts w:cstheme="minorHAnsi"/>
          <w:kern w:val="0"/>
        </w:rPr>
        <w:t>.</w:t>
      </w:r>
    </w:p>
    <w:p w14:paraId="65B5777F" w14:textId="307F9165" w:rsidR="00ED4BB8" w:rsidRPr="009027DC" w:rsidRDefault="00ED4BB8">
      <w:pPr>
        <w:rPr>
          <w:rFonts w:cstheme="minorHAnsi"/>
          <w:b/>
          <w:bCs/>
          <w:u w:val="single"/>
        </w:rPr>
      </w:pPr>
      <w:r w:rsidRPr="009027DC">
        <w:rPr>
          <w:rFonts w:cstheme="minorHAnsi"/>
          <w:b/>
          <w:bCs/>
          <w:u w:val="single"/>
        </w:rPr>
        <w:br w:type="page"/>
      </w:r>
    </w:p>
    <w:p w14:paraId="28F99740" w14:textId="77777777" w:rsidR="00245428" w:rsidRPr="00ED4BB8" w:rsidRDefault="00245428" w:rsidP="00F467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4596877C" w14:textId="599D7ACB" w:rsidR="00E2786A" w:rsidRDefault="009279E7" w:rsidP="00BD0D03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591E9A">
        <w:rPr>
          <w:b/>
          <w:bCs/>
          <w:sz w:val="24"/>
          <w:szCs w:val="24"/>
        </w:rPr>
        <w:t>‘</w:t>
      </w:r>
      <w:r w:rsidR="1A4E027A" w:rsidRPr="00591E9A">
        <w:rPr>
          <w:b/>
          <w:bCs/>
          <w:sz w:val="24"/>
          <w:szCs w:val="24"/>
        </w:rPr>
        <w:t>A Permanent Civilising Effect</w:t>
      </w:r>
      <w:r w:rsidRPr="00591E9A">
        <w:rPr>
          <w:b/>
          <w:bCs/>
          <w:sz w:val="24"/>
          <w:szCs w:val="24"/>
        </w:rPr>
        <w:t>’? The impact of reforming working-class museum visitors in Liverpool during the nineteenth century</w:t>
      </w:r>
      <w:r w:rsidR="00591E9A" w:rsidRPr="00591E9A">
        <w:rPr>
          <w:b/>
          <w:bCs/>
          <w:sz w:val="24"/>
          <w:szCs w:val="24"/>
        </w:rPr>
        <w:t>. (Alexander Scott)</w:t>
      </w:r>
      <w:r w:rsidR="0052523D" w:rsidRPr="00591E9A">
        <w:rPr>
          <w:b/>
          <w:bCs/>
          <w:sz w:val="24"/>
          <w:szCs w:val="24"/>
        </w:rPr>
        <w:t xml:space="preserve"> </w:t>
      </w:r>
    </w:p>
    <w:p w14:paraId="0B406DA2" w14:textId="77777777" w:rsidR="00591E9A" w:rsidRDefault="00591E9A" w:rsidP="00BD0D03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2FC3B765" w14:textId="77777777" w:rsidR="00591E9A" w:rsidRPr="00591E9A" w:rsidRDefault="00591E9A" w:rsidP="00BD0D03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5653B319" w14:textId="4CC1A5EF" w:rsidR="00E62C9D" w:rsidRPr="00F06076" w:rsidRDefault="00B96640" w:rsidP="00D26EB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Primary source material has been used much more extensively in this</w:t>
      </w:r>
      <w:r w:rsidR="1A4E027A" w:rsidRPr="002F75A4">
        <w:rPr>
          <w:rFonts w:ascii="Arial" w:hAnsi="Arial" w:cs="Arial"/>
          <w:sz w:val="20"/>
          <w:szCs w:val="20"/>
        </w:rPr>
        <w:t xml:space="preserve"> ar</w:t>
      </w:r>
      <w:r w:rsidR="00BF216A">
        <w:rPr>
          <w:rFonts w:ascii="Arial" w:hAnsi="Arial" w:cs="Arial"/>
          <w:sz w:val="20"/>
          <w:szCs w:val="20"/>
        </w:rPr>
        <w:t>ticle</w:t>
      </w:r>
      <w:r w:rsidR="008C2121">
        <w:rPr>
          <w:rFonts w:ascii="Arial" w:hAnsi="Arial" w:cs="Arial"/>
          <w:sz w:val="20"/>
          <w:szCs w:val="20"/>
        </w:rPr>
        <w:t xml:space="preserve">, probably since contemporaneous records </w:t>
      </w:r>
      <w:r w:rsidR="00401E83">
        <w:rPr>
          <w:rFonts w:ascii="Arial" w:hAnsi="Arial" w:cs="Arial"/>
          <w:sz w:val="20"/>
          <w:szCs w:val="20"/>
        </w:rPr>
        <w:t>were much more easily available via the use of archives</w:t>
      </w:r>
      <w:r w:rsidR="00C51CDB">
        <w:rPr>
          <w:rFonts w:ascii="Arial" w:hAnsi="Arial" w:cs="Arial"/>
          <w:sz w:val="20"/>
          <w:szCs w:val="20"/>
        </w:rPr>
        <w:t xml:space="preserve">. </w:t>
      </w:r>
      <w:r w:rsidR="00F06076">
        <w:rPr>
          <w:rFonts w:ascii="Arial" w:hAnsi="Arial" w:cs="Arial"/>
          <w:sz w:val="20"/>
          <w:szCs w:val="20"/>
        </w:rPr>
        <w:t>The author has also accessed material online, including Hansard papers</w:t>
      </w:r>
      <w:r w:rsidR="00EF62DF">
        <w:rPr>
          <w:rFonts w:ascii="Arial" w:hAnsi="Arial" w:cs="Arial"/>
          <w:sz w:val="20"/>
          <w:szCs w:val="20"/>
        </w:rPr>
        <w:t xml:space="preserve"> of House of Commons debates.</w:t>
      </w:r>
    </w:p>
    <w:p w14:paraId="0A0A0B5A" w14:textId="32899442" w:rsidR="00E62C9D" w:rsidRPr="002F75A4" w:rsidRDefault="00E62C9D" w:rsidP="00D26EB4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2F75A4">
        <w:rPr>
          <w:rFonts w:ascii="Arial" w:hAnsi="Arial" w:cs="Arial"/>
          <w:b/>
          <w:bCs/>
          <w:sz w:val="20"/>
          <w:szCs w:val="20"/>
          <w:u w:val="single"/>
        </w:rPr>
        <w:t>Primary Source Materials</w:t>
      </w:r>
    </w:p>
    <w:p w14:paraId="2A2A1D00" w14:textId="235A84D2" w:rsidR="00F53060" w:rsidRPr="002F75A4" w:rsidRDefault="00815410" w:rsidP="00F530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53060">
        <w:rPr>
          <w:rFonts w:ascii="Arial" w:hAnsi="Arial" w:cs="Arial"/>
          <w:b/>
          <w:bCs/>
          <w:kern w:val="0"/>
          <w:sz w:val="20"/>
          <w:szCs w:val="20"/>
        </w:rPr>
        <w:t>Literary and Philosophical Society of Liverpool</w:t>
      </w:r>
      <w:r w:rsidRPr="002F75A4">
        <w:rPr>
          <w:rFonts w:ascii="Arial" w:hAnsi="Arial" w:cs="Arial"/>
          <w:kern w:val="0"/>
          <w:sz w:val="20"/>
          <w:szCs w:val="20"/>
        </w:rPr>
        <w:t xml:space="preserve"> </w:t>
      </w:r>
    </w:p>
    <w:p w14:paraId="2CA74ED6" w14:textId="14F9B009" w:rsidR="00815410" w:rsidRPr="002F75A4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Vol. 38: 1883–1884. Liverpool: D Marples &amp; Co, 1884.</w:t>
      </w:r>
    </w:p>
    <w:p w14:paraId="673271E0" w14:textId="62A63066" w:rsidR="00815410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 xml:space="preserve">Vol. 16: 1861–1862. Liverpool: Thomas </w:t>
      </w:r>
      <w:proofErr w:type="spellStart"/>
      <w:r w:rsidRPr="002F75A4">
        <w:rPr>
          <w:rFonts w:ascii="Arial" w:hAnsi="Arial" w:cs="Arial"/>
          <w:kern w:val="0"/>
          <w:sz w:val="20"/>
          <w:szCs w:val="20"/>
        </w:rPr>
        <w:t>Brackell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, 1862.</w:t>
      </w:r>
    </w:p>
    <w:p w14:paraId="1803057F" w14:textId="77777777" w:rsidR="00F53060" w:rsidRPr="002F75A4" w:rsidRDefault="00F5306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7AB6DDA1" w14:textId="77777777" w:rsidR="00F53060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53060">
        <w:rPr>
          <w:rFonts w:ascii="Arial" w:hAnsi="Arial" w:cs="Arial"/>
          <w:b/>
          <w:bCs/>
          <w:kern w:val="0"/>
          <w:sz w:val="20"/>
          <w:szCs w:val="20"/>
        </w:rPr>
        <w:t>Liverpool Town Council.</w:t>
      </w:r>
      <w:r w:rsidRPr="002F75A4">
        <w:rPr>
          <w:rFonts w:ascii="Arial" w:hAnsi="Arial" w:cs="Arial"/>
          <w:kern w:val="0"/>
          <w:sz w:val="20"/>
          <w:szCs w:val="20"/>
        </w:rPr>
        <w:t xml:space="preserve"> </w:t>
      </w:r>
    </w:p>
    <w:p w14:paraId="725FE1B3" w14:textId="34AE04AD" w:rsidR="00815410" w:rsidRPr="002F75A4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Thirty-Sixth Report of the Committee of the Free Public Library, Museum</w:t>
      </w:r>
      <w:r w:rsidR="00F53060">
        <w:rPr>
          <w:rFonts w:ascii="Arial" w:hAnsi="Arial" w:cs="Arial"/>
          <w:kern w:val="0"/>
          <w:sz w:val="20"/>
          <w:szCs w:val="20"/>
        </w:rPr>
        <w:t xml:space="preserve"> </w:t>
      </w:r>
      <w:r w:rsidRPr="002F75A4">
        <w:rPr>
          <w:rFonts w:ascii="Arial" w:hAnsi="Arial" w:cs="Arial"/>
          <w:kern w:val="0"/>
          <w:sz w:val="20"/>
          <w:szCs w:val="20"/>
        </w:rPr>
        <w:t>and Walker Art Gallery of the Borough of Liverpool. Liverpool: JR Williams &amp; Co, 1889.</w:t>
      </w:r>
    </w:p>
    <w:p w14:paraId="5788F613" w14:textId="691F88EB" w:rsidR="00815410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Report of the Library and Museum Committee of the Town Council of</w:t>
      </w:r>
      <w:r w:rsidR="00F53060">
        <w:rPr>
          <w:rFonts w:ascii="Arial" w:hAnsi="Arial" w:cs="Arial"/>
          <w:kern w:val="0"/>
          <w:sz w:val="20"/>
          <w:szCs w:val="20"/>
        </w:rPr>
        <w:t xml:space="preserve"> </w:t>
      </w:r>
      <w:r w:rsidRPr="002F75A4">
        <w:rPr>
          <w:rFonts w:ascii="Arial" w:hAnsi="Arial" w:cs="Arial"/>
          <w:kern w:val="0"/>
          <w:sz w:val="20"/>
          <w:szCs w:val="20"/>
        </w:rPr>
        <w:t>the Borough of Liverpool. Liverpool: Robert H Fraser, 1853.</w:t>
      </w:r>
    </w:p>
    <w:p w14:paraId="6A48BB1C" w14:textId="77777777" w:rsidR="00F53060" w:rsidRPr="002F75A4" w:rsidRDefault="00F5306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3C552772" w14:textId="77777777" w:rsidR="00815410" w:rsidRPr="002F75A4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McMillan, Robert. Workmen and Museums: Being Selections from a Series of Letters Contributed to</w:t>
      </w:r>
    </w:p>
    <w:p w14:paraId="29D71383" w14:textId="77777777" w:rsidR="00815410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the Liverpool Mercury. Liverpool: Egerton Smith, 1886.</w:t>
      </w:r>
    </w:p>
    <w:p w14:paraId="26A2C08D" w14:textId="77777777" w:rsidR="00F53060" w:rsidRPr="002F75A4" w:rsidRDefault="00F5306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3B144CED" w14:textId="77777777" w:rsidR="00815410" w:rsidRPr="002F75A4" w:rsidRDefault="00815410" w:rsidP="008154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Museums Association. Report of Proceedings with Papers Read at the Third Annual General</w:t>
      </w:r>
    </w:p>
    <w:p w14:paraId="7D47B1CB" w14:textId="14D7ECC1" w:rsidR="00E62C9D" w:rsidRPr="002F75A4" w:rsidRDefault="00815410" w:rsidP="00815410">
      <w:pPr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Meeting Held in Manchester. Sheffield: Museums Association, 1892.</w:t>
      </w:r>
    </w:p>
    <w:p w14:paraId="2C1AF773" w14:textId="77777777" w:rsidR="004A06B4" w:rsidRPr="002F75A4" w:rsidRDefault="004A06B4" w:rsidP="004A06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Liverpool Record Office, Town Council Library and Museum Committee minute books,</w:t>
      </w:r>
    </w:p>
    <w:p w14:paraId="682548DD" w14:textId="2193B006" w:rsidR="004A06B4" w:rsidRPr="002F75A4" w:rsidRDefault="004A06B4" w:rsidP="004A06B4">
      <w:pPr>
        <w:rPr>
          <w:rFonts w:ascii="Arial" w:hAnsi="Arial" w:cs="Arial"/>
          <w:kern w:val="0"/>
          <w:sz w:val="20"/>
          <w:szCs w:val="20"/>
        </w:rPr>
      </w:pPr>
      <w:proofErr w:type="spellStart"/>
      <w:r w:rsidRPr="002F75A4">
        <w:rPr>
          <w:rFonts w:ascii="Arial" w:hAnsi="Arial" w:cs="Arial"/>
          <w:kern w:val="0"/>
          <w:sz w:val="20"/>
          <w:szCs w:val="20"/>
        </w:rPr>
        <w:t>LRO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 xml:space="preserve"> 352 MIN LIB.</w:t>
      </w:r>
    </w:p>
    <w:p w14:paraId="130E2A16" w14:textId="77777777" w:rsidR="00422B7A" w:rsidRPr="002F75A4" w:rsidRDefault="00422B7A" w:rsidP="00422B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The Liverpool Mercury.</w:t>
      </w:r>
    </w:p>
    <w:p w14:paraId="72633C2D" w14:textId="21713A6D" w:rsidR="004A06B4" w:rsidRPr="002F75A4" w:rsidRDefault="00422B7A" w:rsidP="00422B7A">
      <w:pPr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The Times.</w:t>
      </w:r>
    </w:p>
    <w:p w14:paraId="03A3036E" w14:textId="77777777" w:rsidR="00F82BE1" w:rsidRPr="002F75A4" w:rsidRDefault="00F82BE1" w:rsidP="00F82B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HC Deb, 6 March 1845, Accessed 4 April 2020. http://</w:t>
      </w:r>
      <w:proofErr w:type="spellStart"/>
      <w:r w:rsidRPr="002F75A4">
        <w:rPr>
          <w:rFonts w:ascii="Arial" w:hAnsi="Arial" w:cs="Arial"/>
          <w:kern w:val="0"/>
          <w:sz w:val="20"/>
          <w:szCs w:val="20"/>
        </w:rPr>
        <w:t>hansard.millbanksystems.com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/comm</w:t>
      </w:r>
    </w:p>
    <w:p w14:paraId="1FC7446A" w14:textId="77777777" w:rsidR="00F82BE1" w:rsidRPr="002F75A4" w:rsidRDefault="00F82BE1" w:rsidP="00F82B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proofErr w:type="spellStart"/>
      <w:r w:rsidRPr="002F75A4">
        <w:rPr>
          <w:rFonts w:ascii="Arial" w:hAnsi="Arial" w:cs="Arial"/>
          <w:kern w:val="0"/>
          <w:sz w:val="20"/>
          <w:szCs w:val="20"/>
        </w:rPr>
        <w:t>ons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/1845/mar/06/museums-of-art.</w:t>
      </w:r>
    </w:p>
    <w:p w14:paraId="3A986BDA" w14:textId="77777777" w:rsidR="00F82BE1" w:rsidRPr="002F75A4" w:rsidRDefault="00F82BE1" w:rsidP="00F82B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HC Deb, 3 June 1834, Accessed 4 April 2020. http://</w:t>
      </w:r>
      <w:proofErr w:type="spellStart"/>
      <w:r w:rsidRPr="002F75A4">
        <w:rPr>
          <w:rFonts w:ascii="Arial" w:hAnsi="Arial" w:cs="Arial"/>
          <w:kern w:val="0"/>
          <w:sz w:val="20"/>
          <w:szCs w:val="20"/>
        </w:rPr>
        <w:t>hansard.millbanksystems.com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/comm</w:t>
      </w:r>
    </w:p>
    <w:p w14:paraId="3B12F4FB" w14:textId="046E5FC4" w:rsidR="00422B7A" w:rsidRPr="002F75A4" w:rsidRDefault="00F82BE1" w:rsidP="00F82BE1">
      <w:pPr>
        <w:rPr>
          <w:rFonts w:ascii="Arial" w:hAnsi="Arial" w:cs="Arial"/>
          <w:kern w:val="0"/>
          <w:sz w:val="20"/>
          <w:szCs w:val="20"/>
        </w:rPr>
      </w:pPr>
      <w:proofErr w:type="spellStart"/>
      <w:r w:rsidRPr="002F75A4">
        <w:rPr>
          <w:rFonts w:ascii="Arial" w:hAnsi="Arial" w:cs="Arial"/>
          <w:kern w:val="0"/>
          <w:sz w:val="20"/>
          <w:szCs w:val="20"/>
        </w:rPr>
        <w:t>ons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/1834/</w:t>
      </w:r>
      <w:proofErr w:type="spellStart"/>
      <w:r w:rsidRPr="002F75A4">
        <w:rPr>
          <w:rFonts w:ascii="Arial" w:hAnsi="Arial" w:cs="Arial"/>
          <w:kern w:val="0"/>
          <w:sz w:val="20"/>
          <w:szCs w:val="20"/>
        </w:rPr>
        <w:t>jun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/03/</w:t>
      </w:r>
      <w:proofErr w:type="spellStart"/>
      <w:r w:rsidRPr="002F75A4">
        <w:rPr>
          <w:rFonts w:ascii="Arial" w:hAnsi="Arial" w:cs="Arial"/>
          <w:kern w:val="0"/>
          <w:sz w:val="20"/>
          <w:szCs w:val="20"/>
        </w:rPr>
        <w:t>drunkennes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.</w:t>
      </w:r>
    </w:p>
    <w:p w14:paraId="0D3FB7B2" w14:textId="71324F23" w:rsidR="009C10C7" w:rsidRPr="002F75A4" w:rsidRDefault="009C10C7" w:rsidP="00F82BE1">
      <w:pPr>
        <w:rPr>
          <w:rFonts w:ascii="Arial" w:hAnsi="Arial" w:cs="Arial"/>
          <w:color w:val="4472C4" w:themeColor="accent1"/>
          <w:kern w:val="0"/>
          <w:sz w:val="20"/>
          <w:szCs w:val="20"/>
        </w:rPr>
      </w:pPr>
      <w:r w:rsidRPr="002F75A4">
        <w:rPr>
          <w:rFonts w:ascii="Arial" w:hAnsi="Arial" w:cs="Arial"/>
          <w:color w:val="4472C4" w:themeColor="accent1"/>
          <w:kern w:val="0"/>
          <w:sz w:val="20"/>
          <w:szCs w:val="20"/>
        </w:rPr>
        <w:t xml:space="preserve">Minute books, </w:t>
      </w:r>
      <w:r w:rsidR="006807DB" w:rsidRPr="002F75A4">
        <w:rPr>
          <w:rFonts w:ascii="Arial" w:hAnsi="Arial" w:cs="Arial"/>
          <w:color w:val="4472C4" w:themeColor="accent1"/>
          <w:kern w:val="0"/>
          <w:sz w:val="20"/>
          <w:szCs w:val="20"/>
        </w:rPr>
        <w:t>Hansard minutes and Newspaper repositories are classed as archival materials.</w:t>
      </w:r>
      <w:r w:rsidR="00601495" w:rsidRPr="002F75A4">
        <w:rPr>
          <w:rFonts w:ascii="Arial" w:hAnsi="Arial" w:cs="Arial"/>
          <w:color w:val="4472C4" w:themeColor="accent1"/>
          <w:kern w:val="0"/>
          <w:sz w:val="20"/>
          <w:szCs w:val="20"/>
        </w:rPr>
        <w:t xml:space="preserve">  Hansard has been accessed online in this instance.</w:t>
      </w:r>
    </w:p>
    <w:p w14:paraId="2BABFC9A" w14:textId="2A1AAF99" w:rsidR="006A4B7E" w:rsidRPr="002F75A4" w:rsidRDefault="006A4B7E" w:rsidP="00F82BE1">
      <w:pPr>
        <w:rPr>
          <w:rFonts w:ascii="Arial" w:hAnsi="Arial" w:cs="Arial"/>
          <w:b/>
          <w:bCs/>
          <w:kern w:val="0"/>
          <w:sz w:val="20"/>
          <w:szCs w:val="20"/>
          <w:u w:val="single"/>
        </w:rPr>
      </w:pPr>
      <w:r w:rsidRPr="002F75A4">
        <w:rPr>
          <w:rFonts w:ascii="Arial" w:hAnsi="Arial" w:cs="Arial"/>
          <w:b/>
          <w:bCs/>
          <w:kern w:val="0"/>
          <w:sz w:val="20"/>
          <w:szCs w:val="20"/>
          <w:u w:val="single"/>
        </w:rPr>
        <w:t>Secondary Source Material</w:t>
      </w:r>
    </w:p>
    <w:p w14:paraId="26A8FEBB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Bennett, Tony. Museums, Power, Knowledge: Selected Essays. Abingdon: Routledge, 2018.</w:t>
      </w:r>
    </w:p>
    <w:p w14:paraId="3C41113E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Bennett, Tony. The Birth of the Museum: History, Theory, Politics. London: Routledge,</w:t>
      </w:r>
    </w:p>
    <w:p w14:paraId="273F520A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1995.</w:t>
      </w:r>
    </w:p>
    <w:p w14:paraId="433B0D4B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Candlin, Fiona. Art, Museums and Touch. Manchester: Manchester University Press, 2010.</w:t>
      </w:r>
    </w:p>
    <w:p w14:paraId="4B79D0E9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 xml:space="preserve">Flanders, Rosemary. “Early Museums and </w:t>
      </w:r>
      <w:proofErr w:type="gramStart"/>
      <w:r w:rsidRPr="002F75A4">
        <w:rPr>
          <w:rFonts w:ascii="Arial" w:hAnsi="Arial" w:cs="Arial"/>
          <w:kern w:val="0"/>
          <w:sz w:val="20"/>
          <w:szCs w:val="20"/>
        </w:rPr>
        <w:t>Nineteenth-Century Media</w:t>
      </w:r>
      <w:proofErr w:type="gramEnd"/>
      <w:r w:rsidRPr="002F75A4">
        <w:rPr>
          <w:rFonts w:ascii="Arial" w:hAnsi="Arial" w:cs="Arial"/>
          <w:kern w:val="0"/>
          <w:sz w:val="20"/>
          <w:szCs w:val="20"/>
        </w:rPr>
        <w:t>.” In Museum, Media,</w:t>
      </w:r>
    </w:p>
    <w:p w14:paraId="1B504C3E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Message, edited by Eilean Hooper-Greenhill, 72–81. London: Routledge, 1995.</w:t>
      </w:r>
    </w:p>
    <w:p w14:paraId="7289B8F1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Gunn, Simon. The Public Culture of the Victorian Middle Class: Ritual and Authority in the</w:t>
      </w:r>
    </w:p>
    <w:p w14:paraId="2888EE43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English City. Manchester: Manchester University Press, 2000.</w:t>
      </w:r>
    </w:p>
    <w:p w14:paraId="28294BCB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Hill, Kate. Women and Museums 1850–1914: Modernity and the Gendering of Knowledge.</w:t>
      </w:r>
    </w:p>
    <w:p w14:paraId="534D8136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Manchester: Manchester University Press, 2016.</w:t>
      </w:r>
    </w:p>
    <w:p w14:paraId="5F62E5FB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Hill, Kate. Culture and Class in English Public Museums, 1850–1914. Aldershot: Ashgate, 2005.</w:t>
      </w:r>
    </w:p>
    <w:p w14:paraId="701DC791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Hooper-Greenhill, Eilean. Museums and the Shaping of Knowledge. London: Routledge,</w:t>
      </w:r>
    </w:p>
    <w:p w14:paraId="417DE968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1992.</w:t>
      </w:r>
    </w:p>
    <w:p w14:paraId="16700BA2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 xml:space="preserve">Joyce, Patrick. The Rule of Freedom: Liberalism and the Modern City. London, </w:t>
      </w:r>
      <w:proofErr w:type="spellStart"/>
      <w:r w:rsidRPr="002F75A4">
        <w:rPr>
          <w:rFonts w:ascii="Arial" w:hAnsi="Arial" w:cs="Arial"/>
          <w:kern w:val="0"/>
          <w:sz w:val="20"/>
          <w:szCs w:val="20"/>
        </w:rPr>
        <w:t>Verso2003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.</w:t>
      </w:r>
    </w:p>
    <w:p w14:paraId="637AF8F3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Lane, Tony. Liverpool: Gateway of Empire. London: Lawrence &amp; Wishart, 1987.</w:t>
      </w:r>
    </w:p>
    <w:p w14:paraId="7FAD7DD5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proofErr w:type="spellStart"/>
      <w:r w:rsidRPr="002F75A4">
        <w:rPr>
          <w:rFonts w:ascii="Arial" w:hAnsi="Arial" w:cs="Arial"/>
          <w:kern w:val="0"/>
          <w:sz w:val="20"/>
          <w:szCs w:val="20"/>
        </w:rPr>
        <w:t>Macilwee</w:t>
      </w:r>
      <w:proofErr w:type="spellEnd"/>
      <w:r w:rsidRPr="002F75A4">
        <w:rPr>
          <w:rFonts w:ascii="Arial" w:hAnsi="Arial" w:cs="Arial"/>
          <w:kern w:val="0"/>
          <w:sz w:val="20"/>
          <w:szCs w:val="20"/>
        </w:rPr>
        <w:t>, Michael. The Liverpool Underworld: Crime in the City, 1750–1900. Liverpool:</w:t>
      </w:r>
    </w:p>
    <w:p w14:paraId="3DC14260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Liverpool University Press, 2011.</w:t>
      </w:r>
    </w:p>
    <w:p w14:paraId="3A1C293A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Millard, John. Liverpool’s Museum: The First Hundred Years. Liverpool: National Museums</w:t>
      </w:r>
    </w:p>
    <w:p w14:paraId="6566736E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lastRenderedPageBreak/>
        <w:t>Liverpool, 2010.</w:t>
      </w:r>
    </w:p>
    <w:p w14:paraId="2667293D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Rose, Jonathan. The Intellectual Life of the British Working Class. London: Yale University</w:t>
      </w:r>
    </w:p>
    <w:p w14:paraId="5EA5E0AD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Press, 2001.</w:t>
      </w:r>
    </w:p>
    <w:p w14:paraId="1CA92CAF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Walker, Martyn. The Development of the Mechanics’ Institute Movement in Britain and Beyond:</w:t>
      </w:r>
    </w:p>
    <w:p w14:paraId="2123F544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Supporting Further Education for Adult Working Classes. Abingdon: Routledge, 2017.</w:t>
      </w:r>
    </w:p>
    <w:p w14:paraId="7B84F450" w14:textId="77777777" w:rsidR="006A4B7E" w:rsidRPr="002F75A4" w:rsidRDefault="006A4B7E" w:rsidP="006A4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Woodson-Boulton, Amy. Transformative Beauty: Art Museums in Industrial Britain. Stanford:</w:t>
      </w:r>
    </w:p>
    <w:p w14:paraId="0EEEBA12" w14:textId="369D8D43" w:rsidR="006A4B7E" w:rsidRPr="002F75A4" w:rsidRDefault="006A4B7E" w:rsidP="006A4B7E">
      <w:pPr>
        <w:rPr>
          <w:rFonts w:ascii="Arial" w:hAnsi="Arial" w:cs="Arial"/>
          <w:sz w:val="20"/>
          <w:szCs w:val="20"/>
        </w:rPr>
      </w:pPr>
      <w:r w:rsidRPr="002F75A4">
        <w:rPr>
          <w:rFonts w:ascii="Arial" w:hAnsi="Arial" w:cs="Arial"/>
          <w:kern w:val="0"/>
          <w:sz w:val="20"/>
          <w:szCs w:val="20"/>
        </w:rPr>
        <w:t>University of California Press, 2012.</w:t>
      </w:r>
    </w:p>
    <w:sectPr w:rsidR="006A4B7E" w:rsidRPr="002F75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13705"/>
    <w:multiLevelType w:val="hybridMultilevel"/>
    <w:tmpl w:val="CF964ED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224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295D"/>
    <w:rsid w:val="00023413"/>
    <w:rsid w:val="0004295D"/>
    <w:rsid w:val="000963C0"/>
    <w:rsid w:val="0011616A"/>
    <w:rsid w:val="001D6603"/>
    <w:rsid w:val="001E2C8E"/>
    <w:rsid w:val="001E5464"/>
    <w:rsid w:val="001E7FB0"/>
    <w:rsid w:val="00245428"/>
    <w:rsid w:val="00265BBD"/>
    <w:rsid w:val="002958EC"/>
    <w:rsid w:val="002B6029"/>
    <w:rsid w:val="002C0254"/>
    <w:rsid w:val="002C7600"/>
    <w:rsid w:val="002F75A4"/>
    <w:rsid w:val="003667DE"/>
    <w:rsid w:val="00371118"/>
    <w:rsid w:val="003720DF"/>
    <w:rsid w:val="00380880"/>
    <w:rsid w:val="003855E2"/>
    <w:rsid w:val="00401E83"/>
    <w:rsid w:val="00414BC8"/>
    <w:rsid w:val="00422B7A"/>
    <w:rsid w:val="0043395B"/>
    <w:rsid w:val="00435D30"/>
    <w:rsid w:val="004A06B4"/>
    <w:rsid w:val="004D34B4"/>
    <w:rsid w:val="004F7513"/>
    <w:rsid w:val="005077B0"/>
    <w:rsid w:val="0051335A"/>
    <w:rsid w:val="005138D8"/>
    <w:rsid w:val="00520640"/>
    <w:rsid w:val="00520EA6"/>
    <w:rsid w:val="0052523D"/>
    <w:rsid w:val="00566A87"/>
    <w:rsid w:val="00591E9A"/>
    <w:rsid w:val="005B4515"/>
    <w:rsid w:val="005D4BC3"/>
    <w:rsid w:val="005E1D78"/>
    <w:rsid w:val="00601495"/>
    <w:rsid w:val="006253D6"/>
    <w:rsid w:val="006807DB"/>
    <w:rsid w:val="006A2A32"/>
    <w:rsid w:val="006A4B7E"/>
    <w:rsid w:val="006C1BED"/>
    <w:rsid w:val="0077304F"/>
    <w:rsid w:val="00776324"/>
    <w:rsid w:val="00783D9F"/>
    <w:rsid w:val="007911FC"/>
    <w:rsid w:val="0079323F"/>
    <w:rsid w:val="007A11F3"/>
    <w:rsid w:val="007B4133"/>
    <w:rsid w:val="007C39DB"/>
    <w:rsid w:val="00815410"/>
    <w:rsid w:val="00841D1F"/>
    <w:rsid w:val="008550E3"/>
    <w:rsid w:val="00862794"/>
    <w:rsid w:val="008647FB"/>
    <w:rsid w:val="00876DF6"/>
    <w:rsid w:val="00880B7B"/>
    <w:rsid w:val="008C2121"/>
    <w:rsid w:val="009027DC"/>
    <w:rsid w:val="00911AFF"/>
    <w:rsid w:val="0091767A"/>
    <w:rsid w:val="009279E7"/>
    <w:rsid w:val="009877B3"/>
    <w:rsid w:val="009B3B45"/>
    <w:rsid w:val="009C10C7"/>
    <w:rsid w:val="00A53539"/>
    <w:rsid w:val="00AA0D98"/>
    <w:rsid w:val="00B96640"/>
    <w:rsid w:val="00BD0D03"/>
    <w:rsid w:val="00BE358B"/>
    <w:rsid w:val="00BF216A"/>
    <w:rsid w:val="00C05A3C"/>
    <w:rsid w:val="00C10759"/>
    <w:rsid w:val="00C318AE"/>
    <w:rsid w:val="00C345AA"/>
    <w:rsid w:val="00C35E12"/>
    <w:rsid w:val="00C405EF"/>
    <w:rsid w:val="00C43F74"/>
    <w:rsid w:val="00C51CDB"/>
    <w:rsid w:val="00CC32B5"/>
    <w:rsid w:val="00D26EB4"/>
    <w:rsid w:val="00D342D0"/>
    <w:rsid w:val="00D45A2D"/>
    <w:rsid w:val="00D658E6"/>
    <w:rsid w:val="00E102D6"/>
    <w:rsid w:val="00E2786A"/>
    <w:rsid w:val="00E36F02"/>
    <w:rsid w:val="00E62C9D"/>
    <w:rsid w:val="00E73B8C"/>
    <w:rsid w:val="00E94A24"/>
    <w:rsid w:val="00ED4BB8"/>
    <w:rsid w:val="00EF62DF"/>
    <w:rsid w:val="00F0175E"/>
    <w:rsid w:val="00F06076"/>
    <w:rsid w:val="00F4671F"/>
    <w:rsid w:val="00F53060"/>
    <w:rsid w:val="00F7360B"/>
    <w:rsid w:val="00F82BE1"/>
    <w:rsid w:val="00FA0C6A"/>
    <w:rsid w:val="00FD10D7"/>
    <w:rsid w:val="1A4E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2536B"/>
  <w15:docId w15:val="{B2F6D94D-44D4-4737-B0B6-281FF157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8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911FC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911FC"/>
    <w:rPr>
      <w:rFonts w:eastAsiaTheme="minorEastAsia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1318</Words>
  <Characters>7517</Characters>
  <Application>Microsoft Office Word</Application>
  <DocSecurity>0</DocSecurity>
  <Lines>62</Lines>
  <Paragraphs>17</Paragraphs>
  <ScaleCrop>false</ScaleCrop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Alyson Greening</dc:creator>
  <cp:keywords/>
  <dc:description/>
  <cp:lastModifiedBy>Alyson Greening</cp:lastModifiedBy>
  <cp:revision>4</cp:revision>
  <dcterms:created xsi:type="dcterms:W3CDTF">2023-10-13T14:08:00Z</dcterms:created>
  <dcterms:modified xsi:type="dcterms:W3CDTF">2023-10-16T12:47:00Z</dcterms:modified>
</cp:coreProperties>
</file>