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C74B45"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125D185A"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proofErr w:type="spellStart"/>
      <w:r w:rsidR="008069E0">
        <w:rPr>
          <w:rFonts w:ascii="Arial" w:hAnsi="Arial" w:cs="Arial"/>
          <w:sz w:val="28"/>
          <w:szCs w:val="28"/>
          <w:lang w:val="nl-NL"/>
        </w:rPr>
        <w:t>Introduction</w:t>
      </w:r>
      <w:proofErr w:type="spellEnd"/>
      <w:r w:rsidR="008069E0">
        <w:rPr>
          <w:rFonts w:ascii="Arial" w:hAnsi="Arial" w:cs="Arial"/>
          <w:sz w:val="28"/>
          <w:szCs w:val="28"/>
          <w:lang w:val="nl-NL"/>
        </w:rPr>
        <w:t xml:space="preserve"> </w:t>
      </w:r>
      <w:proofErr w:type="spellStart"/>
      <w:r w:rsidR="008069E0">
        <w:rPr>
          <w:rFonts w:ascii="Arial" w:hAnsi="Arial" w:cs="Arial"/>
          <w:sz w:val="28"/>
          <w:szCs w:val="28"/>
          <w:lang w:val="nl-NL"/>
        </w:rPr>
        <w:t>to</w:t>
      </w:r>
      <w:proofErr w:type="spellEnd"/>
      <w:r w:rsidR="008069E0">
        <w:rPr>
          <w:rFonts w:ascii="Arial" w:hAnsi="Arial" w:cs="Arial"/>
          <w:sz w:val="28"/>
          <w:szCs w:val="28"/>
          <w:lang w:val="nl-NL"/>
        </w:rPr>
        <w:t xml:space="preserve"> Health </w:t>
      </w:r>
      <w:proofErr w:type="spellStart"/>
      <w:r w:rsidR="008069E0">
        <w:rPr>
          <w:rFonts w:ascii="Arial" w:hAnsi="Arial" w:cs="Arial"/>
          <w:sz w:val="28"/>
          <w:szCs w:val="28"/>
          <w:lang w:val="nl-NL"/>
        </w:rPr>
        <w:t>and</w:t>
      </w:r>
      <w:proofErr w:type="spellEnd"/>
      <w:r w:rsidR="008069E0">
        <w:rPr>
          <w:rFonts w:ascii="Arial" w:hAnsi="Arial" w:cs="Arial"/>
          <w:sz w:val="28"/>
          <w:szCs w:val="28"/>
          <w:lang w:val="nl-NL"/>
        </w:rPr>
        <w:t xml:space="preserve"> </w:t>
      </w:r>
      <w:proofErr w:type="spellStart"/>
      <w:r w:rsidR="008069E0">
        <w:rPr>
          <w:rFonts w:ascii="Arial" w:hAnsi="Arial" w:cs="Arial"/>
          <w:sz w:val="28"/>
          <w:szCs w:val="28"/>
          <w:lang w:val="nl-NL"/>
        </w:rPr>
        <w:t>Social</w:t>
      </w:r>
      <w:proofErr w:type="spellEnd"/>
      <w:r w:rsidR="008069E0">
        <w:rPr>
          <w:rFonts w:ascii="Arial" w:hAnsi="Arial" w:cs="Arial"/>
          <w:sz w:val="28"/>
          <w:szCs w:val="28"/>
          <w:lang w:val="nl-NL"/>
        </w:rPr>
        <w:t xml:space="preserve"> Care</w:t>
      </w:r>
    </w:p>
    <w:p w14:paraId="537571AF" w14:textId="21E41CF5"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8069E0">
        <w:rPr>
          <w:rFonts w:ascii="Arial" w:hAnsi="Arial" w:cs="Arial"/>
          <w:sz w:val="28"/>
          <w:szCs w:val="28"/>
        </w:rPr>
        <w:t xml:space="preserve"> LCHS4003</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63CDB634"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8069E0">
        <w:rPr>
          <w:rFonts w:ascii="Arial" w:hAnsi="Arial" w:cs="Arial"/>
          <w:sz w:val="28"/>
          <w:szCs w:val="28"/>
          <w:lang w:val="nl-NL"/>
        </w:rPr>
        <w:t xml:space="preserve"> </w:t>
      </w:r>
      <w:proofErr w:type="spellStart"/>
      <w:r w:rsidR="008069E0">
        <w:rPr>
          <w:rFonts w:ascii="Arial" w:hAnsi="Arial" w:cs="Arial"/>
          <w:sz w:val="28"/>
          <w:szCs w:val="28"/>
          <w:lang w:val="nl-NL"/>
        </w:rPr>
        <w:t>Akassi</w:t>
      </w:r>
      <w:proofErr w:type="spellEnd"/>
      <w:r w:rsidR="008069E0">
        <w:rPr>
          <w:rFonts w:ascii="Arial" w:hAnsi="Arial" w:cs="Arial"/>
          <w:sz w:val="28"/>
          <w:szCs w:val="28"/>
          <w:lang w:val="nl-NL"/>
        </w:rPr>
        <w:t xml:space="preserve"> Grace </w:t>
      </w:r>
      <w:proofErr w:type="spellStart"/>
      <w:r w:rsidR="008069E0">
        <w:rPr>
          <w:rFonts w:ascii="Arial" w:hAnsi="Arial" w:cs="Arial"/>
          <w:sz w:val="28"/>
          <w:szCs w:val="28"/>
          <w:lang w:val="nl-NL"/>
        </w:rPr>
        <w:t>Nandoh</w:t>
      </w:r>
      <w:proofErr w:type="spellEnd"/>
    </w:p>
    <w:p w14:paraId="39AA4413" w14:textId="089C3724"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8069E0">
        <w:rPr>
          <w:rFonts w:ascii="Arial" w:hAnsi="Arial" w:cs="Arial"/>
          <w:sz w:val="28"/>
          <w:szCs w:val="28"/>
          <w:lang w:val="nl-NL"/>
        </w:rPr>
        <w:t xml:space="preserve"> 2433786</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4A36B7A6"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8069E0">
        <w:rPr>
          <w:rFonts w:ascii="Arial" w:hAnsi="Arial" w:cs="Arial"/>
          <w:sz w:val="28"/>
          <w:szCs w:val="28"/>
        </w:rPr>
        <w:t xml:space="preserve"> Jolly Nwankwo</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13E00080" w14:textId="64226101" w:rsidR="00B87E75" w:rsidRPr="009C15B2" w:rsidRDefault="00B87E75" w:rsidP="009C15B2">
      <w:pPr>
        <w:spacing w:line="360" w:lineRule="auto"/>
        <w:rPr>
          <w:rFonts w:asciiTheme="minorBidi" w:hAnsiTheme="minorBidi"/>
          <w:sz w:val="22"/>
        </w:rPr>
      </w:pPr>
      <w:r w:rsidRPr="00CD33A8">
        <w:rPr>
          <w:rFonts w:asciiTheme="minorBidi" w:hAnsiTheme="minorBidi"/>
          <w:sz w:val="22"/>
        </w:rPr>
        <w:br w:type="page"/>
      </w: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66F8006E" w:rsidR="00B87E75" w:rsidRDefault="00B87E75" w:rsidP="00D306FF">
      <w:pPr>
        <w:pStyle w:val="Titre1"/>
        <w:numPr>
          <w:ilvl w:val="0"/>
          <w:numId w:val="2"/>
        </w:numPr>
      </w:pPr>
      <w:r w:rsidRPr="00CD33A8">
        <w:lastRenderedPageBreak/>
        <w:t>Introduction</w:t>
      </w:r>
    </w:p>
    <w:p w14:paraId="3FC80353" w14:textId="70D1E7B9" w:rsidR="00CB438F" w:rsidRDefault="00A539FC" w:rsidP="00CB438F">
      <w:r>
        <w:t>F</w:t>
      </w:r>
      <w:r w:rsidR="00CB438F">
        <w:t>ocuses on the care needs of Mrs Thompson, an 84-year-old woman who has recently returned home after being treated for pneumonia. Mrs Thompson lives independently in sheltered accommodation and receives support from domiciliary care workers. However, her mild dementia has created some challenges, including forgetting her medication and being found outside without suitable clothing during cold weather. These concerns show the importance of providing safe, person-centred care that protects her wellbeing and independence.</w:t>
      </w:r>
    </w:p>
    <w:p w14:paraId="758AC016" w14:textId="57DDE426" w:rsidR="00D306FF" w:rsidRDefault="00CB438F" w:rsidP="00CB438F">
      <w:r>
        <w:t>It</w:t>
      </w:r>
      <w:r>
        <w:t xml:space="preserve"> will </w:t>
      </w:r>
      <w:r w:rsidR="0018266F">
        <w:t xml:space="preserve">also </w:t>
      </w:r>
      <w:r>
        <w:t>explore three important areas related to Mrs Thompson’s care: effective communication, good administrative practice including record keeping, and partnership working between different health and social care professionals. It will also consider how legislation and policies guide professional practice, ensuring that service users receive respectful, safe, and equal care.</w:t>
      </w:r>
      <w:r w:rsidR="00A539FC">
        <w:t xml:space="preserve"> </w:t>
      </w:r>
      <w:r w:rsidR="00A539FC" w:rsidRPr="00A539FC">
        <w:t>These legal frameworks support professionals in making informed decisions and help ensure Thompson’s rights, dignity, safety and quality of life remain protected.</w:t>
      </w:r>
    </w:p>
    <w:p w14:paraId="4D75508E" w14:textId="77777777" w:rsidR="00A539FC" w:rsidRPr="00D306FF" w:rsidRDefault="00A539FC" w:rsidP="00CB438F"/>
    <w:p w14:paraId="3FFAFC65" w14:textId="1FBA0F50" w:rsidR="00885CCB" w:rsidRDefault="008E3943" w:rsidP="00D306FF">
      <w:pPr>
        <w:pStyle w:val="Titre1"/>
        <w:numPr>
          <w:ilvl w:val="0"/>
          <w:numId w:val="2"/>
        </w:numPr>
      </w:pPr>
      <w:r>
        <w:t>I</w:t>
      </w:r>
      <w:r w:rsidRPr="008E3943">
        <w:t>mportance of effective communication</w:t>
      </w:r>
      <w:r w:rsidR="00F95E0C">
        <w:t xml:space="preserve"> </w:t>
      </w:r>
    </w:p>
    <w:p w14:paraId="45AEA843" w14:textId="14ED91CE" w:rsidR="00F95E0C" w:rsidRDefault="00CB438F" w:rsidP="00F95E0C">
      <w:r>
        <w:t>C</w:t>
      </w:r>
      <w:r w:rsidR="00F95E0C">
        <w:t>ommunication is an important part of providing safe and person-centred care for Mrs Thompson. As an older person living with mild dementia, she may experience difficulties with memory, understanding information, or expressing her needs. Good communication can help care workers understand her feelings, preferences, and concerns, while also helping to maintain her independence and dignity. In Mrs Thompson’s situation, clear communication is especially important because she has forgotten her medication, which may place her health at risk. Care staff need to communicate effectively to identify problems early and provide appropriate support.</w:t>
      </w:r>
    </w:p>
    <w:p w14:paraId="4A5AB1A8" w14:textId="7AC65BD3" w:rsidR="00CB438F" w:rsidRDefault="00F95E0C" w:rsidP="00F95E0C">
      <w:r>
        <w:t>When communicating with Mrs Thompson, professionals should use a calm and respectful approach. They should speak slowly, use simple language, give her enough time to respond, and avoid overwhelming her with too much information at once. Non-verbal communication, such as maintaining eye contact, using a friendly tone, and showing patience, can also help build trust. Since dementia can affect confidence and memory, staff should involve Mrs Thompson in decisions about her care as much as possible rather than making assumptions about what she can or cannot do.</w:t>
      </w:r>
    </w:p>
    <w:p w14:paraId="55BA5129" w14:textId="145E481C" w:rsidR="00F95E0C" w:rsidRDefault="00F95E0C" w:rsidP="00F95E0C">
      <w:r>
        <w:t>Mrs Thompson’s family is also important because they may provide valuable information about her routines, preferences, and changes in her behaviour. Health and social care workers should share appropriate information with family members while respecting Mrs Thompson’s right to privacy and confidentiality. Any discussions should be based on her wishes and consent, ensuring that she remains at the centre of decisions about her care.</w:t>
      </w:r>
    </w:p>
    <w:p w14:paraId="67C88103" w14:textId="77777777" w:rsidR="00F95E0C" w:rsidRDefault="00F95E0C" w:rsidP="00F95E0C">
      <w:r>
        <w:t xml:space="preserve">The Equality Act 2010 provides important principles that support fair treatment within health and social care. Care providers must protect individuals from discrimination and ensure that people receive support according to their needs. For Mrs Thompson, this means providing care with dignity, equality, and respect. Staff should recognise her dementia as a condition that may require reasonable adjustments, such as allowing extra time for communication or </w:t>
      </w:r>
      <w:r>
        <w:lastRenderedPageBreak/>
        <w:t>using reminders to support medication management. These adjustments help ensure that she has equal opportunities to access safe and effective care.</w:t>
      </w:r>
    </w:p>
    <w:p w14:paraId="120A383E" w14:textId="35074244" w:rsidR="00F95E0C" w:rsidRDefault="00F95E0C" w:rsidP="00F95E0C">
      <w:r>
        <w:t xml:space="preserve">One communication model that can be applied to Mrs Thompson’s situation is </w:t>
      </w:r>
      <w:proofErr w:type="gramStart"/>
      <w:r>
        <w:t>Berlo’s  Model</w:t>
      </w:r>
      <w:proofErr w:type="gramEnd"/>
      <w:r>
        <w:t>. This model explains communication through four elements: Source, Message, Channel, and Receiver (Berlo, 1960). The care worker is the source who provides information, the message is the care-related information being shared, the channel is the method used to communicate, such as speaking or written notes, and Mrs Thompson is the receiver. Using this model encourages professionals to consider whether their communication method is suitable for her abilities and needs.</w:t>
      </w:r>
    </w:p>
    <w:p w14:paraId="5CEFB5B9" w14:textId="2D1C686F" w:rsidR="00F95E0C" w:rsidRDefault="00F95E0C" w:rsidP="00F95E0C">
      <w:r>
        <w:t>Overall, effective communication supports Mrs Thompson’s safety, independence, and quality of life. It helps professionals, family members, and Mrs Thompson work together to provide respectful and appropriate care.</w:t>
      </w:r>
    </w:p>
    <w:p w14:paraId="79D60924" w14:textId="77777777" w:rsidR="00F95E0C" w:rsidRPr="00F95E0C" w:rsidRDefault="00F95E0C" w:rsidP="00F95E0C"/>
    <w:p w14:paraId="1E20838A" w14:textId="37506DF5" w:rsidR="006A0D4A" w:rsidRPr="009C15B2" w:rsidRDefault="008E3943" w:rsidP="006A0D4A">
      <w:pPr>
        <w:pStyle w:val="Titre1"/>
        <w:numPr>
          <w:ilvl w:val="0"/>
          <w:numId w:val="2"/>
        </w:numPr>
        <w:rPr>
          <w:rFonts w:asciiTheme="minorBidi" w:hAnsiTheme="minorBidi"/>
        </w:rPr>
      </w:pPr>
      <w:r w:rsidRPr="00885CCB">
        <w:t xml:space="preserve">Importance of good administrative skills </w:t>
      </w:r>
    </w:p>
    <w:p w14:paraId="577674DB" w14:textId="77777777" w:rsidR="00925818" w:rsidRPr="00925818" w:rsidRDefault="00925818" w:rsidP="00925818">
      <w:pPr>
        <w:pStyle w:val="Paragraphedeliste"/>
        <w:tabs>
          <w:tab w:val="left" w:pos="6540"/>
        </w:tabs>
        <w:spacing w:line="360" w:lineRule="auto"/>
        <w:rPr>
          <w:rFonts w:asciiTheme="minorBidi" w:hAnsiTheme="minorBidi"/>
          <w:sz w:val="22"/>
        </w:rPr>
      </w:pPr>
      <w:r w:rsidRPr="00925818">
        <w:rPr>
          <w:rFonts w:asciiTheme="minorBidi" w:hAnsiTheme="minorBidi"/>
          <w:sz w:val="22"/>
        </w:rPr>
        <w:t>Good administrative skills are essential in health and social care because they support safe practice, effective communication, and high-quality care delivery. In Mrs Thompson’s case, accurate administration is particularly important because she is an older person living with mild dementia and has experienced difficulties with managing her medication. Care workers and other professionals need reliable information about her health, care needs, and any risks so that they can provide appropriate support.</w:t>
      </w:r>
    </w:p>
    <w:p w14:paraId="766DD77D" w14:textId="77777777" w:rsidR="00925818" w:rsidRPr="00925818" w:rsidRDefault="00925818" w:rsidP="00925818">
      <w:pPr>
        <w:pStyle w:val="Paragraphedeliste"/>
        <w:tabs>
          <w:tab w:val="left" w:pos="6540"/>
        </w:tabs>
        <w:spacing w:line="360" w:lineRule="auto"/>
        <w:rPr>
          <w:rFonts w:asciiTheme="minorBidi" w:hAnsiTheme="minorBidi"/>
          <w:sz w:val="22"/>
        </w:rPr>
      </w:pPr>
      <w:r w:rsidRPr="00925818">
        <w:rPr>
          <w:rFonts w:asciiTheme="minorBidi" w:hAnsiTheme="minorBidi"/>
          <w:sz w:val="22"/>
        </w:rPr>
        <w:t>One of the most important administrative responsibilities is maintaining accurate records. Health and social care staff should record relevant information about Mrs Thompson’s daily care, medication support, changes in her condition, and any incidents that occur. For example, the missed medication over two days should be documented clearly, including what happened, what actions were taken, and who was informed. The incident where she was found outside without suitable clothing should also be recorded and reviewed because it may indicate a risk to her safety and wellbeing. Good record keeping helps professionals make informed decisions and provides continuity when different workers are involved in her care.</w:t>
      </w:r>
    </w:p>
    <w:p w14:paraId="6EF0BFC2" w14:textId="77777777" w:rsidR="00925818" w:rsidRPr="00925818" w:rsidRDefault="00925818" w:rsidP="00925818">
      <w:pPr>
        <w:pStyle w:val="Paragraphedeliste"/>
        <w:tabs>
          <w:tab w:val="left" w:pos="6540"/>
        </w:tabs>
        <w:spacing w:line="360" w:lineRule="auto"/>
        <w:rPr>
          <w:rFonts w:asciiTheme="minorBidi" w:hAnsiTheme="minorBidi"/>
          <w:sz w:val="22"/>
        </w:rPr>
      </w:pPr>
      <w:r w:rsidRPr="00925818">
        <w:rPr>
          <w:rFonts w:asciiTheme="minorBidi" w:hAnsiTheme="minorBidi"/>
          <w:sz w:val="22"/>
        </w:rPr>
        <w:t>The principles of the Data Protection Act 2018 are also important when managing Mrs Thompson’s personal information. The Act requires organisations to protect confidential data and ensure that information is collected, stored, and shared appropriately. This means that details about Mrs Thompson’s health, medication, and personal circumstances should only be accessed by authorised professionals who need the information to support her care. Staff must ensure records are kept securely and avoid discussing confidential information with people who do not have permission to receive it (Department of Health and Social Care, 2018).</w:t>
      </w:r>
    </w:p>
    <w:p w14:paraId="24F95E4E" w14:textId="77777777" w:rsidR="00925818" w:rsidRPr="00925818" w:rsidRDefault="00925818" w:rsidP="00925818">
      <w:pPr>
        <w:pStyle w:val="Paragraphedeliste"/>
        <w:tabs>
          <w:tab w:val="left" w:pos="6540"/>
        </w:tabs>
        <w:spacing w:line="360" w:lineRule="auto"/>
        <w:rPr>
          <w:rFonts w:asciiTheme="minorBidi" w:hAnsiTheme="minorBidi"/>
          <w:sz w:val="22"/>
        </w:rPr>
      </w:pPr>
      <w:r w:rsidRPr="00925818">
        <w:rPr>
          <w:rFonts w:asciiTheme="minorBidi" w:hAnsiTheme="minorBidi"/>
          <w:sz w:val="22"/>
        </w:rPr>
        <w:lastRenderedPageBreak/>
        <w:t>Other legislation and policies also influence administrative practice in health and social care. The Care Act 2014 highlights the importance of protecting adults’ wellbeing and ensuring that care is based on individual needs. Following safeguarding procedures is necessary because Mrs Thompson’s situation raises concerns about her safety and ability to manage daily activities independently (Department of Health, 2014).</w:t>
      </w:r>
    </w:p>
    <w:p w14:paraId="700BB097" w14:textId="7FB474DF" w:rsidR="006A0D4A" w:rsidRPr="00FD02C1" w:rsidRDefault="006A0D4A" w:rsidP="00FD02C1">
      <w:pPr>
        <w:pStyle w:val="Paragraphedeliste"/>
        <w:tabs>
          <w:tab w:val="left" w:pos="6540"/>
        </w:tabs>
        <w:spacing w:line="360" w:lineRule="auto"/>
        <w:rPr>
          <w:rFonts w:asciiTheme="minorBidi" w:hAnsiTheme="minorBidi"/>
          <w:sz w:val="22"/>
        </w:rPr>
      </w:pPr>
    </w:p>
    <w:p w14:paraId="299F4E3C" w14:textId="01994656" w:rsidR="006A0D4A" w:rsidRPr="00FD02C1" w:rsidRDefault="00FD02C1" w:rsidP="00FD02C1">
      <w:pPr>
        <w:pStyle w:val="Paragraphedeliste"/>
        <w:numPr>
          <w:ilvl w:val="0"/>
          <w:numId w:val="2"/>
        </w:numPr>
        <w:rPr>
          <w:b/>
          <w:bCs/>
          <w:sz w:val="32"/>
          <w:szCs w:val="32"/>
        </w:rPr>
      </w:pPr>
      <w:r w:rsidRPr="00FD02C1">
        <w:rPr>
          <w:b/>
          <w:bCs/>
          <w:sz w:val="32"/>
          <w:szCs w:val="32"/>
        </w:rPr>
        <w:t>Importance of good collaborative</w:t>
      </w:r>
    </w:p>
    <w:p w14:paraId="73F594D7" w14:textId="77777777" w:rsidR="006A0D4A" w:rsidRDefault="006A0D4A" w:rsidP="006A0D4A">
      <w:r>
        <w:t>Collaborative working is essential in health and social care because it allows different professionals to share their knowledge and provide safe, coordinated support for service users. In Mrs Thompson’s situation, several professionals are involved in her care, including her GP, community nurse, domiciliary care workers, pharmacist, and the local authority safeguarding team. Working together helps ensure that her physical health, medication needs, safety, and emotional wellbeing are considered as part of a complete care plan.</w:t>
      </w:r>
    </w:p>
    <w:p w14:paraId="2F5BF232" w14:textId="77777777" w:rsidR="006A0D4A" w:rsidRDefault="006A0D4A" w:rsidP="006A0D4A">
      <w:r>
        <w:t>The GP has an important role in reviewing Mrs Thompson’s health following her pneumonia and assessing the concerns related to missed medication. The community nurse can monitor her recovery, identify changes in her condition, and provide health advice. Domiciliary care workers have regular contact with Mrs Thompson, meaning they are often the first people to notice changes in her behaviour, confusion, or ability to manage daily activities. The pharmacist can support safe medication management by checking her prescriptions and advising on ways to reduce the risk of missed doses. The local authority safeguarding team can assess risks and make sure appropriate support is provided after concerns about her being outside without suitable clothing.</w:t>
      </w:r>
    </w:p>
    <w:p w14:paraId="756725D4" w14:textId="77777777" w:rsidR="006A0D4A" w:rsidRDefault="006A0D4A" w:rsidP="006A0D4A">
      <w:r>
        <w:t>Effective collaboration requires professionals to communicate clearly, respect each other’s responsibilities, and share relevant information appropriately. Regular meetings, accurate care records, and agreed care plans help everyone understand their role and provide consistent support. Involving Mrs Thompson in decisions also promotes person-centred care and respects her independence.</w:t>
      </w:r>
    </w:p>
    <w:p w14:paraId="112322AA" w14:textId="72AA6037" w:rsidR="006A0D4A" w:rsidRDefault="006A0D4A" w:rsidP="006A0D4A">
      <w:r>
        <w:t>However, multi-agency working can experience challenges. These may include delays in sharing information, unclear responsibilities, or differences in professional approaches. Poor communication can increase risks and affect the quality of care provided. To overcome these difficulties, organisations should encourage regular communication, use secure record systems, and create opportunities for professionals to discuss concerns together.</w:t>
      </w:r>
    </w:p>
    <w:p w14:paraId="440DB2DD" w14:textId="0BF595EC" w:rsidR="006A0D4A" w:rsidRDefault="006A0D4A" w:rsidP="006A0D4A">
      <w:r>
        <w:t>By working collaboratively, health and social care professionals can respond quickly to Mrs Thompson’s needs, reduce risks, and improve her safety and overall quality of life.</w:t>
      </w:r>
    </w:p>
    <w:p w14:paraId="0A73B983" w14:textId="77777777" w:rsidR="006B3E4A" w:rsidRDefault="006B3E4A" w:rsidP="006A0D4A"/>
    <w:p w14:paraId="0EACCE77" w14:textId="77777777" w:rsidR="006B3E4A" w:rsidRPr="006B3E4A" w:rsidRDefault="006B3E4A" w:rsidP="006B3E4A">
      <w:pPr>
        <w:rPr>
          <w:b/>
          <w:bCs/>
          <w:sz w:val="32"/>
          <w:szCs w:val="32"/>
        </w:rPr>
      </w:pPr>
      <w:r w:rsidRPr="006B3E4A">
        <w:rPr>
          <w:b/>
          <w:bCs/>
          <w:sz w:val="32"/>
          <w:szCs w:val="32"/>
        </w:rPr>
        <w:t>Conclusion</w:t>
      </w:r>
    </w:p>
    <w:p w14:paraId="349B3F4F" w14:textId="0561D8D8" w:rsidR="002C28D9" w:rsidRPr="002C28D9" w:rsidRDefault="006B3E4A" w:rsidP="006B3E4A">
      <w:r>
        <w:t>In conclusion, Mrs Thompson’s care requires effective communication, accurate record keeping, and strong collaboration between professionals. These practices help</w:t>
      </w:r>
      <w:r w:rsidR="0018266F">
        <w:t xml:space="preserve"> to</w:t>
      </w:r>
      <w:r>
        <w:t xml:space="preserve"> protect her safety, respect her rights, and ensure she receives person-centred support. By following </w:t>
      </w:r>
      <w:r>
        <w:lastRenderedPageBreak/>
        <w:t>relevant legislation and working together, health and social care professionals can improve her wellbeing and quality of life.</w:t>
      </w:r>
    </w:p>
    <w:p w14:paraId="0681CAC3" w14:textId="0791A60E" w:rsidR="002C28D9" w:rsidRDefault="00157430" w:rsidP="002C28D9">
      <w:r w:rsidRPr="00157430">
        <w:t>It is therefore important that health and social care services regularly review Mrs Thompson’s needs and adapt the support provided when her circumstances change. This approach helps reduce risks, improve her confidence, and ensure that she continues to receive compassionate and safe care within her community.</w:t>
      </w:r>
    </w:p>
    <w:p w14:paraId="558AD4ED" w14:textId="310D9E50" w:rsidR="002C28D9" w:rsidRPr="001460BC" w:rsidRDefault="00FD02C1" w:rsidP="002C28D9">
      <w:pPr>
        <w:rPr>
          <w:b/>
          <w:bCs/>
          <w:sz w:val="32"/>
          <w:szCs w:val="32"/>
        </w:rPr>
      </w:pPr>
      <w:r w:rsidRPr="001460BC">
        <w:rPr>
          <w:b/>
          <w:bCs/>
          <w:sz w:val="32"/>
          <w:szCs w:val="32"/>
        </w:rPr>
        <w:t>R</w:t>
      </w:r>
      <w:r w:rsidR="001460BC" w:rsidRPr="001460BC">
        <w:rPr>
          <w:b/>
          <w:bCs/>
          <w:sz w:val="32"/>
          <w:szCs w:val="32"/>
        </w:rPr>
        <w:t>eferences</w:t>
      </w:r>
    </w:p>
    <w:p w14:paraId="2DF95D05" w14:textId="77777777" w:rsidR="002C28D9" w:rsidRDefault="002C28D9" w:rsidP="002C28D9">
      <w:r>
        <w:t xml:space="preserve">Beauchamp, T.L. and Childress, J.F. (2019) Principles of Biomedical Ethics. 8th </w:t>
      </w:r>
      <w:proofErr w:type="spellStart"/>
      <w:r>
        <w:t>edn</w:t>
      </w:r>
      <w:proofErr w:type="spellEnd"/>
      <w:r>
        <w:t>. New York: Oxford University Press.</w:t>
      </w:r>
    </w:p>
    <w:p w14:paraId="527257A4" w14:textId="77777777" w:rsidR="002C28D9" w:rsidRDefault="002C28D9" w:rsidP="002C28D9">
      <w:r>
        <w:t>Department of Health and Social Care (2018) Data Protection Act 2018. London: The Stationery Office.</w:t>
      </w:r>
    </w:p>
    <w:p w14:paraId="07990BB8" w14:textId="77777777" w:rsidR="002C28D9" w:rsidRDefault="002C28D9" w:rsidP="002C28D9">
      <w:r>
        <w:t>Department of Health and Social Care (2014) Care and Support Statutory Guidance. London: The Stationery Office.</w:t>
      </w:r>
    </w:p>
    <w:p w14:paraId="15633CDB" w14:textId="77777777" w:rsidR="002C28D9" w:rsidRDefault="002C28D9" w:rsidP="002C28D9">
      <w:r>
        <w:t xml:space="preserve">Glasby, J. (2021) Understanding Health and Social Care. 3rd </w:t>
      </w:r>
      <w:proofErr w:type="spellStart"/>
      <w:r>
        <w:t>edn</w:t>
      </w:r>
      <w:proofErr w:type="spellEnd"/>
      <w:r>
        <w:t>. Bristol: Policy Press.</w:t>
      </w:r>
    </w:p>
    <w:p w14:paraId="1B225B14" w14:textId="77777777" w:rsidR="002C28D9" w:rsidRDefault="002C28D9" w:rsidP="002C28D9">
      <w:r>
        <w:t>Great Britain (2010) Equality Act 2010. London: The Stationery Office.</w:t>
      </w:r>
    </w:p>
    <w:p w14:paraId="100CC69D" w14:textId="77777777" w:rsidR="002C28D9" w:rsidRDefault="002C28D9" w:rsidP="002C28D9">
      <w:r>
        <w:t>Moonie, N. (2022) Health and Social Care Level 3. London: Hodder Education.</w:t>
      </w:r>
    </w:p>
    <w:p w14:paraId="552C3F4A" w14:textId="77777777" w:rsidR="002C28D9" w:rsidRDefault="002C28D9" w:rsidP="002C28D9">
      <w:r>
        <w:t>National Institute for Health and Care Excellence (NICE) (2022) Dementia: Assessment, Management and Support for People Living with Dementia and Their Carers (NG97). London: NICE.</w:t>
      </w:r>
    </w:p>
    <w:p w14:paraId="1F7CACCA" w14:textId="1D84D3F3" w:rsidR="002C28D9" w:rsidRDefault="002C28D9" w:rsidP="002C28D9">
      <w:r>
        <w:t>Skills for Care (2023) Good Record Keeping Guidance. Leeds: Skills for Care.</w:t>
      </w:r>
    </w:p>
    <w:p w14:paraId="4DB95038" w14:textId="77777777" w:rsidR="00FD02C1" w:rsidRDefault="00FD02C1" w:rsidP="00FD02C1">
      <w:r>
        <w:t>Berlo, D.K. (1960) The Process of Communication. New York: Holt, Rinehart and Winston.</w:t>
      </w:r>
    </w:p>
    <w:p w14:paraId="6066C2D1" w14:textId="27133DF8" w:rsidR="00FD02C1" w:rsidRPr="00FD02C1" w:rsidRDefault="00FD02C1" w:rsidP="00FD02C1"/>
    <w:sectPr w:rsidR="00FD02C1" w:rsidRPr="00FD02C1" w:rsidSect="00E620E7">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270A0" w14:textId="77777777" w:rsidR="003C0154" w:rsidRDefault="003C0154" w:rsidP="003E4ECF">
      <w:pPr>
        <w:spacing w:after="0" w:line="240" w:lineRule="auto"/>
      </w:pPr>
      <w:r>
        <w:separator/>
      </w:r>
    </w:p>
  </w:endnote>
  <w:endnote w:type="continuationSeparator" w:id="0">
    <w:p w14:paraId="6ABBFE81" w14:textId="77777777" w:rsidR="003C0154" w:rsidRDefault="003C0154"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Pieddepage"/>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687FA" w14:textId="77777777" w:rsidR="003C0154" w:rsidRDefault="003C0154" w:rsidP="003E4ECF">
      <w:pPr>
        <w:spacing w:after="0" w:line="240" w:lineRule="auto"/>
      </w:pPr>
      <w:r>
        <w:separator/>
      </w:r>
    </w:p>
  </w:footnote>
  <w:footnote w:type="continuationSeparator" w:id="0">
    <w:p w14:paraId="42CAEFAD" w14:textId="77777777" w:rsidR="003C0154" w:rsidRDefault="003C0154"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8142F2"/>
    <w:multiLevelType w:val="hybridMultilevel"/>
    <w:tmpl w:val="4BFA3170"/>
    <w:lvl w:ilvl="0" w:tplc="1B642154">
      <w:start w:val="1"/>
      <w:numFmt w:val="decimal"/>
      <w:lvlText w:val="%1."/>
      <w:lvlJc w:val="left"/>
      <w:pPr>
        <w:ind w:left="360" w:hanging="360"/>
      </w:pPr>
      <w:rPr>
        <w:rFonts w:hint="default"/>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36684"/>
    <w:multiLevelType w:val="multilevel"/>
    <w:tmpl w:val="58181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6414094">
    <w:abstractNumId w:val="1"/>
  </w:num>
  <w:num w:numId="2" w16cid:durableId="1620601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4347"/>
    <w:rsid w:val="000572BF"/>
    <w:rsid w:val="00074402"/>
    <w:rsid w:val="00081456"/>
    <w:rsid w:val="001460BC"/>
    <w:rsid w:val="00157430"/>
    <w:rsid w:val="0018266F"/>
    <w:rsid w:val="001D7C03"/>
    <w:rsid w:val="00216C85"/>
    <w:rsid w:val="00232574"/>
    <w:rsid w:val="0026393A"/>
    <w:rsid w:val="00273EDD"/>
    <w:rsid w:val="002C28D9"/>
    <w:rsid w:val="002C3965"/>
    <w:rsid w:val="00321C4C"/>
    <w:rsid w:val="00392BBC"/>
    <w:rsid w:val="003C0154"/>
    <w:rsid w:val="003E4ECF"/>
    <w:rsid w:val="00430CD9"/>
    <w:rsid w:val="004A736E"/>
    <w:rsid w:val="00566ED7"/>
    <w:rsid w:val="005B4387"/>
    <w:rsid w:val="005C6C4E"/>
    <w:rsid w:val="00612C43"/>
    <w:rsid w:val="0063599A"/>
    <w:rsid w:val="006879F1"/>
    <w:rsid w:val="006925AA"/>
    <w:rsid w:val="006A0D4A"/>
    <w:rsid w:val="006B3E4A"/>
    <w:rsid w:val="00725177"/>
    <w:rsid w:val="0079006A"/>
    <w:rsid w:val="007A1B8D"/>
    <w:rsid w:val="007D1443"/>
    <w:rsid w:val="008069E0"/>
    <w:rsid w:val="00814A9E"/>
    <w:rsid w:val="00885CCB"/>
    <w:rsid w:val="008A1ACF"/>
    <w:rsid w:val="008E3943"/>
    <w:rsid w:val="0090040D"/>
    <w:rsid w:val="00925818"/>
    <w:rsid w:val="00947B1F"/>
    <w:rsid w:val="009C15B2"/>
    <w:rsid w:val="009D052C"/>
    <w:rsid w:val="009D1D1E"/>
    <w:rsid w:val="00A035FD"/>
    <w:rsid w:val="00A167C9"/>
    <w:rsid w:val="00A539FC"/>
    <w:rsid w:val="00A74DCE"/>
    <w:rsid w:val="00AD23A0"/>
    <w:rsid w:val="00AD323F"/>
    <w:rsid w:val="00B10296"/>
    <w:rsid w:val="00B87E75"/>
    <w:rsid w:val="00C03133"/>
    <w:rsid w:val="00C74B45"/>
    <w:rsid w:val="00CB438F"/>
    <w:rsid w:val="00CD33A8"/>
    <w:rsid w:val="00D306FF"/>
    <w:rsid w:val="00D75686"/>
    <w:rsid w:val="00E569FD"/>
    <w:rsid w:val="00E620E7"/>
    <w:rsid w:val="00EE473F"/>
    <w:rsid w:val="00F06FD3"/>
    <w:rsid w:val="00F12F60"/>
    <w:rsid w:val="00F16FB0"/>
    <w:rsid w:val="00F66E1B"/>
    <w:rsid w:val="00F95E0C"/>
    <w:rsid w:val="00FD02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autoRedefine/>
    <w:uiPriority w:val="9"/>
    <w:qFormat/>
    <w:rsid w:val="00885CCB"/>
    <w:pPr>
      <w:keepNext/>
      <w:keepLines/>
      <w:spacing w:before="240" w:after="0" w:line="360" w:lineRule="auto"/>
      <w:outlineLvl w:val="0"/>
    </w:pPr>
    <w:rPr>
      <w:rFonts w:ascii="Arial" w:eastAsiaTheme="majorEastAsia" w:hAnsi="Arial"/>
      <w:b/>
      <w:sz w:val="22"/>
    </w:rPr>
  </w:style>
  <w:style w:type="paragraph" w:styleId="Titre2">
    <w:name w:val="heading 2"/>
    <w:basedOn w:val="Normal"/>
    <w:next w:val="Normal"/>
    <w:link w:val="Titre2C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Titre3">
    <w:name w:val="heading 3"/>
    <w:basedOn w:val="Normal"/>
    <w:link w:val="Titre3C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85CCB"/>
    <w:rPr>
      <w:rFonts w:ascii="Arial" w:eastAsiaTheme="majorEastAsia" w:hAnsi="Arial"/>
      <w:b/>
      <w:sz w:val="22"/>
    </w:rPr>
  </w:style>
  <w:style w:type="character" w:customStyle="1" w:styleId="Titre2Car">
    <w:name w:val="Titre 2 Car"/>
    <w:basedOn w:val="Policepardfaut"/>
    <w:link w:val="Titre2"/>
    <w:uiPriority w:val="9"/>
    <w:rsid w:val="00A035FD"/>
    <w:rPr>
      <w:rFonts w:ascii="Arial" w:eastAsiaTheme="majorEastAsia" w:hAnsi="Arial" w:cstheme="majorBidi"/>
      <w:b/>
      <w:i/>
      <w:color w:val="2F5496" w:themeColor="accent1" w:themeShade="BF"/>
      <w:sz w:val="26"/>
      <w:szCs w:val="26"/>
    </w:rPr>
  </w:style>
  <w:style w:type="character" w:customStyle="1" w:styleId="Titre3Car">
    <w:name w:val="Titre 3 Car"/>
    <w:basedOn w:val="Policepardfaut"/>
    <w:link w:val="Titre3"/>
    <w:uiPriority w:val="9"/>
    <w:rsid w:val="002C3965"/>
    <w:rPr>
      <w:rFonts w:ascii="Arial" w:eastAsia="Times New Roman" w:hAnsi="Arial" w:cs="Times New Roman"/>
      <w:b/>
      <w:bCs/>
      <w:szCs w:val="27"/>
      <w:lang w:eastAsia="en-GB"/>
    </w:rPr>
  </w:style>
  <w:style w:type="paragraph" w:styleId="En-tte">
    <w:name w:val="header"/>
    <w:basedOn w:val="Normal"/>
    <w:link w:val="En-tteCar"/>
    <w:uiPriority w:val="99"/>
    <w:unhideWhenUsed/>
    <w:rsid w:val="003E4ECF"/>
    <w:pPr>
      <w:tabs>
        <w:tab w:val="center" w:pos="4513"/>
        <w:tab w:val="right" w:pos="9026"/>
      </w:tabs>
      <w:spacing w:after="0" w:line="240" w:lineRule="auto"/>
    </w:pPr>
  </w:style>
  <w:style w:type="character" w:customStyle="1" w:styleId="En-tteCar">
    <w:name w:val="En-tête Car"/>
    <w:basedOn w:val="Policepardfaut"/>
    <w:link w:val="En-tte"/>
    <w:uiPriority w:val="99"/>
    <w:rsid w:val="003E4ECF"/>
  </w:style>
  <w:style w:type="paragraph" w:styleId="Pieddepage">
    <w:name w:val="footer"/>
    <w:basedOn w:val="Normal"/>
    <w:link w:val="PieddepageCar"/>
    <w:uiPriority w:val="99"/>
    <w:unhideWhenUsed/>
    <w:rsid w:val="003E4ECF"/>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3E4ECF"/>
  </w:style>
  <w:style w:type="character" w:styleId="Lienhypertexte">
    <w:name w:val="Hyperlink"/>
    <w:basedOn w:val="Policepardfaut"/>
    <w:uiPriority w:val="99"/>
    <w:unhideWhenUsed/>
    <w:rsid w:val="0063599A"/>
    <w:rPr>
      <w:color w:val="0563C1" w:themeColor="hyperlink"/>
      <w:u w:val="single"/>
    </w:rPr>
  </w:style>
  <w:style w:type="character" w:styleId="Mentionnonrsolue">
    <w:name w:val="Unresolved Mention"/>
    <w:basedOn w:val="Policepardfaut"/>
    <w:uiPriority w:val="99"/>
    <w:semiHidden/>
    <w:unhideWhenUsed/>
    <w:rsid w:val="0063599A"/>
    <w:rPr>
      <w:color w:val="605E5C"/>
      <w:shd w:val="clear" w:color="auto" w:fill="E1DFDD"/>
    </w:rPr>
  </w:style>
  <w:style w:type="paragraph" w:styleId="Paragraphedeliste">
    <w:name w:val="List Paragraph"/>
    <w:basedOn w:val="Normal"/>
    <w:uiPriority w:val="34"/>
    <w:qFormat/>
    <w:rsid w:val="009C15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1076</TotalTime>
  <Pages>6</Pages>
  <Words>1584</Words>
  <Characters>9030</Characters>
  <Application>Microsoft Office Word</Application>
  <DocSecurity>0</DocSecurity>
  <Lines>75</Lines>
  <Paragraphs>21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Yves Olivier ADJE</cp:lastModifiedBy>
  <cp:revision>10</cp:revision>
  <dcterms:created xsi:type="dcterms:W3CDTF">2021-10-31T12:16:00Z</dcterms:created>
  <dcterms:modified xsi:type="dcterms:W3CDTF">2026-08-06T17:56:00Z</dcterms:modified>
</cp:coreProperties>
</file>