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3B49B7" w:rsidP="003B49B7" w:rsidRDefault="003B49B7" w14:paraId="064319A4" w14:textId="77777777">
      <w:pPr>
        <w:rPr>
          <w:b/>
          <w:bCs/>
        </w:rPr>
      </w:pPr>
    </w:p>
    <w:p w:rsidR="003B49B7" w:rsidP="003B49B7" w:rsidRDefault="003B49B7" w14:paraId="2AEB3F14" w14:textId="77777777">
      <w:pPr>
        <w:rPr>
          <w:b/>
          <w:bCs/>
        </w:rPr>
      </w:pPr>
    </w:p>
    <w:p w:rsidR="003B49B7" w:rsidP="003B49B7" w:rsidRDefault="003B49B7" w14:paraId="67F9C14D" w14:textId="77777777">
      <w:pPr>
        <w:rPr>
          <w:b/>
          <w:bCs/>
        </w:rPr>
      </w:pPr>
    </w:p>
    <w:p w:rsidR="003B49B7" w:rsidP="003B49B7" w:rsidRDefault="003B49B7" w14:paraId="1CBBDEC6" w14:textId="77777777">
      <w:pPr>
        <w:rPr>
          <w:b/>
          <w:bCs/>
        </w:rPr>
      </w:pPr>
    </w:p>
    <w:p w:rsidR="003B49B7" w:rsidP="003B49B7" w:rsidRDefault="003B49B7" w14:paraId="289D7179" w14:textId="134C1D18">
      <w:pPr>
        <w:pStyle w:val="Heading1"/>
        <w:spacing w:line="360" w:lineRule="auto"/>
        <w:jc w:val="center"/>
      </w:pPr>
      <w:bookmarkStart w:name="_Toc235840174" w:id="0"/>
      <w:r w:rsidR="003B49B7">
        <w:rPr/>
        <w:t>A Critical Examination of Post-Traumatic Stress Disorder: Classification, Diagnosis, Treatment, and Rehabilitation in the UK</w:t>
      </w:r>
      <w:bookmarkEnd w:id="0"/>
    </w:p>
    <w:p w:rsidR="16446464" w:rsidP="4ECE2979" w:rsidRDefault="16446464" w14:paraId="0D4D1C3C" w14:textId="5DA17807">
      <w:pPr>
        <w:pStyle w:val="Normal"/>
      </w:pPr>
      <w:r w:rsidR="16446464">
        <w:rPr/>
        <w:t>Student name: TATI BANGOURA</w:t>
      </w:r>
    </w:p>
    <w:p w:rsidR="16446464" w:rsidP="4ECE2979" w:rsidRDefault="16446464" w14:paraId="5915BA23" w14:textId="7DE01C68">
      <w:pPr>
        <w:pStyle w:val="Normal"/>
      </w:pPr>
      <w:r w:rsidR="16446464">
        <w:rPr/>
        <w:t>Student ID Number: 2120469</w:t>
      </w:r>
    </w:p>
    <w:p w:rsidR="16446464" w:rsidP="4ECE2979" w:rsidRDefault="16446464" w14:paraId="35F64411" w14:textId="3249AFE6">
      <w:pPr>
        <w:pStyle w:val="Normal"/>
      </w:pPr>
      <w:r w:rsidR="16446464">
        <w:rPr/>
        <w:t xml:space="preserve">Module: Psychological </w:t>
      </w:r>
      <w:r w:rsidR="1A56AC06">
        <w:rPr/>
        <w:t>Classifications and provisions</w:t>
      </w:r>
    </w:p>
    <w:p w:rsidR="1A56AC06" w:rsidP="4ECE2979" w:rsidRDefault="1A56AC06" w14:paraId="5A35F797" w14:textId="34F27B79">
      <w:pPr>
        <w:pStyle w:val="Normal"/>
      </w:pPr>
      <w:r w:rsidR="1A56AC06">
        <w:rPr/>
        <w:t>Module Code: BMHP6029</w:t>
      </w:r>
    </w:p>
    <w:p w:rsidR="1A56AC06" w:rsidP="4ECE2979" w:rsidRDefault="1A56AC06" w14:paraId="72A8D22F" w14:textId="5E97B66A">
      <w:pPr>
        <w:pStyle w:val="Normal"/>
      </w:pPr>
      <w:r w:rsidR="1A56AC06">
        <w:rPr/>
        <w:t>Lecturer: Neale Haddon</w:t>
      </w:r>
    </w:p>
    <w:p w:rsidR="1A56AC06" w:rsidP="4ECE2979" w:rsidRDefault="1A56AC06" w14:paraId="3FE80D29" w14:textId="3436A6C8">
      <w:pPr>
        <w:pStyle w:val="Normal"/>
      </w:pPr>
      <w:r w:rsidR="1A56AC06">
        <w:rPr/>
        <w:t>Assignement</w:t>
      </w:r>
      <w:r w:rsidR="1A56AC06">
        <w:rPr/>
        <w:t xml:space="preserve"> Title: </w:t>
      </w:r>
      <w:r w:rsidR="1A56AC06">
        <w:rPr/>
        <w:t>component</w:t>
      </w:r>
      <w:r w:rsidR="1A56AC06">
        <w:rPr/>
        <w:t xml:space="preserve"> 2 </w:t>
      </w:r>
      <w:r w:rsidR="6EDA3C47">
        <w:rPr/>
        <w:t>(Report</w:t>
      </w:r>
      <w:r w:rsidR="6EDA3C47">
        <w:rPr/>
        <w:t>)</w:t>
      </w:r>
    </w:p>
    <w:p w:rsidR="003B49B7" w:rsidRDefault="003B49B7" w14:paraId="193C2E4C" w14:textId="77777777">
      <w:pPr>
        <w:rPr>
          <w:b/>
          <w:bCs/>
        </w:rPr>
      </w:pPr>
      <w:r>
        <w:rPr>
          <w:b/>
          <w:bCs/>
        </w:rPr>
        <w:br w:type="page"/>
      </w:r>
    </w:p>
    <w:sdt>
      <w:sdtPr>
        <w:id w:val="-1668856751"/>
        <w:docPartObj>
          <w:docPartGallery w:val="Table of Contents"/>
          <w:docPartUnique/>
        </w:docPartObj>
        <w:rPr>
          <w:rFonts w:ascii="Arial" w:hAnsi="Arial" w:eastAsia="Calibri" w:cs="Arial" w:eastAsiaTheme="minorAscii"/>
          <w:b w:val="1"/>
          <w:bCs w:val="1"/>
          <w:color w:val="auto"/>
          <w:kern w:val="2"/>
          <w:sz w:val="24"/>
          <w:szCs w:val="24"/>
          <w14:ligatures w14:val="standardContextual"/>
        </w:rPr>
      </w:sdtPr>
      <w:sdtEndPr>
        <w:rPr>
          <w:rFonts w:ascii="Arial" w:hAnsi="Arial" w:eastAsia="Calibri" w:cs="Arial" w:eastAsiaTheme="minorAscii"/>
          <w:b w:val="1"/>
          <w:bCs w:val="1"/>
          <w:noProof/>
          <w:color w:val="auto"/>
          <w:sz w:val="22"/>
          <w:szCs w:val="22"/>
        </w:rPr>
      </w:sdtEndPr>
      <w:sdtContent>
        <w:p w:rsidRPr="00536F1A" w:rsidR="00536F1A" w:rsidP="00536F1A" w:rsidRDefault="00536F1A" w14:paraId="267AB355" w14:textId="29877FF1">
          <w:pPr>
            <w:pStyle w:val="TOCHeading"/>
            <w:jc w:val="center"/>
            <w:rPr>
              <w:rFonts w:ascii="Arial" w:hAnsi="Arial" w:cs="Arial"/>
              <w:b/>
              <w:bCs/>
            </w:rPr>
          </w:pPr>
          <w:r w:rsidRPr="00536F1A">
            <w:rPr>
              <w:rFonts w:ascii="Arial" w:hAnsi="Arial" w:cs="Arial"/>
              <w:b/>
              <w:bCs/>
            </w:rPr>
            <w:t>Table of Contents</w:t>
          </w:r>
        </w:p>
        <w:p w:rsidRPr="00536F1A" w:rsidR="00536F1A" w:rsidP="00536F1A" w:rsidRDefault="00536F1A" w14:paraId="7B18A305" w14:textId="167A63F1">
          <w:pPr>
            <w:pStyle w:val="TOC1"/>
            <w:tabs>
              <w:tab w:val="right" w:leader="dot" w:pos="9350"/>
            </w:tabs>
            <w:spacing w:line="360" w:lineRule="auto"/>
            <w:rPr>
              <w:rFonts w:ascii="Arial" w:hAnsi="Arial" w:cs="Arial"/>
              <w:noProof/>
              <w:sz w:val="22"/>
              <w:szCs w:val="22"/>
            </w:rPr>
          </w:pPr>
          <w:r w:rsidRPr="00536F1A">
            <w:rPr>
              <w:rFonts w:ascii="Arial" w:hAnsi="Arial" w:cs="Arial"/>
              <w:sz w:val="22"/>
              <w:szCs w:val="22"/>
            </w:rPr>
            <w:fldChar w:fldCharType="begin"/>
          </w:r>
          <w:r w:rsidRPr="00536F1A">
            <w:rPr>
              <w:rFonts w:ascii="Arial" w:hAnsi="Arial" w:cs="Arial"/>
              <w:sz w:val="22"/>
              <w:szCs w:val="22"/>
            </w:rPr>
            <w:instrText xml:space="preserve"> TOC \o "1-3" \h \z \u </w:instrText>
          </w:r>
          <w:r w:rsidRPr="00536F1A">
            <w:rPr>
              <w:rFonts w:ascii="Arial" w:hAnsi="Arial" w:cs="Arial"/>
              <w:sz w:val="22"/>
              <w:szCs w:val="22"/>
            </w:rPr>
            <w:fldChar w:fldCharType="separate"/>
          </w:r>
          <w:hyperlink w:history="1" w:anchor="_Toc235840175">
            <w:r w:rsidRPr="00536F1A">
              <w:rPr>
                <w:rStyle w:val="Hyperlink"/>
                <w:rFonts w:ascii="Arial" w:hAnsi="Arial" w:cs="Arial"/>
                <w:noProof/>
                <w:sz w:val="22"/>
                <w:szCs w:val="22"/>
              </w:rPr>
              <w:t>1.Introduction</w:t>
            </w:r>
            <w:r w:rsidRPr="00536F1A">
              <w:rPr>
                <w:rFonts w:ascii="Arial" w:hAnsi="Arial" w:cs="Arial"/>
                <w:noProof/>
                <w:webHidden/>
                <w:sz w:val="22"/>
                <w:szCs w:val="22"/>
              </w:rPr>
              <w:tab/>
            </w:r>
            <w:r w:rsidRPr="00536F1A">
              <w:rPr>
                <w:rFonts w:ascii="Arial" w:hAnsi="Arial" w:cs="Arial"/>
                <w:noProof/>
                <w:webHidden/>
                <w:sz w:val="22"/>
                <w:szCs w:val="22"/>
              </w:rPr>
              <w:fldChar w:fldCharType="begin"/>
            </w:r>
            <w:r w:rsidRPr="00536F1A">
              <w:rPr>
                <w:rFonts w:ascii="Arial" w:hAnsi="Arial" w:cs="Arial"/>
                <w:noProof/>
                <w:webHidden/>
                <w:sz w:val="22"/>
                <w:szCs w:val="22"/>
              </w:rPr>
              <w:instrText xml:space="preserve"> PAGEREF _Toc235840175 \h </w:instrText>
            </w:r>
            <w:r w:rsidRPr="00536F1A">
              <w:rPr>
                <w:rFonts w:ascii="Arial" w:hAnsi="Arial" w:cs="Arial"/>
                <w:noProof/>
                <w:webHidden/>
                <w:sz w:val="22"/>
                <w:szCs w:val="22"/>
              </w:rPr>
            </w:r>
            <w:r w:rsidRPr="00536F1A">
              <w:rPr>
                <w:rFonts w:ascii="Arial" w:hAnsi="Arial" w:cs="Arial"/>
                <w:noProof/>
                <w:webHidden/>
                <w:sz w:val="22"/>
                <w:szCs w:val="22"/>
              </w:rPr>
              <w:fldChar w:fldCharType="separate"/>
            </w:r>
            <w:r w:rsidRPr="00536F1A">
              <w:rPr>
                <w:rFonts w:ascii="Arial" w:hAnsi="Arial" w:cs="Arial"/>
                <w:noProof/>
                <w:webHidden/>
                <w:sz w:val="22"/>
                <w:szCs w:val="22"/>
              </w:rPr>
              <w:t>3</w:t>
            </w:r>
            <w:r w:rsidRPr="00536F1A">
              <w:rPr>
                <w:rFonts w:ascii="Arial" w:hAnsi="Arial" w:cs="Arial"/>
                <w:noProof/>
                <w:webHidden/>
                <w:sz w:val="22"/>
                <w:szCs w:val="22"/>
              </w:rPr>
              <w:fldChar w:fldCharType="end"/>
            </w:r>
          </w:hyperlink>
        </w:p>
        <w:p w:rsidRPr="00536F1A" w:rsidR="00536F1A" w:rsidP="00536F1A" w:rsidRDefault="00536F1A" w14:paraId="7B32E555" w14:textId="43607321">
          <w:pPr>
            <w:pStyle w:val="TOC1"/>
            <w:tabs>
              <w:tab w:val="right" w:leader="dot" w:pos="9350"/>
            </w:tabs>
            <w:spacing w:line="360" w:lineRule="auto"/>
            <w:rPr>
              <w:rFonts w:ascii="Arial" w:hAnsi="Arial" w:cs="Arial"/>
              <w:noProof/>
              <w:sz w:val="22"/>
              <w:szCs w:val="22"/>
            </w:rPr>
          </w:pPr>
          <w:hyperlink w:history="1" w:anchor="_Toc235840176">
            <w:r w:rsidRPr="00536F1A">
              <w:rPr>
                <w:rStyle w:val="Hyperlink"/>
                <w:rFonts w:ascii="Arial" w:hAnsi="Arial" w:cs="Arial"/>
                <w:noProof/>
                <w:sz w:val="22"/>
                <w:szCs w:val="22"/>
              </w:rPr>
              <w:t>2. Classification and Diagnosis</w:t>
            </w:r>
            <w:r w:rsidRPr="00536F1A">
              <w:rPr>
                <w:rFonts w:ascii="Arial" w:hAnsi="Arial" w:cs="Arial"/>
                <w:noProof/>
                <w:webHidden/>
                <w:sz w:val="22"/>
                <w:szCs w:val="22"/>
              </w:rPr>
              <w:tab/>
            </w:r>
            <w:r w:rsidRPr="00536F1A">
              <w:rPr>
                <w:rFonts w:ascii="Arial" w:hAnsi="Arial" w:cs="Arial"/>
                <w:noProof/>
                <w:webHidden/>
                <w:sz w:val="22"/>
                <w:szCs w:val="22"/>
              </w:rPr>
              <w:fldChar w:fldCharType="begin"/>
            </w:r>
            <w:r w:rsidRPr="00536F1A">
              <w:rPr>
                <w:rFonts w:ascii="Arial" w:hAnsi="Arial" w:cs="Arial"/>
                <w:noProof/>
                <w:webHidden/>
                <w:sz w:val="22"/>
                <w:szCs w:val="22"/>
              </w:rPr>
              <w:instrText xml:space="preserve"> PAGEREF _Toc235840176 \h </w:instrText>
            </w:r>
            <w:r w:rsidRPr="00536F1A">
              <w:rPr>
                <w:rFonts w:ascii="Arial" w:hAnsi="Arial" w:cs="Arial"/>
                <w:noProof/>
                <w:webHidden/>
                <w:sz w:val="22"/>
                <w:szCs w:val="22"/>
              </w:rPr>
            </w:r>
            <w:r w:rsidRPr="00536F1A">
              <w:rPr>
                <w:rFonts w:ascii="Arial" w:hAnsi="Arial" w:cs="Arial"/>
                <w:noProof/>
                <w:webHidden/>
                <w:sz w:val="22"/>
                <w:szCs w:val="22"/>
              </w:rPr>
              <w:fldChar w:fldCharType="separate"/>
            </w:r>
            <w:r w:rsidRPr="00536F1A">
              <w:rPr>
                <w:rFonts w:ascii="Arial" w:hAnsi="Arial" w:cs="Arial"/>
                <w:noProof/>
                <w:webHidden/>
                <w:sz w:val="22"/>
                <w:szCs w:val="22"/>
              </w:rPr>
              <w:t>3</w:t>
            </w:r>
            <w:r w:rsidRPr="00536F1A">
              <w:rPr>
                <w:rFonts w:ascii="Arial" w:hAnsi="Arial" w:cs="Arial"/>
                <w:noProof/>
                <w:webHidden/>
                <w:sz w:val="22"/>
                <w:szCs w:val="22"/>
              </w:rPr>
              <w:fldChar w:fldCharType="end"/>
            </w:r>
          </w:hyperlink>
        </w:p>
        <w:p w:rsidRPr="00536F1A" w:rsidR="00536F1A" w:rsidP="00536F1A" w:rsidRDefault="00536F1A" w14:paraId="6A94EB15" w14:textId="7D3B82A0">
          <w:pPr>
            <w:pStyle w:val="TOC1"/>
            <w:tabs>
              <w:tab w:val="right" w:leader="dot" w:pos="9350"/>
            </w:tabs>
            <w:spacing w:line="360" w:lineRule="auto"/>
            <w:rPr>
              <w:rFonts w:ascii="Arial" w:hAnsi="Arial" w:cs="Arial"/>
              <w:noProof/>
              <w:sz w:val="22"/>
              <w:szCs w:val="22"/>
            </w:rPr>
          </w:pPr>
          <w:hyperlink w:history="1" w:anchor="_Toc235840177">
            <w:r w:rsidRPr="00536F1A">
              <w:rPr>
                <w:rStyle w:val="Hyperlink"/>
                <w:rFonts w:ascii="Arial" w:hAnsi="Arial" w:cs="Arial"/>
                <w:noProof/>
                <w:sz w:val="22"/>
                <w:szCs w:val="22"/>
              </w:rPr>
              <w:t>3. Treatment Approaches</w:t>
            </w:r>
            <w:r w:rsidRPr="00536F1A">
              <w:rPr>
                <w:rFonts w:ascii="Arial" w:hAnsi="Arial" w:cs="Arial"/>
                <w:noProof/>
                <w:webHidden/>
                <w:sz w:val="22"/>
                <w:szCs w:val="22"/>
              </w:rPr>
              <w:tab/>
            </w:r>
            <w:r w:rsidRPr="00536F1A">
              <w:rPr>
                <w:rFonts w:ascii="Arial" w:hAnsi="Arial" w:cs="Arial"/>
                <w:noProof/>
                <w:webHidden/>
                <w:sz w:val="22"/>
                <w:szCs w:val="22"/>
              </w:rPr>
              <w:fldChar w:fldCharType="begin"/>
            </w:r>
            <w:r w:rsidRPr="00536F1A">
              <w:rPr>
                <w:rFonts w:ascii="Arial" w:hAnsi="Arial" w:cs="Arial"/>
                <w:noProof/>
                <w:webHidden/>
                <w:sz w:val="22"/>
                <w:szCs w:val="22"/>
              </w:rPr>
              <w:instrText xml:space="preserve"> PAGEREF _Toc235840177 \h </w:instrText>
            </w:r>
            <w:r w:rsidRPr="00536F1A">
              <w:rPr>
                <w:rFonts w:ascii="Arial" w:hAnsi="Arial" w:cs="Arial"/>
                <w:noProof/>
                <w:webHidden/>
                <w:sz w:val="22"/>
                <w:szCs w:val="22"/>
              </w:rPr>
            </w:r>
            <w:r w:rsidRPr="00536F1A">
              <w:rPr>
                <w:rFonts w:ascii="Arial" w:hAnsi="Arial" w:cs="Arial"/>
                <w:noProof/>
                <w:webHidden/>
                <w:sz w:val="22"/>
                <w:szCs w:val="22"/>
              </w:rPr>
              <w:fldChar w:fldCharType="separate"/>
            </w:r>
            <w:r w:rsidRPr="00536F1A">
              <w:rPr>
                <w:rFonts w:ascii="Arial" w:hAnsi="Arial" w:cs="Arial"/>
                <w:noProof/>
                <w:webHidden/>
                <w:sz w:val="22"/>
                <w:szCs w:val="22"/>
              </w:rPr>
              <w:t>4</w:t>
            </w:r>
            <w:r w:rsidRPr="00536F1A">
              <w:rPr>
                <w:rFonts w:ascii="Arial" w:hAnsi="Arial" w:cs="Arial"/>
                <w:noProof/>
                <w:webHidden/>
                <w:sz w:val="22"/>
                <w:szCs w:val="22"/>
              </w:rPr>
              <w:fldChar w:fldCharType="end"/>
            </w:r>
          </w:hyperlink>
        </w:p>
        <w:p w:rsidRPr="00536F1A" w:rsidR="00536F1A" w:rsidP="00536F1A" w:rsidRDefault="00536F1A" w14:paraId="6E0B728C" w14:textId="330A06DA">
          <w:pPr>
            <w:pStyle w:val="TOC1"/>
            <w:tabs>
              <w:tab w:val="right" w:leader="dot" w:pos="9350"/>
            </w:tabs>
            <w:spacing w:line="360" w:lineRule="auto"/>
            <w:rPr>
              <w:rFonts w:ascii="Arial" w:hAnsi="Arial" w:cs="Arial"/>
              <w:noProof/>
              <w:sz w:val="22"/>
              <w:szCs w:val="22"/>
            </w:rPr>
          </w:pPr>
          <w:hyperlink w:history="1" w:anchor="_Toc235840178">
            <w:r w:rsidRPr="00536F1A">
              <w:rPr>
                <w:rStyle w:val="Hyperlink"/>
                <w:rFonts w:ascii="Arial" w:hAnsi="Arial" w:cs="Arial"/>
                <w:noProof/>
                <w:sz w:val="22"/>
                <w:szCs w:val="22"/>
              </w:rPr>
              <w:t>4. Rehabilitation and Long-Term Management</w:t>
            </w:r>
            <w:r w:rsidRPr="00536F1A">
              <w:rPr>
                <w:rFonts w:ascii="Arial" w:hAnsi="Arial" w:cs="Arial"/>
                <w:noProof/>
                <w:webHidden/>
                <w:sz w:val="22"/>
                <w:szCs w:val="22"/>
              </w:rPr>
              <w:tab/>
            </w:r>
            <w:r w:rsidRPr="00536F1A">
              <w:rPr>
                <w:rFonts w:ascii="Arial" w:hAnsi="Arial" w:cs="Arial"/>
                <w:noProof/>
                <w:webHidden/>
                <w:sz w:val="22"/>
                <w:szCs w:val="22"/>
              </w:rPr>
              <w:fldChar w:fldCharType="begin"/>
            </w:r>
            <w:r w:rsidRPr="00536F1A">
              <w:rPr>
                <w:rFonts w:ascii="Arial" w:hAnsi="Arial" w:cs="Arial"/>
                <w:noProof/>
                <w:webHidden/>
                <w:sz w:val="22"/>
                <w:szCs w:val="22"/>
              </w:rPr>
              <w:instrText xml:space="preserve"> PAGEREF _Toc235840178 \h </w:instrText>
            </w:r>
            <w:r w:rsidRPr="00536F1A">
              <w:rPr>
                <w:rFonts w:ascii="Arial" w:hAnsi="Arial" w:cs="Arial"/>
                <w:noProof/>
                <w:webHidden/>
                <w:sz w:val="22"/>
                <w:szCs w:val="22"/>
              </w:rPr>
            </w:r>
            <w:r w:rsidRPr="00536F1A">
              <w:rPr>
                <w:rFonts w:ascii="Arial" w:hAnsi="Arial" w:cs="Arial"/>
                <w:noProof/>
                <w:webHidden/>
                <w:sz w:val="22"/>
                <w:szCs w:val="22"/>
              </w:rPr>
              <w:fldChar w:fldCharType="separate"/>
            </w:r>
            <w:r w:rsidRPr="00536F1A">
              <w:rPr>
                <w:rFonts w:ascii="Arial" w:hAnsi="Arial" w:cs="Arial"/>
                <w:noProof/>
                <w:webHidden/>
                <w:sz w:val="22"/>
                <w:szCs w:val="22"/>
              </w:rPr>
              <w:t>6</w:t>
            </w:r>
            <w:r w:rsidRPr="00536F1A">
              <w:rPr>
                <w:rFonts w:ascii="Arial" w:hAnsi="Arial" w:cs="Arial"/>
                <w:noProof/>
                <w:webHidden/>
                <w:sz w:val="22"/>
                <w:szCs w:val="22"/>
              </w:rPr>
              <w:fldChar w:fldCharType="end"/>
            </w:r>
          </w:hyperlink>
        </w:p>
        <w:p w:rsidRPr="00536F1A" w:rsidR="00536F1A" w:rsidP="00536F1A" w:rsidRDefault="00536F1A" w14:paraId="4836509B" w14:textId="2C0A5B54">
          <w:pPr>
            <w:pStyle w:val="TOC1"/>
            <w:tabs>
              <w:tab w:val="right" w:leader="dot" w:pos="9350"/>
            </w:tabs>
            <w:spacing w:line="360" w:lineRule="auto"/>
            <w:rPr>
              <w:rFonts w:ascii="Arial" w:hAnsi="Arial" w:cs="Arial"/>
              <w:noProof/>
              <w:sz w:val="22"/>
              <w:szCs w:val="22"/>
            </w:rPr>
          </w:pPr>
          <w:hyperlink w:history="1" w:anchor="_Toc235840179">
            <w:r w:rsidRPr="00536F1A">
              <w:rPr>
                <w:rStyle w:val="Hyperlink"/>
                <w:rFonts w:ascii="Arial" w:hAnsi="Arial" w:cs="Arial"/>
                <w:noProof/>
                <w:sz w:val="22"/>
                <w:szCs w:val="22"/>
              </w:rPr>
              <w:t>5. Current Debates and Emerging Issues</w:t>
            </w:r>
            <w:r w:rsidRPr="00536F1A">
              <w:rPr>
                <w:rFonts w:ascii="Arial" w:hAnsi="Arial" w:cs="Arial"/>
                <w:noProof/>
                <w:webHidden/>
                <w:sz w:val="22"/>
                <w:szCs w:val="22"/>
              </w:rPr>
              <w:tab/>
            </w:r>
            <w:r w:rsidRPr="00536F1A">
              <w:rPr>
                <w:rFonts w:ascii="Arial" w:hAnsi="Arial" w:cs="Arial"/>
                <w:noProof/>
                <w:webHidden/>
                <w:sz w:val="22"/>
                <w:szCs w:val="22"/>
              </w:rPr>
              <w:fldChar w:fldCharType="begin"/>
            </w:r>
            <w:r w:rsidRPr="00536F1A">
              <w:rPr>
                <w:rFonts w:ascii="Arial" w:hAnsi="Arial" w:cs="Arial"/>
                <w:noProof/>
                <w:webHidden/>
                <w:sz w:val="22"/>
                <w:szCs w:val="22"/>
              </w:rPr>
              <w:instrText xml:space="preserve"> PAGEREF _Toc235840179 \h </w:instrText>
            </w:r>
            <w:r w:rsidRPr="00536F1A">
              <w:rPr>
                <w:rFonts w:ascii="Arial" w:hAnsi="Arial" w:cs="Arial"/>
                <w:noProof/>
                <w:webHidden/>
                <w:sz w:val="22"/>
                <w:szCs w:val="22"/>
              </w:rPr>
            </w:r>
            <w:r w:rsidRPr="00536F1A">
              <w:rPr>
                <w:rFonts w:ascii="Arial" w:hAnsi="Arial" w:cs="Arial"/>
                <w:noProof/>
                <w:webHidden/>
                <w:sz w:val="22"/>
                <w:szCs w:val="22"/>
              </w:rPr>
              <w:fldChar w:fldCharType="separate"/>
            </w:r>
            <w:r w:rsidRPr="00536F1A">
              <w:rPr>
                <w:rFonts w:ascii="Arial" w:hAnsi="Arial" w:cs="Arial"/>
                <w:noProof/>
                <w:webHidden/>
                <w:sz w:val="22"/>
                <w:szCs w:val="22"/>
              </w:rPr>
              <w:t>7</w:t>
            </w:r>
            <w:r w:rsidRPr="00536F1A">
              <w:rPr>
                <w:rFonts w:ascii="Arial" w:hAnsi="Arial" w:cs="Arial"/>
                <w:noProof/>
                <w:webHidden/>
                <w:sz w:val="22"/>
                <w:szCs w:val="22"/>
              </w:rPr>
              <w:fldChar w:fldCharType="end"/>
            </w:r>
          </w:hyperlink>
        </w:p>
        <w:p w:rsidRPr="00536F1A" w:rsidR="00536F1A" w:rsidP="00536F1A" w:rsidRDefault="00536F1A" w14:paraId="66BF2BF0" w14:textId="549F81E4">
          <w:pPr>
            <w:pStyle w:val="TOC1"/>
            <w:tabs>
              <w:tab w:val="right" w:leader="dot" w:pos="9350"/>
            </w:tabs>
            <w:spacing w:line="360" w:lineRule="auto"/>
            <w:rPr>
              <w:rFonts w:ascii="Arial" w:hAnsi="Arial" w:cs="Arial"/>
              <w:noProof/>
              <w:sz w:val="22"/>
              <w:szCs w:val="22"/>
            </w:rPr>
          </w:pPr>
          <w:hyperlink w:history="1" w:anchor="_Toc235840180">
            <w:r w:rsidRPr="00536F1A">
              <w:rPr>
                <w:rStyle w:val="Hyperlink"/>
                <w:rFonts w:ascii="Arial" w:hAnsi="Arial" w:cs="Arial"/>
                <w:noProof/>
                <w:sz w:val="22"/>
                <w:szCs w:val="22"/>
              </w:rPr>
              <w:t>6. Recommendations</w:t>
            </w:r>
            <w:r w:rsidRPr="00536F1A">
              <w:rPr>
                <w:rFonts w:ascii="Arial" w:hAnsi="Arial" w:cs="Arial"/>
                <w:noProof/>
                <w:webHidden/>
                <w:sz w:val="22"/>
                <w:szCs w:val="22"/>
              </w:rPr>
              <w:tab/>
            </w:r>
            <w:r w:rsidRPr="00536F1A">
              <w:rPr>
                <w:rFonts w:ascii="Arial" w:hAnsi="Arial" w:cs="Arial"/>
                <w:noProof/>
                <w:webHidden/>
                <w:sz w:val="22"/>
                <w:szCs w:val="22"/>
              </w:rPr>
              <w:fldChar w:fldCharType="begin"/>
            </w:r>
            <w:r w:rsidRPr="00536F1A">
              <w:rPr>
                <w:rFonts w:ascii="Arial" w:hAnsi="Arial" w:cs="Arial"/>
                <w:noProof/>
                <w:webHidden/>
                <w:sz w:val="22"/>
                <w:szCs w:val="22"/>
              </w:rPr>
              <w:instrText xml:space="preserve"> PAGEREF _Toc235840180 \h </w:instrText>
            </w:r>
            <w:r w:rsidRPr="00536F1A">
              <w:rPr>
                <w:rFonts w:ascii="Arial" w:hAnsi="Arial" w:cs="Arial"/>
                <w:noProof/>
                <w:webHidden/>
                <w:sz w:val="22"/>
                <w:szCs w:val="22"/>
              </w:rPr>
            </w:r>
            <w:r w:rsidRPr="00536F1A">
              <w:rPr>
                <w:rFonts w:ascii="Arial" w:hAnsi="Arial" w:cs="Arial"/>
                <w:noProof/>
                <w:webHidden/>
                <w:sz w:val="22"/>
                <w:szCs w:val="22"/>
              </w:rPr>
              <w:fldChar w:fldCharType="separate"/>
            </w:r>
            <w:r w:rsidRPr="00536F1A">
              <w:rPr>
                <w:rFonts w:ascii="Arial" w:hAnsi="Arial" w:cs="Arial"/>
                <w:noProof/>
                <w:webHidden/>
                <w:sz w:val="22"/>
                <w:szCs w:val="22"/>
              </w:rPr>
              <w:t>7</w:t>
            </w:r>
            <w:r w:rsidRPr="00536F1A">
              <w:rPr>
                <w:rFonts w:ascii="Arial" w:hAnsi="Arial" w:cs="Arial"/>
                <w:noProof/>
                <w:webHidden/>
                <w:sz w:val="22"/>
                <w:szCs w:val="22"/>
              </w:rPr>
              <w:fldChar w:fldCharType="end"/>
            </w:r>
          </w:hyperlink>
        </w:p>
        <w:p w:rsidRPr="00536F1A" w:rsidR="00536F1A" w:rsidP="00536F1A" w:rsidRDefault="00536F1A" w14:paraId="4F058A07" w14:textId="6857AE46">
          <w:pPr>
            <w:pStyle w:val="TOC1"/>
            <w:tabs>
              <w:tab w:val="right" w:leader="dot" w:pos="9350"/>
            </w:tabs>
            <w:spacing w:line="360" w:lineRule="auto"/>
            <w:rPr>
              <w:rFonts w:ascii="Arial" w:hAnsi="Arial" w:cs="Arial"/>
              <w:noProof/>
              <w:sz w:val="22"/>
              <w:szCs w:val="22"/>
            </w:rPr>
          </w:pPr>
          <w:hyperlink w:history="1" w:anchor="_Toc235840181">
            <w:r w:rsidRPr="00536F1A">
              <w:rPr>
                <w:rStyle w:val="Hyperlink"/>
                <w:rFonts w:ascii="Arial" w:hAnsi="Arial" w:cs="Arial"/>
                <w:noProof/>
                <w:sz w:val="22"/>
                <w:szCs w:val="22"/>
              </w:rPr>
              <w:t>7. Conclusion</w:t>
            </w:r>
            <w:r w:rsidRPr="00536F1A">
              <w:rPr>
                <w:rFonts w:ascii="Arial" w:hAnsi="Arial" w:cs="Arial"/>
                <w:noProof/>
                <w:webHidden/>
                <w:sz w:val="22"/>
                <w:szCs w:val="22"/>
              </w:rPr>
              <w:tab/>
            </w:r>
            <w:r w:rsidRPr="00536F1A">
              <w:rPr>
                <w:rFonts w:ascii="Arial" w:hAnsi="Arial" w:cs="Arial"/>
                <w:noProof/>
                <w:webHidden/>
                <w:sz w:val="22"/>
                <w:szCs w:val="22"/>
              </w:rPr>
              <w:fldChar w:fldCharType="begin"/>
            </w:r>
            <w:r w:rsidRPr="00536F1A">
              <w:rPr>
                <w:rFonts w:ascii="Arial" w:hAnsi="Arial" w:cs="Arial"/>
                <w:noProof/>
                <w:webHidden/>
                <w:sz w:val="22"/>
                <w:szCs w:val="22"/>
              </w:rPr>
              <w:instrText xml:space="preserve"> PAGEREF _Toc235840181 \h </w:instrText>
            </w:r>
            <w:r w:rsidRPr="00536F1A">
              <w:rPr>
                <w:rFonts w:ascii="Arial" w:hAnsi="Arial" w:cs="Arial"/>
                <w:noProof/>
                <w:webHidden/>
                <w:sz w:val="22"/>
                <w:szCs w:val="22"/>
              </w:rPr>
            </w:r>
            <w:r w:rsidRPr="00536F1A">
              <w:rPr>
                <w:rFonts w:ascii="Arial" w:hAnsi="Arial" w:cs="Arial"/>
                <w:noProof/>
                <w:webHidden/>
                <w:sz w:val="22"/>
                <w:szCs w:val="22"/>
              </w:rPr>
              <w:fldChar w:fldCharType="separate"/>
            </w:r>
            <w:r w:rsidRPr="00536F1A">
              <w:rPr>
                <w:rFonts w:ascii="Arial" w:hAnsi="Arial" w:cs="Arial"/>
                <w:noProof/>
                <w:webHidden/>
                <w:sz w:val="22"/>
                <w:szCs w:val="22"/>
              </w:rPr>
              <w:t>8</w:t>
            </w:r>
            <w:r w:rsidRPr="00536F1A">
              <w:rPr>
                <w:rFonts w:ascii="Arial" w:hAnsi="Arial" w:cs="Arial"/>
                <w:noProof/>
                <w:webHidden/>
                <w:sz w:val="22"/>
                <w:szCs w:val="22"/>
              </w:rPr>
              <w:fldChar w:fldCharType="end"/>
            </w:r>
          </w:hyperlink>
        </w:p>
        <w:p w:rsidRPr="00536F1A" w:rsidR="00536F1A" w:rsidP="00536F1A" w:rsidRDefault="00536F1A" w14:paraId="228D0157" w14:textId="66FF7CC0">
          <w:pPr>
            <w:pStyle w:val="TOC1"/>
            <w:tabs>
              <w:tab w:val="right" w:leader="dot" w:pos="9350"/>
            </w:tabs>
            <w:spacing w:line="360" w:lineRule="auto"/>
            <w:rPr>
              <w:rFonts w:ascii="Arial" w:hAnsi="Arial" w:cs="Arial"/>
              <w:noProof/>
              <w:sz w:val="22"/>
              <w:szCs w:val="22"/>
            </w:rPr>
          </w:pPr>
          <w:hyperlink w:history="1" w:anchor="_Toc235840182">
            <w:r w:rsidRPr="00536F1A">
              <w:rPr>
                <w:rStyle w:val="Hyperlink"/>
                <w:rFonts w:ascii="Arial" w:hAnsi="Arial" w:cs="Arial"/>
                <w:noProof/>
                <w:sz w:val="22"/>
                <w:szCs w:val="22"/>
              </w:rPr>
              <w:t>References</w:t>
            </w:r>
            <w:r w:rsidRPr="00536F1A">
              <w:rPr>
                <w:rFonts w:ascii="Arial" w:hAnsi="Arial" w:cs="Arial"/>
                <w:noProof/>
                <w:webHidden/>
                <w:sz w:val="22"/>
                <w:szCs w:val="22"/>
              </w:rPr>
              <w:tab/>
            </w:r>
            <w:r w:rsidRPr="00536F1A">
              <w:rPr>
                <w:rFonts w:ascii="Arial" w:hAnsi="Arial" w:cs="Arial"/>
                <w:noProof/>
                <w:webHidden/>
                <w:sz w:val="22"/>
                <w:szCs w:val="22"/>
              </w:rPr>
              <w:fldChar w:fldCharType="begin"/>
            </w:r>
            <w:r w:rsidRPr="00536F1A">
              <w:rPr>
                <w:rFonts w:ascii="Arial" w:hAnsi="Arial" w:cs="Arial"/>
                <w:noProof/>
                <w:webHidden/>
                <w:sz w:val="22"/>
                <w:szCs w:val="22"/>
              </w:rPr>
              <w:instrText xml:space="preserve"> PAGEREF _Toc235840182 \h </w:instrText>
            </w:r>
            <w:r w:rsidRPr="00536F1A">
              <w:rPr>
                <w:rFonts w:ascii="Arial" w:hAnsi="Arial" w:cs="Arial"/>
                <w:noProof/>
                <w:webHidden/>
                <w:sz w:val="22"/>
                <w:szCs w:val="22"/>
              </w:rPr>
            </w:r>
            <w:r w:rsidRPr="00536F1A">
              <w:rPr>
                <w:rFonts w:ascii="Arial" w:hAnsi="Arial" w:cs="Arial"/>
                <w:noProof/>
                <w:webHidden/>
                <w:sz w:val="22"/>
                <w:szCs w:val="22"/>
              </w:rPr>
              <w:fldChar w:fldCharType="separate"/>
            </w:r>
            <w:r w:rsidRPr="00536F1A">
              <w:rPr>
                <w:rFonts w:ascii="Arial" w:hAnsi="Arial" w:cs="Arial"/>
                <w:noProof/>
                <w:webHidden/>
                <w:sz w:val="22"/>
                <w:szCs w:val="22"/>
              </w:rPr>
              <w:t>10</w:t>
            </w:r>
            <w:r w:rsidRPr="00536F1A">
              <w:rPr>
                <w:rFonts w:ascii="Arial" w:hAnsi="Arial" w:cs="Arial"/>
                <w:noProof/>
                <w:webHidden/>
                <w:sz w:val="22"/>
                <w:szCs w:val="22"/>
              </w:rPr>
              <w:fldChar w:fldCharType="end"/>
            </w:r>
          </w:hyperlink>
        </w:p>
        <w:p w:rsidRPr="00536F1A" w:rsidR="00536F1A" w:rsidP="00536F1A" w:rsidRDefault="00536F1A" w14:paraId="4C3E8764" w14:textId="7261B5C7">
          <w:pPr>
            <w:spacing w:line="360" w:lineRule="auto"/>
            <w:rPr>
              <w:rFonts w:ascii="Arial" w:hAnsi="Arial" w:cs="Arial"/>
              <w:sz w:val="22"/>
              <w:szCs w:val="22"/>
            </w:rPr>
          </w:pPr>
          <w:r w:rsidRPr="00536F1A">
            <w:rPr>
              <w:rFonts w:ascii="Arial" w:hAnsi="Arial" w:cs="Arial"/>
              <w:b/>
              <w:bCs/>
              <w:noProof/>
              <w:sz w:val="22"/>
              <w:szCs w:val="22"/>
            </w:rPr>
            <w:fldChar w:fldCharType="end"/>
          </w:r>
        </w:p>
      </w:sdtContent>
    </w:sdt>
    <w:p w:rsidRPr="00536F1A" w:rsidR="00536F1A" w:rsidP="00536F1A" w:rsidRDefault="00536F1A" w14:paraId="7BB3F7B2" w14:textId="77777777">
      <w:pPr>
        <w:spacing w:line="360" w:lineRule="auto"/>
        <w:rPr>
          <w:rFonts w:ascii="Arial" w:hAnsi="Arial" w:cs="Arial" w:eastAsiaTheme="majorEastAsia"/>
          <w:b/>
          <w:color w:val="000000" w:themeColor="text1"/>
          <w:sz w:val="22"/>
          <w:szCs w:val="22"/>
        </w:rPr>
      </w:pPr>
      <w:r w:rsidRPr="00536F1A">
        <w:rPr>
          <w:rFonts w:ascii="Arial" w:hAnsi="Arial" w:cs="Arial"/>
          <w:sz w:val="22"/>
          <w:szCs w:val="22"/>
        </w:rPr>
        <w:br w:type="page"/>
      </w:r>
    </w:p>
    <w:p w:rsidRPr="00845A54" w:rsidR="00845A54" w:rsidP="00845A54" w:rsidRDefault="00845A54" w14:paraId="4AB0920F" w14:textId="0E1FF984">
      <w:pPr>
        <w:pStyle w:val="Heading1"/>
      </w:pPr>
      <w:bookmarkStart w:name="_Toc235840175" w:id="1"/>
      <w:r>
        <w:lastRenderedPageBreak/>
        <w:t>1.</w:t>
      </w:r>
      <w:r w:rsidRPr="00845A54">
        <w:t>Introduction</w:t>
      </w:r>
      <w:bookmarkEnd w:id="1"/>
      <w:r w:rsidRPr="00845A54">
        <w:t xml:space="preserve"> </w:t>
      </w:r>
    </w:p>
    <w:p w:rsidRPr="00536F1A" w:rsidR="00845A54" w:rsidP="00536F1A" w:rsidRDefault="00845A54" w14:paraId="4A16A841" w14:textId="417C4F93">
      <w:pPr>
        <w:spacing w:line="360" w:lineRule="auto"/>
        <w:jc w:val="both"/>
        <w:rPr>
          <w:rFonts w:ascii="Arial" w:hAnsi="Arial" w:cs="Arial"/>
          <w:sz w:val="22"/>
          <w:szCs w:val="22"/>
        </w:rPr>
      </w:pPr>
      <w:r w:rsidRPr="00536F1A">
        <w:rPr>
          <w:rFonts w:ascii="Arial" w:hAnsi="Arial" w:cs="Arial"/>
          <w:sz w:val="22"/>
          <w:szCs w:val="22"/>
        </w:rPr>
        <w:t>PTSD is also known as post-traumatic stress disorder, a mental health disorder which can occur following an extremely threatening or traumatic experience. It is significant because it can impair relationships, work, health, education, and how they live their day-to-day lives, but many who are traumatised do not understand this. It is estimated that all individuals who have suffered a potentially traumatic event are at 70% risk of developing PTSD and an estimated 5.6% of trauma-exposed individuals will develop PTSD; an estimated 3.9% of people will develop PTSD at some point in their lives (</w:t>
      </w:r>
      <w:r w:rsidR="001558E9">
        <w:rPr>
          <w:rFonts w:ascii="Arial" w:hAnsi="Arial" w:cs="Arial"/>
          <w:sz w:val="22"/>
          <w:szCs w:val="22"/>
        </w:rPr>
        <w:t>WHO</w:t>
      </w:r>
      <w:r w:rsidRPr="00536F1A">
        <w:rPr>
          <w:rFonts w:ascii="Arial" w:hAnsi="Arial" w:cs="Arial"/>
          <w:sz w:val="22"/>
          <w:szCs w:val="22"/>
        </w:rPr>
        <w:t>, 2024a).  This is important because it is not strictly speaking the case that the distress that results from trauma is synonymous with mental disorder.</w:t>
      </w:r>
    </w:p>
    <w:p w:rsidRPr="003B49B7" w:rsidR="00845A54" w:rsidP="00536F1A" w:rsidRDefault="00845A54" w14:paraId="1A547BCC" w14:textId="2FC3B8FF">
      <w:pPr>
        <w:spacing w:line="360" w:lineRule="auto"/>
        <w:jc w:val="both"/>
        <w:rPr>
          <w:rFonts w:ascii="Arial" w:hAnsi="Arial" w:cs="Arial"/>
          <w:sz w:val="22"/>
          <w:szCs w:val="22"/>
        </w:rPr>
      </w:pPr>
      <w:r w:rsidRPr="00536F1A">
        <w:rPr>
          <w:rFonts w:ascii="Arial" w:hAnsi="Arial" w:cs="Arial"/>
          <w:sz w:val="22"/>
          <w:szCs w:val="22"/>
        </w:rPr>
        <w:t xml:space="preserve">The current UK burden is substantial. The </w:t>
      </w:r>
      <w:r w:rsidR="001558E9">
        <w:rPr>
          <w:rFonts w:ascii="Arial" w:hAnsi="Arial" w:cs="Arial"/>
          <w:sz w:val="22"/>
          <w:szCs w:val="22"/>
        </w:rPr>
        <w:t>s</w:t>
      </w:r>
      <w:r w:rsidRPr="00536F1A">
        <w:rPr>
          <w:rFonts w:ascii="Arial" w:hAnsi="Arial" w:cs="Arial"/>
          <w:sz w:val="22"/>
          <w:szCs w:val="22"/>
        </w:rPr>
        <w:t xml:space="preserve">urvey 2023/24 </w:t>
      </w:r>
      <w:r w:rsidR="001558E9">
        <w:rPr>
          <w:rFonts w:ascii="Arial" w:hAnsi="Arial" w:cs="Arial"/>
          <w:sz w:val="22"/>
          <w:szCs w:val="22"/>
        </w:rPr>
        <w:t xml:space="preserve">of </w:t>
      </w:r>
      <w:r w:rsidRPr="00536F1A" w:rsidR="001558E9">
        <w:rPr>
          <w:rFonts w:ascii="Arial" w:hAnsi="Arial" w:cs="Arial"/>
          <w:sz w:val="22"/>
          <w:szCs w:val="22"/>
        </w:rPr>
        <w:t xml:space="preserve">Adult Psychiatric Morbidity </w:t>
      </w:r>
      <w:r w:rsidRPr="00536F1A">
        <w:rPr>
          <w:rFonts w:ascii="Arial" w:hAnsi="Arial" w:cs="Arial"/>
          <w:sz w:val="22"/>
          <w:szCs w:val="22"/>
        </w:rPr>
        <w:t>found that 2.6 million adults in England over the past month had PTSD (5.7% of adults), which is above 4.4% in 2014. Prevalence reached 11.4% for 16-24 age group, 9.4% for the most deprived areas and 19.9% for the unemployed adults. It was not an ICD-11 diagnosis, but rather a screening result indicating the potential for need, not disorder (</w:t>
      </w:r>
      <w:r w:rsidRPr="00536F1A" w:rsidR="00536F1A">
        <w:rPr>
          <w:rFonts w:ascii="Arial" w:hAnsi="Arial" w:cs="Arial"/>
          <w:sz w:val="22"/>
          <w:szCs w:val="22"/>
        </w:rPr>
        <w:t xml:space="preserve">Morris </w:t>
      </w:r>
      <w:r w:rsidRPr="00536F1A">
        <w:rPr>
          <w:rFonts w:ascii="Arial" w:hAnsi="Arial" w:cs="Arial"/>
          <w:sz w:val="22"/>
          <w:szCs w:val="22"/>
        </w:rPr>
        <w:t>et al., 2025). This report critically evaluates ICD-11 classification and diagnosis, treatment, rehabilitation and the current debate and recommendations regarding the policy and practice of the UK.</w:t>
      </w:r>
    </w:p>
    <w:p w:rsidRPr="00C07B57" w:rsidR="00C07B57" w:rsidP="00C07B57" w:rsidRDefault="00C07B57" w14:paraId="35D5F6C7" w14:textId="6ECECF6C">
      <w:pPr>
        <w:pStyle w:val="Heading1"/>
        <w:rPr>
          <w:rFonts w:ascii="Times New Roman" w:hAnsi="Times New Roman"/>
        </w:rPr>
      </w:pPr>
      <w:bookmarkStart w:name="_Toc235840176" w:id="2"/>
      <w:r w:rsidRPr="00C07B57">
        <w:t>2. Classification and Diagnosis</w:t>
      </w:r>
      <w:bookmarkEnd w:id="2"/>
      <w:r w:rsidRPr="00C07B57">
        <w:t xml:space="preserve"> </w:t>
      </w:r>
    </w:p>
    <w:p w:rsidRPr="00536F1A" w:rsidR="003B49B7" w:rsidP="000268DF" w:rsidRDefault="00C07B57" w14:paraId="4B4733A9" w14:textId="4E6F8EA2">
      <w:pPr>
        <w:spacing w:line="360" w:lineRule="auto"/>
        <w:jc w:val="both"/>
        <w:rPr>
          <w:rFonts w:ascii="Arial" w:hAnsi="Arial" w:cs="Arial"/>
          <w:sz w:val="22"/>
          <w:szCs w:val="22"/>
        </w:rPr>
      </w:pPr>
      <w:r w:rsidRPr="00536F1A">
        <w:rPr>
          <w:rFonts w:ascii="Arial" w:hAnsi="Arial" w:cs="Arial"/>
          <w:sz w:val="22"/>
          <w:szCs w:val="22"/>
        </w:rPr>
        <w:t xml:space="preserve">PTSD was included in </w:t>
      </w:r>
      <w:r w:rsidRPr="00536F1A">
        <w:rPr>
          <w:rFonts w:ascii="Arial" w:hAnsi="Arial" w:cs="Arial"/>
          <w:i/>
          <w:iCs/>
          <w:sz w:val="22"/>
          <w:szCs w:val="22"/>
        </w:rPr>
        <w:t>DSM-5</w:t>
      </w:r>
      <w:r w:rsidRPr="00536F1A">
        <w:rPr>
          <w:rFonts w:ascii="Arial" w:hAnsi="Arial" w:cs="Arial"/>
          <w:sz w:val="22"/>
          <w:szCs w:val="22"/>
        </w:rPr>
        <w:t>, a new category i.e. Trauma- and Stressor-Related Disorders. Exposure to a highly threatening or horrifying event/s, plus three sets of core symptoms is required for diagnosis. These are recalling the event vividly in the present, through intrusive memories, flashbacks or nightmares, avoiding internal or external reminders and an exaggerated startle response or hypervigilance to the environment. Symptoms should persist for at least 2</w:t>
      </w:r>
      <w:r w:rsidR="001558E9">
        <w:rPr>
          <w:rFonts w:ascii="Arial" w:hAnsi="Arial" w:cs="Arial"/>
          <w:sz w:val="22"/>
          <w:szCs w:val="22"/>
        </w:rPr>
        <w:t xml:space="preserve"> to 4</w:t>
      </w:r>
      <w:r w:rsidRPr="00536F1A">
        <w:rPr>
          <w:rFonts w:ascii="Arial" w:hAnsi="Arial" w:cs="Arial"/>
          <w:sz w:val="22"/>
          <w:szCs w:val="22"/>
        </w:rPr>
        <w:t xml:space="preserve"> weeks and result in substantial personal, family, social, educational or occupational dysfunction (WHO, 2024b).</w:t>
      </w:r>
    </w:p>
    <w:p w:rsidRPr="003B49B7" w:rsidR="00C07B57" w:rsidP="000268DF" w:rsidRDefault="00C07B57" w14:paraId="488E9CF3" w14:textId="3765E19E">
      <w:pPr>
        <w:spacing w:line="360" w:lineRule="auto"/>
        <w:jc w:val="both"/>
        <w:rPr>
          <w:rFonts w:ascii="Arial" w:hAnsi="Arial" w:cs="Arial"/>
          <w:sz w:val="22"/>
          <w:szCs w:val="22"/>
        </w:rPr>
      </w:pPr>
      <w:r w:rsidRPr="00536F1A">
        <w:rPr>
          <w:rFonts w:ascii="Arial" w:hAnsi="Arial" w:cs="Arial"/>
          <w:sz w:val="22"/>
          <w:szCs w:val="22"/>
        </w:rPr>
        <w:t>This is narrower model differs from DSM-5, which adopts a wider four-cluster 20-symptom approach which covers negative mood and cognition. ICD-11 aims to enhance clinical utility and minimise overlap with depression and anxiety. Hyland et al. (2017) applied this method to 171 trauma-exposed patients in the UK and observed that ICD-11 made fewer diagnoses for PTSD than DSM-5, and that it was possible to make a distinction between PTSD and complex PTSD. Cloitre et al. (2018) went on to create the International Trauma Questionnaire based on community and clinical samples in the UK, suggesting that a reduced version of the instrument could be thought of as an ICD-11 structure.</w:t>
      </w:r>
    </w:p>
    <w:p w:rsidRPr="003B49B7" w:rsidR="001F5ACC" w:rsidP="000268DF" w:rsidRDefault="001F5ACC" w14:paraId="521762D9" w14:textId="527024F8">
      <w:pPr>
        <w:spacing w:line="360" w:lineRule="auto"/>
        <w:jc w:val="both"/>
        <w:rPr>
          <w:rFonts w:ascii="Arial" w:hAnsi="Arial" w:cs="Arial"/>
          <w:sz w:val="22"/>
          <w:szCs w:val="22"/>
        </w:rPr>
      </w:pPr>
      <w:r w:rsidRPr="00536F1A">
        <w:rPr>
          <w:rFonts w:ascii="Arial" w:hAnsi="Arial" w:cs="Arial"/>
          <w:sz w:val="22"/>
          <w:szCs w:val="22"/>
        </w:rPr>
        <w:lastRenderedPageBreak/>
        <w:t>Persistent affect dysregulation, a negative self-concept and relationship problems are all included as part of Complex PTSD (code 6B41), which is the same PTSD requirements. The reclassification could prevent multiple diagnoses of chronic or repeated trauma for people affected by these. The study of Kindred et al. (202</w:t>
      </w:r>
      <w:r w:rsidRPr="00536F1A" w:rsidR="00535C50">
        <w:rPr>
          <w:rFonts w:ascii="Arial" w:hAnsi="Arial" w:cs="Arial"/>
          <w:sz w:val="22"/>
          <w:szCs w:val="22"/>
        </w:rPr>
        <w:t>6</w:t>
      </w:r>
      <w:r w:rsidRPr="00536F1A">
        <w:rPr>
          <w:rFonts w:ascii="Arial" w:hAnsi="Arial" w:cs="Arial"/>
          <w:sz w:val="22"/>
          <w:szCs w:val="22"/>
        </w:rPr>
        <w:t>) analy</w:t>
      </w:r>
      <w:r w:rsidRPr="00536F1A" w:rsidR="00477CF4">
        <w:rPr>
          <w:rFonts w:ascii="Arial" w:hAnsi="Arial" w:cs="Arial"/>
          <w:sz w:val="22"/>
          <w:szCs w:val="22"/>
        </w:rPr>
        <w:t>s</w:t>
      </w:r>
      <w:r w:rsidRPr="00536F1A">
        <w:rPr>
          <w:rFonts w:ascii="Arial" w:hAnsi="Arial" w:cs="Arial"/>
          <w:sz w:val="22"/>
          <w:szCs w:val="22"/>
        </w:rPr>
        <w:t xml:space="preserve">ed 57 studies with 43,066 participants, however, the two-factor model of PTSD and the complex PTSD model fitted well, but a seven-factor model fitted better, and the internal consistency of some subscales of the International Trauma Questionnaire were limited. This </w:t>
      </w:r>
      <w:r w:rsidRPr="00536F1A" w:rsidR="00477CF4">
        <w:rPr>
          <w:rFonts w:ascii="Arial" w:hAnsi="Arial" w:cs="Arial"/>
          <w:sz w:val="22"/>
          <w:szCs w:val="22"/>
        </w:rPr>
        <w:t xml:space="preserve">critiques the apparent precision of </w:t>
      </w:r>
      <w:r w:rsidRPr="00536F1A">
        <w:rPr>
          <w:rFonts w:ascii="Arial" w:hAnsi="Arial" w:cs="Arial"/>
          <w:sz w:val="22"/>
          <w:szCs w:val="22"/>
        </w:rPr>
        <w:t xml:space="preserve">validation research </w:t>
      </w:r>
      <w:r w:rsidRPr="00536F1A" w:rsidR="00477CF4">
        <w:rPr>
          <w:rFonts w:ascii="Arial" w:hAnsi="Arial" w:cs="Arial"/>
          <w:sz w:val="22"/>
          <w:szCs w:val="22"/>
        </w:rPr>
        <w:t xml:space="preserve">studies </w:t>
      </w:r>
      <w:r w:rsidRPr="00536F1A">
        <w:rPr>
          <w:rFonts w:ascii="Arial" w:hAnsi="Arial" w:cs="Arial"/>
          <w:sz w:val="22"/>
          <w:szCs w:val="22"/>
        </w:rPr>
        <w:t>and indicates the need to use shorter instruments in conjunction with, rather than as a replacement for, a thorough clinical evaluation.</w:t>
      </w:r>
    </w:p>
    <w:p w:rsidRPr="00536F1A" w:rsidR="00477CF4" w:rsidP="000268DF" w:rsidRDefault="00477CF4" w14:paraId="1F8E9725" w14:textId="002A5FF5">
      <w:pPr>
        <w:spacing w:line="360" w:lineRule="auto"/>
        <w:jc w:val="both"/>
        <w:rPr>
          <w:rFonts w:ascii="Arial" w:hAnsi="Arial" w:cs="Arial"/>
          <w:sz w:val="22"/>
          <w:szCs w:val="22"/>
        </w:rPr>
      </w:pPr>
      <w:r w:rsidRPr="00536F1A">
        <w:rPr>
          <w:rFonts w:ascii="Arial" w:hAnsi="Arial" w:cs="Arial"/>
          <w:sz w:val="22"/>
          <w:szCs w:val="22"/>
        </w:rPr>
        <w:t xml:space="preserve">In UK practice, a general practitioner may identify possible symptoms and refer the individual to NHS Talking Therapies or specialist mental health services. NHS </w:t>
      </w:r>
      <w:r w:rsidRPr="00536F1A" w:rsidR="00536F1A">
        <w:rPr>
          <w:rFonts w:ascii="Arial" w:hAnsi="Arial" w:cs="Arial"/>
          <w:sz w:val="22"/>
          <w:szCs w:val="22"/>
        </w:rPr>
        <w:t xml:space="preserve">(2026) </w:t>
      </w:r>
      <w:r w:rsidRPr="00536F1A">
        <w:rPr>
          <w:rFonts w:ascii="Arial" w:hAnsi="Arial" w:cs="Arial"/>
          <w:sz w:val="22"/>
          <w:szCs w:val="22"/>
        </w:rPr>
        <w:t xml:space="preserve">broadly reflects ICD-11 by recognising re-experiencing, avoidance, and persistent arousal but the diagnosis does not need to be based on a screening score and a broad clinical assessment is required. Functional impairment, risk, comorbidities, dissociation and complex social needs should also be taken into account when making a clinical decision according to NICE Guideline NG116. PTSD should be differentiated from acute stress, depression, panic, psychosis, long-term grief and neurodevelopmental disorders. However, specialist trauma services may be unavailable and may take a long time to reach patients, which can lead to delays in diagnosis and treatment. Disorder” can be a way to acknowledge clinical need and to get access to services, but critics suggest that it can medicalise a valid and appropriate reaction to a very difficult situation. </w:t>
      </w:r>
    </w:p>
    <w:p w:rsidRPr="00477CF4" w:rsidR="00477CF4" w:rsidP="00477CF4" w:rsidRDefault="00477CF4" w14:paraId="4A681832" w14:textId="77777777">
      <w:pPr>
        <w:pStyle w:val="Heading1"/>
      </w:pPr>
      <w:bookmarkStart w:name="_Toc235840177" w:id="3"/>
      <w:r w:rsidRPr="00477CF4">
        <w:t>3. Treatment Approaches</w:t>
      </w:r>
      <w:bookmarkEnd w:id="3"/>
    </w:p>
    <w:p w:rsidRPr="003B49B7" w:rsidR="00477CF4" w:rsidP="00477CF4" w:rsidRDefault="00477CF4" w14:paraId="33468FC0" w14:textId="77CA539E">
      <w:pPr>
        <w:spacing w:line="360" w:lineRule="auto"/>
        <w:jc w:val="both"/>
        <w:rPr>
          <w:rFonts w:ascii="Arial" w:hAnsi="Arial" w:cs="Arial"/>
          <w:sz w:val="22"/>
          <w:szCs w:val="22"/>
        </w:rPr>
      </w:pPr>
      <w:r w:rsidRPr="00536F1A">
        <w:rPr>
          <w:rFonts w:ascii="Arial" w:hAnsi="Arial" w:cs="Arial"/>
          <w:sz w:val="22"/>
          <w:szCs w:val="22"/>
        </w:rPr>
        <w:t xml:space="preserve">NICE advise individual trauma-focused cognitive behavioural therapy (ITCBT) for adults who have presented over one month post trauma. This category includes cognitive processing therapy, cognitive therapy for PTSD, narrative exposure therapy and prolonged exposure therapyIt involves psycho-education, trauma safety planning, processing traumatic memories and emotions, and reconstructing meanings of the trauma, as well as decreasing avoidance and re-establishing social and occupational functioning. Eye movement desensitisation and reprocessing is also recommended, particularly more than three months after non-combat trauma. However, the UK guidance does not specify that medications are the main treatment for PTSD, but rather that psychological treatment that focuses on trauma is the primary treatment (NICE, 2018). </w:t>
      </w:r>
    </w:p>
    <w:p w:rsidRPr="003B49B7" w:rsidR="00477CF4" w:rsidP="000268DF" w:rsidRDefault="00477CF4" w14:paraId="4A095435" w14:textId="0375CA1F">
      <w:pPr>
        <w:spacing w:line="360" w:lineRule="auto"/>
        <w:jc w:val="both"/>
        <w:rPr>
          <w:rFonts w:ascii="Arial" w:hAnsi="Arial" w:cs="Arial"/>
          <w:sz w:val="22"/>
          <w:szCs w:val="22"/>
        </w:rPr>
      </w:pPr>
      <w:r w:rsidRPr="00536F1A">
        <w:rPr>
          <w:rFonts w:ascii="Arial" w:hAnsi="Arial" w:cs="Arial"/>
          <w:sz w:val="22"/>
          <w:szCs w:val="22"/>
        </w:rPr>
        <w:t xml:space="preserve">Lewis et al. (2020) analysed the results of 114 RCTs in adults (8,171 participants) and found that CP, CT and PE significantly reduced clinically significant effects, with the strongest evidence for </w:t>
      </w:r>
      <w:r w:rsidRPr="00536F1A">
        <w:rPr>
          <w:rFonts w:ascii="Arial" w:hAnsi="Arial" w:cs="Arial"/>
          <w:sz w:val="22"/>
          <w:szCs w:val="22"/>
        </w:rPr>
        <w:lastRenderedPageBreak/>
        <w:t xml:space="preserve">cognitive processing therapy. To link this evidence, Mavranezouli et al. (2020) performed a network meta-analysis of 90 trials and 6,560 patients. </w:t>
      </w:r>
      <w:r w:rsidRPr="00536F1A" w:rsidR="00535C50">
        <w:rPr>
          <w:rFonts w:ascii="Arial" w:hAnsi="Arial" w:cs="Arial"/>
          <w:sz w:val="22"/>
          <w:szCs w:val="22"/>
        </w:rPr>
        <w:t>Eye Movement Desensitization and Reprocessing (</w:t>
      </w:r>
      <w:r w:rsidRPr="00536F1A">
        <w:rPr>
          <w:rFonts w:ascii="Arial" w:hAnsi="Arial" w:cs="Arial"/>
          <w:sz w:val="22"/>
          <w:szCs w:val="22"/>
        </w:rPr>
        <w:t>EMDR</w:t>
      </w:r>
      <w:r w:rsidRPr="00536F1A" w:rsidR="00535C50">
        <w:rPr>
          <w:rFonts w:ascii="Arial" w:hAnsi="Arial" w:cs="Arial"/>
          <w:sz w:val="22"/>
          <w:szCs w:val="22"/>
        </w:rPr>
        <w:t>)</w:t>
      </w:r>
      <w:r w:rsidRPr="00536F1A">
        <w:rPr>
          <w:rFonts w:ascii="Arial" w:hAnsi="Arial" w:cs="Arial"/>
          <w:sz w:val="22"/>
          <w:szCs w:val="22"/>
        </w:rPr>
        <w:t xml:space="preserve"> was found to result in large reductions and benefits that were sustained at short-term follow-up compared with waiting-list controls. Likewise, trauma-focused cognitive behavioural therapy (TFCBT) was shown to result in large reductions, which was sustained at short-term follow-up compared to waiting-list controls. However, the eviden</w:t>
      </w:r>
      <w:r w:rsidRPr="00536F1A" w:rsidR="00061D10">
        <w:rPr>
          <w:rFonts w:ascii="Arial" w:hAnsi="Arial" w:cs="Arial"/>
          <w:sz w:val="22"/>
          <w:szCs w:val="22"/>
        </w:rPr>
        <w:t>ce</w:t>
      </w:r>
      <w:r w:rsidRPr="00536F1A">
        <w:rPr>
          <w:rFonts w:ascii="Arial" w:hAnsi="Arial" w:cs="Arial"/>
          <w:sz w:val="22"/>
          <w:szCs w:val="22"/>
        </w:rPr>
        <w:t xml:space="preserve"> was classified as being of moderate to low quality and, therefore, the difference in rankings between therapies was less certain than their overall benefits.</w:t>
      </w:r>
    </w:p>
    <w:p w:rsidRPr="003B49B7" w:rsidR="00061D10" w:rsidP="000268DF" w:rsidRDefault="00061D10" w14:paraId="15C311B8" w14:textId="16C9C01C">
      <w:pPr>
        <w:spacing w:line="360" w:lineRule="auto"/>
        <w:jc w:val="both"/>
        <w:rPr>
          <w:rFonts w:ascii="Arial" w:hAnsi="Arial" w:cs="Arial"/>
          <w:sz w:val="22"/>
          <w:szCs w:val="22"/>
        </w:rPr>
      </w:pPr>
      <w:r w:rsidRPr="00536F1A">
        <w:rPr>
          <w:rFonts w:ascii="Arial" w:hAnsi="Arial" w:cs="Arial"/>
          <w:sz w:val="22"/>
          <w:szCs w:val="22"/>
        </w:rPr>
        <w:t xml:space="preserve">Hoppen et al. (2023) have since further expanded these findings to 157 trials and 11,565 patients. They discovered that each therapy was effective and there were no significant differences between most of the therapies, except for trauma-focused and non-trauma-focused interventions. Overall, there was a slight advantage of trauma-focused CBT over non-trauma CBT in follow-up periods, but also a slightly higher drop-out rate and moderate outcome heterogeneity for trauma-focused CBT. A helpful analysis of previous confidence in treatment rankings is given by Simpson et al. (2025). The authors read more recent trials of EMDR and did not find any evidence that EMDR was more effective than trauma-focused cognitive behavioural therapy; however, most trials were small and had moderate to high risk of bias. Although it uses fewer sessions, and takes less time from patients, superiority and long-term cost savings from EMDR are unsubstantiated. </w:t>
      </w:r>
    </w:p>
    <w:p w:rsidRPr="00536F1A" w:rsidR="00061D10" w:rsidP="000268DF" w:rsidRDefault="00061D10" w14:paraId="0742A165" w14:textId="5D36D331">
      <w:pPr>
        <w:spacing w:line="360" w:lineRule="auto"/>
        <w:jc w:val="both"/>
        <w:rPr>
          <w:rFonts w:ascii="Arial" w:hAnsi="Arial" w:cs="Arial"/>
          <w:sz w:val="22"/>
          <w:szCs w:val="22"/>
        </w:rPr>
      </w:pPr>
      <w:r w:rsidRPr="00536F1A">
        <w:rPr>
          <w:rFonts w:ascii="Arial" w:hAnsi="Arial" w:cs="Arial"/>
          <w:sz w:val="22"/>
          <w:szCs w:val="22"/>
        </w:rPr>
        <w:t>Pharmacological treatment is secondary in the treatment of PTSD. If an adult prefers to take a medicine, NICE recommends the use of venlafaxine or a selective serotonin reuptake inhibitor such as sertraline, where the medicine's effect on the person is monitored and adverse reactions and withdrawal symptoms are monitored regularly. Benzodiazepines should not to be used to prevent PTSD, while antipsychotics require specialist supervision. Treatment is managed in UK via primary care, Improving Access to Psychological Therapies and specialist trauma services. Wait times however, and a lack of trained trauma-based CBT or EMDR therapists in certain geographic areas may limit access to trauma focused CBT and EMDR. For some patients, supportive self-help or non-trauma related therapies may prove to be beneficial but with less convincing evidence. This indicates that the capacity and access to prescribing within the NHS will have a stronger influence on treatment decisions than clinical evidence or patient preference, given the higher proportion of medication use than psychological therapy.</w:t>
      </w:r>
    </w:p>
    <w:p w:rsidR="00061D10" w:rsidP="00061D10" w:rsidRDefault="00061D10" w14:paraId="7B5F0FFA" w14:textId="45D53DD5">
      <w:pPr>
        <w:pStyle w:val="Heading1"/>
      </w:pPr>
      <w:bookmarkStart w:name="_Toc235840178" w:id="4"/>
      <w:r>
        <w:lastRenderedPageBreak/>
        <w:t>4. Rehabilitation and Long-Term Management</w:t>
      </w:r>
      <w:bookmarkEnd w:id="4"/>
    </w:p>
    <w:p w:rsidRPr="00F158A4" w:rsidR="00061D10" w:rsidP="000268DF" w:rsidRDefault="00061D10" w14:paraId="450527BE" w14:textId="1BF987F4">
      <w:pPr>
        <w:spacing w:line="360" w:lineRule="auto"/>
        <w:jc w:val="both"/>
        <w:rPr>
          <w:rFonts w:ascii="Arial" w:hAnsi="Arial" w:cs="Arial"/>
          <w:sz w:val="22"/>
          <w:szCs w:val="22"/>
        </w:rPr>
      </w:pPr>
      <w:r w:rsidRPr="00536F1A">
        <w:rPr>
          <w:rFonts w:ascii="Arial" w:hAnsi="Arial" w:cs="Arial"/>
          <w:sz w:val="22"/>
          <w:szCs w:val="22"/>
        </w:rPr>
        <w:t xml:space="preserve">Rehabilitation should be viewed as the restoration of functioning, independence and social participation, not just the reduction of the symptoms of PTSD. While ICD-11 does not provide details of a rehabilitation programme, it does indicate that the impairment associated with PTSD allows for interventions focusing on interpersonal, occupational and community functioning. In UK practice, NICE would facilitate assessment of physical, psychological and social needs, clear lines of responsibility when multiple services are involved in caring for the individual and planned follow-up following formal therapy. It may take longer for individuals with complex PTSD to build trust and issues with dissociation, substance use, unstable housing, emotional regulation, and relationships. </w:t>
      </w:r>
    </w:p>
    <w:p w:rsidRPr="00F158A4" w:rsidR="00061D10" w:rsidP="000268DF" w:rsidRDefault="00061D10" w14:paraId="0A933E4C" w14:textId="75FF7F12">
      <w:pPr>
        <w:spacing w:line="360" w:lineRule="auto"/>
        <w:jc w:val="both"/>
        <w:rPr>
          <w:rFonts w:ascii="Arial" w:hAnsi="Arial" w:cs="Arial"/>
          <w:sz w:val="22"/>
          <w:szCs w:val="22"/>
        </w:rPr>
      </w:pPr>
      <w:r w:rsidRPr="00536F1A">
        <w:rPr>
          <w:rFonts w:ascii="Arial" w:hAnsi="Arial" w:cs="Arial"/>
          <w:sz w:val="22"/>
          <w:szCs w:val="22"/>
        </w:rPr>
        <w:t>Relapse prevention planning, booster sessions, sleep, anger interventions, family or peer support, occupational rehabilitation, and coordinated treatment for depression, chronic pain or substance misuse. Social reintegration can be challenging, as avoidance and stigma can persist after symptoms subside, along with unemployment and relationship problems. The NHS Long Term Plan aims to increase access to community mental health and psychological therapy. However, there are potential limits to implementation due to workforce shortages, regional variation and waiting times.</w:t>
      </w:r>
    </w:p>
    <w:p w:rsidRPr="00F158A4" w:rsidR="00F158A4" w:rsidP="000268DF" w:rsidRDefault="00061D10" w14:paraId="3A44F193" w14:textId="6F4782DA">
      <w:pPr>
        <w:spacing w:line="360" w:lineRule="auto"/>
        <w:jc w:val="both"/>
        <w:rPr>
          <w:rFonts w:ascii="Arial" w:hAnsi="Arial" w:cs="Arial"/>
          <w:sz w:val="22"/>
          <w:szCs w:val="22"/>
        </w:rPr>
      </w:pPr>
      <w:r w:rsidRPr="00536F1A">
        <w:rPr>
          <w:rFonts w:ascii="Arial" w:hAnsi="Arial" w:cs="Arial"/>
          <w:sz w:val="22"/>
          <w:szCs w:val="22"/>
        </w:rPr>
        <w:t>Under the Mental Health Act 1983 (as amended in 2007), compulsory assessment and treatment is permitted under statutory conditions. A diagnosis of PTSD is not a basis for involuntary detention. Patients have access to information and rights to advocate, review and have a voice in decisions about care. There is also a contribution from international organisations and NGOs in rehabilitation. Mind can provide information and advocacy, Rethink Mental Illness can provide support to the community and to carers and Samaritans can provide immediate emotional support when distressed. These services might help to reduce isolation, encourage help-seeking, but not replace specialist clinical services, or enable adequate reimbursement for statutory rehabilitation</w:t>
      </w:r>
      <w:r w:rsidR="001558E9">
        <w:rPr>
          <w:rFonts w:ascii="Arial" w:hAnsi="Arial" w:cs="Arial"/>
          <w:sz w:val="22"/>
          <w:szCs w:val="22"/>
        </w:rPr>
        <w:t xml:space="preserve"> (</w:t>
      </w:r>
      <w:r w:rsidRPr="001558E9" w:rsidR="001558E9">
        <w:rPr>
          <w:rFonts w:ascii="Arial" w:hAnsi="Arial" w:cs="Arial"/>
          <w:sz w:val="22"/>
          <w:szCs w:val="22"/>
        </w:rPr>
        <w:t>Leah</w:t>
      </w:r>
      <w:r w:rsidRPr="00536F1A" w:rsidR="001558E9">
        <w:rPr>
          <w:rFonts w:ascii="Arial" w:hAnsi="Arial" w:cs="Arial"/>
          <w:sz w:val="22"/>
          <w:szCs w:val="22"/>
        </w:rPr>
        <w:t xml:space="preserve"> </w:t>
      </w:r>
      <w:r w:rsidR="001558E9">
        <w:rPr>
          <w:rFonts w:ascii="Arial" w:hAnsi="Arial" w:cs="Arial"/>
          <w:sz w:val="22"/>
          <w:szCs w:val="22"/>
        </w:rPr>
        <w:t xml:space="preserve">et al., 2026). </w:t>
      </w:r>
      <w:r w:rsidRPr="00536F1A">
        <w:rPr>
          <w:rFonts w:ascii="Arial" w:hAnsi="Arial" w:cs="Arial"/>
          <w:sz w:val="22"/>
          <w:szCs w:val="22"/>
        </w:rPr>
        <w:t>There is evidence of a high level of service reach</w:t>
      </w:r>
      <w:r w:rsidR="001558E9">
        <w:rPr>
          <w:rFonts w:ascii="Arial" w:hAnsi="Arial" w:cs="Arial"/>
          <w:sz w:val="22"/>
          <w:szCs w:val="22"/>
        </w:rPr>
        <w:t xml:space="preserve">; </w:t>
      </w:r>
      <w:r w:rsidRPr="00536F1A">
        <w:rPr>
          <w:rFonts w:ascii="Arial" w:hAnsi="Arial" w:cs="Arial"/>
          <w:sz w:val="22"/>
          <w:szCs w:val="22"/>
        </w:rPr>
        <w:t>however</w:t>
      </w:r>
      <w:r w:rsidR="001558E9">
        <w:rPr>
          <w:rFonts w:ascii="Arial" w:hAnsi="Arial" w:cs="Arial"/>
          <w:sz w:val="22"/>
          <w:szCs w:val="22"/>
        </w:rPr>
        <w:t>,</w:t>
      </w:r>
      <w:r w:rsidRPr="00536F1A">
        <w:rPr>
          <w:rFonts w:ascii="Arial" w:hAnsi="Arial" w:cs="Arial"/>
          <w:sz w:val="22"/>
          <w:szCs w:val="22"/>
        </w:rPr>
        <w:t xml:space="preserve"> no evidence of specific rates of recovery for NHS Talking Therapies and there is a potential that service may be underused amongst those who do not finish the service and are not captured in the recovery rate. Hence, support for rehabilitation is essential, as is the continuity and accessibility of the rehabilitation system and social support.</w:t>
      </w:r>
    </w:p>
    <w:p w:rsidR="004D19D3" w:rsidP="004D19D3" w:rsidRDefault="004D19D3" w14:paraId="7C15416B" w14:textId="76E4C91C">
      <w:pPr>
        <w:pStyle w:val="Heading1"/>
      </w:pPr>
      <w:bookmarkStart w:name="_Toc235840179" w:id="5"/>
      <w:r>
        <w:lastRenderedPageBreak/>
        <w:t>5. Current Debates and Emerging Issues</w:t>
      </w:r>
      <w:bookmarkEnd w:id="5"/>
    </w:p>
    <w:p w:rsidRPr="00F158A4" w:rsidR="004D19D3" w:rsidP="000268DF" w:rsidRDefault="004D19D3" w14:paraId="7852DE29" w14:textId="680DA20A">
      <w:pPr>
        <w:spacing w:line="360" w:lineRule="auto"/>
        <w:jc w:val="both"/>
        <w:rPr>
          <w:rFonts w:ascii="Arial" w:hAnsi="Arial" w:cs="Arial"/>
          <w:sz w:val="22"/>
          <w:szCs w:val="22"/>
        </w:rPr>
      </w:pPr>
      <w:r w:rsidRPr="00536F1A">
        <w:rPr>
          <w:rFonts w:ascii="Arial" w:hAnsi="Arial" w:cs="Arial"/>
          <w:sz w:val="22"/>
          <w:szCs w:val="22"/>
        </w:rPr>
        <w:t>The current debate concerns whether ICD-11 improves PTSD by focusing on core symptoms, or whether it will exclude clinically important trauma responses. In a sample of clinical cases from the UK, Hyland et al. (2017) reported that ICD-11 led to a reduction in PTSD diagnosis rates and facilitated the distinction of PTSD from complex PTSD compared with DSM-5. This indicates increased specificity of the diagnosis, but also the likelihood that people with guilt, emotional numbing or cognitive problems may not meet the narrower diagnosis. This was elaborated by Cloitre et al. (2018), who created a version of the International Trauma Questionnaire that demonstrated the ICD-11 distinction could be assessed effectively within clinical and community settings. However, a brief instrument may improve consistency and settle the issue of representation of culturally diverse or complex presentation.</w:t>
      </w:r>
    </w:p>
    <w:p w:rsidRPr="00F158A4" w:rsidR="004D19D3" w:rsidP="000268DF" w:rsidRDefault="004D19D3" w14:paraId="1E1C0117" w14:textId="4A6AF21D">
      <w:pPr>
        <w:spacing w:line="360" w:lineRule="auto"/>
        <w:jc w:val="both"/>
        <w:rPr>
          <w:rFonts w:ascii="Arial" w:hAnsi="Arial" w:cs="Arial"/>
          <w:sz w:val="22"/>
          <w:szCs w:val="22"/>
        </w:rPr>
      </w:pPr>
      <w:r w:rsidRPr="00536F1A">
        <w:rPr>
          <w:rFonts w:ascii="Arial" w:hAnsi="Arial" w:cs="Arial"/>
          <w:sz w:val="22"/>
          <w:szCs w:val="22"/>
        </w:rPr>
        <w:t>Quinton et al. (2024) complicated this framework by showing that autistic people can have similar symptoms of PTSD, but there are lack of assessments and trauma interventions that are specifically geared for autistic people. Their findings suggest that there is a possibility that neurodivergence can affect communication, sensory processing and symptom expression, which can lead to more diagnostic overshadowing. Magdi et al. (2025) also found significant overlap between adult ADHD and PTSD, but with the use of heterogeneous samples and veteran populations, generalisability of the findings is constrained. Kindred et al. (202</w:t>
      </w:r>
      <w:r w:rsidRPr="00536F1A" w:rsidR="00535C50">
        <w:rPr>
          <w:rFonts w:ascii="Arial" w:hAnsi="Arial" w:cs="Arial"/>
          <w:sz w:val="22"/>
          <w:szCs w:val="22"/>
        </w:rPr>
        <w:t>6</w:t>
      </w:r>
      <w:r w:rsidRPr="00536F1A">
        <w:rPr>
          <w:rFonts w:ascii="Arial" w:hAnsi="Arial" w:cs="Arial"/>
          <w:sz w:val="22"/>
          <w:szCs w:val="22"/>
        </w:rPr>
        <w:t>) conclude that these studies supported the general use of the PTSD and complex PTSD distinction in ICD-11, but a revised symptom structure better aligned with the evidence and some questionnaire subscales had poor reliability.</w:t>
      </w:r>
    </w:p>
    <w:p w:rsidRPr="00F158A4" w:rsidR="004D19D3" w:rsidP="000268DF" w:rsidRDefault="004D19D3" w14:paraId="574466B0" w14:textId="4BDF2B27">
      <w:pPr>
        <w:spacing w:line="360" w:lineRule="auto"/>
        <w:jc w:val="both"/>
        <w:rPr>
          <w:rFonts w:ascii="Arial" w:hAnsi="Arial" w:cs="Arial"/>
          <w:sz w:val="22"/>
          <w:szCs w:val="22"/>
        </w:rPr>
      </w:pPr>
      <w:r w:rsidRPr="00536F1A">
        <w:rPr>
          <w:rFonts w:ascii="Arial" w:hAnsi="Arial" w:cs="Arial"/>
          <w:sz w:val="22"/>
          <w:szCs w:val="22"/>
        </w:rPr>
        <w:t xml:space="preserve">These debates affect UK policy and practice. NICE or NHS services should continue to use ICD-11 criteria and modify assessment and trauma-based treatment to suit the needs of neurodivergent people. </w:t>
      </w:r>
      <w:r w:rsidR="001558E9">
        <w:rPr>
          <w:rFonts w:ascii="Arial" w:hAnsi="Arial" w:cs="Arial"/>
          <w:sz w:val="22"/>
          <w:szCs w:val="22"/>
        </w:rPr>
        <w:t xml:space="preserve">UK </w:t>
      </w:r>
      <w:r w:rsidRPr="00536F1A">
        <w:rPr>
          <w:rFonts w:ascii="Arial" w:hAnsi="Arial" w:cs="Arial"/>
          <w:sz w:val="22"/>
          <w:szCs w:val="22"/>
        </w:rPr>
        <w:t>Equality Act 2010 states that reasonable adjustments must be made in healthcare and in the workplace such as accessible communication, predictable appointments, sensory adjustments, phased workplace return</w:t>
      </w:r>
      <w:r w:rsidR="001558E9">
        <w:rPr>
          <w:rFonts w:ascii="Arial" w:hAnsi="Arial" w:cs="Arial"/>
          <w:sz w:val="22"/>
          <w:szCs w:val="22"/>
        </w:rPr>
        <w:t xml:space="preserve"> (</w:t>
      </w:r>
      <w:r w:rsidRPr="00536F1A" w:rsidR="001558E9">
        <w:rPr>
          <w:rFonts w:ascii="Arial" w:hAnsi="Arial" w:cs="Arial"/>
          <w:sz w:val="22"/>
          <w:szCs w:val="22"/>
        </w:rPr>
        <w:t>Cloitre et al.</w:t>
      </w:r>
      <w:r w:rsidR="001558E9">
        <w:rPr>
          <w:rFonts w:ascii="Arial" w:hAnsi="Arial" w:cs="Arial"/>
          <w:sz w:val="22"/>
          <w:szCs w:val="22"/>
        </w:rPr>
        <w:t xml:space="preserve">, </w:t>
      </w:r>
      <w:r w:rsidRPr="00536F1A" w:rsidR="001558E9">
        <w:rPr>
          <w:rFonts w:ascii="Arial" w:hAnsi="Arial" w:cs="Arial"/>
          <w:sz w:val="22"/>
          <w:szCs w:val="22"/>
        </w:rPr>
        <w:t>2018</w:t>
      </w:r>
      <w:r w:rsidR="001558E9">
        <w:rPr>
          <w:rFonts w:ascii="Arial" w:hAnsi="Arial" w:cs="Arial"/>
          <w:sz w:val="22"/>
          <w:szCs w:val="22"/>
        </w:rPr>
        <w:t>).</w:t>
      </w:r>
      <w:r w:rsidRPr="00536F1A">
        <w:rPr>
          <w:rFonts w:ascii="Arial" w:hAnsi="Arial" w:cs="Arial"/>
          <w:sz w:val="22"/>
          <w:szCs w:val="22"/>
        </w:rPr>
        <w:t xml:space="preserve"> However, a legal protection framework is not sufficient to ensure regular implementation. An ICD-11 category is thus not necessarily an accurate classification of any particular individual's experiences, so there is a need for flexible, individualised assessment in the UK policy framework, along with the diagnostic standardisation.</w:t>
      </w:r>
    </w:p>
    <w:p w:rsidR="00B52852" w:rsidP="00B52852" w:rsidRDefault="00B52852" w14:paraId="2B36548E" w14:textId="77777777">
      <w:pPr>
        <w:pStyle w:val="Heading1"/>
      </w:pPr>
      <w:bookmarkStart w:name="_Toc235840180" w:id="6"/>
      <w:r w:rsidRPr="00B52852">
        <w:lastRenderedPageBreak/>
        <w:t>6. Recommendations</w:t>
      </w:r>
      <w:bookmarkEnd w:id="6"/>
    </w:p>
    <w:p w:rsidRPr="00E81260" w:rsidR="00B52852" w:rsidP="000268DF" w:rsidRDefault="00B52852" w14:paraId="5B848227" w14:textId="10FA10CE">
      <w:pPr>
        <w:spacing w:line="360" w:lineRule="auto"/>
        <w:jc w:val="both"/>
        <w:rPr>
          <w:rFonts w:ascii="Arial" w:hAnsi="Arial" w:cs="Arial"/>
          <w:sz w:val="22"/>
          <w:szCs w:val="22"/>
        </w:rPr>
      </w:pPr>
      <w:r w:rsidRPr="00536F1A">
        <w:rPr>
          <w:rFonts w:ascii="Arial" w:hAnsi="Arial" w:cs="Arial"/>
          <w:sz w:val="22"/>
          <w:szCs w:val="22"/>
        </w:rPr>
        <w:t xml:space="preserve"> It should focus on enhancing the consistency of diagnosis, access to services and long-term recovery in UK services, in an equitable way. First, subjective clinician judgement needs to be incorporated into the evaluation of the health service and/or the instruments used in the national surveys; and national surveys should use instruments that are not based on the older DSM criteria, but rather are compatible with ICD-11 criteria. This would help to make prevalence data more comparable and be more comparable to clinical notes and service planning. Secondly, informed choice will be provided between trauma-focused CBT and EMDR, with explanations of advantages, burden of therapy, likelihood of dropout, and uncertainties about their relative effectiveness, in line with NICE guidance. For complex trauma, additional sessions should be provided and when a psychologically-based session is not available, medication should not be administered as its first intervention</w:t>
      </w:r>
      <w:r w:rsidR="00802360">
        <w:rPr>
          <w:rFonts w:ascii="Arial" w:hAnsi="Arial" w:cs="Arial"/>
          <w:sz w:val="22"/>
          <w:szCs w:val="22"/>
        </w:rPr>
        <w:t xml:space="preserve"> (</w:t>
      </w:r>
      <w:r w:rsidRPr="00802360" w:rsidR="00802360">
        <w:rPr>
          <w:rFonts w:ascii="Arial" w:hAnsi="Arial" w:cs="Arial"/>
          <w:sz w:val="22"/>
          <w:szCs w:val="22"/>
        </w:rPr>
        <w:t>Leah</w:t>
      </w:r>
      <w:r w:rsidR="00802360">
        <w:rPr>
          <w:rFonts w:ascii="Arial" w:hAnsi="Arial" w:cs="Arial"/>
          <w:sz w:val="22"/>
          <w:szCs w:val="22"/>
        </w:rPr>
        <w:t xml:space="preserve"> et al., 2026). </w:t>
      </w:r>
    </w:p>
    <w:p w:rsidRPr="00E81260" w:rsidR="00535C50" w:rsidP="000268DF" w:rsidRDefault="00535C50" w14:paraId="540C7EBE" w14:textId="0D4B2E1C">
      <w:pPr>
        <w:spacing w:line="360" w:lineRule="auto"/>
        <w:jc w:val="both"/>
        <w:rPr>
          <w:rFonts w:ascii="Arial" w:hAnsi="Arial" w:cs="Arial"/>
          <w:sz w:val="22"/>
          <w:szCs w:val="22"/>
        </w:rPr>
      </w:pPr>
      <w:r w:rsidRPr="00536F1A">
        <w:rPr>
          <w:rFonts w:ascii="Arial" w:hAnsi="Arial" w:cs="Arial"/>
          <w:sz w:val="22"/>
          <w:szCs w:val="22"/>
        </w:rPr>
        <w:t>Third, mental health services need to be integrated onto NHS pathways with housing, employment, social care, substance use and physical health services. The recommendations of Mind and Rethink Mental Illness are for provision to be accessible, person-</w:t>
      </w:r>
      <w:r w:rsidRPr="00536F1A" w:rsidR="00536F1A">
        <w:rPr>
          <w:rFonts w:ascii="Arial" w:hAnsi="Arial" w:cs="Arial"/>
          <w:sz w:val="22"/>
          <w:szCs w:val="22"/>
        </w:rPr>
        <w:t>centered</w:t>
      </w:r>
      <w:r w:rsidRPr="00536F1A">
        <w:rPr>
          <w:rFonts w:ascii="Arial" w:hAnsi="Arial" w:cs="Arial"/>
          <w:sz w:val="22"/>
          <w:szCs w:val="22"/>
        </w:rPr>
        <w:t xml:space="preserve"> and community based, whilst Samaritans stress the need for emotional support to be available with a timely response when things go wrong. Services should be applied to the Equality Act, flexibly, using communication, sensory adjustments and phasing back to the workplace</w:t>
      </w:r>
      <w:r w:rsidR="00802360">
        <w:rPr>
          <w:rFonts w:ascii="Arial" w:hAnsi="Arial" w:cs="Arial"/>
          <w:sz w:val="22"/>
          <w:szCs w:val="22"/>
        </w:rPr>
        <w:t xml:space="preserve"> </w:t>
      </w:r>
      <w:r w:rsidR="00802360">
        <w:rPr>
          <w:rFonts w:ascii="Arial" w:hAnsi="Arial" w:cs="Arial"/>
          <w:sz w:val="22"/>
          <w:szCs w:val="22"/>
        </w:rPr>
        <w:t>(</w:t>
      </w:r>
      <w:r w:rsidRPr="00536F1A" w:rsidR="00802360">
        <w:rPr>
          <w:rFonts w:ascii="Arial" w:hAnsi="Arial" w:cs="Arial"/>
          <w:sz w:val="22"/>
          <w:szCs w:val="22"/>
        </w:rPr>
        <w:t>Cloitre et al.</w:t>
      </w:r>
      <w:r w:rsidR="00802360">
        <w:rPr>
          <w:rFonts w:ascii="Arial" w:hAnsi="Arial" w:cs="Arial"/>
          <w:sz w:val="22"/>
          <w:szCs w:val="22"/>
        </w:rPr>
        <w:t xml:space="preserve">, </w:t>
      </w:r>
      <w:r w:rsidRPr="00536F1A" w:rsidR="00802360">
        <w:rPr>
          <w:rFonts w:ascii="Arial" w:hAnsi="Arial" w:cs="Arial"/>
          <w:sz w:val="22"/>
          <w:szCs w:val="22"/>
        </w:rPr>
        <w:t>2018</w:t>
      </w:r>
      <w:r w:rsidR="00802360">
        <w:rPr>
          <w:rFonts w:ascii="Arial" w:hAnsi="Arial" w:cs="Arial"/>
          <w:sz w:val="22"/>
          <w:szCs w:val="22"/>
        </w:rPr>
        <w:t>).</w:t>
      </w:r>
    </w:p>
    <w:p w:rsidRPr="00536F1A" w:rsidR="00535C50" w:rsidP="000268DF" w:rsidRDefault="00535C50" w14:paraId="505A3E97" w14:textId="1196EBA4">
      <w:pPr>
        <w:spacing w:line="360" w:lineRule="auto"/>
        <w:jc w:val="both"/>
        <w:rPr>
          <w:rFonts w:ascii="Arial" w:hAnsi="Arial" w:cs="Arial"/>
          <w:sz w:val="22"/>
          <w:szCs w:val="22"/>
        </w:rPr>
      </w:pPr>
      <w:r w:rsidRPr="00536F1A">
        <w:rPr>
          <w:rFonts w:ascii="Arial" w:hAnsi="Arial" w:cs="Arial"/>
          <w:sz w:val="22"/>
          <w:szCs w:val="22"/>
        </w:rPr>
        <w:t>Lastly, any mental health law changes should ensure greater patient autonomy and patient advocacy and the participation of patients in mental health care decisions. Long-term functioning, negative outcomes and dropout and cost should be evaluated along with symptom reduction in future research of people with a diagnosis of complex PTSD, those with neurodivergence and social disadvantage.</w:t>
      </w:r>
    </w:p>
    <w:p w:rsidR="00535C50" w:rsidP="00535C50" w:rsidRDefault="00535C50" w14:paraId="2B9A5CDE" w14:textId="77777777">
      <w:pPr>
        <w:pStyle w:val="Heading1"/>
      </w:pPr>
      <w:bookmarkStart w:name="_Toc235840181" w:id="7"/>
      <w:r>
        <w:t>7. Conclusion</w:t>
      </w:r>
      <w:bookmarkEnd w:id="7"/>
    </w:p>
    <w:p w:rsidRPr="00536F1A" w:rsidR="00535C50" w:rsidP="00535C50" w:rsidRDefault="00535C50" w14:paraId="5BE97DE6" w14:textId="3848AC65">
      <w:pPr>
        <w:spacing w:line="360" w:lineRule="auto"/>
        <w:jc w:val="both"/>
        <w:rPr>
          <w:rFonts w:ascii="Arial" w:hAnsi="Arial" w:cs="Arial"/>
          <w:sz w:val="22"/>
          <w:szCs w:val="22"/>
        </w:rPr>
      </w:pPr>
      <w:r w:rsidRPr="00536F1A">
        <w:rPr>
          <w:rFonts w:ascii="Arial" w:hAnsi="Arial" w:cs="Arial"/>
          <w:sz w:val="22"/>
          <w:szCs w:val="22"/>
        </w:rPr>
        <w:t xml:space="preserve">PTSD is a severe but manageable condition which impacts psychological health, relationships, work and life activities. ICD-11 provides a three-cluster classification that is focused and distinguishes between PTSD and complex PTSD, but there may be culturally diverse, neurolinguistic and complex presentations of PTSD that are not captured by the narrower focus of ICD-11. While there is good evidence for trauma-focused cognitive-behavioural therapy and eye movement desensitisation and reprocessing, there is uncertainty about the comparative effectiveness of these treatments, treatment drop-out rates, and long-term outcomes. </w:t>
      </w:r>
    </w:p>
    <w:p w:rsidRPr="00536F1A" w:rsidR="00535C50" w:rsidP="00535C50" w:rsidRDefault="00535C50" w14:paraId="278FC4D0" w14:textId="56587C9B">
      <w:pPr>
        <w:spacing w:line="360" w:lineRule="auto"/>
        <w:jc w:val="both"/>
        <w:rPr>
          <w:rFonts w:ascii="Arial" w:hAnsi="Arial" w:cs="Arial"/>
          <w:sz w:val="22"/>
          <w:szCs w:val="22"/>
        </w:rPr>
      </w:pPr>
      <w:r w:rsidRPr="00536F1A">
        <w:rPr>
          <w:rFonts w:ascii="Arial" w:hAnsi="Arial" w:cs="Arial"/>
          <w:sz w:val="22"/>
          <w:szCs w:val="22"/>
        </w:rPr>
        <w:lastRenderedPageBreak/>
        <w:t xml:space="preserve">These disparities in access to care have been found in the UK as well. Linking treatment with housing, employment, social care and community support is needed as younger, unemployed, socially disadvantaged groups are more likely to have probable PTSD. Larger trauma-informed services, increased community services, and improved ICD-11 alignment in the assessment could all be ways of enhancing the outcomes in the future. </w:t>
      </w:r>
    </w:p>
    <w:p w:rsidRPr="00536F1A" w:rsidR="00535C50" w:rsidP="00535C50" w:rsidRDefault="00535C50" w14:paraId="64CB56A3" w14:textId="517E1463">
      <w:pPr>
        <w:spacing w:line="360" w:lineRule="auto"/>
        <w:jc w:val="both"/>
        <w:rPr>
          <w:rFonts w:ascii="Arial" w:hAnsi="Arial" w:cs="Arial"/>
          <w:sz w:val="22"/>
          <w:szCs w:val="22"/>
        </w:rPr>
      </w:pPr>
      <w:r w:rsidRPr="00536F1A">
        <w:rPr>
          <w:rFonts w:ascii="Arial" w:hAnsi="Arial" w:cs="Arial"/>
          <w:sz w:val="22"/>
          <w:szCs w:val="22"/>
        </w:rPr>
        <w:t>A focus in future studies would be long term studies of individuals with complex PTSD, autism, ADHD and socioeconomic disadvantage with studies conducted in the UK. Policy and practice should also be strengthened with regard to the patient's choice, the law and reasonable adjustments and rehabilitation. Thus, adequate funding, access and inclusive research are crucial pillars that contribute to equitable future PTSD care.</w:t>
      </w:r>
    </w:p>
    <w:p w:rsidRPr="00536F1A" w:rsidR="00535C50" w:rsidRDefault="00535C50" w14:paraId="3AFA7C3C" w14:textId="77777777">
      <w:pPr>
        <w:rPr>
          <w:rFonts w:ascii="Arial" w:hAnsi="Arial" w:cs="Arial"/>
          <w:b/>
          <w:bCs/>
          <w:sz w:val="22"/>
          <w:szCs w:val="22"/>
        </w:rPr>
      </w:pPr>
      <w:r w:rsidRPr="00536F1A">
        <w:rPr>
          <w:rFonts w:ascii="Arial" w:hAnsi="Arial" w:cs="Arial"/>
          <w:b/>
          <w:bCs/>
          <w:sz w:val="22"/>
          <w:szCs w:val="22"/>
        </w:rPr>
        <w:br w:type="page"/>
      </w:r>
    </w:p>
    <w:p w:rsidRPr="00536F1A" w:rsidR="00536F1A" w:rsidP="00536F1A" w:rsidRDefault="00535C50" w14:paraId="6F8A1C51" w14:textId="0990ABEB">
      <w:pPr>
        <w:pStyle w:val="Heading1"/>
        <w:jc w:val="center"/>
      </w:pPr>
      <w:bookmarkStart w:name="_Toc235840182" w:id="8"/>
      <w:r>
        <w:lastRenderedPageBreak/>
        <w:t>References</w:t>
      </w:r>
      <w:bookmarkEnd w:id="8"/>
    </w:p>
    <w:p w:rsidRPr="003B49B7" w:rsidR="001558E9" w:rsidP="00536F1A" w:rsidRDefault="001558E9" w14:paraId="6D58154D" w14:textId="77777777">
      <w:pPr>
        <w:spacing w:line="360" w:lineRule="auto"/>
        <w:ind w:left="720" w:hanging="720"/>
        <w:jc w:val="both"/>
        <w:rPr>
          <w:rFonts w:ascii="Arial" w:hAnsi="Arial" w:cs="Arial"/>
          <w:sz w:val="22"/>
          <w:szCs w:val="22"/>
        </w:rPr>
      </w:pPr>
    </w:p>
    <w:p w:rsidRPr="003B49B7" w:rsidR="001558E9" w:rsidP="00536F1A" w:rsidRDefault="001558E9" w14:paraId="67361F1C" w14:textId="77777777">
      <w:pPr>
        <w:spacing w:line="360" w:lineRule="auto"/>
        <w:ind w:left="720" w:hanging="720"/>
        <w:jc w:val="both"/>
        <w:rPr>
          <w:rFonts w:ascii="Arial" w:hAnsi="Arial" w:cs="Arial"/>
          <w:sz w:val="22"/>
          <w:szCs w:val="22"/>
        </w:rPr>
      </w:pPr>
      <w:r w:rsidRPr="00536F1A">
        <w:rPr>
          <w:rFonts w:ascii="Arial" w:hAnsi="Arial" w:cs="Arial"/>
          <w:sz w:val="22"/>
          <w:szCs w:val="22"/>
        </w:rPr>
        <w:t>Cloitre, M., Shevlin, M., Brewin, C.R., Bisson, J.I., Roberts, N.P., Maercker, A., Karatzias, T. and Hyland, P. (2018). The International Trauma Questionnaire: Development of a self</w:t>
      </w:r>
      <w:r w:rsidRPr="00536F1A">
        <w:rPr>
          <w:rFonts w:ascii="Cambria Math" w:hAnsi="Cambria Math" w:cs="Cambria Math"/>
          <w:sz w:val="22"/>
          <w:szCs w:val="22"/>
        </w:rPr>
        <w:t>‐</w:t>
      </w:r>
      <w:r w:rsidRPr="00536F1A">
        <w:rPr>
          <w:rFonts w:ascii="Arial" w:hAnsi="Arial" w:cs="Arial"/>
          <w:sz w:val="22"/>
          <w:szCs w:val="22"/>
        </w:rPr>
        <w:t>report measure of ICD</w:t>
      </w:r>
      <w:r w:rsidRPr="00536F1A">
        <w:rPr>
          <w:rFonts w:ascii="Cambria Math" w:hAnsi="Cambria Math" w:cs="Cambria Math"/>
          <w:sz w:val="22"/>
          <w:szCs w:val="22"/>
        </w:rPr>
        <w:t>‐</w:t>
      </w:r>
      <w:r w:rsidRPr="00536F1A">
        <w:rPr>
          <w:rFonts w:ascii="Arial" w:hAnsi="Arial" w:cs="Arial"/>
          <w:sz w:val="22"/>
          <w:szCs w:val="22"/>
        </w:rPr>
        <w:t>11 PTSD and complex PTSD. </w:t>
      </w:r>
      <w:r w:rsidRPr="00536F1A">
        <w:rPr>
          <w:rFonts w:ascii="Arial" w:hAnsi="Arial" w:cs="Arial"/>
          <w:i/>
          <w:iCs/>
          <w:sz w:val="22"/>
          <w:szCs w:val="22"/>
        </w:rPr>
        <w:t>Acta Psychiatrica Scandinavica</w:t>
      </w:r>
      <w:r w:rsidRPr="00536F1A">
        <w:rPr>
          <w:rFonts w:ascii="Arial" w:hAnsi="Arial" w:cs="Arial"/>
          <w:sz w:val="22"/>
          <w:szCs w:val="22"/>
        </w:rPr>
        <w:t>, </w:t>
      </w:r>
      <w:r w:rsidRPr="00536F1A">
        <w:rPr>
          <w:rFonts w:ascii="Arial" w:hAnsi="Arial" w:cs="Arial"/>
          <w:i/>
          <w:iCs/>
          <w:sz w:val="22"/>
          <w:szCs w:val="22"/>
        </w:rPr>
        <w:t>138</w:t>
      </w:r>
      <w:r w:rsidRPr="00536F1A">
        <w:rPr>
          <w:rFonts w:ascii="Arial" w:hAnsi="Arial" w:cs="Arial"/>
          <w:sz w:val="22"/>
          <w:szCs w:val="22"/>
        </w:rPr>
        <w:t>(6), pp.536-546.</w:t>
      </w:r>
    </w:p>
    <w:p w:rsidRPr="003B49B7" w:rsidR="001558E9" w:rsidP="00536F1A" w:rsidRDefault="001558E9" w14:paraId="225463FE" w14:textId="77777777">
      <w:pPr>
        <w:spacing w:line="360" w:lineRule="auto"/>
        <w:ind w:left="720" w:hanging="720"/>
        <w:jc w:val="both"/>
        <w:rPr>
          <w:rFonts w:ascii="Arial" w:hAnsi="Arial" w:cs="Arial"/>
          <w:sz w:val="22"/>
          <w:szCs w:val="22"/>
        </w:rPr>
      </w:pPr>
      <w:r w:rsidRPr="00536F1A">
        <w:rPr>
          <w:rFonts w:ascii="Arial" w:hAnsi="Arial" w:cs="Arial"/>
          <w:sz w:val="22"/>
          <w:szCs w:val="22"/>
        </w:rPr>
        <w:t>Hoppen, T.H., Jehn, M., Holling, H., Mutz, J., Kip, A. and Morina, N. (2023). The efficacy and acceptability of psychological interventions for adult PTSD: A network and pairwise meta-analysis of randomized controlled trials. </w:t>
      </w:r>
      <w:r w:rsidRPr="00536F1A">
        <w:rPr>
          <w:rFonts w:ascii="Arial" w:hAnsi="Arial" w:cs="Arial"/>
          <w:i/>
          <w:iCs/>
          <w:sz w:val="22"/>
          <w:szCs w:val="22"/>
        </w:rPr>
        <w:t>Journal of Consulting and Clinical Psychology</w:t>
      </w:r>
      <w:r w:rsidRPr="00536F1A">
        <w:rPr>
          <w:rFonts w:ascii="Arial" w:hAnsi="Arial" w:cs="Arial"/>
          <w:sz w:val="22"/>
          <w:szCs w:val="22"/>
        </w:rPr>
        <w:t>, </w:t>
      </w:r>
      <w:r w:rsidRPr="00536F1A">
        <w:rPr>
          <w:rFonts w:ascii="Arial" w:hAnsi="Arial" w:cs="Arial"/>
          <w:i/>
          <w:iCs/>
          <w:sz w:val="22"/>
          <w:szCs w:val="22"/>
        </w:rPr>
        <w:t>91</w:t>
      </w:r>
      <w:r w:rsidRPr="00536F1A">
        <w:rPr>
          <w:rFonts w:ascii="Arial" w:hAnsi="Arial" w:cs="Arial"/>
          <w:sz w:val="22"/>
          <w:szCs w:val="22"/>
        </w:rPr>
        <w:t>(8), p.445.</w:t>
      </w:r>
    </w:p>
    <w:p w:rsidRPr="003B49B7" w:rsidR="001558E9" w:rsidP="00536F1A" w:rsidRDefault="001558E9" w14:paraId="1A8CD38E" w14:textId="77777777">
      <w:pPr>
        <w:spacing w:line="360" w:lineRule="auto"/>
        <w:ind w:left="720" w:hanging="720"/>
        <w:jc w:val="both"/>
        <w:rPr>
          <w:rFonts w:ascii="Arial" w:hAnsi="Arial" w:cs="Arial"/>
          <w:sz w:val="22"/>
          <w:szCs w:val="22"/>
        </w:rPr>
      </w:pPr>
      <w:r w:rsidRPr="00536F1A">
        <w:rPr>
          <w:rFonts w:ascii="Arial" w:hAnsi="Arial" w:cs="Arial"/>
          <w:sz w:val="22"/>
          <w:szCs w:val="22"/>
        </w:rPr>
        <w:t>Hyland, P., Shevlin, M., Brewin, C.R., Cloitre, M., Downes, A.J., Jumbe, S., Karatzias, T., Bisson, J.I. and Roberts, N.P. (2017). Validation of post</w:t>
      </w:r>
      <w:r w:rsidRPr="00536F1A">
        <w:rPr>
          <w:rFonts w:ascii="Cambria Math" w:hAnsi="Cambria Math" w:cs="Cambria Math"/>
          <w:sz w:val="22"/>
          <w:szCs w:val="22"/>
        </w:rPr>
        <w:t>‐</w:t>
      </w:r>
      <w:r w:rsidRPr="00536F1A">
        <w:rPr>
          <w:rFonts w:ascii="Arial" w:hAnsi="Arial" w:cs="Arial"/>
          <w:sz w:val="22"/>
          <w:szCs w:val="22"/>
        </w:rPr>
        <w:t>traumatic stress disorder (PTSD) and complex PTSD using the International Trauma Questionnaire. </w:t>
      </w:r>
      <w:r w:rsidRPr="00536F1A">
        <w:rPr>
          <w:rFonts w:ascii="Arial" w:hAnsi="Arial" w:cs="Arial"/>
          <w:i/>
          <w:iCs/>
          <w:sz w:val="22"/>
          <w:szCs w:val="22"/>
        </w:rPr>
        <w:t>Acta Psychiatrica Scandinavica</w:t>
      </w:r>
      <w:r w:rsidRPr="00536F1A">
        <w:rPr>
          <w:rFonts w:ascii="Arial" w:hAnsi="Arial" w:cs="Arial"/>
          <w:sz w:val="22"/>
          <w:szCs w:val="22"/>
        </w:rPr>
        <w:t>, </w:t>
      </w:r>
      <w:r w:rsidRPr="00536F1A">
        <w:rPr>
          <w:rFonts w:ascii="Arial" w:hAnsi="Arial" w:cs="Arial"/>
          <w:i/>
          <w:iCs/>
          <w:sz w:val="22"/>
          <w:szCs w:val="22"/>
        </w:rPr>
        <w:t>136</w:t>
      </w:r>
      <w:r w:rsidRPr="00536F1A">
        <w:rPr>
          <w:rFonts w:ascii="Arial" w:hAnsi="Arial" w:cs="Arial"/>
          <w:sz w:val="22"/>
          <w:szCs w:val="22"/>
        </w:rPr>
        <w:t>(3), pp.313-322.</w:t>
      </w:r>
    </w:p>
    <w:p w:rsidRPr="003B49B7" w:rsidR="001558E9" w:rsidP="00536F1A" w:rsidRDefault="001558E9" w14:paraId="279C9E9E" w14:textId="77777777">
      <w:pPr>
        <w:spacing w:line="360" w:lineRule="auto"/>
        <w:ind w:left="720" w:hanging="720"/>
        <w:jc w:val="both"/>
        <w:rPr>
          <w:rFonts w:ascii="Arial" w:hAnsi="Arial" w:cs="Arial"/>
          <w:sz w:val="22"/>
          <w:szCs w:val="22"/>
        </w:rPr>
      </w:pPr>
      <w:r w:rsidRPr="00536F1A">
        <w:rPr>
          <w:rFonts w:ascii="Arial" w:hAnsi="Arial" w:cs="Arial"/>
          <w:sz w:val="22"/>
          <w:szCs w:val="22"/>
        </w:rPr>
        <w:t>Kindred, R., Jak, S., Hamer, R., Nedeljkovic, M. and Bates, G.W. (2026). Evaluating the ICD-11 PTSD and complex PTSD constructs: A meta-analytic confirmatory factor analysis of the international trauma questionnaire. </w:t>
      </w:r>
      <w:r w:rsidRPr="00536F1A">
        <w:rPr>
          <w:rFonts w:ascii="Arial" w:hAnsi="Arial" w:cs="Arial"/>
          <w:i/>
          <w:iCs/>
          <w:sz w:val="22"/>
          <w:szCs w:val="22"/>
        </w:rPr>
        <w:t>Assessment</w:t>
      </w:r>
      <w:r w:rsidRPr="00536F1A">
        <w:rPr>
          <w:rFonts w:ascii="Arial" w:hAnsi="Arial" w:cs="Arial"/>
          <w:sz w:val="22"/>
          <w:szCs w:val="22"/>
        </w:rPr>
        <w:t>, </w:t>
      </w:r>
      <w:r w:rsidRPr="00536F1A">
        <w:rPr>
          <w:rFonts w:ascii="Arial" w:hAnsi="Arial" w:cs="Arial"/>
          <w:i/>
          <w:iCs/>
          <w:sz w:val="22"/>
          <w:szCs w:val="22"/>
        </w:rPr>
        <w:t>33</w:t>
      </w:r>
      <w:r w:rsidRPr="00536F1A">
        <w:rPr>
          <w:rFonts w:ascii="Arial" w:hAnsi="Arial" w:cs="Arial"/>
          <w:sz w:val="22"/>
          <w:szCs w:val="22"/>
        </w:rPr>
        <w:t>(4), pp.510-532.</w:t>
      </w:r>
    </w:p>
    <w:p w:rsidR="001558E9" w:rsidP="00536F1A" w:rsidRDefault="001558E9" w14:paraId="3E7DD76F" w14:textId="77777777">
      <w:pPr>
        <w:spacing w:line="360" w:lineRule="auto"/>
        <w:ind w:left="720" w:hanging="720"/>
        <w:jc w:val="both"/>
        <w:rPr>
          <w:rFonts w:ascii="Arial" w:hAnsi="Arial" w:cs="Arial"/>
          <w:sz w:val="22"/>
          <w:szCs w:val="22"/>
        </w:rPr>
      </w:pPr>
      <w:r w:rsidRPr="00536F1A">
        <w:rPr>
          <w:rFonts w:ascii="Arial" w:hAnsi="Arial" w:cs="Arial"/>
          <w:sz w:val="22"/>
          <w:szCs w:val="22"/>
        </w:rPr>
        <w:t>Lewis, C., Roberts, N.P., Andrew, M., Starling, E. and Bisson, J.I. (2020). Psychological therapies for post-traumatic stress disorder in adults: Systematic review and meta-analysis. </w:t>
      </w:r>
      <w:r w:rsidRPr="00536F1A">
        <w:rPr>
          <w:rFonts w:ascii="Arial" w:hAnsi="Arial" w:cs="Arial"/>
          <w:i/>
          <w:iCs/>
          <w:sz w:val="22"/>
          <w:szCs w:val="22"/>
        </w:rPr>
        <w:t>European journal of psychotraumatology</w:t>
      </w:r>
      <w:r w:rsidRPr="00536F1A">
        <w:rPr>
          <w:rFonts w:ascii="Arial" w:hAnsi="Arial" w:cs="Arial"/>
          <w:sz w:val="22"/>
          <w:szCs w:val="22"/>
        </w:rPr>
        <w:t>, </w:t>
      </w:r>
      <w:r w:rsidRPr="00536F1A">
        <w:rPr>
          <w:rFonts w:ascii="Arial" w:hAnsi="Arial" w:cs="Arial"/>
          <w:i/>
          <w:iCs/>
          <w:sz w:val="22"/>
          <w:szCs w:val="22"/>
        </w:rPr>
        <w:t>11</w:t>
      </w:r>
      <w:r w:rsidRPr="00536F1A">
        <w:rPr>
          <w:rFonts w:ascii="Arial" w:hAnsi="Arial" w:cs="Arial"/>
          <w:sz w:val="22"/>
          <w:szCs w:val="22"/>
        </w:rPr>
        <w:t>(1), p.1729633.</w:t>
      </w:r>
    </w:p>
    <w:p w:rsidRPr="003B49B7" w:rsidR="001558E9" w:rsidP="00536F1A" w:rsidRDefault="001558E9" w14:paraId="3DFCBDB5" w14:textId="4D776ACB">
      <w:pPr>
        <w:spacing w:line="360" w:lineRule="auto"/>
        <w:ind w:left="720" w:hanging="720"/>
        <w:jc w:val="both"/>
        <w:rPr>
          <w:rFonts w:ascii="Arial" w:hAnsi="Arial" w:cs="Arial"/>
          <w:sz w:val="22"/>
          <w:szCs w:val="22"/>
        </w:rPr>
      </w:pPr>
      <w:r w:rsidRPr="001558E9">
        <w:rPr>
          <w:rFonts w:ascii="Arial" w:hAnsi="Arial" w:cs="Arial"/>
          <w:sz w:val="22"/>
          <w:szCs w:val="22"/>
        </w:rPr>
        <w:t>Leah, C., Dixon, J., Craig, E., Heyes, K., Best, D., Bergqvist, A. and Haines-Delmont, A.</w:t>
      </w:r>
      <w:r>
        <w:rPr>
          <w:rFonts w:ascii="Arial" w:hAnsi="Arial" w:cs="Arial"/>
          <w:sz w:val="22"/>
          <w:szCs w:val="22"/>
        </w:rPr>
        <w:t xml:space="preserve"> (</w:t>
      </w:r>
      <w:r w:rsidRPr="001558E9">
        <w:rPr>
          <w:rFonts w:ascii="Arial" w:hAnsi="Arial" w:cs="Arial"/>
          <w:sz w:val="22"/>
          <w:szCs w:val="22"/>
        </w:rPr>
        <w:t>2026</w:t>
      </w:r>
      <w:r>
        <w:rPr>
          <w:rFonts w:ascii="Arial" w:hAnsi="Arial" w:cs="Arial"/>
          <w:sz w:val="22"/>
          <w:szCs w:val="22"/>
        </w:rPr>
        <w:t>)</w:t>
      </w:r>
      <w:r w:rsidRPr="001558E9">
        <w:rPr>
          <w:rFonts w:ascii="Arial" w:hAnsi="Arial" w:cs="Arial"/>
          <w:sz w:val="22"/>
          <w:szCs w:val="22"/>
        </w:rPr>
        <w:t>. Stigma, race, and testimonial injustice in mental health detention: Professionals experience of Compulsory Assessment and Treatment under The Mental Health Act 1983. </w:t>
      </w:r>
      <w:r w:rsidRPr="001558E9">
        <w:rPr>
          <w:rFonts w:ascii="Arial" w:hAnsi="Arial" w:cs="Arial"/>
          <w:i/>
          <w:iCs/>
          <w:sz w:val="22"/>
          <w:szCs w:val="22"/>
        </w:rPr>
        <w:t>PLOS Mental Health</w:t>
      </w:r>
      <w:r w:rsidRPr="001558E9">
        <w:rPr>
          <w:rFonts w:ascii="Arial" w:hAnsi="Arial" w:cs="Arial"/>
          <w:sz w:val="22"/>
          <w:szCs w:val="22"/>
        </w:rPr>
        <w:t>, </w:t>
      </w:r>
      <w:r w:rsidRPr="001558E9">
        <w:rPr>
          <w:rFonts w:ascii="Arial" w:hAnsi="Arial" w:cs="Arial"/>
          <w:i/>
          <w:iCs/>
          <w:sz w:val="22"/>
          <w:szCs w:val="22"/>
        </w:rPr>
        <w:t>3</w:t>
      </w:r>
      <w:r w:rsidRPr="001558E9">
        <w:rPr>
          <w:rFonts w:ascii="Arial" w:hAnsi="Arial" w:cs="Arial"/>
          <w:sz w:val="22"/>
          <w:szCs w:val="22"/>
        </w:rPr>
        <w:t>(3), p.e0000567.</w:t>
      </w:r>
    </w:p>
    <w:p w:rsidRPr="003B49B7" w:rsidR="001558E9" w:rsidP="00536F1A" w:rsidRDefault="001558E9" w14:paraId="7CBE9476" w14:textId="77777777">
      <w:pPr>
        <w:spacing w:line="360" w:lineRule="auto"/>
        <w:ind w:left="720" w:hanging="720"/>
        <w:jc w:val="both"/>
        <w:rPr>
          <w:rFonts w:ascii="Arial" w:hAnsi="Arial" w:cs="Arial"/>
          <w:sz w:val="22"/>
          <w:szCs w:val="22"/>
        </w:rPr>
      </w:pPr>
      <w:r w:rsidRPr="00536F1A">
        <w:rPr>
          <w:rFonts w:ascii="Arial" w:hAnsi="Arial" w:cs="Arial"/>
          <w:sz w:val="22"/>
          <w:szCs w:val="22"/>
        </w:rPr>
        <w:t>Magdi, H.M., Abousoliman, A.D., Lbrahim, A.M., Elsehrawy, M.G., El-Gazar, H.E. and Zoromba, M.A. (2025). Attention-deficit/hyperactivity disorder and post-traumatic stress disorder adult comorbidity: a systematic review. </w:t>
      </w:r>
      <w:r w:rsidRPr="00536F1A">
        <w:rPr>
          <w:rFonts w:ascii="Arial" w:hAnsi="Arial" w:cs="Arial"/>
          <w:i/>
          <w:iCs/>
          <w:sz w:val="22"/>
          <w:szCs w:val="22"/>
        </w:rPr>
        <w:t>Systematic reviews</w:t>
      </w:r>
      <w:r w:rsidRPr="00536F1A">
        <w:rPr>
          <w:rFonts w:ascii="Arial" w:hAnsi="Arial" w:cs="Arial"/>
          <w:sz w:val="22"/>
          <w:szCs w:val="22"/>
        </w:rPr>
        <w:t>, </w:t>
      </w:r>
      <w:r w:rsidRPr="00536F1A">
        <w:rPr>
          <w:rFonts w:ascii="Arial" w:hAnsi="Arial" w:cs="Arial"/>
          <w:i/>
          <w:iCs/>
          <w:sz w:val="22"/>
          <w:szCs w:val="22"/>
        </w:rPr>
        <w:t>14</w:t>
      </w:r>
      <w:r w:rsidRPr="00536F1A">
        <w:rPr>
          <w:rFonts w:ascii="Arial" w:hAnsi="Arial" w:cs="Arial"/>
          <w:sz w:val="22"/>
          <w:szCs w:val="22"/>
        </w:rPr>
        <w:t>(1), p.41.</w:t>
      </w:r>
    </w:p>
    <w:p w:rsidRPr="003B49B7" w:rsidR="001558E9" w:rsidP="00536F1A" w:rsidRDefault="001558E9" w14:paraId="36527C96" w14:textId="77777777">
      <w:pPr>
        <w:spacing w:line="360" w:lineRule="auto"/>
        <w:ind w:left="720" w:hanging="720"/>
        <w:jc w:val="both"/>
        <w:rPr>
          <w:rFonts w:ascii="Arial" w:hAnsi="Arial" w:cs="Arial"/>
          <w:sz w:val="22"/>
          <w:szCs w:val="22"/>
        </w:rPr>
      </w:pPr>
      <w:r w:rsidRPr="00536F1A">
        <w:rPr>
          <w:rFonts w:ascii="Arial" w:hAnsi="Arial" w:cs="Arial"/>
          <w:sz w:val="22"/>
          <w:szCs w:val="22"/>
        </w:rPr>
        <w:t xml:space="preserve">Mavranezouli, I., Megnin-Viggars, O., Daly, C., Dias, S., Welton, N.J., Stockton, S., Bhutani, G., Grey, N., Leach, J., Greenberg, N. and Katona, C. (2020). Psychological treatments for </w:t>
      </w:r>
      <w:r w:rsidRPr="00536F1A">
        <w:rPr>
          <w:rFonts w:ascii="Arial" w:hAnsi="Arial" w:cs="Arial"/>
          <w:sz w:val="22"/>
          <w:szCs w:val="22"/>
        </w:rPr>
        <w:lastRenderedPageBreak/>
        <w:t>post-traumatic stress disorder in adults: a network meta-analysis. </w:t>
      </w:r>
      <w:r w:rsidRPr="00536F1A">
        <w:rPr>
          <w:rFonts w:ascii="Arial" w:hAnsi="Arial" w:cs="Arial"/>
          <w:i/>
          <w:iCs/>
          <w:sz w:val="22"/>
          <w:szCs w:val="22"/>
        </w:rPr>
        <w:t>Psychological medicine</w:t>
      </w:r>
      <w:r w:rsidRPr="00536F1A">
        <w:rPr>
          <w:rFonts w:ascii="Arial" w:hAnsi="Arial" w:cs="Arial"/>
          <w:sz w:val="22"/>
          <w:szCs w:val="22"/>
        </w:rPr>
        <w:t>, </w:t>
      </w:r>
      <w:r w:rsidRPr="00536F1A">
        <w:rPr>
          <w:rFonts w:ascii="Arial" w:hAnsi="Arial" w:cs="Arial"/>
          <w:i/>
          <w:iCs/>
          <w:sz w:val="22"/>
          <w:szCs w:val="22"/>
        </w:rPr>
        <w:t>50</w:t>
      </w:r>
      <w:r w:rsidRPr="00536F1A">
        <w:rPr>
          <w:rFonts w:ascii="Arial" w:hAnsi="Arial" w:cs="Arial"/>
          <w:sz w:val="22"/>
          <w:szCs w:val="22"/>
        </w:rPr>
        <w:t>(4), pp.542-555.</w:t>
      </w:r>
    </w:p>
    <w:p w:rsidRPr="003B49B7" w:rsidR="001558E9" w:rsidP="00536F1A" w:rsidRDefault="001558E9" w14:paraId="15825AF0" w14:textId="77777777">
      <w:pPr>
        <w:spacing w:line="360" w:lineRule="auto"/>
        <w:ind w:left="720" w:hanging="720"/>
        <w:jc w:val="both"/>
        <w:rPr>
          <w:rFonts w:ascii="Arial" w:hAnsi="Arial" w:cs="Arial"/>
          <w:sz w:val="22"/>
          <w:szCs w:val="22"/>
        </w:rPr>
      </w:pPr>
      <w:r w:rsidRPr="00536F1A">
        <w:rPr>
          <w:rFonts w:ascii="Arial" w:hAnsi="Arial" w:cs="Arial"/>
          <w:sz w:val="22"/>
          <w:szCs w:val="22"/>
        </w:rPr>
        <w:t>Morris, S., Hill, S., Traolach, B., Tromans, S., Morgan, Z., Appleby, L., Ayton, A., Barnicot, K., Bennett, M., Bhavsar, V. and Brown, A. (2025). Adult psychiatric morbidity survey: survey of mental health and wellbeing, england, 2023/4.</w:t>
      </w:r>
    </w:p>
    <w:p w:rsidRPr="003B49B7" w:rsidR="001558E9" w:rsidP="00536F1A" w:rsidRDefault="001558E9" w14:paraId="44E777DD" w14:textId="77777777">
      <w:pPr>
        <w:spacing w:line="360" w:lineRule="auto"/>
        <w:ind w:left="720" w:hanging="720"/>
        <w:jc w:val="both"/>
        <w:rPr>
          <w:rFonts w:ascii="Arial" w:hAnsi="Arial" w:cs="Arial"/>
          <w:sz w:val="22"/>
          <w:szCs w:val="22"/>
        </w:rPr>
      </w:pPr>
      <w:r w:rsidRPr="003B49B7">
        <w:rPr>
          <w:rFonts w:ascii="Arial" w:hAnsi="Arial" w:cs="Arial"/>
          <w:sz w:val="22"/>
          <w:szCs w:val="22"/>
        </w:rPr>
        <w:t>National Health Service</w:t>
      </w:r>
      <w:r w:rsidRPr="00536F1A">
        <w:rPr>
          <w:rFonts w:ascii="Arial" w:hAnsi="Arial" w:cs="Arial"/>
          <w:sz w:val="22"/>
          <w:szCs w:val="22"/>
        </w:rPr>
        <w:t xml:space="preserve"> (NHS)</w:t>
      </w:r>
      <w:r w:rsidRPr="003B49B7">
        <w:rPr>
          <w:rFonts w:ascii="Arial" w:hAnsi="Arial" w:cs="Arial"/>
          <w:sz w:val="22"/>
          <w:szCs w:val="22"/>
        </w:rPr>
        <w:t xml:space="preserve"> (2026)</w:t>
      </w:r>
      <w:r w:rsidRPr="00536F1A">
        <w:rPr>
          <w:rFonts w:ascii="Arial" w:hAnsi="Arial" w:cs="Arial"/>
          <w:sz w:val="22"/>
          <w:szCs w:val="22"/>
        </w:rPr>
        <w:t>.</w:t>
      </w:r>
      <w:r w:rsidRPr="003B49B7">
        <w:rPr>
          <w:rFonts w:ascii="Arial" w:hAnsi="Arial" w:cs="Arial"/>
          <w:sz w:val="22"/>
          <w:szCs w:val="22"/>
        </w:rPr>
        <w:t xml:space="preserve"> </w:t>
      </w:r>
      <w:r w:rsidRPr="003B49B7">
        <w:rPr>
          <w:rFonts w:ascii="Arial" w:hAnsi="Arial" w:cs="Arial"/>
          <w:i/>
          <w:iCs/>
          <w:sz w:val="22"/>
          <w:szCs w:val="22"/>
        </w:rPr>
        <w:t>PTSD: Post-Traumatic Stress Disorder</w:t>
      </w:r>
      <w:r w:rsidRPr="003B49B7">
        <w:rPr>
          <w:rFonts w:ascii="Arial" w:hAnsi="Arial" w:cs="Arial"/>
          <w:sz w:val="22"/>
          <w:szCs w:val="22"/>
        </w:rPr>
        <w:t>. London: NHS.</w:t>
      </w:r>
      <w:r w:rsidRPr="00536F1A">
        <w:rPr>
          <w:rFonts w:ascii="Arial" w:hAnsi="Arial" w:cs="Arial"/>
          <w:sz w:val="22"/>
          <w:szCs w:val="22"/>
        </w:rPr>
        <w:t xml:space="preserve"> Available at: https://www.nhs.uk/mental-health/conditions/ptsd-post-traumatic-stress-disorder/</w:t>
      </w:r>
    </w:p>
    <w:p w:rsidRPr="003B49B7" w:rsidR="001558E9" w:rsidP="00536F1A" w:rsidRDefault="001558E9" w14:paraId="7EEE287B" w14:textId="77777777">
      <w:pPr>
        <w:spacing w:line="360" w:lineRule="auto"/>
        <w:ind w:left="720" w:hanging="720"/>
        <w:jc w:val="both"/>
        <w:rPr>
          <w:rFonts w:ascii="Arial" w:hAnsi="Arial" w:cs="Arial"/>
          <w:sz w:val="22"/>
          <w:szCs w:val="22"/>
        </w:rPr>
      </w:pPr>
      <w:r w:rsidRPr="003B49B7">
        <w:rPr>
          <w:rFonts w:ascii="Arial" w:hAnsi="Arial" w:cs="Arial"/>
          <w:sz w:val="22"/>
          <w:szCs w:val="22"/>
        </w:rPr>
        <w:t>National Institute for Health and Care Excellence</w:t>
      </w:r>
      <w:r w:rsidRPr="00536F1A">
        <w:rPr>
          <w:rFonts w:ascii="Arial" w:hAnsi="Arial" w:cs="Arial"/>
          <w:sz w:val="22"/>
          <w:szCs w:val="22"/>
        </w:rPr>
        <w:t xml:space="preserve"> (NICE)</w:t>
      </w:r>
      <w:r w:rsidRPr="003B49B7">
        <w:rPr>
          <w:rFonts w:ascii="Arial" w:hAnsi="Arial" w:cs="Arial"/>
          <w:sz w:val="22"/>
          <w:szCs w:val="22"/>
        </w:rPr>
        <w:t xml:space="preserve"> (2018)</w:t>
      </w:r>
      <w:r w:rsidRPr="00536F1A">
        <w:rPr>
          <w:rFonts w:ascii="Arial" w:hAnsi="Arial" w:cs="Arial"/>
          <w:sz w:val="22"/>
          <w:szCs w:val="22"/>
        </w:rPr>
        <w:t>.</w:t>
      </w:r>
      <w:r w:rsidRPr="003B49B7">
        <w:rPr>
          <w:rFonts w:ascii="Arial" w:hAnsi="Arial" w:cs="Arial"/>
          <w:sz w:val="22"/>
          <w:szCs w:val="22"/>
        </w:rPr>
        <w:t xml:space="preserve"> </w:t>
      </w:r>
      <w:r w:rsidRPr="003B49B7">
        <w:rPr>
          <w:rFonts w:ascii="Arial" w:hAnsi="Arial" w:cs="Arial"/>
          <w:i/>
          <w:iCs/>
          <w:sz w:val="22"/>
          <w:szCs w:val="22"/>
        </w:rPr>
        <w:t>Post-Traumatic Stress Disorder: NICE Guideline NG116</w:t>
      </w:r>
      <w:r w:rsidRPr="003B49B7">
        <w:rPr>
          <w:rFonts w:ascii="Arial" w:hAnsi="Arial" w:cs="Arial"/>
          <w:sz w:val="22"/>
          <w:szCs w:val="22"/>
        </w:rPr>
        <w:t>. London: NICE. Reviewed April 2025.</w:t>
      </w:r>
    </w:p>
    <w:p w:rsidRPr="00536F1A" w:rsidR="001558E9" w:rsidP="00536F1A" w:rsidRDefault="001558E9" w14:paraId="1193F6AA" w14:textId="77777777">
      <w:pPr>
        <w:spacing w:line="360" w:lineRule="auto"/>
        <w:ind w:left="720" w:hanging="720"/>
        <w:jc w:val="both"/>
        <w:rPr>
          <w:rFonts w:ascii="Arial" w:hAnsi="Arial" w:cs="Arial"/>
          <w:sz w:val="22"/>
          <w:szCs w:val="22"/>
        </w:rPr>
      </w:pPr>
      <w:r w:rsidRPr="00536F1A">
        <w:rPr>
          <w:rFonts w:ascii="Arial" w:hAnsi="Arial" w:cs="Arial"/>
          <w:sz w:val="22"/>
          <w:szCs w:val="22"/>
        </w:rPr>
        <w:t>Quinton, A.M., Ali, D., Danese, A., Happe, F. and Rumball, F., 2026. The assessment and treatment of post-traumatic stress disorder in autistic people: A systematic review. </w:t>
      </w:r>
      <w:r w:rsidRPr="00536F1A">
        <w:rPr>
          <w:rFonts w:ascii="Arial" w:hAnsi="Arial" w:cs="Arial"/>
          <w:i/>
          <w:iCs/>
          <w:sz w:val="22"/>
          <w:szCs w:val="22"/>
        </w:rPr>
        <w:t>Review Journal of Autism and Developmental Disorders</w:t>
      </w:r>
      <w:r w:rsidRPr="00536F1A">
        <w:rPr>
          <w:rFonts w:ascii="Arial" w:hAnsi="Arial" w:cs="Arial"/>
          <w:sz w:val="22"/>
          <w:szCs w:val="22"/>
        </w:rPr>
        <w:t>, </w:t>
      </w:r>
      <w:r w:rsidRPr="00536F1A">
        <w:rPr>
          <w:rFonts w:ascii="Arial" w:hAnsi="Arial" w:cs="Arial"/>
          <w:i/>
          <w:iCs/>
          <w:sz w:val="22"/>
          <w:szCs w:val="22"/>
        </w:rPr>
        <w:t>13</w:t>
      </w:r>
      <w:r w:rsidRPr="00536F1A">
        <w:rPr>
          <w:rFonts w:ascii="Arial" w:hAnsi="Arial" w:cs="Arial"/>
          <w:sz w:val="22"/>
          <w:szCs w:val="22"/>
        </w:rPr>
        <w:t>(1), pp.110-144.</w:t>
      </w:r>
    </w:p>
    <w:p w:rsidR="001558E9" w:rsidP="00536F1A" w:rsidRDefault="001558E9" w14:paraId="746A9486" w14:textId="77777777">
      <w:pPr>
        <w:spacing w:line="360" w:lineRule="auto"/>
        <w:ind w:left="720" w:hanging="720"/>
        <w:jc w:val="both"/>
        <w:rPr>
          <w:rFonts w:ascii="Arial" w:hAnsi="Arial" w:cs="Arial"/>
          <w:sz w:val="22"/>
          <w:szCs w:val="22"/>
        </w:rPr>
      </w:pPr>
      <w:r w:rsidRPr="00536F1A">
        <w:rPr>
          <w:rFonts w:ascii="Arial" w:hAnsi="Arial" w:cs="Arial"/>
          <w:sz w:val="22"/>
          <w:szCs w:val="22"/>
        </w:rPr>
        <w:t>Simpson, E., Carroll, C., Sutton, A., Forsyth, J., Rayner, A., Ren, S., Franklin, M. and Wood, E. (2025). Clinical and cost</w:t>
      </w:r>
      <w:r w:rsidRPr="00536F1A">
        <w:rPr>
          <w:rFonts w:ascii="Cambria Math" w:hAnsi="Cambria Math" w:cs="Cambria Math"/>
          <w:sz w:val="22"/>
          <w:szCs w:val="22"/>
        </w:rPr>
        <w:t>‐</w:t>
      </w:r>
      <w:r w:rsidRPr="00536F1A">
        <w:rPr>
          <w:rFonts w:ascii="Arial" w:hAnsi="Arial" w:cs="Arial"/>
          <w:sz w:val="22"/>
          <w:szCs w:val="22"/>
        </w:rPr>
        <w:t>effectiveness of eye movement desensitization and reprocessing for treatment and prevention of post</w:t>
      </w:r>
      <w:r w:rsidRPr="00536F1A">
        <w:rPr>
          <w:rFonts w:ascii="Cambria Math" w:hAnsi="Cambria Math" w:cs="Cambria Math"/>
          <w:sz w:val="22"/>
          <w:szCs w:val="22"/>
        </w:rPr>
        <w:t>‐</w:t>
      </w:r>
      <w:r w:rsidRPr="00536F1A">
        <w:rPr>
          <w:rFonts w:ascii="Arial" w:hAnsi="Arial" w:cs="Arial"/>
          <w:sz w:val="22"/>
          <w:szCs w:val="22"/>
        </w:rPr>
        <w:t>traumatic stress disorder in adults: A systematic review and meta</w:t>
      </w:r>
      <w:r w:rsidRPr="00536F1A">
        <w:rPr>
          <w:rFonts w:ascii="Cambria Math" w:hAnsi="Cambria Math" w:cs="Cambria Math"/>
          <w:sz w:val="22"/>
          <w:szCs w:val="22"/>
        </w:rPr>
        <w:t>‐</w:t>
      </w:r>
      <w:r w:rsidRPr="00536F1A">
        <w:rPr>
          <w:rFonts w:ascii="Arial" w:hAnsi="Arial" w:cs="Arial"/>
          <w:sz w:val="22"/>
          <w:szCs w:val="22"/>
        </w:rPr>
        <w:t>analysis. </w:t>
      </w:r>
      <w:r w:rsidRPr="00536F1A">
        <w:rPr>
          <w:rFonts w:ascii="Arial" w:hAnsi="Arial" w:cs="Arial"/>
          <w:i/>
          <w:iCs/>
          <w:sz w:val="22"/>
          <w:szCs w:val="22"/>
        </w:rPr>
        <w:t>British Journal of Psychology</w:t>
      </w:r>
      <w:r w:rsidRPr="00536F1A">
        <w:rPr>
          <w:rFonts w:ascii="Arial" w:hAnsi="Arial" w:cs="Arial"/>
          <w:sz w:val="22"/>
          <w:szCs w:val="22"/>
        </w:rPr>
        <w:t>, </w:t>
      </w:r>
      <w:r w:rsidRPr="00536F1A">
        <w:rPr>
          <w:rFonts w:ascii="Arial" w:hAnsi="Arial" w:cs="Arial"/>
          <w:i/>
          <w:iCs/>
          <w:sz w:val="22"/>
          <w:szCs w:val="22"/>
        </w:rPr>
        <w:t>116</w:t>
      </w:r>
      <w:r w:rsidRPr="00536F1A">
        <w:rPr>
          <w:rFonts w:ascii="Arial" w:hAnsi="Arial" w:cs="Arial"/>
          <w:sz w:val="22"/>
          <w:szCs w:val="22"/>
        </w:rPr>
        <w:t>(4), pp.1128-1149.</w:t>
      </w:r>
    </w:p>
    <w:p w:rsidR="001558E9" w:rsidP="00536F1A" w:rsidRDefault="001558E9" w14:paraId="37D0BE6F" w14:textId="77777777">
      <w:pPr>
        <w:spacing w:line="360" w:lineRule="auto"/>
        <w:ind w:left="720" w:hanging="720"/>
        <w:jc w:val="both"/>
        <w:rPr>
          <w:rFonts w:ascii="Arial" w:hAnsi="Arial" w:cs="Arial"/>
          <w:sz w:val="22"/>
          <w:szCs w:val="22"/>
        </w:rPr>
      </w:pPr>
      <w:r w:rsidRPr="003B49B7">
        <w:rPr>
          <w:rFonts w:ascii="Arial" w:hAnsi="Arial" w:cs="Arial"/>
          <w:sz w:val="22"/>
          <w:szCs w:val="22"/>
        </w:rPr>
        <w:t>World Health Organization (2024b)</w:t>
      </w:r>
      <w:r>
        <w:rPr>
          <w:rFonts w:ascii="Arial" w:hAnsi="Arial" w:cs="Arial"/>
          <w:sz w:val="22"/>
          <w:szCs w:val="22"/>
        </w:rPr>
        <w:t>.</w:t>
      </w:r>
      <w:r w:rsidRPr="003B49B7">
        <w:rPr>
          <w:rFonts w:ascii="Arial" w:hAnsi="Arial" w:cs="Arial"/>
          <w:sz w:val="22"/>
          <w:szCs w:val="22"/>
        </w:rPr>
        <w:t xml:space="preserve"> </w:t>
      </w:r>
      <w:r w:rsidRPr="003B49B7">
        <w:rPr>
          <w:rFonts w:ascii="Arial" w:hAnsi="Arial" w:cs="Arial"/>
          <w:i/>
          <w:iCs/>
          <w:sz w:val="22"/>
          <w:szCs w:val="22"/>
        </w:rPr>
        <w:t>Clinical Descriptions and Diagnostic Requirements for ICD-11 Mental, Behavioural and Neurodevelopmental Disorders</w:t>
      </w:r>
      <w:r w:rsidRPr="003B49B7">
        <w:rPr>
          <w:rFonts w:ascii="Arial" w:hAnsi="Arial" w:cs="Arial"/>
          <w:sz w:val="22"/>
          <w:szCs w:val="22"/>
        </w:rPr>
        <w:t>. Geneva: World Health Organization. ISBN: 978-92-4-007726-3.</w:t>
      </w:r>
    </w:p>
    <w:p w:rsidRPr="003B49B7" w:rsidR="001558E9" w:rsidP="001558E9" w:rsidRDefault="001558E9" w14:paraId="5E267593" w14:textId="77777777">
      <w:pPr>
        <w:spacing w:line="360" w:lineRule="auto"/>
        <w:ind w:left="720" w:hanging="720"/>
        <w:jc w:val="both"/>
        <w:rPr>
          <w:rFonts w:ascii="Arial" w:hAnsi="Arial" w:cs="Arial"/>
          <w:sz w:val="22"/>
          <w:szCs w:val="22"/>
        </w:rPr>
      </w:pPr>
      <w:r w:rsidRPr="001558E9">
        <w:rPr>
          <w:rFonts w:ascii="Arial" w:hAnsi="Arial" w:cs="Arial"/>
          <w:sz w:val="22"/>
          <w:szCs w:val="22"/>
        </w:rPr>
        <w:t xml:space="preserve">World Health Organization </w:t>
      </w:r>
      <w:r>
        <w:rPr>
          <w:rFonts w:ascii="Arial" w:hAnsi="Arial" w:cs="Arial"/>
          <w:sz w:val="22"/>
          <w:szCs w:val="22"/>
        </w:rPr>
        <w:t xml:space="preserve">(WHO) </w:t>
      </w:r>
      <w:r w:rsidRPr="001558E9">
        <w:rPr>
          <w:rFonts w:ascii="Arial" w:hAnsi="Arial" w:cs="Arial"/>
          <w:sz w:val="22"/>
          <w:szCs w:val="22"/>
        </w:rPr>
        <w:t>(2024a)</w:t>
      </w:r>
      <w:r>
        <w:rPr>
          <w:rFonts w:ascii="Arial" w:hAnsi="Arial" w:cs="Arial"/>
          <w:sz w:val="22"/>
          <w:szCs w:val="22"/>
        </w:rPr>
        <w:t>.</w:t>
      </w:r>
      <w:r w:rsidRPr="001558E9">
        <w:rPr>
          <w:rFonts w:ascii="Arial" w:hAnsi="Arial" w:cs="Arial"/>
          <w:sz w:val="22"/>
          <w:szCs w:val="22"/>
        </w:rPr>
        <w:t xml:space="preserve"> </w:t>
      </w:r>
      <w:r w:rsidRPr="001558E9">
        <w:rPr>
          <w:rFonts w:ascii="Arial" w:hAnsi="Arial" w:cs="Arial"/>
          <w:i/>
          <w:iCs/>
          <w:sz w:val="22"/>
          <w:szCs w:val="22"/>
        </w:rPr>
        <w:t>Post-Traumatic Stress Disorder</w:t>
      </w:r>
      <w:r w:rsidRPr="001558E9">
        <w:rPr>
          <w:rFonts w:ascii="Arial" w:hAnsi="Arial" w:cs="Arial"/>
          <w:sz w:val="22"/>
          <w:szCs w:val="22"/>
        </w:rPr>
        <w:t>. Geneva: World Health Organization.</w:t>
      </w:r>
      <w:r>
        <w:rPr>
          <w:rFonts w:ascii="Arial" w:hAnsi="Arial" w:cs="Arial"/>
          <w:sz w:val="22"/>
          <w:szCs w:val="22"/>
        </w:rPr>
        <w:t xml:space="preserve"> Available at: </w:t>
      </w:r>
      <w:r w:rsidRPr="001558E9">
        <w:rPr>
          <w:rFonts w:ascii="Arial" w:hAnsi="Arial" w:cs="Arial"/>
          <w:sz w:val="22"/>
          <w:szCs w:val="22"/>
        </w:rPr>
        <w:t>https://www.who.int/news-room/fact-sheets/detail/post-traumatic-stress-disorder</w:t>
      </w:r>
    </w:p>
    <w:sectPr w:rsidRPr="003B49B7" w:rsidR="001558E9">
      <w:head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01606" w:rsidP="003B49B7" w:rsidRDefault="00F01606" w14:paraId="797C8CCD" w14:textId="77777777">
      <w:pPr>
        <w:spacing w:after="0" w:line="240" w:lineRule="auto"/>
      </w:pPr>
      <w:r>
        <w:separator/>
      </w:r>
    </w:p>
  </w:endnote>
  <w:endnote w:type="continuationSeparator" w:id="0">
    <w:p w:rsidR="00F01606" w:rsidP="003B49B7" w:rsidRDefault="00F01606" w14:paraId="401A12A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01606" w:rsidP="003B49B7" w:rsidRDefault="00F01606" w14:paraId="0FC9D1AF" w14:textId="77777777">
      <w:pPr>
        <w:spacing w:after="0" w:line="240" w:lineRule="auto"/>
      </w:pPr>
      <w:r>
        <w:separator/>
      </w:r>
    </w:p>
  </w:footnote>
  <w:footnote w:type="continuationSeparator" w:id="0">
    <w:p w:rsidR="00F01606" w:rsidP="003B49B7" w:rsidRDefault="00F01606" w14:paraId="162DF35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2019629"/>
      <w:docPartObj>
        <w:docPartGallery w:val="Page Numbers (Top of Page)"/>
        <w:docPartUnique/>
      </w:docPartObj>
    </w:sdtPr>
    <w:sdtEndPr>
      <w:rPr>
        <w:noProof/>
      </w:rPr>
    </w:sdtEndPr>
    <w:sdtContent>
      <w:p w:rsidR="003B49B7" w:rsidRDefault="003B49B7" w14:paraId="46E447C6" w14:textId="73748D9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3B49B7" w:rsidRDefault="003B49B7" w14:paraId="3AD1BE60"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545D4"/>
    <w:multiLevelType w:val="hybridMultilevel"/>
    <w:tmpl w:val="D292D6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A1085D"/>
    <w:multiLevelType w:val="hybridMultilevel"/>
    <w:tmpl w:val="E4065C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5384690">
    <w:abstractNumId w:val="0"/>
  </w:num>
  <w:num w:numId="2" w16cid:durableId="15642900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FA3"/>
    <w:rsid w:val="000268DF"/>
    <w:rsid w:val="00061D10"/>
    <w:rsid w:val="001558E9"/>
    <w:rsid w:val="001F5ACC"/>
    <w:rsid w:val="00310C2E"/>
    <w:rsid w:val="003B49B7"/>
    <w:rsid w:val="00477CF4"/>
    <w:rsid w:val="004D19D3"/>
    <w:rsid w:val="00535C50"/>
    <w:rsid w:val="00536F1A"/>
    <w:rsid w:val="006D1843"/>
    <w:rsid w:val="00793E06"/>
    <w:rsid w:val="007966AD"/>
    <w:rsid w:val="00802360"/>
    <w:rsid w:val="00845A54"/>
    <w:rsid w:val="0090247A"/>
    <w:rsid w:val="00B52852"/>
    <w:rsid w:val="00C07B57"/>
    <w:rsid w:val="00C40AE8"/>
    <w:rsid w:val="00C81842"/>
    <w:rsid w:val="00E31FA3"/>
    <w:rsid w:val="00E81260"/>
    <w:rsid w:val="00F01606"/>
    <w:rsid w:val="00F158A4"/>
    <w:rsid w:val="00F6263C"/>
    <w:rsid w:val="01A55AF4"/>
    <w:rsid w:val="0F4DC2A7"/>
    <w:rsid w:val="16446464"/>
    <w:rsid w:val="1A56AC06"/>
    <w:rsid w:val="262197DE"/>
    <w:rsid w:val="2A291228"/>
    <w:rsid w:val="2DA60250"/>
    <w:rsid w:val="30BA666F"/>
    <w:rsid w:val="3929303A"/>
    <w:rsid w:val="3A1DFCDD"/>
    <w:rsid w:val="3C50FAA3"/>
    <w:rsid w:val="3FBE396B"/>
    <w:rsid w:val="4ECE2979"/>
    <w:rsid w:val="58ECE8BD"/>
    <w:rsid w:val="5CC571C6"/>
    <w:rsid w:val="5D2EC309"/>
    <w:rsid w:val="5DA9B9BE"/>
    <w:rsid w:val="5FA7F022"/>
    <w:rsid w:val="6586FF61"/>
    <w:rsid w:val="6EDA3C47"/>
    <w:rsid w:val="750343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A8EF1"/>
  <w15:chartTrackingRefBased/>
  <w15:docId w15:val="{245D34EE-A6F0-4A57-A683-051711809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36F1A"/>
    <w:pPr>
      <w:keepNext/>
      <w:keepLines/>
      <w:spacing w:before="360" w:after="80"/>
      <w:outlineLvl w:val="0"/>
    </w:pPr>
    <w:rPr>
      <w:rFonts w:ascii="Arial" w:hAnsi="Arial"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536F1A"/>
    <w:pPr>
      <w:keepNext/>
      <w:keepLines/>
      <w:spacing w:before="160" w:after="80"/>
      <w:outlineLvl w:val="1"/>
    </w:pPr>
    <w:rPr>
      <w:rFonts w:ascii="Arial" w:hAnsi="Arial" w:eastAsiaTheme="majorEastAsia" w:cstheme="majorBidi"/>
      <w:b/>
      <w:i/>
      <w:color w:val="000000" w:themeColor="text1"/>
      <w:sz w:val="28"/>
      <w:szCs w:val="32"/>
    </w:rPr>
  </w:style>
  <w:style w:type="paragraph" w:styleId="Heading3">
    <w:name w:val="heading 3"/>
    <w:basedOn w:val="Normal"/>
    <w:next w:val="Normal"/>
    <w:link w:val="Heading3Char"/>
    <w:uiPriority w:val="9"/>
    <w:semiHidden/>
    <w:unhideWhenUsed/>
    <w:qFormat/>
    <w:rsid w:val="00E31FA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31FA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1FA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1F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1F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1F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1FA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36F1A"/>
    <w:rPr>
      <w:rFonts w:ascii="Arial" w:hAnsi="Arial" w:eastAsiaTheme="majorEastAsia" w:cstheme="majorBidi"/>
      <w:b/>
      <w:color w:val="000000" w:themeColor="text1"/>
      <w:sz w:val="32"/>
      <w:szCs w:val="40"/>
    </w:rPr>
  </w:style>
  <w:style w:type="character" w:styleId="Heading2Char" w:customStyle="1">
    <w:name w:val="Heading 2 Char"/>
    <w:basedOn w:val="DefaultParagraphFont"/>
    <w:link w:val="Heading2"/>
    <w:uiPriority w:val="9"/>
    <w:semiHidden/>
    <w:rsid w:val="00536F1A"/>
    <w:rPr>
      <w:rFonts w:ascii="Arial" w:hAnsi="Arial" w:eastAsiaTheme="majorEastAsia" w:cstheme="majorBidi"/>
      <w:b/>
      <w:i/>
      <w:color w:val="000000" w:themeColor="text1"/>
      <w:sz w:val="28"/>
      <w:szCs w:val="32"/>
    </w:rPr>
  </w:style>
  <w:style w:type="character" w:styleId="Heading3Char" w:customStyle="1">
    <w:name w:val="Heading 3 Char"/>
    <w:basedOn w:val="DefaultParagraphFont"/>
    <w:link w:val="Heading3"/>
    <w:uiPriority w:val="9"/>
    <w:semiHidden/>
    <w:rsid w:val="00E31FA3"/>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E31FA3"/>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E31FA3"/>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E31FA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31FA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31FA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31FA3"/>
    <w:rPr>
      <w:rFonts w:eastAsiaTheme="majorEastAsia" w:cstheme="majorBidi"/>
      <w:color w:val="272727" w:themeColor="text1" w:themeTint="D8"/>
    </w:rPr>
  </w:style>
  <w:style w:type="paragraph" w:styleId="Title">
    <w:name w:val="Title"/>
    <w:basedOn w:val="Normal"/>
    <w:next w:val="Normal"/>
    <w:link w:val="TitleChar"/>
    <w:uiPriority w:val="10"/>
    <w:qFormat/>
    <w:rsid w:val="00E31FA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31FA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31FA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31F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1FA3"/>
    <w:pPr>
      <w:spacing w:before="160"/>
      <w:jc w:val="center"/>
    </w:pPr>
    <w:rPr>
      <w:i/>
      <w:iCs/>
      <w:color w:val="404040" w:themeColor="text1" w:themeTint="BF"/>
    </w:rPr>
  </w:style>
  <w:style w:type="character" w:styleId="QuoteChar" w:customStyle="1">
    <w:name w:val="Quote Char"/>
    <w:basedOn w:val="DefaultParagraphFont"/>
    <w:link w:val="Quote"/>
    <w:uiPriority w:val="29"/>
    <w:rsid w:val="00E31FA3"/>
    <w:rPr>
      <w:i/>
      <w:iCs/>
      <w:color w:val="404040" w:themeColor="text1" w:themeTint="BF"/>
    </w:rPr>
  </w:style>
  <w:style w:type="paragraph" w:styleId="ListParagraph">
    <w:name w:val="List Paragraph"/>
    <w:basedOn w:val="Normal"/>
    <w:uiPriority w:val="34"/>
    <w:qFormat/>
    <w:rsid w:val="00E31FA3"/>
    <w:pPr>
      <w:ind w:left="720"/>
      <w:contextualSpacing/>
    </w:pPr>
  </w:style>
  <w:style w:type="character" w:styleId="IntenseEmphasis">
    <w:name w:val="Intense Emphasis"/>
    <w:basedOn w:val="DefaultParagraphFont"/>
    <w:uiPriority w:val="21"/>
    <w:qFormat/>
    <w:rsid w:val="00E31FA3"/>
    <w:rPr>
      <w:i/>
      <w:iCs/>
      <w:color w:val="2F5496" w:themeColor="accent1" w:themeShade="BF"/>
    </w:rPr>
  </w:style>
  <w:style w:type="paragraph" w:styleId="IntenseQuote">
    <w:name w:val="Intense Quote"/>
    <w:basedOn w:val="Normal"/>
    <w:next w:val="Normal"/>
    <w:link w:val="IntenseQuoteChar"/>
    <w:uiPriority w:val="30"/>
    <w:qFormat/>
    <w:rsid w:val="00E31FA3"/>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E31FA3"/>
    <w:rPr>
      <w:i/>
      <w:iCs/>
      <w:color w:val="2F5496" w:themeColor="accent1" w:themeShade="BF"/>
    </w:rPr>
  </w:style>
  <w:style w:type="character" w:styleId="IntenseReference">
    <w:name w:val="Intense Reference"/>
    <w:basedOn w:val="DefaultParagraphFont"/>
    <w:uiPriority w:val="32"/>
    <w:qFormat/>
    <w:rsid w:val="00E31FA3"/>
    <w:rPr>
      <w:b/>
      <w:bCs/>
      <w:smallCaps/>
      <w:color w:val="2F5496" w:themeColor="accent1" w:themeShade="BF"/>
      <w:spacing w:val="5"/>
    </w:rPr>
  </w:style>
  <w:style w:type="paragraph" w:styleId="Header">
    <w:name w:val="header"/>
    <w:basedOn w:val="Normal"/>
    <w:link w:val="HeaderChar"/>
    <w:uiPriority w:val="99"/>
    <w:unhideWhenUsed/>
    <w:rsid w:val="003B49B7"/>
    <w:pPr>
      <w:tabs>
        <w:tab w:val="center" w:pos="4680"/>
        <w:tab w:val="right" w:pos="9360"/>
      </w:tabs>
      <w:spacing w:after="0" w:line="240" w:lineRule="auto"/>
    </w:pPr>
  </w:style>
  <w:style w:type="character" w:styleId="HeaderChar" w:customStyle="1">
    <w:name w:val="Header Char"/>
    <w:basedOn w:val="DefaultParagraphFont"/>
    <w:link w:val="Header"/>
    <w:uiPriority w:val="99"/>
    <w:rsid w:val="003B49B7"/>
  </w:style>
  <w:style w:type="paragraph" w:styleId="Footer">
    <w:name w:val="footer"/>
    <w:basedOn w:val="Normal"/>
    <w:link w:val="FooterChar"/>
    <w:uiPriority w:val="99"/>
    <w:unhideWhenUsed/>
    <w:rsid w:val="003B49B7"/>
    <w:pPr>
      <w:tabs>
        <w:tab w:val="center" w:pos="4680"/>
        <w:tab w:val="right" w:pos="9360"/>
      </w:tabs>
      <w:spacing w:after="0" w:line="240" w:lineRule="auto"/>
    </w:pPr>
  </w:style>
  <w:style w:type="character" w:styleId="FooterChar" w:customStyle="1">
    <w:name w:val="Footer Char"/>
    <w:basedOn w:val="DefaultParagraphFont"/>
    <w:link w:val="Footer"/>
    <w:uiPriority w:val="99"/>
    <w:rsid w:val="003B49B7"/>
  </w:style>
  <w:style w:type="paragraph" w:styleId="TOCHeading">
    <w:name w:val="TOC Heading"/>
    <w:basedOn w:val="Heading1"/>
    <w:next w:val="Normal"/>
    <w:uiPriority w:val="39"/>
    <w:unhideWhenUsed/>
    <w:qFormat/>
    <w:rsid w:val="00536F1A"/>
    <w:pPr>
      <w:spacing w:before="240" w:after="0" w:line="259" w:lineRule="auto"/>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536F1A"/>
    <w:pPr>
      <w:spacing w:after="100"/>
    </w:pPr>
  </w:style>
  <w:style w:type="character" w:styleId="Hyperlink">
    <w:name w:val="Hyperlink"/>
    <w:basedOn w:val="DefaultParagraphFont"/>
    <w:uiPriority w:val="99"/>
    <w:unhideWhenUsed/>
    <w:rsid w:val="00536F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752371-C743-478F-909B-9266C0D4D37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writing</dc:creator>
  <keywords/>
  <dc:description/>
  <lastModifiedBy>Tati Bangoura (2120469)</lastModifiedBy>
  <revision>10</revision>
  <dcterms:created xsi:type="dcterms:W3CDTF">2026-07-25T07:20:00.0000000Z</dcterms:created>
  <dcterms:modified xsi:type="dcterms:W3CDTF">2026-07-26T12:08:43.3737326Z</dcterms:modified>
</coreProperties>
</file>