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5FD" w:rsidRDefault="00EC75FD">
      <w:pPr>
        <w:spacing w:before="3000"/>
      </w:pPr>
    </w:p>
    <w:p w:rsidR="00EC75FD" w:rsidRDefault="001D57CD">
      <w:pPr>
        <w:spacing w:after="200"/>
        <w:jc w:val="center"/>
      </w:pPr>
      <w:r>
        <w:rPr>
          <w:rFonts w:cs="Times New Roman"/>
          <w:b/>
          <w:bCs/>
          <w:sz w:val="30"/>
          <w:szCs w:val="30"/>
        </w:rPr>
        <w:t>DESIGN, IMPLEMENTATION AND EVALUATION OF A</w:t>
      </w:r>
    </w:p>
    <w:p w:rsidR="00EC75FD" w:rsidRDefault="001D57CD">
      <w:pPr>
        <w:spacing w:after="200"/>
        <w:jc w:val="center"/>
      </w:pPr>
      <w:r>
        <w:rPr>
          <w:rFonts w:cs="Times New Roman"/>
          <w:b/>
          <w:bCs/>
          <w:sz w:val="30"/>
          <w:szCs w:val="30"/>
        </w:rPr>
        <w:t>LIGHTWEIGHT COST-EFFECTIVE DIGITAL FORENSICS</w:t>
      </w:r>
    </w:p>
    <w:p w:rsidR="00EC75FD" w:rsidRDefault="001D57CD">
      <w:pPr>
        <w:spacing w:after="400"/>
        <w:jc w:val="center"/>
      </w:pPr>
      <w:r>
        <w:rPr>
          <w:rFonts w:cs="Times New Roman"/>
          <w:b/>
          <w:bCs/>
          <w:sz w:val="30"/>
          <w:szCs w:val="30"/>
        </w:rPr>
        <w:t>ACQUISITION TOOL FOR WINDOWS SYSTEMS</w:t>
      </w:r>
    </w:p>
    <w:p w:rsidR="00EC75FD" w:rsidRDefault="001D57CD">
      <w:pPr>
        <w:spacing w:after="200"/>
        <w:jc w:val="center"/>
      </w:pPr>
      <w:r>
        <w:rPr>
          <w:rFonts w:cs="Times New Roman"/>
        </w:rPr>
        <w:t>MSc Cybersecurity and Digital Forensics</w:t>
      </w:r>
    </w:p>
    <w:p w:rsidR="00EC75FD" w:rsidRDefault="001D57CD">
      <w:pPr>
        <w:spacing w:after="100"/>
        <w:jc w:val="center"/>
      </w:pPr>
      <w:r>
        <w:rPr>
          <w:rFonts w:cs="Times New Roman"/>
          <w:sz w:val="22"/>
          <w:szCs w:val="22"/>
        </w:rPr>
        <w:t>Module ACFB7003  |  University of Wales Trinity Saint David</w:t>
      </w:r>
    </w:p>
    <w:p w:rsidR="00EC75FD" w:rsidRDefault="001D57CD">
      <w:pPr>
        <w:spacing w:after="100"/>
        <w:jc w:val="center"/>
      </w:pPr>
      <w:r>
        <w:rPr>
          <w:rFonts w:cs="Times New Roman"/>
          <w:sz w:val="22"/>
          <w:szCs w:val="22"/>
        </w:rPr>
        <w:t>Student ID: [Your ID]  |  Supervisor: [Supervisor Name]</w:t>
      </w:r>
    </w:p>
    <w:p w:rsidR="00EC75FD" w:rsidRDefault="001D57CD">
      <w:pPr>
        <w:spacing w:after="100"/>
        <w:jc w:val="center"/>
      </w:pPr>
      <w:r>
        <w:rPr>
          <w:rFonts w:cs="Times New Roman"/>
          <w:sz w:val="22"/>
          <w:szCs w:val="22"/>
        </w:rPr>
        <w:t>Submission: [Date] 2026</w:t>
      </w:r>
    </w:p>
    <w:p w:rsidR="00EC75FD" w:rsidRDefault="001D57CD">
      <w:r>
        <w:br w:type="page"/>
      </w:r>
    </w:p>
    <w:p w:rsidR="00EC75FD" w:rsidRDefault="001D57CD">
      <w:pPr>
        <w:pStyle w:val="Heading1"/>
      </w:pPr>
      <w:bookmarkStart w:id="0" w:name="_Toc229910973"/>
      <w:r>
        <w:lastRenderedPageBreak/>
        <w:t>Table of Contents</w:t>
      </w:r>
      <w:bookmarkStart w:id="1" w:name="_GoBack"/>
      <w:bookmarkEnd w:id="0"/>
      <w:bookmarkEnd w:id="1"/>
    </w:p>
    <w:sdt>
      <w:sdtPr>
        <w:alias w:val="Table of Contents"/>
        <w:id w:val="1485043269"/>
      </w:sdtPr>
      <w:sdtEndPr>
        <w:rPr>
          <w:szCs w:val="24"/>
        </w:rPr>
      </w:sdtEndPr>
      <w:sdtContent>
        <w:p w:rsidR="002A57B2" w:rsidRDefault="001D57CD">
          <w:pPr>
            <w:pStyle w:val="TOC1"/>
            <w:tabs>
              <w:tab w:val="right" w:leader="dot" w:pos="9016"/>
            </w:tabs>
            <w:rPr>
              <w:noProof/>
            </w:rPr>
          </w:pPr>
          <w:r>
            <w:fldChar w:fldCharType="begin"/>
          </w:r>
          <w:r>
            <w:instrText>TOC \h \o "1-3"</w:instrText>
          </w:r>
          <w:r>
            <w:fldChar w:fldCharType="separate"/>
          </w:r>
          <w:hyperlink w:anchor="_Toc229910973" w:history="1">
            <w:r w:rsidR="002A57B2" w:rsidRPr="008B23DF">
              <w:rPr>
                <w:rStyle w:val="Hyperlink"/>
                <w:noProof/>
              </w:rPr>
              <w:t>Table of Contents</w:t>
            </w:r>
            <w:r w:rsidR="002A57B2">
              <w:rPr>
                <w:noProof/>
              </w:rPr>
              <w:tab/>
            </w:r>
            <w:r w:rsidR="002A57B2">
              <w:rPr>
                <w:noProof/>
              </w:rPr>
              <w:fldChar w:fldCharType="begin"/>
            </w:r>
            <w:r w:rsidR="002A57B2">
              <w:rPr>
                <w:noProof/>
              </w:rPr>
              <w:instrText xml:space="preserve"> PAGEREF _Toc229910973 \h </w:instrText>
            </w:r>
            <w:r w:rsidR="002A57B2">
              <w:rPr>
                <w:noProof/>
              </w:rPr>
            </w:r>
            <w:r w:rsidR="002A57B2">
              <w:rPr>
                <w:noProof/>
              </w:rPr>
              <w:fldChar w:fldCharType="separate"/>
            </w:r>
            <w:r w:rsidR="002A57B2">
              <w:rPr>
                <w:noProof/>
              </w:rPr>
              <w:t>2</w:t>
            </w:r>
            <w:r w:rsidR="002A57B2">
              <w:rPr>
                <w:noProof/>
              </w:rPr>
              <w:fldChar w:fldCharType="end"/>
            </w:r>
          </w:hyperlink>
        </w:p>
        <w:p w:rsidR="002A57B2" w:rsidRDefault="002A57B2">
          <w:pPr>
            <w:pStyle w:val="TOC1"/>
            <w:tabs>
              <w:tab w:val="right" w:leader="dot" w:pos="9016"/>
            </w:tabs>
            <w:rPr>
              <w:noProof/>
            </w:rPr>
          </w:pPr>
          <w:hyperlink w:anchor="_Toc229910974" w:history="1">
            <w:r w:rsidRPr="008B23DF">
              <w:rPr>
                <w:rStyle w:val="Hyperlink"/>
                <w:noProof/>
              </w:rPr>
              <w:t>Chapter 1: Introduction</w:t>
            </w:r>
            <w:r>
              <w:rPr>
                <w:noProof/>
              </w:rPr>
              <w:tab/>
            </w:r>
            <w:r>
              <w:rPr>
                <w:noProof/>
              </w:rPr>
              <w:fldChar w:fldCharType="begin"/>
            </w:r>
            <w:r>
              <w:rPr>
                <w:noProof/>
              </w:rPr>
              <w:instrText xml:space="preserve"> PAGEREF _Toc229910974 \h </w:instrText>
            </w:r>
            <w:r>
              <w:rPr>
                <w:noProof/>
              </w:rPr>
            </w:r>
            <w:r>
              <w:rPr>
                <w:noProof/>
              </w:rPr>
              <w:fldChar w:fldCharType="separate"/>
            </w:r>
            <w:r>
              <w:rPr>
                <w:noProof/>
              </w:rPr>
              <w:t>5</w:t>
            </w:r>
            <w:r>
              <w:rPr>
                <w:noProof/>
              </w:rPr>
              <w:fldChar w:fldCharType="end"/>
            </w:r>
          </w:hyperlink>
        </w:p>
        <w:p w:rsidR="002A57B2" w:rsidRDefault="002A57B2">
          <w:pPr>
            <w:pStyle w:val="TOC2"/>
            <w:tabs>
              <w:tab w:val="right" w:leader="dot" w:pos="9016"/>
            </w:tabs>
            <w:rPr>
              <w:noProof/>
            </w:rPr>
          </w:pPr>
          <w:hyperlink w:anchor="_Toc229910975" w:history="1">
            <w:r w:rsidRPr="008B23DF">
              <w:rPr>
                <w:rStyle w:val="Hyperlink"/>
                <w:noProof/>
              </w:rPr>
              <w:t>1.1  Background and Motivation</w:t>
            </w:r>
            <w:r>
              <w:rPr>
                <w:noProof/>
              </w:rPr>
              <w:tab/>
            </w:r>
            <w:r>
              <w:rPr>
                <w:noProof/>
              </w:rPr>
              <w:fldChar w:fldCharType="begin"/>
            </w:r>
            <w:r>
              <w:rPr>
                <w:noProof/>
              </w:rPr>
              <w:instrText xml:space="preserve"> PAGEREF _Toc229910975 \h </w:instrText>
            </w:r>
            <w:r>
              <w:rPr>
                <w:noProof/>
              </w:rPr>
            </w:r>
            <w:r>
              <w:rPr>
                <w:noProof/>
              </w:rPr>
              <w:fldChar w:fldCharType="separate"/>
            </w:r>
            <w:r>
              <w:rPr>
                <w:noProof/>
              </w:rPr>
              <w:t>5</w:t>
            </w:r>
            <w:r>
              <w:rPr>
                <w:noProof/>
              </w:rPr>
              <w:fldChar w:fldCharType="end"/>
            </w:r>
          </w:hyperlink>
        </w:p>
        <w:p w:rsidR="002A57B2" w:rsidRDefault="002A57B2">
          <w:pPr>
            <w:pStyle w:val="TOC2"/>
            <w:tabs>
              <w:tab w:val="right" w:leader="dot" w:pos="9016"/>
            </w:tabs>
            <w:rPr>
              <w:noProof/>
            </w:rPr>
          </w:pPr>
          <w:hyperlink w:anchor="_Toc229910976" w:history="1">
            <w:r w:rsidRPr="008B23DF">
              <w:rPr>
                <w:rStyle w:val="Hyperlink"/>
                <w:noProof/>
              </w:rPr>
              <w:t>1.2  The Digital Forensics Acquisition Problem</w:t>
            </w:r>
            <w:r>
              <w:rPr>
                <w:noProof/>
              </w:rPr>
              <w:tab/>
            </w:r>
            <w:r>
              <w:rPr>
                <w:noProof/>
              </w:rPr>
              <w:fldChar w:fldCharType="begin"/>
            </w:r>
            <w:r>
              <w:rPr>
                <w:noProof/>
              </w:rPr>
              <w:instrText xml:space="preserve"> PAGEREF _Toc229910976 \h </w:instrText>
            </w:r>
            <w:r>
              <w:rPr>
                <w:noProof/>
              </w:rPr>
            </w:r>
            <w:r>
              <w:rPr>
                <w:noProof/>
              </w:rPr>
              <w:fldChar w:fldCharType="separate"/>
            </w:r>
            <w:r>
              <w:rPr>
                <w:noProof/>
              </w:rPr>
              <w:t>6</w:t>
            </w:r>
            <w:r>
              <w:rPr>
                <w:noProof/>
              </w:rPr>
              <w:fldChar w:fldCharType="end"/>
            </w:r>
          </w:hyperlink>
        </w:p>
        <w:p w:rsidR="002A57B2" w:rsidRDefault="002A57B2">
          <w:pPr>
            <w:pStyle w:val="TOC2"/>
            <w:tabs>
              <w:tab w:val="right" w:leader="dot" w:pos="9016"/>
            </w:tabs>
            <w:rPr>
              <w:noProof/>
            </w:rPr>
          </w:pPr>
          <w:hyperlink w:anchor="_Toc229910977" w:history="1">
            <w:r w:rsidRPr="008B23DF">
              <w:rPr>
                <w:rStyle w:val="Hyperlink"/>
                <w:noProof/>
              </w:rPr>
              <w:t>1.3  Research Questions</w:t>
            </w:r>
            <w:r>
              <w:rPr>
                <w:noProof/>
              </w:rPr>
              <w:tab/>
            </w:r>
            <w:r>
              <w:rPr>
                <w:noProof/>
              </w:rPr>
              <w:fldChar w:fldCharType="begin"/>
            </w:r>
            <w:r>
              <w:rPr>
                <w:noProof/>
              </w:rPr>
              <w:instrText xml:space="preserve"> PAGEREF _Toc229910977 \h </w:instrText>
            </w:r>
            <w:r>
              <w:rPr>
                <w:noProof/>
              </w:rPr>
            </w:r>
            <w:r>
              <w:rPr>
                <w:noProof/>
              </w:rPr>
              <w:fldChar w:fldCharType="separate"/>
            </w:r>
            <w:r>
              <w:rPr>
                <w:noProof/>
              </w:rPr>
              <w:t>6</w:t>
            </w:r>
            <w:r>
              <w:rPr>
                <w:noProof/>
              </w:rPr>
              <w:fldChar w:fldCharType="end"/>
            </w:r>
          </w:hyperlink>
        </w:p>
        <w:p w:rsidR="002A57B2" w:rsidRDefault="002A57B2">
          <w:pPr>
            <w:pStyle w:val="TOC2"/>
            <w:tabs>
              <w:tab w:val="right" w:leader="dot" w:pos="9016"/>
            </w:tabs>
            <w:rPr>
              <w:noProof/>
            </w:rPr>
          </w:pPr>
          <w:hyperlink w:anchor="_Toc229910978" w:history="1">
            <w:r w:rsidRPr="008B23DF">
              <w:rPr>
                <w:rStyle w:val="Hyperlink"/>
                <w:noProof/>
              </w:rPr>
              <w:t>1.4  Research Gaps</w:t>
            </w:r>
            <w:r>
              <w:rPr>
                <w:noProof/>
              </w:rPr>
              <w:tab/>
            </w:r>
            <w:r>
              <w:rPr>
                <w:noProof/>
              </w:rPr>
              <w:fldChar w:fldCharType="begin"/>
            </w:r>
            <w:r>
              <w:rPr>
                <w:noProof/>
              </w:rPr>
              <w:instrText xml:space="preserve"> PAGEREF _Toc229910978 \h </w:instrText>
            </w:r>
            <w:r>
              <w:rPr>
                <w:noProof/>
              </w:rPr>
            </w:r>
            <w:r>
              <w:rPr>
                <w:noProof/>
              </w:rPr>
              <w:fldChar w:fldCharType="separate"/>
            </w:r>
            <w:r>
              <w:rPr>
                <w:noProof/>
              </w:rPr>
              <w:t>7</w:t>
            </w:r>
            <w:r>
              <w:rPr>
                <w:noProof/>
              </w:rPr>
              <w:fldChar w:fldCharType="end"/>
            </w:r>
          </w:hyperlink>
        </w:p>
        <w:p w:rsidR="002A57B2" w:rsidRDefault="002A57B2">
          <w:pPr>
            <w:pStyle w:val="TOC2"/>
            <w:tabs>
              <w:tab w:val="right" w:leader="dot" w:pos="9016"/>
            </w:tabs>
            <w:rPr>
              <w:noProof/>
            </w:rPr>
          </w:pPr>
          <w:hyperlink w:anchor="_Toc229910979" w:history="1">
            <w:r w:rsidRPr="008B23DF">
              <w:rPr>
                <w:rStyle w:val="Hyperlink"/>
                <w:noProof/>
              </w:rPr>
              <w:t>1.5  Aims and Objectives</w:t>
            </w:r>
            <w:r>
              <w:rPr>
                <w:noProof/>
              </w:rPr>
              <w:tab/>
            </w:r>
            <w:r>
              <w:rPr>
                <w:noProof/>
              </w:rPr>
              <w:fldChar w:fldCharType="begin"/>
            </w:r>
            <w:r>
              <w:rPr>
                <w:noProof/>
              </w:rPr>
              <w:instrText xml:space="preserve"> PAGEREF _Toc229910979 \h </w:instrText>
            </w:r>
            <w:r>
              <w:rPr>
                <w:noProof/>
              </w:rPr>
            </w:r>
            <w:r>
              <w:rPr>
                <w:noProof/>
              </w:rPr>
              <w:fldChar w:fldCharType="separate"/>
            </w:r>
            <w:r>
              <w:rPr>
                <w:noProof/>
              </w:rPr>
              <w:t>8</w:t>
            </w:r>
            <w:r>
              <w:rPr>
                <w:noProof/>
              </w:rPr>
              <w:fldChar w:fldCharType="end"/>
            </w:r>
          </w:hyperlink>
        </w:p>
        <w:p w:rsidR="002A57B2" w:rsidRDefault="002A57B2">
          <w:pPr>
            <w:pStyle w:val="TOC3"/>
            <w:tabs>
              <w:tab w:val="right" w:leader="dot" w:pos="9016"/>
            </w:tabs>
            <w:rPr>
              <w:noProof/>
            </w:rPr>
          </w:pPr>
          <w:hyperlink w:anchor="_Toc229910980" w:history="1">
            <w:r w:rsidRPr="008B23DF">
              <w:rPr>
                <w:rStyle w:val="Hyperlink"/>
                <w:noProof/>
              </w:rPr>
              <w:t>Aim</w:t>
            </w:r>
            <w:r>
              <w:rPr>
                <w:noProof/>
              </w:rPr>
              <w:tab/>
            </w:r>
            <w:r>
              <w:rPr>
                <w:noProof/>
              </w:rPr>
              <w:fldChar w:fldCharType="begin"/>
            </w:r>
            <w:r>
              <w:rPr>
                <w:noProof/>
              </w:rPr>
              <w:instrText xml:space="preserve"> PAGEREF _Toc229910980 \h </w:instrText>
            </w:r>
            <w:r>
              <w:rPr>
                <w:noProof/>
              </w:rPr>
            </w:r>
            <w:r>
              <w:rPr>
                <w:noProof/>
              </w:rPr>
              <w:fldChar w:fldCharType="separate"/>
            </w:r>
            <w:r>
              <w:rPr>
                <w:noProof/>
              </w:rPr>
              <w:t>8</w:t>
            </w:r>
            <w:r>
              <w:rPr>
                <w:noProof/>
              </w:rPr>
              <w:fldChar w:fldCharType="end"/>
            </w:r>
          </w:hyperlink>
        </w:p>
        <w:p w:rsidR="002A57B2" w:rsidRDefault="002A57B2">
          <w:pPr>
            <w:pStyle w:val="TOC3"/>
            <w:tabs>
              <w:tab w:val="right" w:leader="dot" w:pos="9016"/>
            </w:tabs>
            <w:rPr>
              <w:noProof/>
            </w:rPr>
          </w:pPr>
          <w:hyperlink w:anchor="_Toc229910981" w:history="1">
            <w:r w:rsidRPr="008B23DF">
              <w:rPr>
                <w:rStyle w:val="Hyperlink"/>
                <w:noProof/>
              </w:rPr>
              <w:t>Objectives</w:t>
            </w:r>
            <w:r>
              <w:rPr>
                <w:noProof/>
              </w:rPr>
              <w:tab/>
            </w:r>
            <w:r>
              <w:rPr>
                <w:noProof/>
              </w:rPr>
              <w:fldChar w:fldCharType="begin"/>
            </w:r>
            <w:r>
              <w:rPr>
                <w:noProof/>
              </w:rPr>
              <w:instrText xml:space="preserve"> PAGEREF _Toc229910981 \h </w:instrText>
            </w:r>
            <w:r>
              <w:rPr>
                <w:noProof/>
              </w:rPr>
            </w:r>
            <w:r>
              <w:rPr>
                <w:noProof/>
              </w:rPr>
              <w:fldChar w:fldCharType="separate"/>
            </w:r>
            <w:r>
              <w:rPr>
                <w:noProof/>
              </w:rPr>
              <w:t>8</w:t>
            </w:r>
            <w:r>
              <w:rPr>
                <w:noProof/>
              </w:rPr>
              <w:fldChar w:fldCharType="end"/>
            </w:r>
          </w:hyperlink>
        </w:p>
        <w:p w:rsidR="002A57B2" w:rsidRDefault="002A57B2">
          <w:pPr>
            <w:pStyle w:val="TOC2"/>
            <w:tabs>
              <w:tab w:val="right" w:leader="dot" w:pos="9016"/>
            </w:tabs>
            <w:rPr>
              <w:noProof/>
            </w:rPr>
          </w:pPr>
          <w:hyperlink w:anchor="_Toc229910982" w:history="1">
            <w:r w:rsidRPr="008B23DF">
              <w:rPr>
                <w:rStyle w:val="Hyperlink"/>
                <w:noProof/>
              </w:rPr>
              <w:t>1.6  Project Scope and Ethics</w:t>
            </w:r>
            <w:r>
              <w:rPr>
                <w:noProof/>
              </w:rPr>
              <w:tab/>
            </w:r>
            <w:r>
              <w:rPr>
                <w:noProof/>
              </w:rPr>
              <w:fldChar w:fldCharType="begin"/>
            </w:r>
            <w:r>
              <w:rPr>
                <w:noProof/>
              </w:rPr>
              <w:instrText xml:space="preserve"> PAGEREF _Toc229910982 \h </w:instrText>
            </w:r>
            <w:r>
              <w:rPr>
                <w:noProof/>
              </w:rPr>
            </w:r>
            <w:r>
              <w:rPr>
                <w:noProof/>
              </w:rPr>
              <w:fldChar w:fldCharType="separate"/>
            </w:r>
            <w:r>
              <w:rPr>
                <w:noProof/>
              </w:rPr>
              <w:t>8</w:t>
            </w:r>
            <w:r>
              <w:rPr>
                <w:noProof/>
              </w:rPr>
              <w:fldChar w:fldCharType="end"/>
            </w:r>
          </w:hyperlink>
        </w:p>
        <w:p w:rsidR="002A57B2" w:rsidRDefault="002A57B2">
          <w:pPr>
            <w:pStyle w:val="TOC2"/>
            <w:tabs>
              <w:tab w:val="right" w:leader="dot" w:pos="9016"/>
            </w:tabs>
            <w:rPr>
              <w:noProof/>
            </w:rPr>
          </w:pPr>
          <w:hyperlink w:anchor="_Toc229910983" w:history="1">
            <w:r w:rsidRPr="008B23DF">
              <w:rPr>
                <w:rStyle w:val="Hyperlink"/>
                <w:noProof/>
              </w:rPr>
              <w:t>1.7  Tool Workflow Overview</w:t>
            </w:r>
            <w:r>
              <w:rPr>
                <w:noProof/>
              </w:rPr>
              <w:tab/>
            </w:r>
            <w:r>
              <w:rPr>
                <w:noProof/>
              </w:rPr>
              <w:fldChar w:fldCharType="begin"/>
            </w:r>
            <w:r>
              <w:rPr>
                <w:noProof/>
              </w:rPr>
              <w:instrText xml:space="preserve"> PAGEREF _Toc229910983 \h </w:instrText>
            </w:r>
            <w:r>
              <w:rPr>
                <w:noProof/>
              </w:rPr>
            </w:r>
            <w:r>
              <w:rPr>
                <w:noProof/>
              </w:rPr>
              <w:fldChar w:fldCharType="separate"/>
            </w:r>
            <w:r>
              <w:rPr>
                <w:noProof/>
              </w:rPr>
              <w:t>8</w:t>
            </w:r>
            <w:r>
              <w:rPr>
                <w:noProof/>
              </w:rPr>
              <w:fldChar w:fldCharType="end"/>
            </w:r>
          </w:hyperlink>
        </w:p>
        <w:p w:rsidR="002A57B2" w:rsidRDefault="002A57B2">
          <w:pPr>
            <w:pStyle w:val="TOC2"/>
            <w:tabs>
              <w:tab w:val="right" w:leader="dot" w:pos="9016"/>
            </w:tabs>
            <w:rPr>
              <w:noProof/>
            </w:rPr>
          </w:pPr>
          <w:hyperlink w:anchor="_Toc229910984" w:history="1">
            <w:r w:rsidRPr="008B23DF">
              <w:rPr>
                <w:rStyle w:val="Hyperlink"/>
                <w:noProof/>
              </w:rPr>
              <w:t>1.8  Dissertation Structure</w:t>
            </w:r>
            <w:r>
              <w:rPr>
                <w:noProof/>
              </w:rPr>
              <w:tab/>
            </w:r>
            <w:r>
              <w:rPr>
                <w:noProof/>
              </w:rPr>
              <w:fldChar w:fldCharType="begin"/>
            </w:r>
            <w:r>
              <w:rPr>
                <w:noProof/>
              </w:rPr>
              <w:instrText xml:space="preserve"> PAGEREF _Toc229910984 \h </w:instrText>
            </w:r>
            <w:r>
              <w:rPr>
                <w:noProof/>
              </w:rPr>
            </w:r>
            <w:r>
              <w:rPr>
                <w:noProof/>
              </w:rPr>
              <w:fldChar w:fldCharType="separate"/>
            </w:r>
            <w:r>
              <w:rPr>
                <w:noProof/>
              </w:rPr>
              <w:t>9</w:t>
            </w:r>
            <w:r>
              <w:rPr>
                <w:noProof/>
              </w:rPr>
              <w:fldChar w:fldCharType="end"/>
            </w:r>
          </w:hyperlink>
        </w:p>
        <w:p w:rsidR="002A57B2" w:rsidRDefault="002A57B2">
          <w:pPr>
            <w:pStyle w:val="TOC1"/>
            <w:tabs>
              <w:tab w:val="right" w:leader="dot" w:pos="9016"/>
            </w:tabs>
            <w:rPr>
              <w:noProof/>
            </w:rPr>
          </w:pPr>
          <w:hyperlink w:anchor="_Toc229910985" w:history="1">
            <w:r w:rsidRPr="008B23DF">
              <w:rPr>
                <w:rStyle w:val="Hyperlink"/>
                <w:noProof/>
              </w:rPr>
              <w:t>Chapter 2: Literature Review</w:t>
            </w:r>
            <w:r>
              <w:rPr>
                <w:noProof/>
              </w:rPr>
              <w:tab/>
            </w:r>
            <w:r>
              <w:rPr>
                <w:noProof/>
              </w:rPr>
              <w:fldChar w:fldCharType="begin"/>
            </w:r>
            <w:r>
              <w:rPr>
                <w:noProof/>
              </w:rPr>
              <w:instrText xml:space="preserve"> PAGEREF _Toc229910985 \h </w:instrText>
            </w:r>
            <w:r>
              <w:rPr>
                <w:noProof/>
              </w:rPr>
            </w:r>
            <w:r>
              <w:rPr>
                <w:noProof/>
              </w:rPr>
              <w:fldChar w:fldCharType="separate"/>
            </w:r>
            <w:r>
              <w:rPr>
                <w:noProof/>
              </w:rPr>
              <w:t>11</w:t>
            </w:r>
            <w:r>
              <w:rPr>
                <w:noProof/>
              </w:rPr>
              <w:fldChar w:fldCharType="end"/>
            </w:r>
          </w:hyperlink>
        </w:p>
        <w:p w:rsidR="002A57B2" w:rsidRDefault="002A57B2">
          <w:pPr>
            <w:pStyle w:val="TOC2"/>
            <w:tabs>
              <w:tab w:val="right" w:leader="dot" w:pos="9016"/>
            </w:tabs>
            <w:rPr>
              <w:noProof/>
            </w:rPr>
          </w:pPr>
          <w:hyperlink w:anchor="_Toc229910986" w:history="1">
            <w:r w:rsidRPr="008B23DF">
              <w:rPr>
                <w:rStyle w:val="Hyperlink"/>
                <w:noProof/>
              </w:rPr>
              <w:t>2.1  Digital Forensics Acquisition Fundamentals</w:t>
            </w:r>
            <w:r>
              <w:rPr>
                <w:noProof/>
              </w:rPr>
              <w:tab/>
            </w:r>
            <w:r>
              <w:rPr>
                <w:noProof/>
              </w:rPr>
              <w:fldChar w:fldCharType="begin"/>
            </w:r>
            <w:r>
              <w:rPr>
                <w:noProof/>
              </w:rPr>
              <w:instrText xml:space="preserve"> PAGEREF _Toc229910986 \h </w:instrText>
            </w:r>
            <w:r>
              <w:rPr>
                <w:noProof/>
              </w:rPr>
            </w:r>
            <w:r>
              <w:rPr>
                <w:noProof/>
              </w:rPr>
              <w:fldChar w:fldCharType="separate"/>
            </w:r>
            <w:r>
              <w:rPr>
                <w:noProof/>
              </w:rPr>
              <w:t>11</w:t>
            </w:r>
            <w:r>
              <w:rPr>
                <w:noProof/>
              </w:rPr>
              <w:fldChar w:fldCharType="end"/>
            </w:r>
          </w:hyperlink>
        </w:p>
        <w:p w:rsidR="002A57B2" w:rsidRDefault="002A57B2">
          <w:pPr>
            <w:pStyle w:val="TOC3"/>
            <w:tabs>
              <w:tab w:val="right" w:leader="dot" w:pos="9016"/>
            </w:tabs>
            <w:rPr>
              <w:noProof/>
            </w:rPr>
          </w:pPr>
          <w:hyperlink w:anchor="_Toc229910987" w:history="1">
            <w:r w:rsidRPr="008B23DF">
              <w:rPr>
                <w:rStyle w:val="Hyperlink"/>
                <w:noProof/>
              </w:rPr>
              <w:t>2.1.1  Volatile vs. Non-Volatile Evidence</w:t>
            </w:r>
            <w:r>
              <w:rPr>
                <w:noProof/>
              </w:rPr>
              <w:tab/>
            </w:r>
            <w:r>
              <w:rPr>
                <w:noProof/>
              </w:rPr>
              <w:fldChar w:fldCharType="begin"/>
            </w:r>
            <w:r>
              <w:rPr>
                <w:noProof/>
              </w:rPr>
              <w:instrText xml:space="preserve"> PAGEREF _Toc229910987 \h </w:instrText>
            </w:r>
            <w:r>
              <w:rPr>
                <w:noProof/>
              </w:rPr>
            </w:r>
            <w:r>
              <w:rPr>
                <w:noProof/>
              </w:rPr>
              <w:fldChar w:fldCharType="separate"/>
            </w:r>
            <w:r>
              <w:rPr>
                <w:noProof/>
              </w:rPr>
              <w:t>11</w:t>
            </w:r>
            <w:r>
              <w:rPr>
                <w:noProof/>
              </w:rPr>
              <w:fldChar w:fldCharType="end"/>
            </w:r>
          </w:hyperlink>
        </w:p>
        <w:p w:rsidR="002A57B2" w:rsidRDefault="002A57B2">
          <w:pPr>
            <w:pStyle w:val="TOC2"/>
            <w:tabs>
              <w:tab w:val="right" w:leader="dot" w:pos="9016"/>
            </w:tabs>
            <w:rPr>
              <w:noProof/>
            </w:rPr>
          </w:pPr>
          <w:hyperlink w:anchor="_Toc229910988" w:history="1">
            <w:r w:rsidRPr="008B23DF">
              <w:rPr>
                <w:rStyle w:val="Hyperlink"/>
                <w:noProof/>
              </w:rPr>
              <w:t>2.2  Commercial Tool Landscape and Cost Analysis</w:t>
            </w:r>
            <w:r>
              <w:rPr>
                <w:noProof/>
              </w:rPr>
              <w:tab/>
            </w:r>
            <w:r>
              <w:rPr>
                <w:noProof/>
              </w:rPr>
              <w:fldChar w:fldCharType="begin"/>
            </w:r>
            <w:r>
              <w:rPr>
                <w:noProof/>
              </w:rPr>
              <w:instrText xml:space="preserve"> PAGEREF _Toc229910988 \h </w:instrText>
            </w:r>
            <w:r>
              <w:rPr>
                <w:noProof/>
              </w:rPr>
            </w:r>
            <w:r>
              <w:rPr>
                <w:noProof/>
              </w:rPr>
              <w:fldChar w:fldCharType="separate"/>
            </w:r>
            <w:r>
              <w:rPr>
                <w:noProof/>
              </w:rPr>
              <w:t>12</w:t>
            </w:r>
            <w:r>
              <w:rPr>
                <w:noProof/>
              </w:rPr>
              <w:fldChar w:fldCharType="end"/>
            </w:r>
          </w:hyperlink>
        </w:p>
        <w:p w:rsidR="002A57B2" w:rsidRDefault="002A57B2">
          <w:pPr>
            <w:pStyle w:val="TOC3"/>
            <w:tabs>
              <w:tab w:val="right" w:leader="dot" w:pos="9016"/>
            </w:tabs>
            <w:rPr>
              <w:noProof/>
            </w:rPr>
          </w:pPr>
          <w:hyperlink w:anchor="_Toc229910989" w:history="1">
            <w:r w:rsidRPr="008B23DF">
              <w:rPr>
                <w:rStyle w:val="Hyperlink"/>
                <w:noProof/>
              </w:rPr>
              <w:t>2.2.1  Magnet AXIOM</w:t>
            </w:r>
            <w:r>
              <w:rPr>
                <w:noProof/>
              </w:rPr>
              <w:tab/>
            </w:r>
            <w:r>
              <w:rPr>
                <w:noProof/>
              </w:rPr>
              <w:fldChar w:fldCharType="begin"/>
            </w:r>
            <w:r>
              <w:rPr>
                <w:noProof/>
              </w:rPr>
              <w:instrText xml:space="preserve"> PAGEREF _Toc229910989 \h </w:instrText>
            </w:r>
            <w:r>
              <w:rPr>
                <w:noProof/>
              </w:rPr>
            </w:r>
            <w:r>
              <w:rPr>
                <w:noProof/>
              </w:rPr>
              <w:fldChar w:fldCharType="separate"/>
            </w:r>
            <w:r>
              <w:rPr>
                <w:noProof/>
              </w:rPr>
              <w:t>12</w:t>
            </w:r>
            <w:r>
              <w:rPr>
                <w:noProof/>
              </w:rPr>
              <w:fldChar w:fldCharType="end"/>
            </w:r>
          </w:hyperlink>
        </w:p>
        <w:p w:rsidR="002A57B2" w:rsidRDefault="002A57B2">
          <w:pPr>
            <w:pStyle w:val="TOC3"/>
            <w:tabs>
              <w:tab w:val="right" w:leader="dot" w:pos="9016"/>
            </w:tabs>
            <w:rPr>
              <w:noProof/>
            </w:rPr>
          </w:pPr>
          <w:hyperlink w:anchor="_Toc229910990" w:history="1">
            <w:r w:rsidRPr="008B23DF">
              <w:rPr>
                <w:rStyle w:val="Hyperlink"/>
                <w:noProof/>
              </w:rPr>
              <w:t>2.2.2  FTK and FTK Imager</w:t>
            </w:r>
            <w:r>
              <w:rPr>
                <w:noProof/>
              </w:rPr>
              <w:tab/>
            </w:r>
            <w:r>
              <w:rPr>
                <w:noProof/>
              </w:rPr>
              <w:fldChar w:fldCharType="begin"/>
            </w:r>
            <w:r>
              <w:rPr>
                <w:noProof/>
              </w:rPr>
              <w:instrText xml:space="preserve"> PAGEREF _Toc229910990 \h </w:instrText>
            </w:r>
            <w:r>
              <w:rPr>
                <w:noProof/>
              </w:rPr>
            </w:r>
            <w:r>
              <w:rPr>
                <w:noProof/>
              </w:rPr>
              <w:fldChar w:fldCharType="separate"/>
            </w:r>
            <w:r>
              <w:rPr>
                <w:noProof/>
              </w:rPr>
              <w:t>13</w:t>
            </w:r>
            <w:r>
              <w:rPr>
                <w:noProof/>
              </w:rPr>
              <w:fldChar w:fldCharType="end"/>
            </w:r>
          </w:hyperlink>
        </w:p>
        <w:p w:rsidR="002A57B2" w:rsidRDefault="002A57B2">
          <w:pPr>
            <w:pStyle w:val="TOC3"/>
            <w:tabs>
              <w:tab w:val="right" w:leader="dot" w:pos="9016"/>
            </w:tabs>
            <w:rPr>
              <w:noProof/>
            </w:rPr>
          </w:pPr>
          <w:hyperlink w:anchor="_Toc229910991" w:history="1">
            <w:r w:rsidRPr="008B23DF">
              <w:rPr>
                <w:rStyle w:val="Hyperlink"/>
                <w:noProof/>
              </w:rPr>
              <w:t>2.2.3  OpenText EnCase</w:t>
            </w:r>
            <w:r>
              <w:rPr>
                <w:noProof/>
              </w:rPr>
              <w:tab/>
            </w:r>
            <w:r>
              <w:rPr>
                <w:noProof/>
              </w:rPr>
              <w:fldChar w:fldCharType="begin"/>
            </w:r>
            <w:r>
              <w:rPr>
                <w:noProof/>
              </w:rPr>
              <w:instrText xml:space="preserve"> PAGEREF _Toc229910991 \h </w:instrText>
            </w:r>
            <w:r>
              <w:rPr>
                <w:noProof/>
              </w:rPr>
            </w:r>
            <w:r>
              <w:rPr>
                <w:noProof/>
              </w:rPr>
              <w:fldChar w:fldCharType="separate"/>
            </w:r>
            <w:r>
              <w:rPr>
                <w:noProof/>
              </w:rPr>
              <w:t>13</w:t>
            </w:r>
            <w:r>
              <w:rPr>
                <w:noProof/>
              </w:rPr>
              <w:fldChar w:fldCharType="end"/>
            </w:r>
          </w:hyperlink>
        </w:p>
        <w:p w:rsidR="002A57B2" w:rsidRDefault="002A57B2">
          <w:pPr>
            <w:pStyle w:val="TOC3"/>
            <w:tabs>
              <w:tab w:val="right" w:leader="dot" w:pos="9016"/>
            </w:tabs>
            <w:rPr>
              <w:noProof/>
            </w:rPr>
          </w:pPr>
          <w:hyperlink w:anchor="_Toc229910992" w:history="1">
            <w:r w:rsidRPr="008B23DF">
              <w:rPr>
                <w:rStyle w:val="Hyperlink"/>
                <w:noProof/>
              </w:rPr>
              <w:t>2.2.4  Cost-Capability Comparison</w:t>
            </w:r>
            <w:r>
              <w:rPr>
                <w:noProof/>
              </w:rPr>
              <w:tab/>
            </w:r>
            <w:r>
              <w:rPr>
                <w:noProof/>
              </w:rPr>
              <w:fldChar w:fldCharType="begin"/>
            </w:r>
            <w:r>
              <w:rPr>
                <w:noProof/>
              </w:rPr>
              <w:instrText xml:space="preserve"> PAGEREF _Toc229910992 \h </w:instrText>
            </w:r>
            <w:r>
              <w:rPr>
                <w:noProof/>
              </w:rPr>
            </w:r>
            <w:r>
              <w:rPr>
                <w:noProof/>
              </w:rPr>
              <w:fldChar w:fldCharType="separate"/>
            </w:r>
            <w:r>
              <w:rPr>
                <w:noProof/>
              </w:rPr>
              <w:t>13</w:t>
            </w:r>
            <w:r>
              <w:rPr>
                <w:noProof/>
              </w:rPr>
              <w:fldChar w:fldCharType="end"/>
            </w:r>
          </w:hyperlink>
        </w:p>
        <w:p w:rsidR="002A57B2" w:rsidRDefault="002A57B2">
          <w:pPr>
            <w:pStyle w:val="TOC2"/>
            <w:tabs>
              <w:tab w:val="right" w:leader="dot" w:pos="9016"/>
            </w:tabs>
            <w:rPr>
              <w:noProof/>
            </w:rPr>
          </w:pPr>
          <w:hyperlink w:anchor="_Toc229910993" w:history="1">
            <w:r w:rsidRPr="008B23DF">
              <w:rPr>
                <w:rStyle w:val="Hyperlink"/>
                <w:noProof/>
              </w:rPr>
              <w:t>2.3  Open-Source Tool Landscape and Limitations</w:t>
            </w:r>
            <w:r>
              <w:rPr>
                <w:noProof/>
              </w:rPr>
              <w:tab/>
            </w:r>
            <w:r>
              <w:rPr>
                <w:noProof/>
              </w:rPr>
              <w:fldChar w:fldCharType="begin"/>
            </w:r>
            <w:r>
              <w:rPr>
                <w:noProof/>
              </w:rPr>
              <w:instrText xml:space="preserve"> PAGEREF _Toc229910993 \h </w:instrText>
            </w:r>
            <w:r>
              <w:rPr>
                <w:noProof/>
              </w:rPr>
            </w:r>
            <w:r>
              <w:rPr>
                <w:noProof/>
              </w:rPr>
              <w:fldChar w:fldCharType="separate"/>
            </w:r>
            <w:r>
              <w:rPr>
                <w:noProof/>
              </w:rPr>
              <w:t>15</w:t>
            </w:r>
            <w:r>
              <w:rPr>
                <w:noProof/>
              </w:rPr>
              <w:fldChar w:fldCharType="end"/>
            </w:r>
          </w:hyperlink>
        </w:p>
        <w:p w:rsidR="002A57B2" w:rsidRDefault="002A57B2">
          <w:pPr>
            <w:pStyle w:val="TOC3"/>
            <w:tabs>
              <w:tab w:val="right" w:leader="dot" w:pos="9016"/>
            </w:tabs>
            <w:rPr>
              <w:noProof/>
            </w:rPr>
          </w:pPr>
          <w:hyperlink w:anchor="_Toc229910994" w:history="1">
            <w:r w:rsidRPr="008B23DF">
              <w:rPr>
                <w:rStyle w:val="Hyperlink"/>
                <w:noProof/>
              </w:rPr>
              <w:t>2.3.1  Autopsy / The Sleuth Kit</w:t>
            </w:r>
            <w:r>
              <w:rPr>
                <w:noProof/>
              </w:rPr>
              <w:tab/>
            </w:r>
            <w:r>
              <w:rPr>
                <w:noProof/>
              </w:rPr>
              <w:fldChar w:fldCharType="begin"/>
            </w:r>
            <w:r>
              <w:rPr>
                <w:noProof/>
              </w:rPr>
              <w:instrText xml:space="preserve"> PAGEREF _Toc229910994 \h </w:instrText>
            </w:r>
            <w:r>
              <w:rPr>
                <w:noProof/>
              </w:rPr>
            </w:r>
            <w:r>
              <w:rPr>
                <w:noProof/>
              </w:rPr>
              <w:fldChar w:fldCharType="separate"/>
            </w:r>
            <w:r>
              <w:rPr>
                <w:noProof/>
              </w:rPr>
              <w:t>15</w:t>
            </w:r>
            <w:r>
              <w:rPr>
                <w:noProof/>
              </w:rPr>
              <w:fldChar w:fldCharType="end"/>
            </w:r>
          </w:hyperlink>
        </w:p>
        <w:p w:rsidR="002A57B2" w:rsidRDefault="002A57B2">
          <w:pPr>
            <w:pStyle w:val="TOC3"/>
            <w:tabs>
              <w:tab w:val="right" w:leader="dot" w:pos="9016"/>
            </w:tabs>
            <w:rPr>
              <w:noProof/>
            </w:rPr>
          </w:pPr>
          <w:hyperlink w:anchor="_Toc229910995" w:history="1">
            <w:r w:rsidRPr="008B23DF">
              <w:rPr>
                <w:rStyle w:val="Hyperlink"/>
                <w:noProof/>
              </w:rPr>
              <w:t>2.3.2  Volatility Framework</w:t>
            </w:r>
            <w:r>
              <w:rPr>
                <w:noProof/>
              </w:rPr>
              <w:tab/>
            </w:r>
            <w:r>
              <w:rPr>
                <w:noProof/>
              </w:rPr>
              <w:fldChar w:fldCharType="begin"/>
            </w:r>
            <w:r>
              <w:rPr>
                <w:noProof/>
              </w:rPr>
              <w:instrText xml:space="preserve"> PAGEREF _Toc229910995 \h </w:instrText>
            </w:r>
            <w:r>
              <w:rPr>
                <w:noProof/>
              </w:rPr>
            </w:r>
            <w:r>
              <w:rPr>
                <w:noProof/>
              </w:rPr>
              <w:fldChar w:fldCharType="separate"/>
            </w:r>
            <w:r>
              <w:rPr>
                <w:noProof/>
              </w:rPr>
              <w:t>15</w:t>
            </w:r>
            <w:r>
              <w:rPr>
                <w:noProof/>
              </w:rPr>
              <w:fldChar w:fldCharType="end"/>
            </w:r>
          </w:hyperlink>
        </w:p>
        <w:p w:rsidR="002A57B2" w:rsidRDefault="002A57B2">
          <w:pPr>
            <w:pStyle w:val="TOC3"/>
            <w:tabs>
              <w:tab w:val="right" w:leader="dot" w:pos="9016"/>
            </w:tabs>
            <w:rPr>
              <w:noProof/>
            </w:rPr>
          </w:pPr>
          <w:hyperlink w:anchor="_Toc229910996" w:history="1">
            <w:r w:rsidRPr="008B23DF">
              <w:rPr>
                <w:rStyle w:val="Hyperlink"/>
                <w:noProof/>
              </w:rPr>
              <w:t>2.3.3  KAPE (Kroll Artifact Parser and Extractor)</w:t>
            </w:r>
            <w:r>
              <w:rPr>
                <w:noProof/>
              </w:rPr>
              <w:tab/>
            </w:r>
            <w:r>
              <w:rPr>
                <w:noProof/>
              </w:rPr>
              <w:fldChar w:fldCharType="begin"/>
            </w:r>
            <w:r>
              <w:rPr>
                <w:noProof/>
              </w:rPr>
              <w:instrText xml:space="preserve"> PAGEREF _Toc229910996 \h </w:instrText>
            </w:r>
            <w:r>
              <w:rPr>
                <w:noProof/>
              </w:rPr>
            </w:r>
            <w:r>
              <w:rPr>
                <w:noProof/>
              </w:rPr>
              <w:fldChar w:fldCharType="separate"/>
            </w:r>
            <w:r>
              <w:rPr>
                <w:noProof/>
              </w:rPr>
              <w:t>16</w:t>
            </w:r>
            <w:r>
              <w:rPr>
                <w:noProof/>
              </w:rPr>
              <w:fldChar w:fldCharType="end"/>
            </w:r>
          </w:hyperlink>
        </w:p>
        <w:p w:rsidR="002A57B2" w:rsidRDefault="002A57B2">
          <w:pPr>
            <w:pStyle w:val="TOC3"/>
            <w:tabs>
              <w:tab w:val="right" w:leader="dot" w:pos="9016"/>
            </w:tabs>
            <w:rPr>
              <w:noProof/>
            </w:rPr>
          </w:pPr>
          <w:hyperlink w:anchor="_Toc229910997" w:history="1">
            <w:r w:rsidRPr="008B23DF">
              <w:rPr>
                <w:rStyle w:val="Hyperlink"/>
                <w:noProof/>
              </w:rPr>
              <w:t>2.3.4  Velociraptor</w:t>
            </w:r>
            <w:r>
              <w:rPr>
                <w:noProof/>
              </w:rPr>
              <w:tab/>
            </w:r>
            <w:r>
              <w:rPr>
                <w:noProof/>
              </w:rPr>
              <w:fldChar w:fldCharType="begin"/>
            </w:r>
            <w:r>
              <w:rPr>
                <w:noProof/>
              </w:rPr>
              <w:instrText xml:space="preserve"> PAGEREF _Toc229910997 \h </w:instrText>
            </w:r>
            <w:r>
              <w:rPr>
                <w:noProof/>
              </w:rPr>
            </w:r>
            <w:r>
              <w:rPr>
                <w:noProof/>
              </w:rPr>
              <w:fldChar w:fldCharType="separate"/>
            </w:r>
            <w:r>
              <w:rPr>
                <w:noProof/>
              </w:rPr>
              <w:t>16</w:t>
            </w:r>
            <w:r>
              <w:rPr>
                <w:noProof/>
              </w:rPr>
              <w:fldChar w:fldCharType="end"/>
            </w:r>
          </w:hyperlink>
        </w:p>
        <w:p w:rsidR="002A57B2" w:rsidRDefault="002A57B2">
          <w:pPr>
            <w:pStyle w:val="TOC3"/>
            <w:tabs>
              <w:tab w:val="right" w:leader="dot" w:pos="9016"/>
            </w:tabs>
            <w:rPr>
              <w:noProof/>
            </w:rPr>
          </w:pPr>
          <w:hyperlink w:anchor="_Toc229910998" w:history="1">
            <w:r w:rsidRPr="008B23DF">
              <w:rPr>
                <w:rStyle w:val="Hyperlink"/>
                <w:noProof/>
              </w:rPr>
              <w:t>2.3.5  CrowdStrike CRConvert / Response</w:t>
            </w:r>
            <w:r>
              <w:rPr>
                <w:noProof/>
              </w:rPr>
              <w:tab/>
            </w:r>
            <w:r>
              <w:rPr>
                <w:noProof/>
              </w:rPr>
              <w:fldChar w:fldCharType="begin"/>
            </w:r>
            <w:r>
              <w:rPr>
                <w:noProof/>
              </w:rPr>
              <w:instrText xml:space="preserve"> PAGEREF _Toc229910998 \h </w:instrText>
            </w:r>
            <w:r>
              <w:rPr>
                <w:noProof/>
              </w:rPr>
            </w:r>
            <w:r>
              <w:rPr>
                <w:noProof/>
              </w:rPr>
              <w:fldChar w:fldCharType="separate"/>
            </w:r>
            <w:r>
              <w:rPr>
                <w:noProof/>
              </w:rPr>
              <w:t>16</w:t>
            </w:r>
            <w:r>
              <w:rPr>
                <w:noProof/>
              </w:rPr>
              <w:fldChar w:fldCharType="end"/>
            </w:r>
          </w:hyperlink>
        </w:p>
        <w:p w:rsidR="002A57B2" w:rsidRDefault="002A57B2">
          <w:pPr>
            <w:pStyle w:val="TOC3"/>
            <w:tabs>
              <w:tab w:val="right" w:leader="dot" w:pos="9016"/>
            </w:tabs>
            <w:rPr>
              <w:noProof/>
            </w:rPr>
          </w:pPr>
          <w:hyperlink w:anchor="_Toc229910999" w:history="1">
            <w:r w:rsidRPr="008B23DF">
              <w:rPr>
                <w:rStyle w:val="Hyperlink"/>
                <w:noProof/>
              </w:rPr>
              <w:t>2.3.6  Comparative Summary: Open-Source Tools</w:t>
            </w:r>
            <w:r>
              <w:rPr>
                <w:noProof/>
              </w:rPr>
              <w:tab/>
            </w:r>
            <w:r>
              <w:rPr>
                <w:noProof/>
              </w:rPr>
              <w:fldChar w:fldCharType="begin"/>
            </w:r>
            <w:r>
              <w:rPr>
                <w:noProof/>
              </w:rPr>
              <w:instrText xml:space="preserve"> PAGEREF _Toc229910999 \h </w:instrText>
            </w:r>
            <w:r>
              <w:rPr>
                <w:noProof/>
              </w:rPr>
            </w:r>
            <w:r>
              <w:rPr>
                <w:noProof/>
              </w:rPr>
              <w:fldChar w:fldCharType="separate"/>
            </w:r>
            <w:r>
              <w:rPr>
                <w:noProof/>
              </w:rPr>
              <w:t>17</w:t>
            </w:r>
            <w:r>
              <w:rPr>
                <w:noProof/>
              </w:rPr>
              <w:fldChar w:fldCharType="end"/>
            </w:r>
          </w:hyperlink>
        </w:p>
        <w:p w:rsidR="002A57B2" w:rsidRDefault="002A57B2">
          <w:pPr>
            <w:pStyle w:val="TOC2"/>
            <w:tabs>
              <w:tab w:val="right" w:leader="dot" w:pos="9016"/>
            </w:tabs>
            <w:rPr>
              <w:noProof/>
            </w:rPr>
          </w:pPr>
          <w:hyperlink w:anchor="_Toc229911000" w:history="1">
            <w:r w:rsidRPr="008B23DF">
              <w:rPr>
                <w:rStyle w:val="Hyperlink"/>
                <w:noProof/>
              </w:rPr>
              <w:t>2.4  Evidence Integrity, Hashing, and Chain of Custody</w:t>
            </w:r>
            <w:r>
              <w:rPr>
                <w:noProof/>
              </w:rPr>
              <w:tab/>
            </w:r>
            <w:r>
              <w:rPr>
                <w:noProof/>
              </w:rPr>
              <w:fldChar w:fldCharType="begin"/>
            </w:r>
            <w:r>
              <w:rPr>
                <w:noProof/>
              </w:rPr>
              <w:instrText xml:space="preserve"> PAGEREF _Toc229911000 \h </w:instrText>
            </w:r>
            <w:r>
              <w:rPr>
                <w:noProof/>
              </w:rPr>
            </w:r>
            <w:r>
              <w:rPr>
                <w:noProof/>
              </w:rPr>
              <w:fldChar w:fldCharType="separate"/>
            </w:r>
            <w:r>
              <w:rPr>
                <w:noProof/>
              </w:rPr>
              <w:t>18</w:t>
            </w:r>
            <w:r>
              <w:rPr>
                <w:noProof/>
              </w:rPr>
              <w:fldChar w:fldCharType="end"/>
            </w:r>
          </w:hyperlink>
        </w:p>
        <w:p w:rsidR="002A57B2" w:rsidRDefault="002A57B2">
          <w:pPr>
            <w:pStyle w:val="TOC2"/>
            <w:tabs>
              <w:tab w:val="right" w:leader="dot" w:pos="9016"/>
            </w:tabs>
            <w:rPr>
              <w:noProof/>
            </w:rPr>
          </w:pPr>
          <w:hyperlink w:anchor="_Toc229911001" w:history="1">
            <w:r w:rsidRPr="008B23DF">
              <w:rPr>
                <w:rStyle w:val="Hyperlink"/>
                <w:noProof/>
              </w:rPr>
              <w:t>2.5  Comparative Evaluation Methodologies in Digital Forensics</w:t>
            </w:r>
            <w:r>
              <w:rPr>
                <w:noProof/>
              </w:rPr>
              <w:tab/>
            </w:r>
            <w:r>
              <w:rPr>
                <w:noProof/>
              </w:rPr>
              <w:fldChar w:fldCharType="begin"/>
            </w:r>
            <w:r>
              <w:rPr>
                <w:noProof/>
              </w:rPr>
              <w:instrText xml:space="preserve"> PAGEREF _Toc229911001 \h </w:instrText>
            </w:r>
            <w:r>
              <w:rPr>
                <w:noProof/>
              </w:rPr>
            </w:r>
            <w:r>
              <w:rPr>
                <w:noProof/>
              </w:rPr>
              <w:fldChar w:fldCharType="separate"/>
            </w:r>
            <w:r>
              <w:rPr>
                <w:noProof/>
              </w:rPr>
              <w:t>18</w:t>
            </w:r>
            <w:r>
              <w:rPr>
                <w:noProof/>
              </w:rPr>
              <w:fldChar w:fldCharType="end"/>
            </w:r>
          </w:hyperlink>
        </w:p>
        <w:p w:rsidR="002A57B2" w:rsidRDefault="002A57B2">
          <w:pPr>
            <w:pStyle w:val="TOC2"/>
            <w:tabs>
              <w:tab w:val="right" w:leader="dot" w:pos="9016"/>
            </w:tabs>
            <w:rPr>
              <w:noProof/>
            </w:rPr>
          </w:pPr>
          <w:hyperlink w:anchor="_Toc229911002" w:history="1">
            <w:r w:rsidRPr="008B23DF">
              <w:rPr>
                <w:rStyle w:val="Hyperlink"/>
                <w:noProof/>
              </w:rPr>
              <w:t>2.6  Synthesis of Research Gaps and Project Positioning</w:t>
            </w:r>
            <w:r>
              <w:rPr>
                <w:noProof/>
              </w:rPr>
              <w:tab/>
            </w:r>
            <w:r>
              <w:rPr>
                <w:noProof/>
              </w:rPr>
              <w:fldChar w:fldCharType="begin"/>
            </w:r>
            <w:r>
              <w:rPr>
                <w:noProof/>
              </w:rPr>
              <w:instrText xml:space="preserve"> PAGEREF _Toc229911002 \h </w:instrText>
            </w:r>
            <w:r>
              <w:rPr>
                <w:noProof/>
              </w:rPr>
            </w:r>
            <w:r>
              <w:rPr>
                <w:noProof/>
              </w:rPr>
              <w:fldChar w:fldCharType="separate"/>
            </w:r>
            <w:r>
              <w:rPr>
                <w:noProof/>
              </w:rPr>
              <w:t>20</w:t>
            </w:r>
            <w:r>
              <w:rPr>
                <w:noProof/>
              </w:rPr>
              <w:fldChar w:fldCharType="end"/>
            </w:r>
          </w:hyperlink>
        </w:p>
        <w:p w:rsidR="002A57B2" w:rsidRDefault="002A57B2">
          <w:pPr>
            <w:pStyle w:val="TOC1"/>
            <w:tabs>
              <w:tab w:val="right" w:leader="dot" w:pos="9016"/>
            </w:tabs>
            <w:rPr>
              <w:noProof/>
            </w:rPr>
          </w:pPr>
          <w:hyperlink w:anchor="_Toc229911003" w:history="1">
            <w:r w:rsidRPr="008B23DF">
              <w:rPr>
                <w:rStyle w:val="Hyperlink"/>
                <w:noProof/>
              </w:rPr>
              <w:t>Chapter 3: Research Methodology</w:t>
            </w:r>
            <w:r>
              <w:rPr>
                <w:noProof/>
              </w:rPr>
              <w:tab/>
            </w:r>
            <w:r>
              <w:rPr>
                <w:noProof/>
              </w:rPr>
              <w:fldChar w:fldCharType="begin"/>
            </w:r>
            <w:r>
              <w:rPr>
                <w:noProof/>
              </w:rPr>
              <w:instrText xml:space="preserve"> PAGEREF _Toc229911003 \h </w:instrText>
            </w:r>
            <w:r>
              <w:rPr>
                <w:noProof/>
              </w:rPr>
            </w:r>
            <w:r>
              <w:rPr>
                <w:noProof/>
              </w:rPr>
              <w:fldChar w:fldCharType="separate"/>
            </w:r>
            <w:r>
              <w:rPr>
                <w:noProof/>
              </w:rPr>
              <w:t>22</w:t>
            </w:r>
            <w:r>
              <w:rPr>
                <w:noProof/>
              </w:rPr>
              <w:fldChar w:fldCharType="end"/>
            </w:r>
          </w:hyperlink>
        </w:p>
        <w:p w:rsidR="002A57B2" w:rsidRDefault="002A57B2">
          <w:pPr>
            <w:pStyle w:val="TOC2"/>
            <w:tabs>
              <w:tab w:val="right" w:leader="dot" w:pos="9016"/>
            </w:tabs>
            <w:rPr>
              <w:noProof/>
            </w:rPr>
          </w:pPr>
          <w:hyperlink w:anchor="_Toc229911004" w:history="1">
            <w:r w:rsidRPr="008B23DF">
              <w:rPr>
                <w:rStyle w:val="Hyperlink"/>
                <w:noProof/>
              </w:rPr>
              <w:t>3.1  Research Philosophy and Approach</w:t>
            </w:r>
            <w:r>
              <w:rPr>
                <w:noProof/>
              </w:rPr>
              <w:tab/>
            </w:r>
            <w:r>
              <w:rPr>
                <w:noProof/>
              </w:rPr>
              <w:fldChar w:fldCharType="begin"/>
            </w:r>
            <w:r>
              <w:rPr>
                <w:noProof/>
              </w:rPr>
              <w:instrText xml:space="preserve"> PAGEREF _Toc229911004 \h </w:instrText>
            </w:r>
            <w:r>
              <w:rPr>
                <w:noProof/>
              </w:rPr>
            </w:r>
            <w:r>
              <w:rPr>
                <w:noProof/>
              </w:rPr>
              <w:fldChar w:fldCharType="separate"/>
            </w:r>
            <w:r>
              <w:rPr>
                <w:noProof/>
              </w:rPr>
              <w:t>22</w:t>
            </w:r>
            <w:r>
              <w:rPr>
                <w:noProof/>
              </w:rPr>
              <w:fldChar w:fldCharType="end"/>
            </w:r>
          </w:hyperlink>
        </w:p>
        <w:p w:rsidR="002A57B2" w:rsidRDefault="002A57B2">
          <w:pPr>
            <w:pStyle w:val="TOC2"/>
            <w:tabs>
              <w:tab w:val="right" w:leader="dot" w:pos="9016"/>
            </w:tabs>
            <w:rPr>
              <w:noProof/>
            </w:rPr>
          </w:pPr>
          <w:hyperlink w:anchor="_Toc229911005" w:history="1">
            <w:r w:rsidRPr="008B23DF">
              <w:rPr>
                <w:rStyle w:val="Hyperlink"/>
                <w:noProof/>
              </w:rPr>
              <w:t>3.2  Project Type and Research Strategy</w:t>
            </w:r>
            <w:r>
              <w:rPr>
                <w:noProof/>
              </w:rPr>
              <w:tab/>
            </w:r>
            <w:r>
              <w:rPr>
                <w:noProof/>
              </w:rPr>
              <w:fldChar w:fldCharType="begin"/>
            </w:r>
            <w:r>
              <w:rPr>
                <w:noProof/>
              </w:rPr>
              <w:instrText xml:space="preserve"> PAGEREF _Toc229911005 \h </w:instrText>
            </w:r>
            <w:r>
              <w:rPr>
                <w:noProof/>
              </w:rPr>
            </w:r>
            <w:r>
              <w:rPr>
                <w:noProof/>
              </w:rPr>
              <w:fldChar w:fldCharType="separate"/>
            </w:r>
            <w:r>
              <w:rPr>
                <w:noProof/>
              </w:rPr>
              <w:t>22</w:t>
            </w:r>
            <w:r>
              <w:rPr>
                <w:noProof/>
              </w:rPr>
              <w:fldChar w:fldCharType="end"/>
            </w:r>
          </w:hyperlink>
        </w:p>
        <w:p w:rsidR="002A57B2" w:rsidRDefault="002A57B2">
          <w:pPr>
            <w:pStyle w:val="TOC2"/>
            <w:tabs>
              <w:tab w:val="right" w:leader="dot" w:pos="9016"/>
            </w:tabs>
            <w:rPr>
              <w:noProof/>
            </w:rPr>
          </w:pPr>
          <w:hyperlink w:anchor="_Toc229911006" w:history="1">
            <w:r w:rsidRPr="008B23DF">
              <w:rPr>
                <w:rStyle w:val="Hyperlink"/>
                <w:noProof/>
              </w:rPr>
              <w:t>3.3  Experimental Setup and Test Environment</w:t>
            </w:r>
            <w:r>
              <w:rPr>
                <w:noProof/>
              </w:rPr>
              <w:tab/>
            </w:r>
            <w:r>
              <w:rPr>
                <w:noProof/>
              </w:rPr>
              <w:fldChar w:fldCharType="begin"/>
            </w:r>
            <w:r>
              <w:rPr>
                <w:noProof/>
              </w:rPr>
              <w:instrText xml:space="preserve"> PAGEREF _Toc229911006 \h </w:instrText>
            </w:r>
            <w:r>
              <w:rPr>
                <w:noProof/>
              </w:rPr>
            </w:r>
            <w:r>
              <w:rPr>
                <w:noProof/>
              </w:rPr>
              <w:fldChar w:fldCharType="separate"/>
            </w:r>
            <w:r>
              <w:rPr>
                <w:noProof/>
              </w:rPr>
              <w:t>23</w:t>
            </w:r>
            <w:r>
              <w:rPr>
                <w:noProof/>
              </w:rPr>
              <w:fldChar w:fldCharType="end"/>
            </w:r>
          </w:hyperlink>
        </w:p>
        <w:p w:rsidR="002A57B2" w:rsidRDefault="002A57B2">
          <w:pPr>
            <w:pStyle w:val="TOC2"/>
            <w:tabs>
              <w:tab w:val="right" w:leader="dot" w:pos="9016"/>
            </w:tabs>
            <w:rPr>
              <w:noProof/>
            </w:rPr>
          </w:pPr>
          <w:hyperlink w:anchor="_Toc229911007" w:history="1">
            <w:r w:rsidRPr="008B23DF">
              <w:rPr>
                <w:rStyle w:val="Hyperlink"/>
                <w:noProof/>
              </w:rPr>
              <w:t>3.4  Evaluation Metrics</w:t>
            </w:r>
            <w:r>
              <w:rPr>
                <w:noProof/>
              </w:rPr>
              <w:tab/>
            </w:r>
            <w:r>
              <w:rPr>
                <w:noProof/>
              </w:rPr>
              <w:fldChar w:fldCharType="begin"/>
            </w:r>
            <w:r>
              <w:rPr>
                <w:noProof/>
              </w:rPr>
              <w:instrText xml:space="preserve"> PAGEREF _Toc229911007 \h </w:instrText>
            </w:r>
            <w:r>
              <w:rPr>
                <w:noProof/>
              </w:rPr>
            </w:r>
            <w:r>
              <w:rPr>
                <w:noProof/>
              </w:rPr>
              <w:fldChar w:fldCharType="separate"/>
            </w:r>
            <w:r>
              <w:rPr>
                <w:noProof/>
              </w:rPr>
              <w:t>24</w:t>
            </w:r>
            <w:r>
              <w:rPr>
                <w:noProof/>
              </w:rPr>
              <w:fldChar w:fldCharType="end"/>
            </w:r>
          </w:hyperlink>
        </w:p>
        <w:p w:rsidR="002A57B2" w:rsidRDefault="002A57B2">
          <w:pPr>
            <w:pStyle w:val="TOC2"/>
            <w:tabs>
              <w:tab w:val="right" w:leader="dot" w:pos="9016"/>
            </w:tabs>
            <w:rPr>
              <w:noProof/>
            </w:rPr>
          </w:pPr>
          <w:hyperlink w:anchor="_Toc229911008" w:history="1">
            <w:r w:rsidRPr="008B23DF">
              <w:rPr>
                <w:rStyle w:val="Hyperlink"/>
                <w:noProof/>
              </w:rPr>
              <w:t>3.5  Data Collection Methods</w:t>
            </w:r>
            <w:r>
              <w:rPr>
                <w:noProof/>
              </w:rPr>
              <w:tab/>
            </w:r>
            <w:r>
              <w:rPr>
                <w:noProof/>
              </w:rPr>
              <w:fldChar w:fldCharType="begin"/>
            </w:r>
            <w:r>
              <w:rPr>
                <w:noProof/>
              </w:rPr>
              <w:instrText xml:space="preserve"> PAGEREF _Toc229911008 \h </w:instrText>
            </w:r>
            <w:r>
              <w:rPr>
                <w:noProof/>
              </w:rPr>
            </w:r>
            <w:r>
              <w:rPr>
                <w:noProof/>
              </w:rPr>
              <w:fldChar w:fldCharType="separate"/>
            </w:r>
            <w:r>
              <w:rPr>
                <w:noProof/>
              </w:rPr>
              <w:t>24</w:t>
            </w:r>
            <w:r>
              <w:rPr>
                <w:noProof/>
              </w:rPr>
              <w:fldChar w:fldCharType="end"/>
            </w:r>
          </w:hyperlink>
        </w:p>
        <w:p w:rsidR="002A57B2" w:rsidRDefault="002A57B2">
          <w:pPr>
            <w:pStyle w:val="TOC2"/>
            <w:tabs>
              <w:tab w:val="right" w:leader="dot" w:pos="9016"/>
            </w:tabs>
            <w:rPr>
              <w:noProof/>
            </w:rPr>
          </w:pPr>
          <w:hyperlink w:anchor="_Toc229911009" w:history="1">
            <w:r w:rsidRPr="008B23DF">
              <w:rPr>
                <w:rStyle w:val="Hyperlink"/>
                <w:noProof/>
              </w:rPr>
              <w:t>3.6  Ethical Considerations</w:t>
            </w:r>
            <w:r>
              <w:rPr>
                <w:noProof/>
              </w:rPr>
              <w:tab/>
            </w:r>
            <w:r>
              <w:rPr>
                <w:noProof/>
              </w:rPr>
              <w:fldChar w:fldCharType="begin"/>
            </w:r>
            <w:r>
              <w:rPr>
                <w:noProof/>
              </w:rPr>
              <w:instrText xml:space="preserve"> PAGEREF _Toc229911009 \h </w:instrText>
            </w:r>
            <w:r>
              <w:rPr>
                <w:noProof/>
              </w:rPr>
            </w:r>
            <w:r>
              <w:rPr>
                <w:noProof/>
              </w:rPr>
              <w:fldChar w:fldCharType="separate"/>
            </w:r>
            <w:r>
              <w:rPr>
                <w:noProof/>
              </w:rPr>
              <w:t>25</w:t>
            </w:r>
            <w:r>
              <w:rPr>
                <w:noProof/>
              </w:rPr>
              <w:fldChar w:fldCharType="end"/>
            </w:r>
          </w:hyperlink>
        </w:p>
        <w:p w:rsidR="002A57B2" w:rsidRDefault="002A57B2">
          <w:pPr>
            <w:pStyle w:val="TOC2"/>
            <w:tabs>
              <w:tab w:val="right" w:leader="dot" w:pos="9016"/>
            </w:tabs>
            <w:rPr>
              <w:noProof/>
            </w:rPr>
          </w:pPr>
          <w:hyperlink w:anchor="_Toc229911010" w:history="1">
            <w:r w:rsidRPr="008B23DF">
              <w:rPr>
                <w:rStyle w:val="Hyperlink"/>
                <w:noProof/>
              </w:rPr>
              <w:t>3.7  Threats to Validity</w:t>
            </w:r>
            <w:r>
              <w:rPr>
                <w:noProof/>
              </w:rPr>
              <w:tab/>
            </w:r>
            <w:r>
              <w:rPr>
                <w:noProof/>
              </w:rPr>
              <w:fldChar w:fldCharType="begin"/>
            </w:r>
            <w:r>
              <w:rPr>
                <w:noProof/>
              </w:rPr>
              <w:instrText xml:space="preserve"> PAGEREF _Toc229911010 \h </w:instrText>
            </w:r>
            <w:r>
              <w:rPr>
                <w:noProof/>
              </w:rPr>
            </w:r>
            <w:r>
              <w:rPr>
                <w:noProof/>
              </w:rPr>
              <w:fldChar w:fldCharType="separate"/>
            </w:r>
            <w:r>
              <w:rPr>
                <w:noProof/>
              </w:rPr>
              <w:t>25</w:t>
            </w:r>
            <w:r>
              <w:rPr>
                <w:noProof/>
              </w:rPr>
              <w:fldChar w:fldCharType="end"/>
            </w:r>
          </w:hyperlink>
        </w:p>
        <w:p w:rsidR="002A57B2" w:rsidRDefault="002A57B2">
          <w:pPr>
            <w:pStyle w:val="TOC3"/>
            <w:tabs>
              <w:tab w:val="right" w:leader="dot" w:pos="9016"/>
            </w:tabs>
            <w:rPr>
              <w:noProof/>
            </w:rPr>
          </w:pPr>
          <w:hyperlink w:anchor="_Toc229911011" w:history="1">
            <w:r w:rsidRPr="008B23DF">
              <w:rPr>
                <w:rStyle w:val="Hyperlink"/>
                <w:noProof/>
              </w:rPr>
              <w:t>3.7.1  Internal Validity</w:t>
            </w:r>
            <w:r>
              <w:rPr>
                <w:noProof/>
              </w:rPr>
              <w:tab/>
            </w:r>
            <w:r>
              <w:rPr>
                <w:noProof/>
              </w:rPr>
              <w:fldChar w:fldCharType="begin"/>
            </w:r>
            <w:r>
              <w:rPr>
                <w:noProof/>
              </w:rPr>
              <w:instrText xml:space="preserve"> PAGEREF _Toc229911011 \h </w:instrText>
            </w:r>
            <w:r>
              <w:rPr>
                <w:noProof/>
              </w:rPr>
            </w:r>
            <w:r>
              <w:rPr>
                <w:noProof/>
              </w:rPr>
              <w:fldChar w:fldCharType="separate"/>
            </w:r>
            <w:r>
              <w:rPr>
                <w:noProof/>
              </w:rPr>
              <w:t>25</w:t>
            </w:r>
            <w:r>
              <w:rPr>
                <w:noProof/>
              </w:rPr>
              <w:fldChar w:fldCharType="end"/>
            </w:r>
          </w:hyperlink>
        </w:p>
        <w:p w:rsidR="002A57B2" w:rsidRDefault="002A57B2">
          <w:pPr>
            <w:pStyle w:val="TOC3"/>
            <w:tabs>
              <w:tab w:val="right" w:leader="dot" w:pos="9016"/>
            </w:tabs>
            <w:rPr>
              <w:noProof/>
            </w:rPr>
          </w:pPr>
          <w:hyperlink w:anchor="_Toc229911012" w:history="1">
            <w:r w:rsidRPr="008B23DF">
              <w:rPr>
                <w:rStyle w:val="Hyperlink"/>
                <w:noProof/>
              </w:rPr>
              <w:t>3.7.2  External Validity</w:t>
            </w:r>
            <w:r>
              <w:rPr>
                <w:noProof/>
              </w:rPr>
              <w:tab/>
            </w:r>
            <w:r>
              <w:rPr>
                <w:noProof/>
              </w:rPr>
              <w:fldChar w:fldCharType="begin"/>
            </w:r>
            <w:r>
              <w:rPr>
                <w:noProof/>
              </w:rPr>
              <w:instrText xml:space="preserve"> PAGEREF _Toc229911012 \h </w:instrText>
            </w:r>
            <w:r>
              <w:rPr>
                <w:noProof/>
              </w:rPr>
            </w:r>
            <w:r>
              <w:rPr>
                <w:noProof/>
              </w:rPr>
              <w:fldChar w:fldCharType="separate"/>
            </w:r>
            <w:r>
              <w:rPr>
                <w:noProof/>
              </w:rPr>
              <w:t>25</w:t>
            </w:r>
            <w:r>
              <w:rPr>
                <w:noProof/>
              </w:rPr>
              <w:fldChar w:fldCharType="end"/>
            </w:r>
          </w:hyperlink>
        </w:p>
        <w:p w:rsidR="002A57B2" w:rsidRDefault="002A57B2">
          <w:pPr>
            <w:pStyle w:val="TOC3"/>
            <w:tabs>
              <w:tab w:val="right" w:leader="dot" w:pos="9016"/>
            </w:tabs>
            <w:rPr>
              <w:noProof/>
            </w:rPr>
          </w:pPr>
          <w:hyperlink w:anchor="_Toc229911013" w:history="1">
            <w:r w:rsidRPr="008B23DF">
              <w:rPr>
                <w:rStyle w:val="Hyperlink"/>
                <w:noProof/>
              </w:rPr>
              <w:t>3.7.3  Construct Validity</w:t>
            </w:r>
            <w:r>
              <w:rPr>
                <w:noProof/>
              </w:rPr>
              <w:tab/>
            </w:r>
            <w:r>
              <w:rPr>
                <w:noProof/>
              </w:rPr>
              <w:fldChar w:fldCharType="begin"/>
            </w:r>
            <w:r>
              <w:rPr>
                <w:noProof/>
              </w:rPr>
              <w:instrText xml:space="preserve"> PAGEREF _Toc229911013 \h </w:instrText>
            </w:r>
            <w:r>
              <w:rPr>
                <w:noProof/>
              </w:rPr>
            </w:r>
            <w:r>
              <w:rPr>
                <w:noProof/>
              </w:rPr>
              <w:fldChar w:fldCharType="separate"/>
            </w:r>
            <w:r>
              <w:rPr>
                <w:noProof/>
              </w:rPr>
              <w:t>26</w:t>
            </w:r>
            <w:r>
              <w:rPr>
                <w:noProof/>
              </w:rPr>
              <w:fldChar w:fldCharType="end"/>
            </w:r>
          </w:hyperlink>
        </w:p>
        <w:p w:rsidR="002A57B2" w:rsidRDefault="002A57B2">
          <w:pPr>
            <w:pStyle w:val="TOC3"/>
            <w:tabs>
              <w:tab w:val="right" w:leader="dot" w:pos="9016"/>
            </w:tabs>
            <w:rPr>
              <w:noProof/>
            </w:rPr>
          </w:pPr>
          <w:hyperlink w:anchor="_Toc229911014" w:history="1">
            <w:r w:rsidRPr="008B23DF">
              <w:rPr>
                <w:rStyle w:val="Hyperlink"/>
                <w:noProof/>
              </w:rPr>
              <w:t>3.7.4  Comparative Validity</w:t>
            </w:r>
            <w:r>
              <w:rPr>
                <w:noProof/>
              </w:rPr>
              <w:tab/>
            </w:r>
            <w:r>
              <w:rPr>
                <w:noProof/>
              </w:rPr>
              <w:fldChar w:fldCharType="begin"/>
            </w:r>
            <w:r>
              <w:rPr>
                <w:noProof/>
              </w:rPr>
              <w:instrText xml:space="preserve"> PAGEREF _Toc229911014 \h </w:instrText>
            </w:r>
            <w:r>
              <w:rPr>
                <w:noProof/>
              </w:rPr>
            </w:r>
            <w:r>
              <w:rPr>
                <w:noProof/>
              </w:rPr>
              <w:fldChar w:fldCharType="separate"/>
            </w:r>
            <w:r>
              <w:rPr>
                <w:noProof/>
              </w:rPr>
              <w:t>26</w:t>
            </w:r>
            <w:r>
              <w:rPr>
                <w:noProof/>
              </w:rPr>
              <w:fldChar w:fldCharType="end"/>
            </w:r>
          </w:hyperlink>
        </w:p>
        <w:p w:rsidR="002A57B2" w:rsidRDefault="002A57B2">
          <w:pPr>
            <w:pStyle w:val="TOC2"/>
            <w:tabs>
              <w:tab w:val="right" w:leader="dot" w:pos="9016"/>
            </w:tabs>
            <w:rPr>
              <w:noProof/>
            </w:rPr>
          </w:pPr>
          <w:hyperlink w:anchor="_Toc229911015" w:history="1">
            <w:r w:rsidRPr="008B23DF">
              <w:rPr>
                <w:rStyle w:val="Hyperlink"/>
                <w:noProof/>
              </w:rPr>
              <w:t>3.8  Summary</w:t>
            </w:r>
            <w:r>
              <w:rPr>
                <w:noProof/>
              </w:rPr>
              <w:tab/>
            </w:r>
            <w:r>
              <w:rPr>
                <w:noProof/>
              </w:rPr>
              <w:fldChar w:fldCharType="begin"/>
            </w:r>
            <w:r>
              <w:rPr>
                <w:noProof/>
              </w:rPr>
              <w:instrText xml:space="preserve"> PAGEREF _Toc229911015 \h </w:instrText>
            </w:r>
            <w:r>
              <w:rPr>
                <w:noProof/>
              </w:rPr>
            </w:r>
            <w:r>
              <w:rPr>
                <w:noProof/>
              </w:rPr>
              <w:fldChar w:fldCharType="separate"/>
            </w:r>
            <w:r>
              <w:rPr>
                <w:noProof/>
              </w:rPr>
              <w:t>26</w:t>
            </w:r>
            <w:r>
              <w:rPr>
                <w:noProof/>
              </w:rPr>
              <w:fldChar w:fldCharType="end"/>
            </w:r>
          </w:hyperlink>
        </w:p>
        <w:p w:rsidR="002A57B2" w:rsidRDefault="002A57B2">
          <w:pPr>
            <w:pStyle w:val="TOC1"/>
            <w:tabs>
              <w:tab w:val="right" w:leader="dot" w:pos="9016"/>
            </w:tabs>
            <w:rPr>
              <w:noProof/>
            </w:rPr>
          </w:pPr>
          <w:hyperlink w:anchor="_Toc229911016" w:history="1">
            <w:r w:rsidRPr="008B23DF">
              <w:rPr>
                <w:rStyle w:val="Hyperlink"/>
                <w:noProof/>
              </w:rPr>
              <w:t>Chapter 4: System Design and Architecture</w:t>
            </w:r>
            <w:r>
              <w:rPr>
                <w:noProof/>
              </w:rPr>
              <w:tab/>
            </w:r>
            <w:r>
              <w:rPr>
                <w:noProof/>
              </w:rPr>
              <w:fldChar w:fldCharType="begin"/>
            </w:r>
            <w:r>
              <w:rPr>
                <w:noProof/>
              </w:rPr>
              <w:instrText xml:space="preserve"> PAGEREF _Toc229911016 \h </w:instrText>
            </w:r>
            <w:r>
              <w:rPr>
                <w:noProof/>
              </w:rPr>
            </w:r>
            <w:r>
              <w:rPr>
                <w:noProof/>
              </w:rPr>
              <w:fldChar w:fldCharType="separate"/>
            </w:r>
            <w:r>
              <w:rPr>
                <w:noProof/>
              </w:rPr>
              <w:t>27</w:t>
            </w:r>
            <w:r>
              <w:rPr>
                <w:noProof/>
              </w:rPr>
              <w:fldChar w:fldCharType="end"/>
            </w:r>
          </w:hyperlink>
        </w:p>
        <w:p w:rsidR="002A57B2" w:rsidRDefault="002A57B2">
          <w:pPr>
            <w:pStyle w:val="TOC2"/>
            <w:tabs>
              <w:tab w:val="right" w:leader="dot" w:pos="9016"/>
            </w:tabs>
            <w:rPr>
              <w:noProof/>
            </w:rPr>
          </w:pPr>
          <w:hyperlink w:anchor="_Toc229911017" w:history="1">
            <w:r w:rsidRPr="008B23DF">
              <w:rPr>
                <w:rStyle w:val="Hyperlink"/>
                <w:noProof/>
              </w:rPr>
              <w:t>4.1  Design Goals and Constraints</w:t>
            </w:r>
            <w:r>
              <w:rPr>
                <w:noProof/>
              </w:rPr>
              <w:tab/>
            </w:r>
            <w:r>
              <w:rPr>
                <w:noProof/>
              </w:rPr>
              <w:fldChar w:fldCharType="begin"/>
            </w:r>
            <w:r>
              <w:rPr>
                <w:noProof/>
              </w:rPr>
              <w:instrText xml:space="preserve"> PAGEREF _Toc229911017 \h </w:instrText>
            </w:r>
            <w:r>
              <w:rPr>
                <w:noProof/>
              </w:rPr>
            </w:r>
            <w:r>
              <w:rPr>
                <w:noProof/>
              </w:rPr>
              <w:fldChar w:fldCharType="separate"/>
            </w:r>
            <w:r>
              <w:rPr>
                <w:noProof/>
              </w:rPr>
              <w:t>27</w:t>
            </w:r>
            <w:r>
              <w:rPr>
                <w:noProof/>
              </w:rPr>
              <w:fldChar w:fldCharType="end"/>
            </w:r>
          </w:hyperlink>
        </w:p>
        <w:p w:rsidR="002A57B2" w:rsidRDefault="002A57B2">
          <w:pPr>
            <w:pStyle w:val="TOC2"/>
            <w:tabs>
              <w:tab w:val="right" w:leader="dot" w:pos="9016"/>
            </w:tabs>
            <w:rPr>
              <w:noProof/>
            </w:rPr>
          </w:pPr>
          <w:hyperlink w:anchor="_Toc229911018" w:history="1">
            <w:r w:rsidRPr="008B23DF">
              <w:rPr>
                <w:rStyle w:val="Hyperlink"/>
                <w:noProof/>
              </w:rPr>
              <w:t>4.2  Architectural Overview</w:t>
            </w:r>
            <w:r>
              <w:rPr>
                <w:noProof/>
              </w:rPr>
              <w:tab/>
            </w:r>
            <w:r>
              <w:rPr>
                <w:noProof/>
              </w:rPr>
              <w:fldChar w:fldCharType="begin"/>
            </w:r>
            <w:r>
              <w:rPr>
                <w:noProof/>
              </w:rPr>
              <w:instrText xml:space="preserve"> PAGEREF _Toc229911018 \h </w:instrText>
            </w:r>
            <w:r>
              <w:rPr>
                <w:noProof/>
              </w:rPr>
            </w:r>
            <w:r>
              <w:rPr>
                <w:noProof/>
              </w:rPr>
              <w:fldChar w:fldCharType="separate"/>
            </w:r>
            <w:r>
              <w:rPr>
                <w:noProof/>
              </w:rPr>
              <w:t>27</w:t>
            </w:r>
            <w:r>
              <w:rPr>
                <w:noProof/>
              </w:rPr>
              <w:fldChar w:fldCharType="end"/>
            </w:r>
          </w:hyperlink>
        </w:p>
        <w:p w:rsidR="002A57B2" w:rsidRDefault="002A57B2">
          <w:pPr>
            <w:pStyle w:val="TOC2"/>
            <w:tabs>
              <w:tab w:val="right" w:leader="dot" w:pos="9016"/>
            </w:tabs>
            <w:rPr>
              <w:noProof/>
            </w:rPr>
          </w:pPr>
          <w:hyperlink w:anchor="_Toc229911019" w:history="1">
            <w:r w:rsidRPr="008B23DF">
              <w:rPr>
                <w:rStyle w:val="Hyperlink"/>
                <w:noProof/>
              </w:rPr>
              <w:t>4.3  Module Architecture</w:t>
            </w:r>
            <w:r>
              <w:rPr>
                <w:noProof/>
              </w:rPr>
              <w:tab/>
            </w:r>
            <w:r>
              <w:rPr>
                <w:noProof/>
              </w:rPr>
              <w:fldChar w:fldCharType="begin"/>
            </w:r>
            <w:r>
              <w:rPr>
                <w:noProof/>
              </w:rPr>
              <w:instrText xml:space="preserve"> PAGEREF _Toc229911019 \h </w:instrText>
            </w:r>
            <w:r>
              <w:rPr>
                <w:noProof/>
              </w:rPr>
            </w:r>
            <w:r>
              <w:rPr>
                <w:noProof/>
              </w:rPr>
              <w:fldChar w:fldCharType="separate"/>
            </w:r>
            <w:r>
              <w:rPr>
                <w:noProof/>
              </w:rPr>
              <w:t>28</w:t>
            </w:r>
            <w:r>
              <w:rPr>
                <w:noProof/>
              </w:rPr>
              <w:fldChar w:fldCharType="end"/>
            </w:r>
          </w:hyperlink>
        </w:p>
        <w:p w:rsidR="002A57B2" w:rsidRDefault="002A57B2">
          <w:pPr>
            <w:pStyle w:val="TOC2"/>
            <w:tabs>
              <w:tab w:val="right" w:leader="dot" w:pos="9016"/>
            </w:tabs>
            <w:rPr>
              <w:noProof/>
            </w:rPr>
          </w:pPr>
          <w:hyperlink w:anchor="_Toc229911020" w:history="1">
            <w:r w:rsidRPr="008B23DF">
              <w:rPr>
                <w:rStyle w:val="Hyperlink"/>
                <w:noProof/>
              </w:rPr>
              <w:t>4.4  Evidence Integrity Layer</w:t>
            </w:r>
            <w:r>
              <w:rPr>
                <w:noProof/>
              </w:rPr>
              <w:tab/>
            </w:r>
            <w:r>
              <w:rPr>
                <w:noProof/>
              </w:rPr>
              <w:fldChar w:fldCharType="begin"/>
            </w:r>
            <w:r>
              <w:rPr>
                <w:noProof/>
              </w:rPr>
              <w:instrText xml:space="preserve"> PAGEREF _Toc229911020 \h </w:instrText>
            </w:r>
            <w:r>
              <w:rPr>
                <w:noProof/>
              </w:rPr>
            </w:r>
            <w:r>
              <w:rPr>
                <w:noProof/>
              </w:rPr>
              <w:fldChar w:fldCharType="separate"/>
            </w:r>
            <w:r>
              <w:rPr>
                <w:noProof/>
              </w:rPr>
              <w:t>30</w:t>
            </w:r>
            <w:r>
              <w:rPr>
                <w:noProof/>
              </w:rPr>
              <w:fldChar w:fldCharType="end"/>
            </w:r>
          </w:hyperlink>
        </w:p>
        <w:p w:rsidR="002A57B2" w:rsidRDefault="002A57B2">
          <w:pPr>
            <w:pStyle w:val="TOC2"/>
            <w:tabs>
              <w:tab w:val="right" w:leader="dot" w:pos="9016"/>
            </w:tabs>
            <w:rPr>
              <w:noProof/>
            </w:rPr>
          </w:pPr>
          <w:hyperlink w:anchor="_Toc229911021" w:history="1">
            <w:r w:rsidRPr="008B23DF">
              <w:rPr>
                <w:rStyle w:val="Hyperlink"/>
                <w:noProof/>
              </w:rPr>
              <w:t>4.5  Evidence Container Design</w:t>
            </w:r>
            <w:r>
              <w:rPr>
                <w:noProof/>
              </w:rPr>
              <w:tab/>
            </w:r>
            <w:r>
              <w:rPr>
                <w:noProof/>
              </w:rPr>
              <w:fldChar w:fldCharType="begin"/>
            </w:r>
            <w:r>
              <w:rPr>
                <w:noProof/>
              </w:rPr>
              <w:instrText xml:space="preserve"> PAGEREF _Toc229911021 \h </w:instrText>
            </w:r>
            <w:r>
              <w:rPr>
                <w:noProof/>
              </w:rPr>
            </w:r>
            <w:r>
              <w:rPr>
                <w:noProof/>
              </w:rPr>
              <w:fldChar w:fldCharType="separate"/>
            </w:r>
            <w:r>
              <w:rPr>
                <w:noProof/>
              </w:rPr>
              <w:t>30</w:t>
            </w:r>
            <w:r>
              <w:rPr>
                <w:noProof/>
              </w:rPr>
              <w:fldChar w:fldCharType="end"/>
            </w:r>
          </w:hyperlink>
        </w:p>
        <w:p w:rsidR="002A57B2" w:rsidRDefault="002A57B2">
          <w:pPr>
            <w:pStyle w:val="TOC2"/>
            <w:tabs>
              <w:tab w:val="right" w:leader="dot" w:pos="9016"/>
            </w:tabs>
            <w:rPr>
              <w:noProof/>
            </w:rPr>
          </w:pPr>
          <w:hyperlink w:anchor="_Toc229911022" w:history="1">
            <w:r w:rsidRPr="008B23DF">
              <w:rPr>
                <w:rStyle w:val="Hyperlink"/>
                <w:noProof/>
              </w:rPr>
              <w:t>4.6  Tool Workflow and Execution Sequence</w:t>
            </w:r>
            <w:r>
              <w:rPr>
                <w:noProof/>
              </w:rPr>
              <w:tab/>
            </w:r>
            <w:r>
              <w:rPr>
                <w:noProof/>
              </w:rPr>
              <w:fldChar w:fldCharType="begin"/>
            </w:r>
            <w:r>
              <w:rPr>
                <w:noProof/>
              </w:rPr>
              <w:instrText xml:space="preserve"> PAGEREF _Toc229911022 \h </w:instrText>
            </w:r>
            <w:r>
              <w:rPr>
                <w:noProof/>
              </w:rPr>
            </w:r>
            <w:r>
              <w:rPr>
                <w:noProof/>
              </w:rPr>
              <w:fldChar w:fldCharType="separate"/>
            </w:r>
            <w:r>
              <w:rPr>
                <w:noProof/>
              </w:rPr>
              <w:t>30</w:t>
            </w:r>
            <w:r>
              <w:rPr>
                <w:noProof/>
              </w:rPr>
              <w:fldChar w:fldCharType="end"/>
            </w:r>
          </w:hyperlink>
        </w:p>
        <w:p w:rsidR="002A57B2" w:rsidRDefault="002A57B2">
          <w:pPr>
            <w:pStyle w:val="TOC2"/>
            <w:tabs>
              <w:tab w:val="right" w:leader="dot" w:pos="9016"/>
            </w:tabs>
            <w:rPr>
              <w:noProof/>
            </w:rPr>
          </w:pPr>
          <w:hyperlink w:anchor="_Toc229911023" w:history="1">
            <w:r w:rsidRPr="008B23DF">
              <w:rPr>
                <w:rStyle w:val="Hyperlink"/>
                <w:noProof/>
              </w:rPr>
              <w:t>4.7  Operational Constraints and Trade-offs</w:t>
            </w:r>
            <w:r>
              <w:rPr>
                <w:noProof/>
              </w:rPr>
              <w:tab/>
            </w:r>
            <w:r>
              <w:rPr>
                <w:noProof/>
              </w:rPr>
              <w:fldChar w:fldCharType="begin"/>
            </w:r>
            <w:r>
              <w:rPr>
                <w:noProof/>
              </w:rPr>
              <w:instrText xml:space="preserve"> PAGEREF _Toc229911023 \h </w:instrText>
            </w:r>
            <w:r>
              <w:rPr>
                <w:noProof/>
              </w:rPr>
            </w:r>
            <w:r>
              <w:rPr>
                <w:noProof/>
              </w:rPr>
              <w:fldChar w:fldCharType="separate"/>
            </w:r>
            <w:r>
              <w:rPr>
                <w:noProof/>
              </w:rPr>
              <w:t>31</w:t>
            </w:r>
            <w:r>
              <w:rPr>
                <w:noProof/>
              </w:rPr>
              <w:fldChar w:fldCharType="end"/>
            </w:r>
          </w:hyperlink>
        </w:p>
        <w:p w:rsidR="002A57B2" w:rsidRDefault="002A57B2">
          <w:pPr>
            <w:pStyle w:val="TOC2"/>
            <w:tabs>
              <w:tab w:val="right" w:leader="dot" w:pos="9016"/>
            </w:tabs>
            <w:rPr>
              <w:noProof/>
            </w:rPr>
          </w:pPr>
          <w:hyperlink w:anchor="_Toc229911024" w:history="1">
            <w:r w:rsidRPr="008B23DF">
              <w:rPr>
                <w:rStyle w:val="Hyperlink"/>
                <w:noProof/>
              </w:rPr>
              <w:t>4.8  Summary</w:t>
            </w:r>
            <w:r>
              <w:rPr>
                <w:noProof/>
              </w:rPr>
              <w:tab/>
            </w:r>
            <w:r>
              <w:rPr>
                <w:noProof/>
              </w:rPr>
              <w:fldChar w:fldCharType="begin"/>
            </w:r>
            <w:r>
              <w:rPr>
                <w:noProof/>
              </w:rPr>
              <w:instrText xml:space="preserve"> PAGEREF _Toc229911024 \h </w:instrText>
            </w:r>
            <w:r>
              <w:rPr>
                <w:noProof/>
              </w:rPr>
            </w:r>
            <w:r>
              <w:rPr>
                <w:noProof/>
              </w:rPr>
              <w:fldChar w:fldCharType="separate"/>
            </w:r>
            <w:r>
              <w:rPr>
                <w:noProof/>
              </w:rPr>
              <w:t>32</w:t>
            </w:r>
            <w:r>
              <w:rPr>
                <w:noProof/>
              </w:rPr>
              <w:fldChar w:fldCharType="end"/>
            </w:r>
          </w:hyperlink>
        </w:p>
        <w:p w:rsidR="002A57B2" w:rsidRDefault="002A57B2">
          <w:pPr>
            <w:pStyle w:val="TOC1"/>
            <w:tabs>
              <w:tab w:val="right" w:leader="dot" w:pos="9016"/>
            </w:tabs>
            <w:rPr>
              <w:noProof/>
            </w:rPr>
          </w:pPr>
          <w:hyperlink w:anchor="_Toc229911025" w:history="1">
            <w:r w:rsidRPr="008B23DF">
              <w:rPr>
                <w:rStyle w:val="Hyperlink"/>
                <w:noProof/>
              </w:rPr>
              <w:t>Chapter 5: Implementation</w:t>
            </w:r>
            <w:r>
              <w:rPr>
                <w:noProof/>
              </w:rPr>
              <w:tab/>
            </w:r>
            <w:r>
              <w:rPr>
                <w:noProof/>
              </w:rPr>
              <w:fldChar w:fldCharType="begin"/>
            </w:r>
            <w:r>
              <w:rPr>
                <w:noProof/>
              </w:rPr>
              <w:instrText xml:space="preserve"> PAGEREF _Toc229911025 \h </w:instrText>
            </w:r>
            <w:r>
              <w:rPr>
                <w:noProof/>
              </w:rPr>
            </w:r>
            <w:r>
              <w:rPr>
                <w:noProof/>
              </w:rPr>
              <w:fldChar w:fldCharType="separate"/>
            </w:r>
            <w:r>
              <w:rPr>
                <w:noProof/>
              </w:rPr>
              <w:t>32</w:t>
            </w:r>
            <w:r>
              <w:rPr>
                <w:noProof/>
              </w:rPr>
              <w:fldChar w:fldCharType="end"/>
            </w:r>
          </w:hyperlink>
        </w:p>
        <w:p w:rsidR="002A57B2" w:rsidRDefault="002A57B2">
          <w:pPr>
            <w:pStyle w:val="TOC2"/>
            <w:tabs>
              <w:tab w:val="right" w:leader="dot" w:pos="9016"/>
            </w:tabs>
            <w:rPr>
              <w:noProof/>
            </w:rPr>
          </w:pPr>
          <w:hyperlink w:anchor="_Toc229911026" w:history="1">
            <w:r w:rsidRPr="008B23DF">
              <w:rPr>
                <w:rStyle w:val="Hyperlink"/>
                <w:noProof/>
              </w:rPr>
              <w:t>5.1  Development Environment and Dependencies</w:t>
            </w:r>
            <w:r>
              <w:rPr>
                <w:noProof/>
              </w:rPr>
              <w:tab/>
            </w:r>
            <w:r>
              <w:rPr>
                <w:noProof/>
              </w:rPr>
              <w:fldChar w:fldCharType="begin"/>
            </w:r>
            <w:r>
              <w:rPr>
                <w:noProof/>
              </w:rPr>
              <w:instrText xml:space="preserve"> PAGEREF _Toc229911026 \h </w:instrText>
            </w:r>
            <w:r>
              <w:rPr>
                <w:noProof/>
              </w:rPr>
            </w:r>
            <w:r>
              <w:rPr>
                <w:noProof/>
              </w:rPr>
              <w:fldChar w:fldCharType="separate"/>
            </w:r>
            <w:r>
              <w:rPr>
                <w:noProof/>
              </w:rPr>
              <w:t>32</w:t>
            </w:r>
            <w:r>
              <w:rPr>
                <w:noProof/>
              </w:rPr>
              <w:fldChar w:fldCharType="end"/>
            </w:r>
          </w:hyperlink>
        </w:p>
        <w:p w:rsidR="002A57B2" w:rsidRDefault="002A57B2">
          <w:pPr>
            <w:pStyle w:val="TOC2"/>
            <w:tabs>
              <w:tab w:val="right" w:leader="dot" w:pos="9016"/>
            </w:tabs>
            <w:rPr>
              <w:noProof/>
            </w:rPr>
          </w:pPr>
          <w:hyperlink w:anchor="_Toc229911027" w:history="1">
            <w:r w:rsidRPr="008B23DF">
              <w:rPr>
                <w:rStyle w:val="Hyperlink"/>
                <w:noProof/>
              </w:rPr>
              <w:t>5.2  Module 1 — System Information Collector</w:t>
            </w:r>
            <w:r>
              <w:rPr>
                <w:noProof/>
              </w:rPr>
              <w:tab/>
            </w:r>
            <w:r>
              <w:rPr>
                <w:noProof/>
              </w:rPr>
              <w:fldChar w:fldCharType="begin"/>
            </w:r>
            <w:r>
              <w:rPr>
                <w:noProof/>
              </w:rPr>
              <w:instrText xml:space="preserve"> PAGEREF _Toc229911027 \h </w:instrText>
            </w:r>
            <w:r>
              <w:rPr>
                <w:noProof/>
              </w:rPr>
            </w:r>
            <w:r>
              <w:rPr>
                <w:noProof/>
              </w:rPr>
              <w:fldChar w:fldCharType="separate"/>
            </w:r>
            <w:r>
              <w:rPr>
                <w:noProof/>
              </w:rPr>
              <w:t>32</w:t>
            </w:r>
            <w:r>
              <w:rPr>
                <w:noProof/>
              </w:rPr>
              <w:fldChar w:fldCharType="end"/>
            </w:r>
          </w:hyperlink>
        </w:p>
        <w:p w:rsidR="002A57B2" w:rsidRDefault="002A57B2">
          <w:pPr>
            <w:pStyle w:val="TOC2"/>
            <w:tabs>
              <w:tab w:val="right" w:leader="dot" w:pos="9016"/>
            </w:tabs>
            <w:rPr>
              <w:noProof/>
            </w:rPr>
          </w:pPr>
          <w:hyperlink w:anchor="_Toc229911028" w:history="1">
            <w:r w:rsidRPr="008B23DF">
              <w:rPr>
                <w:rStyle w:val="Hyperlink"/>
                <w:noProof/>
              </w:rPr>
              <w:t>5.3  Module 2 — Installed Software Enumeration</w:t>
            </w:r>
            <w:r>
              <w:rPr>
                <w:noProof/>
              </w:rPr>
              <w:tab/>
            </w:r>
            <w:r>
              <w:rPr>
                <w:noProof/>
              </w:rPr>
              <w:fldChar w:fldCharType="begin"/>
            </w:r>
            <w:r>
              <w:rPr>
                <w:noProof/>
              </w:rPr>
              <w:instrText xml:space="preserve"> PAGEREF _Toc229911028 \h </w:instrText>
            </w:r>
            <w:r>
              <w:rPr>
                <w:noProof/>
              </w:rPr>
            </w:r>
            <w:r>
              <w:rPr>
                <w:noProof/>
              </w:rPr>
              <w:fldChar w:fldCharType="separate"/>
            </w:r>
            <w:r>
              <w:rPr>
                <w:noProof/>
              </w:rPr>
              <w:t>33</w:t>
            </w:r>
            <w:r>
              <w:rPr>
                <w:noProof/>
              </w:rPr>
              <w:fldChar w:fldCharType="end"/>
            </w:r>
          </w:hyperlink>
        </w:p>
        <w:p w:rsidR="002A57B2" w:rsidRDefault="002A57B2">
          <w:pPr>
            <w:pStyle w:val="TOC2"/>
            <w:tabs>
              <w:tab w:val="right" w:leader="dot" w:pos="9016"/>
            </w:tabs>
            <w:rPr>
              <w:noProof/>
            </w:rPr>
          </w:pPr>
          <w:hyperlink w:anchor="_Toc229911029" w:history="1">
            <w:r w:rsidRPr="008B23DF">
              <w:rPr>
                <w:rStyle w:val="Hyperlink"/>
                <w:noProof/>
              </w:rPr>
              <w:t>5.4  Module 3 — Browser History Acquisition</w:t>
            </w:r>
            <w:r>
              <w:rPr>
                <w:noProof/>
              </w:rPr>
              <w:tab/>
            </w:r>
            <w:r>
              <w:rPr>
                <w:noProof/>
              </w:rPr>
              <w:fldChar w:fldCharType="begin"/>
            </w:r>
            <w:r>
              <w:rPr>
                <w:noProof/>
              </w:rPr>
              <w:instrText xml:space="preserve"> PAGEREF _Toc229911029 \h </w:instrText>
            </w:r>
            <w:r>
              <w:rPr>
                <w:noProof/>
              </w:rPr>
            </w:r>
            <w:r>
              <w:rPr>
                <w:noProof/>
              </w:rPr>
              <w:fldChar w:fldCharType="separate"/>
            </w:r>
            <w:r>
              <w:rPr>
                <w:noProof/>
              </w:rPr>
              <w:t>33</w:t>
            </w:r>
            <w:r>
              <w:rPr>
                <w:noProof/>
              </w:rPr>
              <w:fldChar w:fldCharType="end"/>
            </w:r>
          </w:hyperlink>
        </w:p>
        <w:p w:rsidR="002A57B2" w:rsidRDefault="002A57B2">
          <w:pPr>
            <w:pStyle w:val="TOC2"/>
            <w:tabs>
              <w:tab w:val="right" w:leader="dot" w:pos="9016"/>
            </w:tabs>
            <w:rPr>
              <w:noProof/>
            </w:rPr>
          </w:pPr>
          <w:hyperlink w:anchor="_Toc229911030" w:history="1">
            <w:r w:rsidRPr="008B23DF">
              <w:rPr>
                <w:rStyle w:val="Hyperlink"/>
                <w:noProof/>
              </w:rPr>
              <w:t>5.5  Module 4 — Process and Network State Capture</w:t>
            </w:r>
            <w:r>
              <w:rPr>
                <w:noProof/>
              </w:rPr>
              <w:tab/>
            </w:r>
            <w:r>
              <w:rPr>
                <w:noProof/>
              </w:rPr>
              <w:fldChar w:fldCharType="begin"/>
            </w:r>
            <w:r>
              <w:rPr>
                <w:noProof/>
              </w:rPr>
              <w:instrText xml:space="preserve"> PAGEREF _Toc229911030 \h </w:instrText>
            </w:r>
            <w:r>
              <w:rPr>
                <w:noProof/>
              </w:rPr>
            </w:r>
            <w:r>
              <w:rPr>
                <w:noProof/>
              </w:rPr>
              <w:fldChar w:fldCharType="separate"/>
            </w:r>
            <w:r>
              <w:rPr>
                <w:noProof/>
              </w:rPr>
              <w:t>34</w:t>
            </w:r>
            <w:r>
              <w:rPr>
                <w:noProof/>
              </w:rPr>
              <w:fldChar w:fldCharType="end"/>
            </w:r>
          </w:hyperlink>
        </w:p>
        <w:p w:rsidR="002A57B2" w:rsidRDefault="002A57B2">
          <w:pPr>
            <w:pStyle w:val="TOC2"/>
            <w:tabs>
              <w:tab w:val="right" w:leader="dot" w:pos="9016"/>
            </w:tabs>
            <w:rPr>
              <w:noProof/>
            </w:rPr>
          </w:pPr>
          <w:hyperlink w:anchor="_Toc229911031" w:history="1">
            <w:r w:rsidRPr="008B23DF">
              <w:rPr>
                <w:rStyle w:val="Hyperlink"/>
                <w:noProof/>
              </w:rPr>
              <w:t>5.6  Module 5 — Event Log and PowerShell History Collection</w:t>
            </w:r>
            <w:r>
              <w:rPr>
                <w:noProof/>
              </w:rPr>
              <w:tab/>
            </w:r>
            <w:r>
              <w:rPr>
                <w:noProof/>
              </w:rPr>
              <w:fldChar w:fldCharType="begin"/>
            </w:r>
            <w:r>
              <w:rPr>
                <w:noProof/>
              </w:rPr>
              <w:instrText xml:space="preserve"> PAGEREF _Toc229911031 \h </w:instrText>
            </w:r>
            <w:r>
              <w:rPr>
                <w:noProof/>
              </w:rPr>
            </w:r>
            <w:r>
              <w:rPr>
                <w:noProof/>
              </w:rPr>
              <w:fldChar w:fldCharType="separate"/>
            </w:r>
            <w:r>
              <w:rPr>
                <w:noProof/>
              </w:rPr>
              <w:t>35</w:t>
            </w:r>
            <w:r>
              <w:rPr>
                <w:noProof/>
              </w:rPr>
              <w:fldChar w:fldCharType="end"/>
            </w:r>
          </w:hyperlink>
        </w:p>
        <w:p w:rsidR="002A57B2" w:rsidRDefault="002A57B2">
          <w:pPr>
            <w:pStyle w:val="TOC2"/>
            <w:tabs>
              <w:tab w:val="right" w:leader="dot" w:pos="9016"/>
            </w:tabs>
            <w:rPr>
              <w:noProof/>
            </w:rPr>
          </w:pPr>
          <w:hyperlink w:anchor="_Toc229911032" w:history="1">
            <w:r w:rsidRPr="008B23DF">
              <w:rPr>
                <w:rStyle w:val="Hyperlink"/>
                <w:noProof/>
              </w:rPr>
              <w:t>5.7  Module 6 — Recycle Bin and Recently Accessed Files</w:t>
            </w:r>
            <w:r>
              <w:rPr>
                <w:noProof/>
              </w:rPr>
              <w:tab/>
            </w:r>
            <w:r>
              <w:rPr>
                <w:noProof/>
              </w:rPr>
              <w:fldChar w:fldCharType="begin"/>
            </w:r>
            <w:r>
              <w:rPr>
                <w:noProof/>
              </w:rPr>
              <w:instrText xml:space="preserve"> PAGEREF _Toc229911032 \h </w:instrText>
            </w:r>
            <w:r>
              <w:rPr>
                <w:noProof/>
              </w:rPr>
            </w:r>
            <w:r>
              <w:rPr>
                <w:noProof/>
              </w:rPr>
              <w:fldChar w:fldCharType="separate"/>
            </w:r>
            <w:r>
              <w:rPr>
                <w:noProof/>
              </w:rPr>
              <w:t>35</w:t>
            </w:r>
            <w:r>
              <w:rPr>
                <w:noProof/>
              </w:rPr>
              <w:fldChar w:fldCharType="end"/>
            </w:r>
          </w:hyperlink>
        </w:p>
        <w:p w:rsidR="002A57B2" w:rsidRDefault="002A57B2">
          <w:pPr>
            <w:pStyle w:val="TOC2"/>
            <w:tabs>
              <w:tab w:val="right" w:leader="dot" w:pos="9016"/>
            </w:tabs>
            <w:rPr>
              <w:noProof/>
            </w:rPr>
          </w:pPr>
          <w:hyperlink w:anchor="_Toc229911033" w:history="1">
            <w:r w:rsidRPr="008B23DF">
              <w:rPr>
                <w:rStyle w:val="Hyperlink"/>
                <w:noProof/>
              </w:rPr>
              <w:t>5.8  Module 7 — Hashing and AES-Encrypted Packaging</w:t>
            </w:r>
            <w:r>
              <w:rPr>
                <w:noProof/>
              </w:rPr>
              <w:tab/>
            </w:r>
            <w:r>
              <w:rPr>
                <w:noProof/>
              </w:rPr>
              <w:fldChar w:fldCharType="begin"/>
            </w:r>
            <w:r>
              <w:rPr>
                <w:noProof/>
              </w:rPr>
              <w:instrText xml:space="preserve"> PAGEREF _Toc229911033 \h </w:instrText>
            </w:r>
            <w:r>
              <w:rPr>
                <w:noProof/>
              </w:rPr>
            </w:r>
            <w:r>
              <w:rPr>
                <w:noProof/>
              </w:rPr>
              <w:fldChar w:fldCharType="separate"/>
            </w:r>
            <w:r>
              <w:rPr>
                <w:noProof/>
              </w:rPr>
              <w:t>36</w:t>
            </w:r>
            <w:r>
              <w:rPr>
                <w:noProof/>
              </w:rPr>
              <w:fldChar w:fldCharType="end"/>
            </w:r>
          </w:hyperlink>
        </w:p>
        <w:p w:rsidR="002A57B2" w:rsidRDefault="002A57B2">
          <w:pPr>
            <w:pStyle w:val="TOC2"/>
            <w:tabs>
              <w:tab w:val="right" w:leader="dot" w:pos="9016"/>
            </w:tabs>
            <w:rPr>
              <w:noProof/>
            </w:rPr>
          </w:pPr>
          <w:hyperlink w:anchor="_Toc229911034" w:history="1">
            <w:r w:rsidRPr="008B23DF">
              <w:rPr>
                <w:rStyle w:val="Hyperlink"/>
                <w:noProof/>
              </w:rPr>
              <w:t>5.9  Error Handling, Resilience, and Logging</w:t>
            </w:r>
            <w:r>
              <w:rPr>
                <w:noProof/>
              </w:rPr>
              <w:tab/>
            </w:r>
            <w:r>
              <w:rPr>
                <w:noProof/>
              </w:rPr>
              <w:fldChar w:fldCharType="begin"/>
            </w:r>
            <w:r>
              <w:rPr>
                <w:noProof/>
              </w:rPr>
              <w:instrText xml:space="preserve"> PAGEREF _Toc229911034 \h </w:instrText>
            </w:r>
            <w:r>
              <w:rPr>
                <w:noProof/>
              </w:rPr>
            </w:r>
            <w:r>
              <w:rPr>
                <w:noProof/>
              </w:rPr>
              <w:fldChar w:fldCharType="separate"/>
            </w:r>
            <w:r>
              <w:rPr>
                <w:noProof/>
              </w:rPr>
              <w:t>36</w:t>
            </w:r>
            <w:r>
              <w:rPr>
                <w:noProof/>
              </w:rPr>
              <w:fldChar w:fldCharType="end"/>
            </w:r>
          </w:hyperlink>
        </w:p>
        <w:p w:rsidR="002A57B2" w:rsidRDefault="002A57B2">
          <w:pPr>
            <w:pStyle w:val="TOC2"/>
            <w:tabs>
              <w:tab w:val="right" w:leader="dot" w:pos="9016"/>
            </w:tabs>
            <w:rPr>
              <w:noProof/>
            </w:rPr>
          </w:pPr>
          <w:hyperlink w:anchor="_Toc229911035" w:history="1">
            <w:r w:rsidRPr="008B23DF">
              <w:rPr>
                <w:rStyle w:val="Hyperlink"/>
                <w:noProof/>
              </w:rPr>
              <w:t>5.10  Summary</w:t>
            </w:r>
            <w:r>
              <w:rPr>
                <w:noProof/>
              </w:rPr>
              <w:tab/>
            </w:r>
            <w:r>
              <w:rPr>
                <w:noProof/>
              </w:rPr>
              <w:fldChar w:fldCharType="begin"/>
            </w:r>
            <w:r>
              <w:rPr>
                <w:noProof/>
              </w:rPr>
              <w:instrText xml:space="preserve"> PAGEREF _Toc229911035 \h </w:instrText>
            </w:r>
            <w:r>
              <w:rPr>
                <w:noProof/>
              </w:rPr>
            </w:r>
            <w:r>
              <w:rPr>
                <w:noProof/>
              </w:rPr>
              <w:fldChar w:fldCharType="separate"/>
            </w:r>
            <w:r>
              <w:rPr>
                <w:noProof/>
              </w:rPr>
              <w:t>36</w:t>
            </w:r>
            <w:r>
              <w:rPr>
                <w:noProof/>
              </w:rPr>
              <w:fldChar w:fldCharType="end"/>
            </w:r>
          </w:hyperlink>
        </w:p>
        <w:p w:rsidR="002A57B2" w:rsidRDefault="002A57B2">
          <w:pPr>
            <w:pStyle w:val="TOC1"/>
            <w:tabs>
              <w:tab w:val="right" w:leader="dot" w:pos="9016"/>
            </w:tabs>
            <w:rPr>
              <w:noProof/>
            </w:rPr>
          </w:pPr>
          <w:hyperlink w:anchor="_Toc229911036" w:history="1">
            <w:r w:rsidRPr="008B23DF">
              <w:rPr>
                <w:rStyle w:val="Hyperlink"/>
                <w:noProof/>
              </w:rPr>
              <w:t>Chapter 6: Evaluation and Results</w:t>
            </w:r>
            <w:r>
              <w:rPr>
                <w:noProof/>
              </w:rPr>
              <w:tab/>
            </w:r>
            <w:r>
              <w:rPr>
                <w:noProof/>
              </w:rPr>
              <w:fldChar w:fldCharType="begin"/>
            </w:r>
            <w:r>
              <w:rPr>
                <w:noProof/>
              </w:rPr>
              <w:instrText xml:space="preserve"> PAGEREF _Toc229911036 \h </w:instrText>
            </w:r>
            <w:r>
              <w:rPr>
                <w:noProof/>
              </w:rPr>
            </w:r>
            <w:r>
              <w:rPr>
                <w:noProof/>
              </w:rPr>
              <w:fldChar w:fldCharType="separate"/>
            </w:r>
            <w:r>
              <w:rPr>
                <w:noProof/>
              </w:rPr>
              <w:t>37</w:t>
            </w:r>
            <w:r>
              <w:rPr>
                <w:noProof/>
              </w:rPr>
              <w:fldChar w:fldCharType="end"/>
            </w:r>
          </w:hyperlink>
        </w:p>
        <w:p w:rsidR="002A57B2" w:rsidRDefault="002A57B2">
          <w:pPr>
            <w:pStyle w:val="TOC2"/>
            <w:tabs>
              <w:tab w:val="right" w:leader="dot" w:pos="9016"/>
            </w:tabs>
            <w:rPr>
              <w:noProof/>
            </w:rPr>
          </w:pPr>
          <w:hyperlink w:anchor="_Toc229911037" w:history="1">
            <w:r w:rsidRPr="008B23DF">
              <w:rPr>
                <w:rStyle w:val="Hyperlink"/>
                <w:noProof/>
              </w:rPr>
              <w:t>6.1  Evaluation Setup Recap</w:t>
            </w:r>
            <w:r>
              <w:rPr>
                <w:noProof/>
              </w:rPr>
              <w:tab/>
            </w:r>
            <w:r>
              <w:rPr>
                <w:noProof/>
              </w:rPr>
              <w:fldChar w:fldCharType="begin"/>
            </w:r>
            <w:r>
              <w:rPr>
                <w:noProof/>
              </w:rPr>
              <w:instrText xml:space="preserve"> PAGEREF _Toc229911037 \h </w:instrText>
            </w:r>
            <w:r>
              <w:rPr>
                <w:noProof/>
              </w:rPr>
            </w:r>
            <w:r>
              <w:rPr>
                <w:noProof/>
              </w:rPr>
              <w:fldChar w:fldCharType="separate"/>
            </w:r>
            <w:r>
              <w:rPr>
                <w:noProof/>
              </w:rPr>
              <w:t>37</w:t>
            </w:r>
            <w:r>
              <w:rPr>
                <w:noProof/>
              </w:rPr>
              <w:fldChar w:fldCharType="end"/>
            </w:r>
          </w:hyperlink>
        </w:p>
        <w:p w:rsidR="002A57B2" w:rsidRDefault="002A57B2">
          <w:pPr>
            <w:pStyle w:val="TOC2"/>
            <w:tabs>
              <w:tab w:val="right" w:leader="dot" w:pos="9016"/>
            </w:tabs>
            <w:rPr>
              <w:noProof/>
            </w:rPr>
          </w:pPr>
          <w:hyperlink w:anchor="_Toc229911038" w:history="1">
            <w:r w:rsidRPr="008B23DF">
              <w:rPr>
                <w:rStyle w:val="Hyperlink"/>
                <w:noProof/>
              </w:rPr>
              <w:t>6.2  Module-Level Artefact Coverage</w:t>
            </w:r>
            <w:r>
              <w:rPr>
                <w:noProof/>
              </w:rPr>
              <w:tab/>
            </w:r>
            <w:r>
              <w:rPr>
                <w:noProof/>
              </w:rPr>
              <w:fldChar w:fldCharType="begin"/>
            </w:r>
            <w:r>
              <w:rPr>
                <w:noProof/>
              </w:rPr>
              <w:instrText xml:space="preserve"> PAGEREF _Toc229911038 \h </w:instrText>
            </w:r>
            <w:r>
              <w:rPr>
                <w:noProof/>
              </w:rPr>
            </w:r>
            <w:r>
              <w:rPr>
                <w:noProof/>
              </w:rPr>
              <w:fldChar w:fldCharType="separate"/>
            </w:r>
            <w:r>
              <w:rPr>
                <w:noProof/>
              </w:rPr>
              <w:t>37</w:t>
            </w:r>
            <w:r>
              <w:rPr>
                <w:noProof/>
              </w:rPr>
              <w:fldChar w:fldCharType="end"/>
            </w:r>
          </w:hyperlink>
        </w:p>
        <w:p w:rsidR="002A57B2" w:rsidRDefault="002A57B2">
          <w:pPr>
            <w:pStyle w:val="TOC2"/>
            <w:tabs>
              <w:tab w:val="right" w:leader="dot" w:pos="9016"/>
            </w:tabs>
            <w:rPr>
              <w:noProof/>
            </w:rPr>
          </w:pPr>
          <w:hyperlink w:anchor="_Toc229911039" w:history="1">
            <w:r w:rsidRPr="008B23DF">
              <w:rPr>
                <w:rStyle w:val="Hyperlink"/>
                <w:noProof/>
              </w:rPr>
              <w:t>6.3  Evidence Integrity Verification</w:t>
            </w:r>
            <w:r>
              <w:rPr>
                <w:noProof/>
              </w:rPr>
              <w:tab/>
            </w:r>
            <w:r>
              <w:rPr>
                <w:noProof/>
              </w:rPr>
              <w:fldChar w:fldCharType="begin"/>
            </w:r>
            <w:r>
              <w:rPr>
                <w:noProof/>
              </w:rPr>
              <w:instrText xml:space="preserve"> PAGEREF _Toc229911039 \h </w:instrText>
            </w:r>
            <w:r>
              <w:rPr>
                <w:noProof/>
              </w:rPr>
            </w:r>
            <w:r>
              <w:rPr>
                <w:noProof/>
              </w:rPr>
              <w:fldChar w:fldCharType="separate"/>
            </w:r>
            <w:r>
              <w:rPr>
                <w:noProof/>
              </w:rPr>
              <w:t>38</w:t>
            </w:r>
            <w:r>
              <w:rPr>
                <w:noProof/>
              </w:rPr>
              <w:fldChar w:fldCharType="end"/>
            </w:r>
          </w:hyperlink>
        </w:p>
        <w:p w:rsidR="002A57B2" w:rsidRDefault="002A57B2">
          <w:pPr>
            <w:pStyle w:val="TOC2"/>
            <w:tabs>
              <w:tab w:val="right" w:leader="dot" w:pos="9016"/>
            </w:tabs>
            <w:rPr>
              <w:noProof/>
            </w:rPr>
          </w:pPr>
          <w:hyperlink w:anchor="_Toc229911040" w:history="1">
            <w:r w:rsidRPr="008B23DF">
              <w:rPr>
                <w:rStyle w:val="Hyperlink"/>
                <w:noProof/>
              </w:rPr>
              <w:t>6.4  Performance and Resource Footprint</w:t>
            </w:r>
            <w:r>
              <w:rPr>
                <w:noProof/>
              </w:rPr>
              <w:tab/>
            </w:r>
            <w:r>
              <w:rPr>
                <w:noProof/>
              </w:rPr>
              <w:fldChar w:fldCharType="begin"/>
            </w:r>
            <w:r>
              <w:rPr>
                <w:noProof/>
              </w:rPr>
              <w:instrText xml:space="preserve"> PAGEREF _Toc229911040 \h </w:instrText>
            </w:r>
            <w:r>
              <w:rPr>
                <w:noProof/>
              </w:rPr>
            </w:r>
            <w:r>
              <w:rPr>
                <w:noProof/>
              </w:rPr>
              <w:fldChar w:fldCharType="separate"/>
            </w:r>
            <w:r>
              <w:rPr>
                <w:noProof/>
              </w:rPr>
              <w:t>38</w:t>
            </w:r>
            <w:r>
              <w:rPr>
                <w:noProof/>
              </w:rPr>
              <w:fldChar w:fldCharType="end"/>
            </w:r>
          </w:hyperlink>
        </w:p>
        <w:p w:rsidR="002A57B2" w:rsidRDefault="002A57B2">
          <w:pPr>
            <w:pStyle w:val="TOC2"/>
            <w:tabs>
              <w:tab w:val="right" w:leader="dot" w:pos="9016"/>
            </w:tabs>
            <w:rPr>
              <w:noProof/>
            </w:rPr>
          </w:pPr>
          <w:hyperlink w:anchor="_Toc229911041" w:history="1">
            <w:r w:rsidRPr="008B23DF">
              <w:rPr>
                <w:rStyle w:val="Hyperlink"/>
                <w:noProof/>
              </w:rPr>
              <w:t>6.5  Cross-Version Behavioural Consistency</w:t>
            </w:r>
            <w:r>
              <w:rPr>
                <w:noProof/>
              </w:rPr>
              <w:tab/>
            </w:r>
            <w:r>
              <w:rPr>
                <w:noProof/>
              </w:rPr>
              <w:fldChar w:fldCharType="begin"/>
            </w:r>
            <w:r>
              <w:rPr>
                <w:noProof/>
              </w:rPr>
              <w:instrText xml:space="preserve"> PAGEREF _Toc229911041 \h </w:instrText>
            </w:r>
            <w:r>
              <w:rPr>
                <w:noProof/>
              </w:rPr>
            </w:r>
            <w:r>
              <w:rPr>
                <w:noProof/>
              </w:rPr>
              <w:fldChar w:fldCharType="separate"/>
            </w:r>
            <w:r>
              <w:rPr>
                <w:noProof/>
              </w:rPr>
              <w:t>39</w:t>
            </w:r>
            <w:r>
              <w:rPr>
                <w:noProof/>
              </w:rPr>
              <w:fldChar w:fldCharType="end"/>
            </w:r>
          </w:hyperlink>
        </w:p>
        <w:p w:rsidR="002A57B2" w:rsidRDefault="002A57B2">
          <w:pPr>
            <w:pStyle w:val="TOC2"/>
            <w:tabs>
              <w:tab w:val="right" w:leader="dot" w:pos="9016"/>
            </w:tabs>
            <w:rPr>
              <w:noProof/>
            </w:rPr>
          </w:pPr>
          <w:hyperlink w:anchor="_Toc229911042" w:history="1">
            <w:r w:rsidRPr="008B23DF">
              <w:rPr>
                <w:rStyle w:val="Hyperlink"/>
                <w:noProof/>
              </w:rPr>
              <w:t>6.6  Operational Usability Observations</w:t>
            </w:r>
            <w:r>
              <w:rPr>
                <w:noProof/>
              </w:rPr>
              <w:tab/>
            </w:r>
            <w:r>
              <w:rPr>
                <w:noProof/>
              </w:rPr>
              <w:fldChar w:fldCharType="begin"/>
            </w:r>
            <w:r>
              <w:rPr>
                <w:noProof/>
              </w:rPr>
              <w:instrText xml:space="preserve"> PAGEREF _Toc229911042 \h </w:instrText>
            </w:r>
            <w:r>
              <w:rPr>
                <w:noProof/>
              </w:rPr>
            </w:r>
            <w:r>
              <w:rPr>
                <w:noProof/>
              </w:rPr>
              <w:fldChar w:fldCharType="separate"/>
            </w:r>
            <w:r>
              <w:rPr>
                <w:noProof/>
              </w:rPr>
              <w:t>39</w:t>
            </w:r>
            <w:r>
              <w:rPr>
                <w:noProof/>
              </w:rPr>
              <w:fldChar w:fldCharType="end"/>
            </w:r>
          </w:hyperlink>
        </w:p>
        <w:p w:rsidR="002A57B2" w:rsidRDefault="002A57B2">
          <w:pPr>
            <w:pStyle w:val="TOC2"/>
            <w:tabs>
              <w:tab w:val="right" w:leader="dot" w:pos="9016"/>
            </w:tabs>
            <w:rPr>
              <w:noProof/>
            </w:rPr>
          </w:pPr>
          <w:hyperlink w:anchor="_Toc229911043" w:history="1">
            <w:r w:rsidRPr="008B23DF">
              <w:rPr>
                <w:rStyle w:val="Hyperlink"/>
                <w:noProof/>
              </w:rPr>
              <w:t>6.7  Summary of Results</w:t>
            </w:r>
            <w:r>
              <w:rPr>
                <w:noProof/>
              </w:rPr>
              <w:tab/>
            </w:r>
            <w:r>
              <w:rPr>
                <w:noProof/>
              </w:rPr>
              <w:fldChar w:fldCharType="begin"/>
            </w:r>
            <w:r>
              <w:rPr>
                <w:noProof/>
              </w:rPr>
              <w:instrText xml:space="preserve"> PAGEREF _Toc229911043 \h </w:instrText>
            </w:r>
            <w:r>
              <w:rPr>
                <w:noProof/>
              </w:rPr>
            </w:r>
            <w:r>
              <w:rPr>
                <w:noProof/>
              </w:rPr>
              <w:fldChar w:fldCharType="separate"/>
            </w:r>
            <w:r>
              <w:rPr>
                <w:noProof/>
              </w:rPr>
              <w:t>39</w:t>
            </w:r>
            <w:r>
              <w:rPr>
                <w:noProof/>
              </w:rPr>
              <w:fldChar w:fldCharType="end"/>
            </w:r>
          </w:hyperlink>
        </w:p>
        <w:p w:rsidR="002A57B2" w:rsidRDefault="002A57B2">
          <w:pPr>
            <w:pStyle w:val="TOC1"/>
            <w:tabs>
              <w:tab w:val="right" w:leader="dot" w:pos="9016"/>
            </w:tabs>
            <w:rPr>
              <w:noProof/>
            </w:rPr>
          </w:pPr>
          <w:hyperlink w:anchor="_Toc229911044" w:history="1">
            <w:r w:rsidRPr="008B23DF">
              <w:rPr>
                <w:rStyle w:val="Hyperlink"/>
                <w:noProof/>
              </w:rPr>
              <w:t>Chapter 7: Comparative Discussion</w:t>
            </w:r>
            <w:r>
              <w:rPr>
                <w:noProof/>
              </w:rPr>
              <w:tab/>
            </w:r>
            <w:r>
              <w:rPr>
                <w:noProof/>
              </w:rPr>
              <w:fldChar w:fldCharType="begin"/>
            </w:r>
            <w:r>
              <w:rPr>
                <w:noProof/>
              </w:rPr>
              <w:instrText xml:space="preserve"> PAGEREF _Toc229911044 \h </w:instrText>
            </w:r>
            <w:r>
              <w:rPr>
                <w:noProof/>
              </w:rPr>
            </w:r>
            <w:r>
              <w:rPr>
                <w:noProof/>
              </w:rPr>
              <w:fldChar w:fldCharType="separate"/>
            </w:r>
            <w:r>
              <w:rPr>
                <w:noProof/>
              </w:rPr>
              <w:t>40</w:t>
            </w:r>
            <w:r>
              <w:rPr>
                <w:noProof/>
              </w:rPr>
              <w:fldChar w:fldCharType="end"/>
            </w:r>
          </w:hyperlink>
        </w:p>
        <w:p w:rsidR="002A57B2" w:rsidRDefault="002A57B2">
          <w:pPr>
            <w:pStyle w:val="TOC2"/>
            <w:tabs>
              <w:tab w:val="right" w:leader="dot" w:pos="9016"/>
            </w:tabs>
            <w:rPr>
              <w:noProof/>
            </w:rPr>
          </w:pPr>
          <w:hyperlink w:anchor="_Toc229911045" w:history="1">
            <w:r w:rsidRPr="008B23DF">
              <w:rPr>
                <w:rStyle w:val="Hyperlink"/>
                <w:noProof/>
              </w:rPr>
              <w:t>7.1  Comparative Framework</w:t>
            </w:r>
            <w:r>
              <w:rPr>
                <w:noProof/>
              </w:rPr>
              <w:tab/>
            </w:r>
            <w:r>
              <w:rPr>
                <w:noProof/>
              </w:rPr>
              <w:fldChar w:fldCharType="begin"/>
            </w:r>
            <w:r>
              <w:rPr>
                <w:noProof/>
              </w:rPr>
              <w:instrText xml:space="preserve"> PAGEREF _Toc229911045 \h </w:instrText>
            </w:r>
            <w:r>
              <w:rPr>
                <w:noProof/>
              </w:rPr>
            </w:r>
            <w:r>
              <w:rPr>
                <w:noProof/>
              </w:rPr>
              <w:fldChar w:fldCharType="separate"/>
            </w:r>
            <w:r>
              <w:rPr>
                <w:noProof/>
              </w:rPr>
              <w:t>40</w:t>
            </w:r>
            <w:r>
              <w:rPr>
                <w:noProof/>
              </w:rPr>
              <w:fldChar w:fldCharType="end"/>
            </w:r>
          </w:hyperlink>
        </w:p>
        <w:p w:rsidR="002A57B2" w:rsidRDefault="002A57B2">
          <w:pPr>
            <w:pStyle w:val="TOC2"/>
            <w:tabs>
              <w:tab w:val="right" w:leader="dot" w:pos="9016"/>
            </w:tabs>
            <w:rPr>
              <w:noProof/>
            </w:rPr>
          </w:pPr>
          <w:hyperlink w:anchor="_Toc229911046" w:history="1">
            <w:r w:rsidRPr="008B23DF">
              <w:rPr>
                <w:rStyle w:val="Hyperlink"/>
                <w:noProof/>
              </w:rPr>
              <w:t>7.2  ForensicAcq versus FTK Imager</w:t>
            </w:r>
            <w:r>
              <w:rPr>
                <w:noProof/>
              </w:rPr>
              <w:tab/>
            </w:r>
            <w:r>
              <w:rPr>
                <w:noProof/>
              </w:rPr>
              <w:fldChar w:fldCharType="begin"/>
            </w:r>
            <w:r>
              <w:rPr>
                <w:noProof/>
              </w:rPr>
              <w:instrText xml:space="preserve"> PAGEREF _Toc229911046 \h </w:instrText>
            </w:r>
            <w:r>
              <w:rPr>
                <w:noProof/>
              </w:rPr>
            </w:r>
            <w:r>
              <w:rPr>
                <w:noProof/>
              </w:rPr>
              <w:fldChar w:fldCharType="separate"/>
            </w:r>
            <w:r>
              <w:rPr>
                <w:noProof/>
              </w:rPr>
              <w:t>40</w:t>
            </w:r>
            <w:r>
              <w:rPr>
                <w:noProof/>
              </w:rPr>
              <w:fldChar w:fldCharType="end"/>
            </w:r>
          </w:hyperlink>
        </w:p>
        <w:p w:rsidR="002A57B2" w:rsidRDefault="002A57B2">
          <w:pPr>
            <w:pStyle w:val="TOC2"/>
            <w:tabs>
              <w:tab w:val="right" w:leader="dot" w:pos="9016"/>
            </w:tabs>
            <w:rPr>
              <w:noProof/>
            </w:rPr>
          </w:pPr>
          <w:hyperlink w:anchor="_Toc229911047" w:history="1">
            <w:r w:rsidRPr="008B23DF">
              <w:rPr>
                <w:rStyle w:val="Hyperlink"/>
                <w:noProof/>
              </w:rPr>
              <w:t>7.3  ForensicAcq versus Magnet AXIOM</w:t>
            </w:r>
            <w:r>
              <w:rPr>
                <w:noProof/>
              </w:rPr>
              <w:tab/>
            </w:r>
            <w:r>
              <w:rPr>
                <w:noProof/>
              </w:rPr>
              <w:fldChar w:fldCharType="begin"/>
            </w:r>
            <w:r>
              <w:rPr>
                <w:noProof/>
              </w:rPr>
              <w:instrText xml:space="preserve"> PAGEREF _Toc229911047 \h </w:instrText>
            </w:r>
            <w:r>
              <w:rPr>
                <w:noProof/>
              </w:rPr>
            </w:r>
            <w:r>
              <w:rPr>
                <w:noProof/>
              </w:rPr>
              <w:fldChar w:fldCharType="separate"/>
            </w:r>
            <w:r>
              <w:rPr>
                <w:noProof/>
              </w:rPr>
              <w:t>41</w:t>
            </w:r>
            <w:r>
              <w:rPr>
                <w:noProof/>
              </w:rPr>
              <w:fldChar w:fldCharType="end"/>
            </w:r>
          </w:hyperlink>
        </w:p>
        <w:p w:rsidR="002A57B2" w:rsidRDefault="002A57B2">
          <w:pPr>
            <w:pStyle w:val="TOC2"/>
            <w:tabs>
              <w:tab w:val="right" w:leader="dot" w:pos="9016"/>
            </w:tabs>
            <w:rPr>
              <w:noProof/>
            </w:rPr>
          </w:pPr>
          <w:hyperlink w:anchor="_Toc229911048" w:history="1">
            <w:r w:rsidRPr="008B23DF">
              <w:rPr>
                <w:rStyle w:val="Hyperlink"/>
                <w:noProof/>
              </w:rPr>
              <w:t>7.4  ForensicAcq versus Autopsy and Volatility</w:t>
            </w:r>
            <w:r>
              <w:rPr>
                <w:noProof/>
              </w:rPr>
              <w:tab/>
            </w:r>
            <w:r>
              <w:rPr>
                <w:noProof/>
              </w:rPr>
              <w:fldChar w:fldCharType="begin"/>
            </w:r>
            <w:r>
              <w:rPr>
                <w:noProof/>
              </w:rPr>
              <w:instrText xml:space="preserve"> PAGEREF _Toc229911048 \h </w:instrText>
            </w:r>
            <w:r>
              <w:rPr>
                <w:noProof/>
              </w:rPr>
            </w:r>
            <w:r>
              <w:rPr>
                <w:noProof/>
              </w:rPr>
              <w:fldChar w:fldCharType="separate"/>
            </w:r>
            <w:r>
              <w:rPr>
                <w:noProof/>
              </w:rPr>
              <w:t>41</w:t>
            </w:r>
            <w:r>
              <w:rPr>
                <w:noProof/>
              </w:rPr>
              <w:fldChar w:fldCharType="end"/>
            </w:r>
          </w:hyperlink>
        </w:p>
        <w:p w:rsidR="002A57B2" w:rsidRDefault="002A57B2">
          <w:pPr>
            <w:pStyle w:val="TOC2"/>
            <w:tabs>
              <w:tab w:val="right" w:leader="dot" w:pos="9016"/>
            </w:tabs>
            <w:rPr>
              <w:noProof/>
            </w:rPr>
          </w:pPr>
          <w:hyperlink w:anchor="_Toc229911049" w:history="1">
            <w:r w:rsidRPr="008B23DF">
              <w:rPr>
                <w:rStyle w:val="Hyperlink"/>
                <w:noProof/>
              </w:rPr>
              <w:t>7.5  ForensicAcq versus KAPE</w:t>
            </w:r>
            <w:r>
              <w:rPr>
                <w:noProof/>
              </w:rPr>
              <w:tab/>
            </w:r>
            <w:r>
              <w:rPr>
                <w:noProof/>
              </w:rPr>
              <w:fldChar w:fldCharType="begin"/>
            </w:r>
            <w:r>
              <w:rPr>
                <w:noProof/>
              </w:rPr>
              <w:instrText xml:space="preserve"> PAGEREF _Toc229911049 \h </w:instrText>
            </w:r>
            <w:r>
              <w:rPr>
                <w:noProof/>
              </w:rPr>
            </w:r>
            <w:r>
              <w:rPr>
                <w:noProof/>
              </w:rPr>
              <w:fldChar w:fldCharType="separate"/>
            </w:r>
            <w:r>
              <w:rPr>
                <w:noProof/>
              </w:rPr>
              <w:t>41</w:t>
            </w:r>
            <w:r>
              <w:rPr>
                <w:noProof/>
              </w:rPr>
              <w:fldChar w:fldCharType="end"/>
            </w:r>
          </w:hyperlink>
        </w:p>
        <w:p w:rsidR="002A57B2" w:rsidRDefault="002A57B2">
          <w:pPr>
            <w:pStyle w:val="TOC2"/>
            <w:tabs>
              <w:tab w:val="right" w:leader="dot" w:pos="9016"/>
            </w:tabs>
            <w:rPr>
              <w:noProof/>
            </w:rPr>
          </w:pPr>
          <w:hyperlink w:anchor="_Toc229911050" w:history="1">
            <w:r w:rsidRPr="008B23DF">
              <w:rPr>
                <w:rStyle w:val="Hyperlink"/>
                <w:noProof/>
              </w:rPr>
              <w:t>7.6  ForensicAcq versus Velociraptor and CrowdStrike Response</w:t>
            </w:r>
            <w:r>
              <w:rPr>
                <w:noProof/>
              </w:rPr>
              <w:tab/>
            </w:r>
            <w:r>
              <w:rPr>
                <w:noProof/>
              </w:rPr>
              <w:fldChar w:fldCharType="begin"/>
            </w:r>
            <w:r>
              <w:rPr>
                <w:noProof/>
              </w:rPr>
              <w:instrText xml:space="preserve"> PAGEREF _Toc229911050 \h </w:instrText>
            </w:r>
            <w:r>
              <w:rPr>
                <w:noProof/>
              </w:rPr>
            </w:r>
            <w:r>
              <w:rPr>
                <w:noProof/>
              </w:rPr>
              <w:fldChar w:fldCharType="separate"/>
            </w:r>
            <w:r>
              <w:rPr>
                <w:noProof/>
              </w:rPr>
              <w:t>42</w:t>
            </w:r>
            <w:r>
              <w:rPr>
                <w:noProof/>
              </w:rPr>
              <w:fldChar w:fldCharType="end"/>
            </w:r>
          </w:hyperlink>
        </w:p>
        <w:p w:rsidR="002A57B2" w:rsidRDefault="002A57B2">
          <w:pPr>
            <w:pStyle w:val="TOC2"/>
            <w:tabs>
              <w:tab w:val="right" w:leader="dot" w:pos="9016"/>
            </w:tabs>
            <w:rPr>
              <w:noProof/>
            </w:rPr>
          </w:pPr>
          <w:hyperlink w:anchor="_Toc229911051" w:history="1">
            <w:r w:rsidRPr="008B23DF">
              <w:rPr>
                <w:rStyle w:val="Hyperlink"/>
                <w:noProof/>
              </w:rPr>
              <w:t>7.7  Consolidated Comparison Table</w:t>
            </w:r>
            <w:r>
              <w:rPr>
                <w:noProof/>
              </w:rPr>
              <w:tab/>
            </w:r>
            <w:r>
              <w:rPr>
                <w:noProof/>
              </w:rPr>
              <w:fldChar w:fldCharType="begin"/>
            </w:r>
            <w:r>
              <w:rPr>
                <w:noProof/>
              </w:rPr>
              <w:instrText xml:space="preserve"> PAGEREF _Toc229911051 \h </w:instrText>
            </w:r>
            <w:r>
              <w:rPr>
                <w:noProof/>
              </w:rPr>
            </w:r>
            <w:r>
              <w:rPr>
                <w:noProof/>
              </w:rPr>
              <w:fldChar w:fldCharType="separate"/>
            </w:r>
            <w:r>
              <w:rPr>
                <w:noProof/>
              </w:rPr>
              <w:t>42</w:t>
            </w:r>
            <w:r>
              <w:rPr>
                <w:noProof/>
              </w:rPr>
              <w:fldChar w:fldCharType="end"/>
            </w:r>
          </w:hyperlink>
        </w:p>
        <w:p w:rsidR="002A57B2" w:rsidRDefault="002A57B2">
          <w:pPr>
            <w:pStyle w:val="TOC2"/>
            <w:tabs>
              <w:tab w:val="right" w:leader="dot" w:pos="9016"/>
            </w:tabs>
            <w:rPr>
              <w:noProof/>
            </w:rPr>
          </w:pPr>
          <w:hyperlink w:anchor="_Toc229911052" w:history="1">
            <w:r w:rsidRPr="008B23DF">
              <w:rPr>
                <w:rStyle w:val="Hyperlink"/>
                <w:noProof/>
              </w:rPr>
              <w:t>7.8  Cost–Benefit and Total Cost of Ownership</w:t>
            </w:r>
            <w:r>
              <w:rPr>
                <w:noProof/>
              </w:rPr>
              <w:tab/>
            </w:r>
            <w:r>
              <w:rPr>
                <w:noProof/>
              </w:rPr>
              <w:fldChar w:fldCharType="begin"/>
            </w:r>
            <w:r>
              <w:rPr>
                <w:noProof/>
              </w:rPr>
              <w:instrText xml:space="preserve"> PAGEREF _Toc229911052 \h </w:instrText>
            </w:r>
            <w:r>
              <w:rPr>
                <w:noProof/>
              </w:rPr>
            </w:r>
            <w:r>
              <w:rPr>
                <w:noProof/>
              </w:rPr>
              <w:fldChar w:fldCharType="separate"/>
            </w:r>
            <w:r>
              <w:rPr>
                <w:noProof/>
              </w:rPr>
              <w:t>43</w:t>
            </w:r>
            <w:r>
              <w:rPr>
                <w:noProof/>
              </w:rPr>
              <w:fldChar w:fldCharType="end"/>
            </w:r>
          </w:hyperlink>
        </w:p>
        <w:p w:rsidR="002A57B2" w:rsidRDefault="002A57B2">
          <w:pPr>
            <w:pStyle w:val="TOC2"/>
            <w:tabs>
              <w:tab w:val="right" w:leader="dot" w:pos="9016"/>
            </w:tabs>
            <w:rPr>
              <w:noProof/>
            </w:rPr>
          </w:pPr>
          <w:hyperlink w:anchor="_Toc229911053" w:history="1">
            <w:r w:rsidRPr="008B23DF">
              <w:rPr>
                <w:rStyle w:val="Hyperlink"/>
                <w:noProof/>
              </w:rPr>
              <w:t>7.9  Limitations of the Comparison</w:t>
            </w:r>
            <w:r>
              <w:rPr>
                <w:noProof/>
              </w:rPr>
              <w:tab/>
            </w:r>
            <w:r>
              <w:rPr>
                <w:noProof/>
              </w:rPr>
              <w:fldChar w:fldCharType="begin"/>
            </w:r>
            <w:r>
              <w:rPr>
                <w:noProof/>
              </w:rPr>
              <w:instrText xml:space="preserve"> PAGEREF _Toc229911053 \h </w:instrText>
            </w:r>
            <w:r>
              <w:rPr>
                <w:noProof/>
              </w:rPr>
            </w:r>
            <w:r>
              <w:rPr>
                <w:noProof/>
              </w:rPr>
              <w:fldChar w:fldCharType="separate"/>
            </w:r>
            <w:r>
              <w:rPr>
                <w:noProof/>
              </w:rPr>
              <w:t>43</w:t>
            </w:r>
            <w:r>
              <w:rPr>
                <w:noProof/>
              </w:rPr>
              <w:fldChar w:fldCharType="end"/>
            </w:r>
          </w:hyperlink>
        </w:p>
        <w:p w:rsidR="002A57B2" w:rsidRDefault="002A57B2">
          <w:pPr>
            <w:pStyle w:val="TOC2"/>
            <w:tabs>
              <w:tab w:val="right" w:leader="dot" w:pos="9016"/>
            </w:tabs>
            <w:rPr>
              <w:noProof/>
            </w:rPr>
          </w:pPr>
          <w:hyperlink w:anchor="_Toc229911054" w:history="1">
            <w:r w:rsidRPr="008B23DF">
              <w:rPr>
                <w:rStyle w:val="Hyperlink"/>
                <w:noProof/>
              </w:rPr>
              <w:t>7.10  Summary</w:t>
            </w:r>
            <w:r>
              <w:rPr>
                <w:noProof/>
              </w:rPr>
              <w:tab/>
            </w:r>
            <w:r>
              <w:rPr>
                <w:noProof/>
              </w:rPr>
              <w:fldChar w:fldCharType="begin"/>
            </w:r>
            <w:r>
              <w:rPr>
                <w:noProof/>
              </w:rPr>
              <w:instrText xml:space="preserve"> PAGEREF _Toc229911054 \h </w:instrText>
            </w:r>
            <w:r>
              <w:rPr>
                <w:noProof/>
              </w:rPr>
            </w:r>
            <w:r>
              <w:rPr>
                <w:noProof/>
              </w:rPr>
              <w:fldChar w:fldCharType="separate"/>
            </w:r>
            <w:r>
              <w:rPr>
                <w:noProof/>
              </w:rPr>
              <w:t>43</w:t>
            </w:r>
            <w:r>
              <w:rPr>
                <w:noProof/>
              </w:rPr>
              <w:fldChar w:fldCharType="end"/>
            </w:r>
          </w:hyperlink>
        </w:p>
        <w:p w:rsidR="002A57B2" w:rsidRDefault="002A57B2">
          <w:pPr>
            <w:pStyle w:val="TOC1"/>
            <w:tabs>
              <w:tab w:val="right" w:leader="dot" w:pos="9016"/>
            </w:tabs>
            <w:rPr>
              <w:noProof/>
            </w:rPr>
          </w:pPr>
          <w:hyperlink w:anchor="_Toc229911055" w:history="1">
            <w:r w:rsidRPr="008B23DF">
              <w:rPr>
                <w:rStyle w:val="Hyperlink"/>
                <w:noProof/>
              </w:rPr>
              <w:t>Chapter 8: Conclusion and Future Work</w:t>
            </w:r>
            <w:r>
              <w:rPr>
                <w:noProof/>
              </w:rPr>
              <w:tab/>
            </w:r>
            <w:r>
              <w:rPr>
                <w:noProof/>
              </w:rPr>
              <w:fldChar w:fldCharType="begin"/>
            </w:r>
            <w:r>
              <w:rPr>
                <w:noProof/>
              </w:rPr>
              <w:instrText xml:space="preserve"> PAGEREF _Toc229911055 \h </w:instrText>
            </w:r>
            <w:r>
              <w:rPr>
                <w:noProof/>
              </w:rPr>
            </w:r>
            <w:r>
              <w:rPr>
                <w:noProof/>
              </w:rPr>
              <w:fldChar w:fldCharType="separate"/>
            </w:r>
            <w:r>
              <w:rPr>
                <w:noProof/>
              </w:rPr>
              <w:t>43</w:t>
            </w:r>
            <w:r>
              <w:rPr>
                <w:noProof/>
              </w:rPr>
              <w:fldChar w:fldCharType="end"/>
            </w:r>
          </w:hyperlink>
        </w:p>
        <w:p w:rsidR="002A57B2" w:rsidRDefault="002A57B2">
          <w:pPr>
            <w:pStyle w:val="TOC2"/>
            <w:tabs>
              <w:tab w:val="right" w:leader="dot" w:pos="9016"/>
            </w:tabs>
            <w:rPr>
              <w:noProof/>
            </w:rPr>
          </w:pPr>
          <w:hyperlink w:anchor="_Toc229911056" w:history="1">
            <w:r w:rsidRPr="008B23DF">
              <w:rPr>
                <w:rStyle w:val="Hyperlink"/>
                <w:noProof/>
              </w:rPr>
              <w:t>8.1  Answers to the Research Questions</w:t>
            </w:r>
            <w:r>
              <w:rPr>
                <w:noProof/>
              </w:rPr>
              <w:tab/>
            </w:r>
            <w:r>
              <w:rPr>
                <w:noProof/>
              </w:rPr>
              <w:fldChar w:fldCharType="begin"/>
            </w:r>
            <w:r>
              <w:rPr>
                <w:noProof/>
              </w:rPr>
              <w:instrText xml:space="preserve"> PAGEREF _Toc229911056 \h </w:instrText>
            </w:r>
            <w:r>
              <w:rPr>
                <w:noProof/>
              </w:rPr>
            </w:r>
            <w:r>
              <w:rPr>
                <w:noProof/>
              </w:rPr>
              <w:fldChar w:fldCharType="separate"/>
            </w:r>
            <w:r>
              <w:rPr>
                <w:noProof/>
              </w:rPr>
              <w:t>44</w:t>
            </w:r>
            <w:r>
              <w:rPr>
                <w:noProof/>
              </w:rPr>
              <w:fldChar w:fldCharType="end"/>
            </w:r>
          </w:hyperlink>
        </w:p>
        <w:p w:rsidR="002A57B2" w:rsidRDefault="002A57B2">
          <w:pPr>
            <w:pStyle w:val="TOC2"/>
            <w:tabs>
              <w:tab w:val="right" w:leader="dot" w:pos="9016"/>
            </w:tabs>
            <w:rPr>
              <w:noProof/>
            </w:rPr>
          </w:pPr>
          <w:hyperlink w:anchor="_Toc229911057" w:history="1">
            <w:r w:rsidRPr="008B23DF">
              <w:rPr>
                <w:rStyle w:val="Hyperlink"/>
                <w:noProof/>
              </w:rPr>
              <w:t>8.2  Contributions to Knowledge</w:t>
            </w:r>
            <w:r>
              <w:rPr>
                <w:noProof/>
              </w:rPr>
              <w:tab/>
            </w:r>
            <w:r>
              <w:rPr>
                <w:noProof/>
              </w:rPr>
              <w:fldChar w:fldCharType="begin"/>
            </w:r>
            <w:r>
              <w:rPr>
                <w:noProof/>
              </w:rPr>
              <w:instrText xml:space="preserve"> PAGEREF _Toc229911057 \h </w:instrText>
            </w:r>
            <w:r>
              <w:rPr>
                <w:noProof/>
              </w:rPr>
            </w:r>
            <w:r>
              <w:rPr>
                <w:noProof/>
              </w:rPr>
              <w:fldChar w:fldCharType="separate"/>
            </w:r>
            <w:r>
              <w:rPr>
                <w:noProof/>
              </w:rPr>
              <w:t>44</w:t>
            </w:r>
            <w:r>
              <w:rPr>
                <w:noProof/>
              </w:rPr>
              <w:fldChar w:fldCharType="end"/>
            </w:r>
          </w:hyperlink>
        </w:p>
        <w:p w:rsidR="002A57B2" w:rsidRDefault="002A57B2">
          <w:pPr>
            <w:pStyle w:val="TOC2"/>
            <w:tabs>
              <w:tab w:val="right" w:leader="dot" w:pos="9016"/>
            </w:tabs>
            <w:rPr>
              <w:noProof/>
            </w:rPr>
          </w:pPr>
          <w:hyperlink w:anchor="_Toc229911058" w:history="1">
            <w:r w:rsidRPr="008B23DF">
              <w:rPr>
                <w:rStyle w:val="Hyperlink"/>
                <w:noProof/>
              </w:rPr>
              <w:t>8.3  Limitations</w:t>
            </w:r>
            <w:r>
              <w:rPr>
                <w:noProof/>
              </w:rPr>
              <w:tab/>
            </w:r>
            <w:r>
              <w:rPr>
                <w:noProof/>
              </w:rPr>
              <w:fldChar w:fldCharType="begin"/>
            </w:r>
            <w:r>
              <w:rPr>
                <w:noProof/>
              </w:rPr>
              <w:instrText xml:space="preserve"> PAGEREF _Toc229911058 \h </w:instrText>
            </w:r>
            <w:r>
              <w:rPr>
                <w:noProof/>
              </w:rPr>
            </w:r>
            <w:r>
              <w:rPr>
                <w:noProof/>
              </w:rPr>
              <w:fldChar w:fldCharType="separate"/>
            </w:r>
            <w:r>
              <w:rPr>
                <w:noProof/>
              </w:rPr>
              <w:t>44</w:t>
            </w:r>
            <w:r>
              <w:rPr>
                <w:noProof/>
              </w:rPr>
              <w:fldChar w:fldCharType="end"/>
            </w:r>
          </w:hyperlink>
        </w:p>
        <w:p w:rsidR="002A57B2" w:rsidRDefault="002A57B2">
          <w:pPr>
            <w:pStyle w:val="TOC2"/>
            <w:tabs>
              <w:tab w:val="right" w:leader="dot" w:pos="9016"/>
            </w:tabs>
            <w:rPr>
              <w:noProof/>
            </w:rPr>
          </w:pPr>
          <w:hyperlink w:anchor="_Toc229911059" w:history="1">
            <w:r w:rsidRPr="008B23DF">
              <w:rPr>
                <w:rStyle w:val="Hyperlink"/>
                <w:noProof/>
              </w:rPr>
              <w:t>8.4  Future Work</w:t>
            </w:r>
            <w:r>
              <w:rPr>
                <w:noProof/>
              </w:rPr>
              <w:tab/>
            </w:r>
            <w:r>
              <w:rPr>
                <w:noProof/>
              </w:rPr>
              <w:fldChar w:fldCharType="begin"/>
            </w:r>
            <w:r>
              <w:rPr>
                <w:noProof/>
              </w:rPr>
              <w:instrText xml:space="preserve"> PAGEREF _Toc229911059 \h </w:instrText>
            </w:r>
            <w:r>
              <w:rPr>
                <w:noProof/>
              </w:rPr>
            </w:r>
            <w:r>
              <w:rPr>
                <w:noProof/>
              </w:rPr>
              <w:fldChar w:fldCharType="separate"/>
            </w:r>
            <w:r>
              <w:rPr>
                <w:noProof/>
              </w:rPr>
              <w:t>45</w:t>
            </w:r>
            <w:r>
              <w:rPr>
                <w:noProof/>
              </w:rPr>
              <w:fldChar w:fldCharType="end"/>
            </w:r>
          </w:hyperlink>
        </w:p>
        <w:p w:rsidR="002A57B2" w:rsidRDefault="002A57B2">
          <w:pPr>
            <w:pStyle w:val="TOC2"/>
            <w:tabs>
              <w:tab w:val="right" w:leader="dot" w:pos="9016"/>
            </w:tabs>
            <w:rPr>
              <w:noProof/>
            </w:rPr>
          </w:pPr>
          <w:hyperlink w:anchor="_Toc229911060" w:history="1">
            <w:r w:rsidRPr="008B23DF">
              <w:rPr>
                <w:rStyle w:val="Hyperlink"/>
                <w:noProof/>
              </w:rPr>
              <w:t>8.5  Personal Reflection</w:t>
            </w:r>
            <w:r>
              <w:rPr>
                <w:noProof/>
              </w:rPr>
              <w:tab/>
            </w:r>
            <w:r>
              <w:rPr>
                <w:noProof/>
              </w:rPr>
              <w:fldChar w:fldCharType="begin"/>
            </w:r>
            <w:r>
              <w:rPr>
                <w:noProof/>
              </w:rPr>
              <w:instrText xml:space="preserve"> PAGEREF _Toc229911060 \h </w:instrText>
            </w:r>
            <w:r>
              <w:rPr>
                <w:noProof/>
              </w:rPr>
            </w:r>
            <w:r>
              <w:rPr>
                <w:noProof/>
              </w:rPr>
              <w:fldChar w:fldCharType="separate"/>
            </w:r>
            <w:r>
              <w:rPr>
                <w:noProof/>
              </w:rPr>
              <w:t>45</w:t>
            </w:r>
            <w:r>
              <w:rPr>
                <w:noProof/>
              </w:rPr>
              <w:fldChar w:fldCharType="end"/>
            </w:r>
          </w:hyperlink>
        </w:p>
        <w:p w:rsidR="002A57B2" w:rsidRDefault="002A57B2">
          <w:pPr>
            <w:pStyle w:val="TOC2"/>
            <w:tabs>
              <w:tab w:val="right" w:leader="dot" w:pos="9016"/>
            </w:tabs>
            <w:rPr>
              <w:noProof/>
            </w:rPr>
          </w:pPr>
          <w:hyperlink w:anchor="_Toc229911061" w:history="1">
            <w:r w:rsidRPr="008B23DF">
              <w:rPr>
                <w:rStyle w:val="Hyperlink"/>
                <w:noProof/>
              </w:rPr>
              <w:t>8.6  Closing Remarks</w:t>
            </w:r>
            <w:r>
              <w:rPr>
                <w:noProof/>
              </w:rPr>
              <w:tab/>
            </w:r>
            <w:r>
              <w:rPr>
                <w:noProof/>
              </w:rPr>
              <w:fldChar w:fldCharType="begin"/>
            </w:r>
            <w:r>
              <w:rPr>
                <w:noProof/>
              </w:rPr>
              <w:instrText xml:space="preserve"> PAGEREF _Toc229911061 \h </w:instrText>
            </w:r>
            <w:r>
              <w:rPr>
                <w:noProof/>
              </w:rPr>
            </w:r>
            <w:r>
              <w:rPr>
                <w:noProof/>
              </w:rPr>
              <w:fldChar w:fldCharType="separate"/>
            </w:r>
            <w:r>
              <w:rPr>
                <w:noProof/>
              </w:rPr>
              <w:t>45</w:t>
            </w:r>
            <w:r>
              <w:rPr>
                <w:noProof/>
              </w:rPr>
              <w:fldChar w:fldCharType="end"/>
            </w:r>
          </w:hyperlink>
        </w:p>
        <w:p w:rsidR="002A57B2" w:rsidRDefault="002A57B2">
          <w:pPr>
            <w:pStyle w:val="TOC1"/>
            <w:tabs>
              <w:tab w:val="right" w:leader="dot" w:pos="9016"/>
            </w:tabs>
            <w:rPr>
              <w:noProof/>
            </w:rPr>
          </w:pPr>
          <w:hyperlink w:anchor="_Toc229911062" w:history="1">
            <w:r w:rsidRPr="008B23DF">
              <w:rPr>
                <w:rStyle w:val="Hyperlink"/>
                <w:noProof/>
              </w:rPr>
              <w:t>References</w:t>
            </w:r>
            <w:r>
              <w:rPr>
                <w:noProof/>
              </w:rPr>
              <w:tab/>
            </w:r>
            <w:r>
              <w:rPr>
                <w:noProof/>
              </w:rPr>
              <w:fldChar w:fldCharType="begin"/>
            </w:r>
            <w:r>
              <w:rPr>
                <w:noProof/>
              </w:rPr>
              <w:instrText xml:space="preserve"> PAGEREF _Toc229911062 \h </w:instrText>
            </w:r>
            <w:r>
              <w:rPr>
                <w:noProof/>
              </w:rPr>
            </w:r>
            <w:r>
              <w:rPr>
                <w:noProof/>
              </w:rPr>
              <w:fldChar w:fldCharType="separate"/>
            </w:r>
            <w:r>
              <w:rPr>
                <w:noProof/>
              </w:rPr>
              <w:t>46</w:t>
            </w:r>
            <w:r>
              <w:rPr>
                <w:noProof/>
              </w:rPr>
              <w:fldChar w:fldCharType="end"/>
            </w:r>
          </w:hyperlink>
        </w:p>
        <w:p w:rsidR="00EC75FD" w:rsidRDefault="001D57CD">
          <w:r>
            <w:fldChar w:fldCharType="end"/>
          </w:r>
        </w:p>
      </w:sdtContent>
    </w:sdt>
    <w:p w:rsidR="00EC75FD" w:rsidRDefault="001D57CD">
      <w:r>
        <w:br w:type="page"/>
      </w:r>
    </w:p>
    <w:p w:rsidR="00EC75FD" w:rsidRDefault="001D57CD">
      <w:pPr>
        <w:pStyle w:val="Heading1"/>
      </w:pPr>
      <w:bookmarkStart w:id="2" w:name="_Toc229910974"/>
      <w:r>
        <w:lastRenderedPageBreak/>
        <w:t>Chapter 1: Introduction</w:t>
      </w:r>
      <w:bookmarkEnd w:id="2"/>
    </w:p>
    <w:p w:rsidR="00EC75FD" w:rsidRDefault="001D57CD">
      <w:pPr>
        <w:pStyle w:val="Heading2"/>
      </w:pPr>
      <w:bookmarkStart w:id="3" w:name="_Toc229910975"/>
      <w:r>
        <w:t>1.1  Background and Motivation</w:t>
      </w:r>
      <w:bookmarkEnd w:id="3"/>
    </w:p>
    <w:p w:rsidR="00EC75FD" w:rsidRDefault="001D57CD">
      <w:pPr>
        <w:spacing w:after="120" w:line="276" w:lineRule="auto"/>
        <w:jc w:val="both"/>
      </w:pPr>
      <w:r>
        <w:rPr>
          <w:rFonts w:cs="Times New Roman"/>
        </w:rPr>
        <w:t>Digital forensics has grown from a niche discipline confined to law enforceme</w:t>
      </w:r>
      <w:r>
        <w:rPr>
          <w:rFonts w:cs="Times New Roman"/>
        </w:rPr>
        <w:t>nt laboratories into a routine operational requirement for organisations of every size. The scale of this shift is difficult to overstate. According to the IBM Cost of a Data Breach Report 2024, the global average cost of a confirmed data breach reached US</w:t>
      </w:r>
      <w:r>
        <w:rPr>
          <w:rFonts w:cs="Times New Roman"/>
        </w:rPr>
        <w:t>D 4.88 million, with forensic investigation and evidence acquisition identified as the single largest time and cost component during incident response [1]. What was once a task performed by a handful of certified examiners using specialised hardware is now</w:t>
      </w:r>
      <w:r>
        <w:rPr>
          <w:rFonts w:cs="Times New Roman"/>
        </w:rPr>
        <w:t xml:space="preserve"> something that IT administrators, incident responders, and even compliance officers are expected to carry out under time pressure and with limited budgets.</w:t>
      </w:r>
    </w:p>
    <w:p w:rsidR="00EC75FD" w:rsidRDefault="001D57CD">
      <w:pPr>
        <w:spacing w:after="120" w:line="276" w:lineRule="auto"/>
        <w:jc w:val="both"/>
      </w:pPr>
      <w:r>
        <w:rPr>
          <w:rFonts w:cs="Times New Roman"/>
        </w:rPr>
        <w:t>The problem, however, is that the forensics tooling ecosystem has not kept pace with this democrati</w:t>
      </w:r>
      <w:r>
        <w:rPr>
          <w:rFonts w:cs="Times New Roman"/>
        </w:rPr>
        <w:t xml:space="preserve">sation of need. Commercial platforms such as Magnet AXIOM, Exterro FTK, and OpenText EnCase remain prohibitively expensive for small and medium-sized enterprises. Magnet AXIOM licenses start at approximately USD 5,995 per year, while the FTK suite carries </w:t>
      </w:r>
      <w:r>
        <w:rPr>
          <w:rFonts w:cs="Times New Roman"/>
        </w:rPr>
        <w:t>perpetual licensing from USD 7,999 per seat [2], [3]. These tools are powerful, but their pricing assumes an institutional buyer with a dedicated forensic laboratory. A small accountancy firm hit by ransomware, or a university department dealing with a dat</w:t>
      </w:r>
      <w:r>
        <w:rPr>
          <w:rFonts w:cs="Times New Roman"/>
        </w:rPr>
        <w:t>a theft allegation, or a startup facing an insider threat investigation, simply cannot justify those costs for what might be a single incident per year.</w:t>
      </w:r>
    </w:p>
    <w:p w:rsidR="00EC75FD" w:rsidRDefault="001D57CD">
      <w:pPr>
        <w:spacing w:after="120" w:line="276" w:lineRule="auto"/>
        <w:jc w:val="both"/>
      </w:pPr>
      <w:r>
        <w:rPr>
          <w:rFonts w:cs="Times New Roman"/>
        </w:rPr>
        <w:t>On the open-source side, tools do exist, but they tend to be either highly specialised or require subst</w:t>
      </w:r>
      <w:r>
        <w:rPr>
          <w:rFonts w:cs="Times New Roman"/>
        </w:rPr>
        <w:t>antial technical expertise to operate. Autopsy provides excellent disk image analysis but expects a pre-acquired forensic image as input. Volatility performs memory forensics but assumes the user understands memory structures. KAPE by Eric Zimmerman collec</w:t>
      </w:r>
      <w:r>
        <w:rPr>
          <w:rFonts w:cs="Times New Roman"/>
        </w:rPr>
        <w:t>ts triage artefacts, but its Windows-registry-centric output requires significant post-processing to produce anything an investigator can act on [4], [5]. None of these tools provide a single-execution, automated pipeline that acquires volatile and non-vol</w:t>
      </w:r>
      <w:r>
        <w:rPr>
          <w:rFonts w:cs="Times New Roman"/>
        </w:rPr>
        <w:t>atile system artefacts, computes integrity hashes, extracts browser history across multiple browsers, and packages everything into an encrypted evidence container, all without requiring the user to have forensics training.</w:t>
      </w:r>
    </w:p>
    <w:p w:rsidR="00EC75FD" w:rsidRDefault="001D57CD">
      <w:pPr>
        <w:spacing w:after="120" w:line="276" w:lineRule="auto"/>
        <w:jc w:val="both"/>
      </w:pPr>
      <w:r>
        <w:rPr>
          <w:rFonts w:cs="Times New Roman"/>
        </w:rPr>
        <w:t>This gap between the cost of comm</w:t>
      </w:r>
      <w:r>
        <w:rPr>
          <w:rFonts w:cs="Times New Roman"/>
        </w:rPr>
        <w:t>ercial tools and the accessibility of open-source alternatives is not merely an inconvenience. It is a genuine barrier to forensic readiness. Organisations that cannot afford commercial tools and lack the expertise to operate open-source alternatives often</w:t>
      </w:r>
      <w:r>
        <w:rPr>
          <w:rFonts w:cs="Times New Roman"/>
        </w:rPr>
        <w:t xml:space="preserve"> perform no acquisition at all when incidents occur. Critical volatile evidence, running processes, network connections, browser artefacts, and event logs, is lost because nobody had the means to capture it in time. The result is incomplete investigations,</w:t>
      </w:r>
      <w:r>
        <w:rPr>
          <w:rFonts w:cs="Times New Roman"/>
        </w:rPr>
        <w:t xml:space="preserve"> missed regulatory obligations, and an inability to reconstruct what actually happened during a security event.</w:t>
      </w:r>
    </w:p>
    <w:p w:rsidR="00EC75FD" w:rsidRDefault="001D57CD">
      <w:pPr>
        <w:spacing w:after="120" w:line="276" w:lineRule="auto"/>
        <w:jc w:val="both"/>
      </w:pPr>
      <w:r>
        <w:rPr>
          <w:rFonts w:cs="Times New Roman"/>
        </w:rPr>
        <w:t>This project addresses that gap directly. It presents ForensicAcq, a lightweight, cost-effective Python-based digital forensics acquisition tool</w:t>
      </w:r>
      <w:r>
        <w:rPr>
          <w:rFonts w:cs="Times New Roman"/>
        </w:rPr>
        <w:t xml:space="preserve"> designed specifically for Windows environments. The tool runs as a single script, requires no installation beyond a standard Python interpreter with minimal dependencies, and produces a structured, hash-verified, AES-</w:t>
      </w:r>
      <w:r>
        <w:rPr>
          <w:rFonts w:cs="Times New Roman"/>
        </w:rPr>
        <w:lastRenderedPageBreak/>
        <w:t>encrypted evidence package suitable fo</w:t>
      </w:r>
      <w:r>
        <w:rPr>
          <w:rFonts w:cs="Times New Roman"/>
        </w:rPr>
        <w:t>r further analysis or legal proceedings. The core philosophy is that basic forensic acquisition should not require a USD 6,000 software license or a GCFE certification. It should require running a script.</w:t>
      </w:r>
    </w:p>
    <w:p w:rsidR="00EC75FD" w:rsidRDefault="001D57CD">
      <w:pPr>
        <w:pStyle w:val="Heading2"/>
      </w:pPr>
      <w:bookmarkStart w:id="4" w:name="_Toc229910976"/>
      <w:r>
        <w:t>1.2  The Digital Forensics Acquisition Problem</w:t>
      </w:r>
      <w:bookmarkEnd w:id="4"/>
    </w:p>
    <w:p w:rsidR="00EC75FD" w:rsidRDefault="001D57CD">
      <w:pPr>
        <w:spacing w:after="120" w:line="276" w:lineRule="auto"/>
        <w:jc w:val="both"/>
      </w:pPr>
      <w:r>
        <w:rPr>
          <w:rFonts w:cs="Times New Roman"/>
        </w:rPr>
        <w:t>Digi</w:t>
      </w:r>
      <w:r>
        <w:rPr>
          <w:rFonts w:cs="Times New Roman"/>
        </w:rPr>
        <w:t>tal forensics acquisition is the process of collecting digital evidence from a target system in a manner that preserves its integrity and ensures its admissibility in legal or regulatory proceedings [6]. The acquisition phase is widely recognised as the mo</w:t>
      </w:r>
      <w:r>
        <w:rPr>
          <w:rFonts w:cs="Times New Roman"/>
        </w:rPr>
        <w:t>st time-critical and error-prone stage of the forensic investigation lifecycle. Evidence that is not collected is evidence that cannot be analysed, and volatile evidence, information held in RAM, active network connections, running processes, and open brow</w:t>
      </w:r>
      <w:r>
        <w:rPr>
          <w:rFonts w:cs="Times New Roman"/>
        </w:rPr>
        <w:t>ser sessions, begins degrading the moment a system is shut down or a user logs out [7].</w:t>
      </w:r>
    </w:p>
    <w:p w:rsidR="00EC75FD" w:rsidRDefault="001D57CD">
      <w:pPr>
        <w:spacing w:after="120" w:line="276" w:lineRule="auto"/>
        <w:jc w:val="both"/>
      </w:pPr>
      <w:r>
        <w:rPr>
          <w:rFonts w:cs="Times New Roman"/>
        </w:rPr>
        <w:t>The NIST Special Publication 800-86 framework for integrating forensic techniques into incident response identifies four sequential phases: collection, examination, ana</w:t>
      </w:r>
      <w:r>
        <w:rPr>
          <w:rFonts w:cs="Times New Roman"/>
        </w:rPr>
        <w:t>lysis, and reporting [8]. Of these, collection is the only phase that interacts directly with live evidence and is therefore the only phase where mistakes are genuinely irrecoverable. An examiner can re-run analysis on a captured image, but cannot recaptur</w:t>
      </w:r>
      <w:r>
        <w:rPr>
          <w:rFonts w:cs="Times New Roman"/>
        </w:rPr>
        <w:t>e a process that was terminated or a network connection that was closed. This asymmetry of consequence makes the acquisition phase uniquely important and uniquely deserving of tool support that is both reliable and accessible.</w:t>
      </w:r>
    </w:p>
    <w:p w:rsidR="00EC75FD" w:rsidRDefault="001D57CD">
      <w:pPr>
        <w:spacing w:after="120" w:line="276" w:lineRule="auto"/>
        <w:jc w:val="both"/>
      </w:pPr>
      <w:r>
        <w:rPr>
          <w:rFonts w:cs="Times New Roman"/>
        </w:rPr>
        <w:t>Windows systems present speci</w:t>
      </w:r>
      <w:r>
        <w:rPr>
          <w:rFonts w:cs="Times New Roman"/>
        </w:rPr>
        <w:t xml:space="preserve">fic acquisition challenges that differ from Unix-based environments. Critical artefacts are distributed across the Windows Registry, NTFS file system metadata, Windows Event Logs stored as binary .evtx files, browser-specific SQLite databases, the Recycle </w:t>
      </w:r>
      <w:r>
        <w:rPr>
          <w:rFonts w:cs="Times New Roman"/>
        </w:rPr>
        <w:t>Bin metadata store, and volatile process and network state accessible only through Win32 APIs and WMI queries [9]. Collecting these artefacts requires navigating access permissions, handling locked files, and dealing with the fact that some data sources, s</w:t>
      </w:r>
      <w:r>
        <w:rPr>
          <w:rFonts w:cs="Times New Roman"/>
        </w:rPr>
        <w:t xml:space="preserve">uch as browser history databases, are locked by running browser processes and cannot be read without first terminating those processes. No single Windows command or built-in utility collects all of these artefacts. This fragmentation is the core technical </w:t>
      </w:r>
      <w:r>
        <w:rPr>
          <w:rFonts w:cs="Times New Roman"/>
        </w:rPr>
        <w:t>challenge that ForensicAcq is designed to solve.</w:t>
      </w:r>
    </w:p>
    <w:p w:rsidR="00EC75FD" w:rsidRDefault="001D57CD">
      <w:pPr>
        <w:pStyle w:val="Heading2"/>
      </w:pPr>
      <w:bookmarkStart w:id="5" w:name="_Toc229910977"/>
      <w:r>
        <w:t>1.3  Research Questions</w:t>
      </w:r>
      <w:bookmarkEnd w:id="5"/>
    </w:p>
    <w:p w:rsidR="00EC75FD" w:rsidRDefault="001D57CD">
      <w:pPr>
        <w:spacing w:after="120" w:line="276" w:lineRule="auto"/>
        <w:jc w:val="both"/>
      </w:pPr>
      <w:r>
        <w:rPr>
          <w:rFonts w:cs="Times New Roman"/>
        </w:rPr>
        <w:t>This project is guided by three research questions, each addressing a different dimension of the problem space:</w:t>
      </w:r>
    </w:p>
    <w:p w:rsidR="00EC75FD" w:rsidRDefault="001D57CD">
      <w:pPr>
        <w:spacing w:after="120" w:line="276" w:lineRule="auto"/>
        <w:jc w:val="both"/>
      </w:pPr>
      <w:r>
        <w:rPr>
          <w:rFonts w:cs="Times New Roman"/>
          <w:b/>
          <w:bCs/>
        </w:rPr>
        <w:t xml:space="preserve">RQ1: </w:t>
      </w:r>
      <w:r>
        <w:rPr>
          <w:rFonts w:cs="Times New Roman"/>
        </w:rPr>
        <w:t>To what extent can a lightweight, Python-based forensic acquisition tool collect volatile and non-volatile artefacts from live Windows systems with sufficient completeness and integrity to support digital forensic investigations?</w:t>
      </w:r>
    </w:p>
    <w:p w:rsidR="00EC75FD" w:rsidRDefault="001D57CD">
      <w:pPr>
        <w:spacing w:after="120" w:line="276" w:lineRule="auto"/>
        <w:jc w:val="both"/>
      </w:pPr>
      <w:r>
        <w:rPr>
          <w:rFonts w:cs="Times New Roman"/>
          <w:b/>
          <w:bCs/>
        </w:rPr>
        <w:t xml:space="preserve">RQ2: </w:t>
      </w:r>
      <w:r>
        <w:rPr>
          <w:rFonts w:cs="Times New Roman"/>
        </w:rPr>
        <w:t>How does the artefact</w:t>
      </w:r>
      <w:r>
        <w:rPr>
          <w:rFonts w:cs="Times New Roman"/>
        </w:rPr>
        <w:t xml:space="preserve"> coverage and evidence integrity of a cost-free, open-source acquisition tool compare against established commercial solutions (FTK Imager, Magnet AXIOM) and existing open-source alternatives (KAPE, Autopsy, Volatility) for Windows-based forensic triage?</w:t>
      </w:r>
    </w:p>
    <w:p w:rsidR="00EC75FD" w:rsidRDefault="001D57CD">
      <w:pPr>
        <w:spacing w:after="120" w:line="276" w:lineRule="auto"/>
        <w:jc w:val="both"/>
      </w:pPr>
      <w:r>
        <w:rPr>
          <w:rFonts w:cs="Times New Roman"/>
          <w:b/>
          <w:bCs/>
        </w:rPr>
        <w:lastRenderedPageBreak/>
        <w:t>R</w:t>
      </w:r>
      <w:r>
        <w:rPr>
          <w:rFonts w:cs="Times New Roman"/>
          <w:b/>
          <w:bCs/>
        </w:rPr>
        <w:t xml:space="preserve">Q3: </w:t>
      </w:r>
      <w:r>
        <w:rPr>
          <w:rFonts w:cs="Times New Roman"/>
        </w:rPr>
        <w:t>What design principles and implementation strategies enable a forensic acquisition tool to balance acquisition completeness, evidence integrity, operational simplicity, and deployment cost for resource-constrained organisations?</w:t>
      </w:r>
    </w:p>
    <w:p w:rsidR="00EC75FD" w:rsidRDefault="001D57CD">
      <w:pPr>
        <w:spacing w:after="120" w:line="276" w:lineRule="auto"/>
        <w:jc w:val="both"/>
      </w:pPr>
      <w:r>
        <w:rPr>
          <w:rFonts w:cs="Times New Roman"/>
        </w:rPr>
        <w:t>These questions are deliberately structured to move from technical validation (RQ1), through comparative positioning (RQ2), to design contribution (RQ3). The first question is empirical and answerable through controlled testing. The second is comparative a</w:t>
      </w:r>
      <w:r>
        <w:rPr>
          <w:rFonts w:cs="Times New Roman"/>
        </w:rPr>
        <w:t>nd answerable through systematic feature analysis and practical evaluation. The third is constructive and answerable through the design decisions documented in Chapter 4 and the evaluation outcomes in Chapter 6.</w:t>
      </w:r>
    </w:p>
    <w:p w:rsidR="00EC75FD" w:rsidRDefault="001D57CD">
      <w:pPr>
        <w:pStyle w:val="Heading2"/>
      </w:pPr>
      <w:bookmarkStart w:id="6" w:name="_Toc229910978"/>
      <w:r>
        <w:t>1.4  Research Gaps</w:t>
      </w:r>
      <w:bookmarkEnd w:id="6"/>
    </w:p>
    <w:p w:rsidR="00EC75FD" w:rsidRDefault="001D57CD">
      <w:pPr>
        <w:spacing w:after="120" w:line="276" w:lineRule="auto"/>
        <w:jc w:val="both"/>
      </w:pPr>
      <w:r>
        <w:rPr>
          <w:rFonts w:cs="Times New Roman"/>
        </w:rPr>
        <w:t>A systematic review of th</w:t>
      </w:r>
      <w:r>
        <w:rPr>
          <w:rFonts w:cs="Times New Roman"/>
        </w:rPr>
        <w:t>e digital forensics literature, detailed in Chapter 2, reveals five specific gaps that directly motivate this project. Each gap is grounded in documented deficiencies across both academic research and available tooling.</w:t>
      </w:r>
    </w:p>
    <w:p w:rsidR="00EC75FD" w:rsidRDefault="001D57CD">
      <w:pPr>
        <w:spacing w:after="120" w:line="276" w:lineRule="auto"/>
        <w:jc w:val="both"/>
      </w:pPr>
      <w:r>
        <w:rPr>
          <w:rFonts w:cs="Times New Roman"/>
          <w:b/>
          <w:bCs/>
        </w:rPr>
        <w:t>G1 — No unified single-execution acq</w:t>
      </w:r>
      <w:r>
        <w:rPr>
          <w:rFonts w:cs="Times New Roman"/>
          <w:b/>
          <w:bCs/>
        </w:rPr>
        <w:t xml:space="preserve">uisition pipeline: </w:t>
      </w:r>
      <w:r>
        <w:rPr>
          <w:rFonts w:cs="Times New Roman"/>
        </w:rPr>
        <w:t>Existing open-source tools are modular and task-specific. KAPE collects registry artefacts but does not extract browser history. Volatility analyses memory but does not capture it. No published tool or study presents a single-execution p</w:t>
      </w:r>
      <w:r>
        <w:rPr>
          <w:rFonts w:cs="Times New Roman"/>
        </w:rPr>
        <w:t xml:space="preserve">ipeline that acquires system information, installed software, browser history, running processes with executable hashes, event logs, recycle bin contents, and network state, then packages everything into an integrity-verified encrypted container [4], [5], </w:t>
      </w:r>
      <w:r>
        <w:rPr>
          <w:rFonts w:cs="Times New Roman"/>
        </w:rPr>
        <w:t>[10].</w:t>
      </w:r>
    </w:p>
    <w:p w:rsidR="00EC75FD" w:rsidRDefault="001D57CD">
      <w:pPr>
        <w:spacing w:after="120" w:line="276" w:lineRule="auto"/>
        <w:jc w:val="both"/>
      </w:pPr>
      <w:r>
        <w:rPr>
          <w:rFonts w:cs="Times New Roman"/>
          <w:b/>
          <w:bCs/>
        </w:rPr>
        <w:t xml:space="preserve">G2 — No cost-free alternative matching commercial triage scope: </w:t>
      </w:r>
      <w:r>
        <w:rPr>
          <w:rFonts w:cs="Times New Roman"/>
        </w:rPr>
        <w:t>FTK Imager is free for disk imaging but does not collect live volatile artefacts. Magnet AXIOM provides comprehensive triage but at USD 5,995 per year. No existing cost-free tool provide</w:t>
      </w:r>
      <w:r>
        <w:rPr>
          <w:rFonts w:cs="Times New Roman"/>
        </w:rPr>
        <w:t>s comparable live-system triage coverage for Windows environments [2], [3], [11].</w:t>
      </w:r>
    </w:p>
    <w:p w:rsidR="00EC75FD" w:rsidRDefault="001D57CD">
      <w:pPr>
        <w:spacing w:after="120" w:line="276" w:lineRule="auto"/>
        <w:jc w:val="both"/>
      </w:pPr>
      <w:r>
        <w:rPr>
          <w:rFonts w:cs="Times New Roman"/>
          <w:b/>
          <w:bCs/>
        </w:rPr>
        <w:t xml:space="preserve">G3 — No automated evidence integrity verification: </w:t>
      </w:r>
      <w:r>
        <w:rPr>
          <w:rFonts w:cs="Times New Roman"/>
        </w:rPr>
        <w:t>Many open-source acquisition scripts collect data but do not compute cryptographic hashes of collected artefacts at acquisi</w:t>
      </w:r>
      <w:r>
        <w:rPr>
          <w:rFonts w:cs="Times New Roman"/>
        </w:rPr>
        <w:t>tion time. This omission compromises the chain of custody requirements that make evidence admissible in legal proceedings [6], [8].</w:t>
      </w:r>
    </w:p>
    <w:p w:rsidR="00EC75FD" w:rsidRDefault="001D57CD">
      <w:pPr>
        <w:spacing w:after="120" w:line="276" w:lineRule="auto"/>
        <w:jc w:val="both"/>
      </w:pPr>
      <w:r>
        <w:rPr>
          <w:rFonts w:cs="Times New Roman"/>
          <w:b/>
          <w:bCs/>
        </w:rPr>
        <w:t xml:space="preserve">G4 — No automated encrypted evidence packaging: </w:t>
      </w:r>
      <w:r>
        <w:rPr>
          <w:rFonts w:cs="Times New Roman"/>
        </w:rPr>
        <w:t>Forensic best practice requires that evidence be stored in a tamper-evident,</w:t>
      </w:r>
      <w:r>
        <w:rPr>
          <w:rFonts w:cs="Times New Roman"/>
        </w:rPr>
        <w:t xml:space="preserve"> access-controlled container. No reviewed open-source acquisition tool automatically produces an AES-encrypted ZIP archive of all collected artefacts [8], [12].</w:t>
      </w:r>
    </w:p>
    <w:p w:rsidR="00EC75FD" w:rsidRDefault="001D57CD">
      <w:pPr>
        <w:spacing w:after="120" w:line="276" w:lineRule="auto"/>
        <w:jc w:val="both"/>
      </w:pPr>
      <w:r>
        <w:rPr>
          <w:rFonts w:cs="Times New Roman"/>
          <w:b/>
          <w:bCs/>
        </w:rPr>
        <w:t xml:space="preserve">G5 — Limited academic evaluation of lightweight acquisition tools: </w:t>
      </w:r>
      <w:r>
        <w:rPr>
          <w:rFonts w:cs="Times New Roman"/>
        </w:rPr>
        <w:t>The academic literature on d</w:t>
      </w:r>
      <w:r>
        <w:rPr>
          <w:rFonts w:cs="Times New Roman"/>
        </w:rPr>
        <w:t xml:space="preserve">igital forensics tooling is dominated by evaluations of commercial platforms. Peer-reviewed comparative evaluations of lightweight, script-based acquisition tools against commercial baselines are effectively absent from the IEEE, ACM, and Springer digital </w:t>
      </w:r>
      <w:r>
        <w:rPr>
          <w:rFonts w:cs="Times New Roman"/>
        </w:rPr>
        <w:t>forensics proceedings [10], [13].</w:t>
      </w:r>
    </w:p>
    <w:p w:rsidR="00EC75FD" w:rsidRDefault="001D57CD">
      <w:pPr>
        <w:spacing w:after="120" w:line="276" w:lineRule="auto"/>
        <w:jc w:val="both"/>
      </w:pPr>
      <w:r>
        <w:rPr>
          <w:rFonts w:cs="Times New Roman"/>
        </w:rPr>
        <w:t>Table 1.1 maps each identified gap to the specific contribution of this project that addresses it.</w:t>
      </w:r>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3500"/>
        <w:gridCol w:w="4526"/>
      </w:tblGrid>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Gap</w:t>
            </w:r>
          </w:p>
        </w:tc>
        <w:tc>
          <w:tcPr>
            <w:tcW w:w="35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Description</w:t>
            </w:r>
          </w:p>
        </w:tc>
        <w:tc>
          <w:tcPr>
            <w:tcW w:w="4526"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Project Contribution</w:t>
            </w:r>
          </w:p>
        </w:tc>
      </w:tr>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lastRenderedPageBreak/>
              <w:t>G1</w:t>
            </w:r>
          </w:p>
        </w:tc>
        <w:tc>
          <w:tcPr>
            <w:tcW w:w="3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unified single-execution acquisition pipeline</w:t>
            </w:r>
          </w:p>
        </w:tc>
        <w:tc>
          <w:tcPr>
            <w:tcW w:w="45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ForensicAcq executes seven acquisition modules in sequence from a single script</w:t>
            </w:r>
          </w:p>
        </w:tc>
      </w:tr>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G2</w:t>
            </w:r>
          </w:p>
        </w:tc>
        <w:tc>
          <w:tcPr>
            <w:tcW w:w="3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 cost-free alternative matching commercial triage scope</w:t>
            </w:r>
          </w:p>
        </w:tc>
        <w:tc>
          <w:tcPr>
            <w:tcW w:w="45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Zero-cost Python tool covering system, software, browser, process, event log, and recycle bin artefacts</w:t>
            </w:r>
          </w:p>
        </w:tc>
      </w:tr>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G3</w:t>
            </w:r>
          </w:p>
        </w:tc>
        <w:tc>
          <w:tcPr>
            <w:tcW w:w="3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automated evidence integrity verification</w:t>
            </w:r>
          </w:p>
        </w:tc>
        <w:tc>
          <w:tcPr>
            <w:tcW w:w="45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MD5 and SHA-256 hashes computed for all executable files and system binaries at acquisition time</w:t>
            </w:r>
          </w:p>
        </w:tc>
      </w:tr>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G4</w:t>
            </w:r>
          </w:p>
        </w:tc>
        <w:tc>
          <w:tcPr>
            <w:tcW w:w="3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 automated encrypted evidence packaging</w:t>
            </w:r>
          </w:p>
        </w:tc>
        <w:tc>
          <w:tcPr>
            <w:tcW w:w="45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AES-encrypted ZIP container produced automatically on completion</w:t>
            </w:r>
          </w:p>
        </w:tc>
      </w:tr>
      <w:tr w:rsidR="00EC75FD">
        <w:tblPrEx>
          <w:tblCellMar>
            <w:top w:w="0" w:type="dxa"/>
            <w:bottom w:w="0" w:type="dxa"/>
          </w:tblCellMar>
        </w:tblPrEx>
        <w:tc>
          <w:tcPr>
            <w:tcW w:w="1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G5</w:t>
            </w:r>
          </w:p>
        </w:tc>
        <w:tc>
          <w:tcPr>
            <w:tcW w:w="3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Limited academic evaluation of lightweight tools</w:t>
            </w:r>
          </w:p>
        </w:tc>
        <w:tc>
          <w:tcPr>
            <w:tcW w:w="45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Systematic comparison against FTK Imager, Magnet AXIOM, KAPE, Autopsy, and Volatility</w:t>
            </w:r>
          </w:p>
        </w:tc>
      </w:tr>
    </w:tbl>
    <w:p w:rsidR="00EC75FD" w:rsidRDefault="001D57CD">
      <w:pPr>
        <w:spacing w:after="200" w:line="276" w:lineRule="auto"/>
        <w:jc w:val="center"/>
      </w:pPr>
      <w:r>
        <w:rPr>
          <w:rFonts w:cs="Times New Roman"/>
          <w:i/>
          <w:iCs/>
          <w:color w:val="555555"/>
          <w:sz w:val="20"/>
          <w:szCs w:val="20"/>
        </w:rPr>
        <w:t>Table 1.1. Research gaps mapped to project contributions.</w:t>
      </w:r>
    </w:p>
    <w:p w:rsidR="00EC75FD" w:rsidRDefault="001D57CD">
      <w:pPr>
        <w:pStyle w:val="Heading2"/>
      </w:pPr>
      <w:bookmarkStart w:id="7" w:name="_Toc229910979"/>
      <w:r>
        <w:t>1.5  Aims and Objectives</w:t>
      </w:r>
      <w:bookmarkEnd w:id="7"/>
    </w:p>
    <w:p w:rsidR="00EC75FD" w:rsidRDefault="001D57CD">
      <w:pPr>
        <w:pStyle w:val="Heading3"/>
      </w:pPr>
      <w:bookmarkStart w:id="8" w:name="_Toc229910980"/>
      <w:r>
        <w:t>Aim</w:t>
      </w:r>
      <w:bookmarkEnd w:id="8"/>
    </w:p>
    <w:p w:rsidR="00EC75FD" w:rsidRDefault="001D57CD">
      <w:pPr>
        <w:spacing w:after="120" w:line="276" w:lineRule="auto"/>
        <w:jc w:val="both"/>
      </w:pPr>
      <w:r>
        <w:rPr>
          <w:rFonts w:cs="Times New Roman"/>
        </w:rPr>
        <w:t>To design, implement, and evaluate a lightweight, cost-effective digital forensics acquisition tool for Windows systems that provides automated collection of volatile and non-volatile artefacts with cryptographic integrity verification and encrypted eviden</w:t>
      </w:r>
      <w:r>
        <w:rPr>
          <w:rFonts w:cs="Times New Roman"/>
        </w:rPr>
        <w:t>ce packaging, suitable for deployment by resource-constrained organisations without specialist forensic expertise.</w:t>
      </w:r>
    </w:p>
    <w:p w:rsidR="00EC75FD" w:rsidRDefault="001D57CD">
      <w:pPr>
        <w:pStyle w:val="Heading3"/>
      </w:pPr>
      <w:bookmarkStart w:id="9" w:name="_Toc229910981"/>
      <w:r>
        <w:t>Objectives</w:t>
      </w:r>
      <w:bookmarkEnd w:id="9"/>
    </w:p>
    <w:p w:rsidR="00EC75FD" w:rsidRDefault="001D57CD">
      <w:pPr>
        <w:spacing w:after="120" w:line="276" w:lineRule="auto"/>
        <w:jc w:val="both"/>
      </w:pPr>
      <w:r>
        <w:rPr>
          <w:rFonts w:cs="Times New Roman"/>
          <w:b/>
          <w:bCs/>
        </w:rPr>
        <w:t xml:space="preserve">(O1) </w:t>
      </w:r>
      <w:r>
        <w:rPr>
          <w:rFonts w:cs="Times New Roman"/>
        </w:rPr>
        <w:t>To conduct a systematic review of existing commercial and open-source digital forensics acquisition tools, identifying capabi</w:t>
      </w:r>
      <w:r>
        <w:rPr>
          <w:rFonts w:cs="Times New Roman"/>
        </w:rPr>
        <w:t>lity gaps, cost barriers, and usability limitations that prevent adoption by small and medium-sized organisations.</w:t>
      </w:r>
    </w:p>
    <w:p w:rsidR="00EC75FD" w:rsidRDefault="001D57CD">
      <w:pPr>
        <w:spacing w:after="120" w:line="276" w:lineRule="auto"/>
        <w:jc w:val="both"/>
      </w:pPr>
      <w:r>
        <w:rPr>
          <w:rFonts w:cs="Times New Roman"/>
          <w:b/>
          <w:bCs/>
        </w:rPr>
        <w:t xml:space="preserve">(O2) </w:t>
      </w:r>
      <w:r>
        <w:rPr>
          <w:rFonts w:cs="Times New Roman"/>
        </w:rPr>
        <w:t>To design and implement a Python-based forensic acquisition tool (ForensicAcq) capable of collecting system information, installed softw</w:t>
      </w:r>
      <w:r>
        <w:rPr>
          <w:rFonts w:cs="Times New Roman"/>
        </w:rPr>
        <w:t>are, browser history (Chrome, Firefox, Brave, Edge), running processes with executable hashes, Windows Event Logs, Recycle Bin contents, and network configuration from live Windows systems.</w:t>
      </w:r>
    </w:p>
    <w:p w:rsidR="00EC75FD" w:rsidRDefault="001D57CD">
      <w:pPr>
        <w:spacing w:after="120" w:line="276" w:lineRule="auto"/>
        <w:jc w:val="both"/>
      </w:pPr>
      <w:r>
        <w:rPr>
          <w:rFonts w:cs="Times New Roman"/>
          <w:b/>
          <w:bCs/>
        </w:rPr>
        <w:t xml:space="preserve">(O3) </w:t>
      </w:r>
      <w:r>
        <w:rPr>
          <w:rFonts w:cs="Times New Roman"/>
        </w:rPr>
        <w:t>To evaluate the tool’s artefact coverage, evidence integrity,</w:t>
      </w:r>
      <w:r>
        <w:rPr>
          <w:rFonts w:cs="Times New Roman"/>
        </w:rPr>
        <w:t xml:space="preserve"> and operational usability through controlled testing on Windows 10 and Windows 11 environments, comparing results against FTK Imager, Magnet AXIOM, and three open-source alternatives.</w:t>
      </w:r>
    </w:p>
    <w:p w:rsidR="00EC75FD" w:rsidRDefault="001D57CD">
      <w:pPr>
        <w:pStyle w:val="Heading2"/>
      </w:pPr>
      <w:bookmarkStart w:id="10" w:name="_Toc229910982"/>
      <w:r>
        <w:t>1.6  Project Scope and Ethics</w:t>
      </w:r>
      <w:bookmarkEnd w:id="10"/>
    </w:p>
    <w:p w:rsidR="00EC75FD" w:rsidRDefault="001D57CD">
      <w:pPr>
        <w:spacing w:after="120" w:line="276" w:lineRule="auto"/>
        <w:jc w:val="both"/>
      </w:pPr>
      <w:r>
        <w:rPr>
          <w:rFonts w:cs="Times New Roman"/>
        </w:rPr>
        <w:t>This project is conducted entirely on the</w:t>
      </w:r>
      <w:r>
        <w:rPr>
          <w:rFonts w:cs="Times New Roman"/>
        </w:rPr>
        <w:t xml:space="preserve"> researcher’s own Windows systems with no human participants, no real user data from third parties, and no connection to external production networks during testing. All browser history, process data, and system artefacts collected during evaluation are th</w:t>
      </w:r>
      <w:r>
        <w:rPr>
          <w:rFonts w:cs="Times New Roman"/>
        </w:rPr>
        <w:t>e researcher’s own data on dedicated test machines. The project was assessed as minimal risk under the UWTSD Research Ethics and Integrity Code of Practice [14]. Generative AI tools were used exclusively for language support and grammar checking, consisten</w:t>
      </w:r>
      <w:r>
        <w:rPr>
          <w:rFonts w:cs="Times New Roman"/>
        </w:rPr>
        <w:t>t with module policy ACFB7003. All technical implementation, analysis, and written content are produced independently.</w:t>
      </w:r>
    </w:p>
    <w:p w:rsidR="00EC75FD" w:rsidRDefault="001D57CD">
      <w:pPr>
        <w:pStyle w:val="Heading2"/>
      </w:pPr>
      <w:bookmarkStart w:id="11" w:name="_Toc229910983"/>
      <w:r>
        <w:t>1.7  Tool Workflow Overview</w:t>
      </w:r>
      <w:bookmarkEnd w:id="11"/>
    </w:p>
    <w:p w:rsidR="00EC75FD" w:rsidRDefault="001D57CD">
      <w:pPr>
        <w:spacing w:after="120" w:line="276" w:lineRule="auto"/>
        <w:jc w:val="both"/>
      </w:pPr>
      <w:r>
        <w:rPr>
          <w:rFonts w:cs="Times New Roman"/>
        </w:rPr>
        <w:lastRenderedPageBreak/>
        <w:t>ForensicAcq operates as a sequential pipeline of seven acquisition modules, each targeting a distinct category of Windows artefact. The workflow is deliberately sequential rather than parallel, because forensic acquisition prioritises evidence integrity ov</w:t>
      </w:r>
      <w:r>
        <w:rPr>
          <w:rFonts w:cs="Times New Roman"/>
        </w:rPr>
        <w:t>er speed, and sequential execution produces a deterministic, reproducible acquisition order that can be documented in the chain of custody record. Figure 1.1 illustrates this pipeline.</w:t>
      </w:r>
    </w:p>
    <w:p w:rsidR="00EC75FD" w:rsidRDefault="001D57CD">
      <w:pPr>
        <w:spacing w:before="200" w:after="80"/>
        <w:jc w:val="center"/>
      </w:pPr>
      <w:r>
        <w:rPr>
          <w:noProof/>
        </w:rPr>
        <w:drawing>
          <wp:inline distT="0" distB="0" distL="0" distR="0">
            <wp:extent cx="4953000" cy="2952750"/>
            <wp:effectExtent l="0" t="0" r="0" b="0"/>
            <wp:docPr id="1" name="fig1_1_workflow.png" descr="Figure 1.1. ForensicAcq acquisition pipeline: seven sequential modules from system information through to encrypted evidence packaging." title="Figure 1.1. ForensicAcq acquisition pipeline: seven sequential modules from system information through to encrypted evidence pack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1.1. ForensicAcq acquisition pipeline: seven sequential module</w:t>
      </w:r>
      <w:r>
        <w:rPr>
          <w:rFonts w:cs="Times New Roman"/>
          <w:i/>
          <w:iCs/>
          <w:color w:val="555555"/>
          <w:sz w:val="20"/>
          <w:szCs w:val="20"/>
        </w:rPr>
        <w:t>s from system information through to encrypted evidence packaging.</w:t>
      </w:r>
    </w:p>
    <w:p w:rsidR="00EC75FD" w:rsidRDefault="001D57CD">
      <w:pPr>
        <w:spacing w:after="120" w:line="276" w:lineRule="auto"/>
        <w:jc w:val="both"/>
      </w:pPr>
      <w:r>
        <w:rPr>
          <w:rFonts w:cs="Times New Roman"/>
        </w:rPr>
        <w:t>Module 1 (System Information) collects hardware specifications, OS version, network configuration, and systeminfo output via Windows Registry queries, WMI, and subprocess calls to ipconfig,</w:t>
      </w:r>
      <w:r>
        <w:rPr>
          <w:rFonts w:cs="Times New Roman"/>
        </w:rPr>
        <w:t xml:space="preserve"> netstat, arp, and route. Module 2 (Installed Software) enumerates the Windows Registry Uninstall key to extract application names, versions, install dates, and publishers. Module 3 (Browser History) terminates browser processes to release database locks, </w:t>
      </w:r>
      <w:r>
        <w:rPr>
          <w:rFonts w:cs="Times New Roman"/>
        </w:rPr>
        <w:t>then reads SQLite history databases for Chrome, Firefox, Brave, and Edge, converting WebKit and Mozilla timestamp formats to human-readable IST datetime strings. Module 4 (File Hashing) computes MD5 and SHA-256 hashes of all executable files in Program Fil</w:t>
      </w:r>
      <w:r>
        <w:rPr>
          <w:rFonts w:cs="Times New Roman"/>
        </w:rPr>
        <w:t>es, Program Files (x86), and System32, using multi-threaded processing for performance. Module 5 (Digital Forensics Collection) acquires user account information, scheduled tasks, TCP connections, firewall rules, registry mount points, service states, Wind</w:t>
      </w:r>
      <w:r>
        <w:rPr>
          <w:rFonts w:cs="Times New Roman"/>
        </w:rPr>
        <w:t>ows Event Logs (.evtx files), PowerShell command history, recently accessed files, and running process metadata with executable hashes. Module 6 (Recycle Bin) extracts deleted file metadata including original file paths and deletion timestamps. Module 7 (E</w:t>
      </w:r>
      <w:r>
        <w:rPr>
          <w:rFonts w:cs="Times New Roman"/>
        </w:rPr>
        <w:t>vidence Packaging) consolidates all collected artefacts into an AES-encrypted ZIP container using the pyzipper library.</w:t>
      </w:r>
    </w:p>
    <w:p w:rsidR="00EC75FD" w:rsidRDefault="001D57CD">
      <w:pPr>
        <w:pStyle w:val="Heading2"/>
      </w:pPr>
      <w:bookmarkStart w:id="12" w:name="_Toc229910984"/>
      <w:r>
        <w:t>1.8  Dissertation Structure</w:t>
      </w:r>
      <w:bookmarkEnd w:id="12"/>
    </w:p>
    <w:p w:rsidR="00EC75FD" w:rsidRDefault="001D57CD">
      <w:pPr>
        <w:spacing w:after="120" w:line="276" w:lineRule="auto"/>
        <w:jc w:val="both"/>
      </w:pPr>
      <w:r>
        <w:rPr>
          <w:rFonts w:cs="Times New Roman"/>
        </w:rPr>
        <w:t>Chapter 2 delivers a systematic literature review covering digital forensics acquisition fundamentals, comme</w:t>
      </w:r>
      <w:r>
        <w:rPr>
          <w:rFonts w:cs="Times New Roman"/>
        </w:rPr>
        <w:t xml:space="preserve">rcial tool analysis, open-source tool landscape, comparative evaluation frameworks, evidence integrity and chain of custody requirements, and synthesis of five </w:t>
      </w:r>
      <w:r>
        <w:rPr>
          <w:rFonts w:cs="Times New Roman"/>
        </w:rPr>
        <w:lastRenderedPageBreak/>
        <w:t>research gaps. Chapter 3 presents the research methodology, experimental design, evaluation metr</w:t>
      </w:r>
      <w:r>
        <w:rPr>
          <w:rFonts w:cs="Times New Roman"/>
        </w:rPr>
        <w:t>ics, and formal threats to validity. Chapter 4 documents the system design, architecture, and module design decisions. Chapter 5 details the implementation of each acquisition module with code-level reasoning. Chapter 6 presents evaluation results, includi</w:t>
      </w:r>
      <w:r>
        <w:rPr>
          <w:rFonts w:cs="Times New Roman"/>
        </w:rPr>
        <w:t>ng comparative analysis against five existing tools. Chapter 7 concludes with answers to the three research questions, acknowledged limitations, and proposed future work. Chapter 8 provides personal reflection.</w:t>
      </w:r>
    </w:p>
    <w:p w:rsidR="00EC75FD" w:rsidRDefault="001D57CD">
      <w:r>
        <w:br w:type="page"/>
      </w:r>
    </w:p>
    <w:p w:rsidR="00EC75FD" w:rsidRDefault="001D57CD">
      <w:pPr>
        <w:pStyle w:val="Heading1"/>
      </w:pPr>
      <w:bookmarkStart w:id="13" w:name="_Toc229910985"/>
      <w:r>
        <w:lastRenderedPageBreak/>
        <w:t>Chapter 2: Literature Review</w:t>
      </w:r>
      <w:bookmarkEnd w:id="13"/>
    </w:p>
    <w:p w:rsidR="00EC75FD" w:rsidRDefault="001D57CD">
      <w:pPr>
        <w:spacing w:after="120" w:line="276" w:lineRule="auto"/>
        <w:jc w:val="both"/>
      </w:pPr>
      <w:r>
        <w:rPr>
          <w:rFonts w:cs="Times New Roman"/>
        </w:rPr>
        <w:t>This chapter p</w:t>
      </w:r>
      <w:r>
        <w:rPr>
          <w:rFonts w:cs="Times New Roman"/>
        </w:rPr>
        <w:t>resents a systematic and critical review of scholarship on digital forensics acquisition tools, methodologies, and evaluation frameworks. Sources were drawn from peer-reviewed IEEE and ACM conference proceedings, Springer and Elsevier journals, NIST techni</w:t>
      </w:r>
      <w:r>
        <w:rPr>
          <w:rFonts w:cs="Times New Roman"/>
        </w:rPr>
        <w:t>cal publications, and authoritative industry reports published predominantly between mid-2024 and 2026, supplemented by foundational works where historical context is necessary. The review is organised around six themes: (1) digital forensics acquisition f</w:t>
      </w:r>
      <w:r>
        <w:rPr>
          <w:rFonts w:cs="Times New Roman"/>
        </w:rPr>
        <w:t>undamentals and the NIST framework; (2) commercial tool landscape and cost analysis; (3) open-source tools and their limitations; (4) evidence integrity, hashing, and chain of custody; (5) comparative evaluation methodologies; and (6) synthesis of research</w:t>
      </w:r>
      <w:r>
        <w:rPr>
          <w:rFonts w:cs="Times New Roman"/>
        </w:rPr>
        <w:t xml:space="preserve"> gaps and project positioning.</w:t>
      </w:r>
    </w:p>
    <w:p w:rsidR="00EC75FD" w:rsidRDefault="001D57CD">
      <w:pPr>
        <w:pStyle w:val="Heading2"/>
      </w:pPr>
      <w:bookmarkStart w:id="14" w:name="_Toc229910986"/>
      <w:r>
        <w:t>2.1  Digital Forensics Acquisition Fundamentals</w:t>
      </w:r>
      <w:bookmarkEnd w:id="14"/>
    </w:p>
    <w:p w:rsidR="00EC75FD" w:rsidRDefault="001D57CD">
      <w:pPr>
        <w:spacing w:after="120" w:line="276" w:lineRule="auto"/>
        <w:jc w:val="both"/>
      </w:pPr>
      <w:r>
        <w:rPr>
          <w:rFonts w:cs="Times New Roman"/>
        </w:rPr>
        <w:t>Digital forensics acquisition is the controlled process of collecting, preserving, and documenting digital evidence from computing devices in a manner that maintains its integri</w:t>
      </w:r>
      <w:r>
        <w:rPr>
          <w:rFonts w:cs="Times New Roman"/>
        </w:rPr>
        <w:t>ty and supports its admissibility in legal or regulatory proceedings [6], [8]. The discipline operates under a fundamental constraint that distinguishes it from conventional data collection: every interaction with a target system potentially modifies the e</w:t>
      </w:r>
      <w:r>
        <w:rPr>
          <w:rFonts w:cs="Times New Roman"/>
        </w:rPr>
        <w:t>vidence it contains. Reading a file updates its access timestamp. Running a collection tool loads code into memory, displacing whatever occupied that space before. Even mounting a USB drive to store collected evidence can trigger Windows autorun events tha</w:t>
      </w:r>
      <w:r>
        <w:rPr>
          <w:rFonts w:cs="Times New Roman"/>
        </w:rPr>
        <w:t>t alter the system state. Forensic acquisition therefore requires deliberate minimisation of the examiner’s footprint on the target system, a principle formalised in the ACPO Good Practice Guide and codified in ISO 27037:2012 [15], [16].</w:t>
      </w:r>
    </w:p>
    <w:p w:rsidR="00EC75FD" w:rsidRDefault="001D57CD">
      <w:pPr>
        <w:spacing w:after="120" w:line="276" w:lineRule="auto"/>
        <w:jc w:val="both"/>
      </w:pPr>
      <w:r>
        <w:rPr>
          <w:rFonts w:cs="Times New Roman"/>
        </w:rPr>
        <w:t>The NIST Special P</w:t>
      </w:r>
      <w:r>
        <w:rPr>
          <w:rFonts w:cs="Times New Roman"/>
        </w:rPr>
        <w:t>ublication 800-86 framework defines four phases of forensic processing: collection, examination, analysis, and reporting [8]. Collection encompasses the identification and acquisition of potential evidence sources. Examination involves processing collected</w:t>
      </w:r>
      <w:r>
        <w:rPr>
          <w:rFonts w:cs="Times New Roman"/>
        </w:rPr>
        <w:t xml:space="preserve"> data to extract artefacts of interest. Analysis interprets those artefacts in the context of the investigation. Reporting presents findings in a format suitable for the intended audience. This project sits squarely within the collection phase, specificall</w:t>
      </w:r>
      <w:r>
        <w:rPr>
          <w:rFonts w:cs="Times New Roman"/>
        </w:rPr>
        <w:t>y the automated acquisition of live-system artefacts from Windows environments. The examination, analysis, and reporting phases are supported by the tool’s structured output format but are not the primary focus of the implementation.</w:t>
      </w:r>
    </w:p>
    <w:p w:rsidR="00EC75FD" w:rsidRDefault="001D57CD">
      <w:pPr>
        <w:pStyle w:val="Heading3"/>
      </w:pPr>
      <w:bookmarkStart w:id="15" w:name="_Toc229910987"/>
      <w:r>
        <w:t>2.1.1  Volatile vs. No</w:t>
      </w:r>
      <w:r>
        <w:t>n-Volatile Evidence</w:t>
      </w:r>
      <w:bookmarkEnd w:id="15"/>
    </w:p>
    <w:p w:rsidR="00EC75FD" w:rsidRDefault="001D57CD">
      <w:pPr>
        <w:spacing w:after="120" w:line="276" w:lineRule="auto"/>
        <w:jc w:val="both"/>
      </w:pPr>
      <w:r>
        <w:rPr>
          <w:rFonts w:cs="Times New Roman"/>
        </w:rPr>
        <w:t>A critical distinction in forensic acquisition is between volatile and non-volatile evidence [7], [17]. Volatile evidence exists only while the system is powered on and actively running. It includes the contents of physical RAM, running</w:t>
      </w:r>
      <w:r>
        <w:rPr>
          <w:rFonts w:cs="Times New Roman"/>
        </w:rPr>
        <w:t xml:space="preserve"> process lists, active network connections, logged-in user sessions, open file handles, and the current state of the Windows clipboard. Non-volatile evidence persists on storage media and survives system shutdown, including file system contents, installed </w:t>
      </w:r>
      <w:r>
        <w:rPr>
          <w:rFonts w:cs="Times New Roman"/>
        </w:rPr>
        <w:t xml:space="preserve">application records, Windows Event Logs, browser history databases, and the Windows Registry. The Order of Volatility, first formalised by RFC 3227 </w:t>
      </w:r>
      <w:r>
        <w:rPr>
          <w:rFonts w:cs="Times New Roman"/>
        </w:rPr>
        <w:lastRenderedPageBreak/>
        <w:t>and incorporated into the NIST framework, establishes that volatile evidence should be collected before non-</w:t>
      </w:r>
      <w:r>
        <w:rPr>
          <w:rFonts w:cs="Times New Roman"/>
        </w:rPr>
        <w:t>volatile evidence because it has a shorter persistence window [7], [8].</w:t>
      </w:r>
    </w:p>
    <w:p w:rsidR="00EC75FD" w:rsidRDefault="001D57CD">
      <w:pPr>
        <w:spacing w:after="120" w:line="276" w:lineRule="auto"/>
        <w:jc w:val="both"/>
      </w:pPr>
      <w:r>
        <w:rPr>
          <w:rFonts w:cs="Times New Roman"/>
        </w:rPr>
        <w:t>ForensicAcq respects this ordering. Its first two modules collect system information and process state, which include volatile data such as running processes, active network connection</w:t>
      </w:r>
      <w:r>
        <w:rPr>
          <w:rFonts w:cs="Times New Roman"/>
        </w:rPr>
        <w:t>s, and logged-in user sessions. Subsequent modules collect non-volatile artefacts: installed software, browser history, file hashes, event logs, and recycle bin metadata. The final module packages everything into the encrypted evidence container. This sequ</w:t>
      </w:r>
      <w:r>
        <w:rPr>
          <w:rFonts w:cs="Times New Roman"/>
        </w:rPr>
        <w:t>encing is a deliberate design decision rooted in forensic best practice, not an arbitrary implementation choice.</w:t>
      </w:r>
    </w:p>
    <w:p w:rsidR="00EC75FD" w:rsidRDefault="001D57CD">
      <w:pPr>
        <w:spacing w:before="200" w:after="80"/>
        <w:jc w:val="center"/>
      </w:pPr>
      <w:r>
        <w:rPr>
          <w:noProof/>
        </w:rPr>
        <w:drawing>
          <wp:inline distT="0" distB="0" distL="0" distR="0">
            <wp:extent cx="4953000" cy="2952750"/>
            <wp:effectExtent l="0" t="0" r="0" b="0"/>
            <wp:docPr id="2" name="fig2_1_taxonomy.png" descr="Figure 2.1. Digital forensics tool taxonomy: deployment model, acquisition type, and cost classification." title="Figure 2.1. Digital forensics tool taxonomy: deployment model, acquisition type, and cost class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2.1. Digital forensics tool taxonomy: deployment model, acquisition type, and cost classification.</w:t>
      </w:r>
    </w:p>
    <w:p w:rsidR="00EC75FD" w:rsidRDefault="001D57CD">
      <w:pPr>
        <w:pStyle w:val="Heading2"/>
      </w:pPr>
      <w:bookmarkStart w:id="16" w:name="_Toc229910988"/>
      <w:r>
        <w:t xml:space="preserve">2.2  Commercial Tool Landscape and </w:t>
      </w:r>
      <w:r>
        <w:t>Cost Analysis</w:t>
      </w:r>
      <w:bookmarkEnd w:id="16"/>
    </w:p>
    <w:p w:rsidR="00EC75FD" w:rsidRDefault="001D57CD">
      <w:pPr>
        <w:spacing w:after="120" w:line="276" w:lineRule="auto"/>
        <w:jc w:val="both"/>
      </w:pPr>
      <w:r>
        <w:rPr>
          <w:rFonts w:cs="Times New Roman"/>
        </w:rPr>
        <w:t>The commercial digital forensics market is dominated by three platforms: Magnet AXIOM (Magnet Forensics), FTK and FTK Imager (Exterro), and EnCase (OpenText). Each of these platforms provides comprehensive forensic capabilities, but their pri</w:t>
      </w:r>
      <w:r>
        <w:rPr>
          <w:rFonts w:cs="Times New Roman"/>
        </w:rPr>
        <w:t>cing structures create a significant barrier for smaller organisations. Understanding these cost barriers is not a tangential concern; it is the central motivation for this project.</w:t>
      </w:r>
    </w:p>
    <w:p w:rsidR="00EC75FD" w:rsidRDefault="001D57CD">
      <w:pPr>
        <w:pStyle w:val="Heading3"/>
      </w:pPr>
      <w:bookmarkStart w:id="17" w:name="_Toc229910989"/>
      <w:r>
        <w:t>2.2.1  Magnet AXIOM</w:t>
      </w:r>
      <w:bookmarkEnd w:id="17"/>
    </w:p>
    <w:p w:rsidR="00EC75FD" w:rsidRDefault="001D57CD">
      <w:pPr>
        <w:spacing w:after="120" w:line="276" w:lineRule="auto"/>
        <w:jc w:val="both"/>
      </w:pPr>
      <w:r>
        <w:rPr>
          <w:rFonts w:cs="Times New Roman"/>
        </w:rPr>
        <w:t>Magnet AXIOM is a comprehensive digital investigation platform that supports acquisition and analysis of evidence from computers, mobile devices, cloud services, and vehicles [2]. Its strengths are considerable: AXIOM’s artefact parsing covers over 800 app</w:t>
      </w:r>
      <w:r>
        <w:rPr>
          <w:rFonts w:cs="Times New Roman"/>
        </w:rPr>
        <w:t>lication-specific artefact types, its timeline and connection analysis features allow investigators to reconstruct event sequences across multiple data sources, and its Magnet.AI module uses machine learning to classify images and flag content of investiga</w:t>
      </w:r>
      <w:r>
        <w:rPr>
          <w:rFonts w:cs="Times New Roman"/>
        </w:rPr>
        <w:t>tive interest. The 2025 release added enhanced cloud acquisition for Microsoft 365 and Google Workspace environments, along with vehicle infotainment system support.</w:t>
      </w:r>
    </w:p>
    <w:p w:rsidR="00EC75FD" w:rsidRDefault="001D57CD">
      <w:pPr>
        <w:spacing w:after="120" w:line="276" w:lineRule="auto"/>
        <w:jc w:val="both"/>
      </w:pPr>
      <w:r>
        <w:rPr>
          <w:rFonts w:cs="Times New Roman"/>
        </w:rPr>
        <w:lastRenderedPageBreak/>
        <w:t>The limitation, for the purposes of this project, is cost. Magnet AXIOM Standard, designed</w:t>
      </w:r>
      <w:r>
        <w:rPr>
          <w:rFonts w:cs="Times New Roman"/>
        </w:rPr>
        <w:t xml:space="preserve"> for law enforcement, carries an annual subscription starting at approximately USD 5,995. The Magnet AXIOM Cyber variant, tailored for enterprise incident response with remote acquisition capabilities, costs significantly more, with industry reports sugges</w:t>
      </w:r>
      <w:r>
        <w:rPr>
          <w:rFonts w:cs="Times New Roman"/>
        </w:rPr>
        <w:t>ting USD 8,000 or above depending on endpoint count [2], [18]. These are not one-time costs; they are recurring annual subscriptions that must be renewed to maintain access to the software and its artefact definition updates. For a small consultancy or uni</w:t>
      </w:r>
      <w:r>
        <w:rPr>
          <w:rFonts w:cs="Times New Roman"/>
        </w:rPr>
        <w:t>versity department, USD 6,000 per year represents a substantial budget commitment for a tool that may only be needed a handful of times annually.</w:t>
      </w:r>
    </w:p>
    <w:p w:rsidR="00EC75FD" w:rsidRDefault="001D57CD">
      <w:pPr>
        <w:pStyle w:val="Heading3"/>
      </w:pPr>
      <w:bookmarkStart w:id="18" w:name="_Toc229910990"/>
      <w:r>
        <w:t>2.2.2  FTK and FTK Imager</w:t>
      </w:r>
      <w:bookmarkEnd w:id="18"/>
    </w:p>
    <w:p w:rsidR="00EC75FD" w:rsidRDefault="001D57CD">
      <w:pPr>
        <w:spacing w:after="120" w:line="276" w:lineRule="auto"/>
        <w:jc w:val="both"/>
      </w:pPr>
      <w:r>
        <w:rPr>
          <w:rFonts w:cs="Times New Roman"/>
        </w:rPr>
        <w:t xml:space="preserve">The Forensic Toolkit (FTK) by Exterro is a court-cited forensic analysis suite with </w:t>
      </w:r>
      <w:r>
        <w:rPr>
          <w:rFonts w:cs="Times New Roman"/>
        </w:rPr>
        <w:t>strong disk imaging, data carving, and indexed search capabilities [3], [19]. FTK’s perpetual licensing starts at USD 7,999 per seat, with the full suite requiring substantial hardware: 16 logical processor cores and 24 GB of RAM at minimum, with 2 GB of R</w:t>
      </w:r>
      <w:r>
        <w:rPr>
          <w:rFonts w:cs="Times New Roman"/>
        </w:rPr>
        <w:t>AM per logical core recommended for acceptable performance [3]. This hardware requirement alone prices out many smaller organisations.</w:t>
      </w:r>
    </w:p>
    <w:p w:rsidR="00EC75FD" w:rsidRDefault="001D57CD">
      <w:pPr>
        <w:spacing w:after="120" w:line="276" w:lineRule="auto"/>
        <w:jc w:val="both"/>
      </w:pPr>
      <w:r>
        <w:rPr>
          <w:rFonts w:cs="Times New Roman"/>
        </w:rPr>
        <w:t xml:space="preserve">FTK Imager, by contrast, is free. It creates forensic images of physical and logical drives, generates hash reports, and </w:t>
      </w:r>
      <w:r>
        <w:rPr>
          <w:rFonts w:cs="Times New Roman"/>
        </w:rPr>
        <w:t>allows evidence preview. For disk imaging specifically, FTK Imager is an excellent tool and is widely used by both professionals and students. However, FTK Imager operates exclusively on disk images and logical drives. It does not collect volatile system s</w:t>
      </w:r>
      <w:r>
        <w:rPr>
          <w:rFonts w:cs="Times New Roman"/>
        </w:rPr>
        <w:t>tate: running processes, active network connections, logged-in users, browser history from locked databases, or Windows Event Logs as live artefacts. An investigator using only FTK Imager must supplement it with separate tools for each category of volatile</w:t>
      </w:r>
      <w:r>
        <w:rPr>
          <w:rFonts w:cs="Times New Roman"/>
        </w:rPr>
        <w:t xml:space="preserve"> evidence, manually coordinating the collection process and maintaining the chain of custody across multiple tool outputs [19].</w:t>
      </w:r>
    </w:p>
    <w:p w:rsidR="00EC75FD" w:rsidRDefault="001D57CD">
      <w:pPr>
        <w:pStyle w:val="Heading3"/>
      </w:pPr>
      <w:bookmarkStart w:id="19" w:name="_Toc229910991"/>
      <w:r>
        <w:t>2.2.3  OpenText EnCase</w:t>
      </w:r>
      <w:bookmarkEnd w:id="19"/>
    </w:p>
    <w:p w:rsidR="00EC75FD" w:rsidRDefault="001D57CD">
      <w:pPr>
        <w:spacing w:after="120" w:line="276" w:lineRule="auto"/>
        <w:jc w:val="both"/>
      </w:pPr>
      <w:r>
        <w:rPr>
          <w:rFonts w:cs="Times New Roman"/>
        </w:rPr>
        <w:t>EnCase, now under the OpenText brand, has been the gold standard in law enforcement forensics for over two decades, receiving SC Magazine’s Best Computer Forensic Solution award for more than ten consecutive years [20]. The 2024 release introduced AI-assis</w:t>
      </w:r>
      <w:r>
        <w:rPr>
          <w:rFonts w:cs="Times New Roman"/>
        </w:rPr>
        <w:t>ted evidence tagging and enhanced Apple Silicon support. EnCase’s strengths are its court-admissibility track record, its comprehensive file system support, and its enterprise-scale remote acquisition capabilities through EnCase Endpoint Investigator.</w:t>
      </w:r>
    </w:p>
    <w:p w:rsidR="00EC75FD" w:rsidRDefault="001D57CD">
      <w:pPr>
        <w:spacing w:after="120" w:line="276" w:lineRule="auto"/>
        <w:jc w:val="both"/>
      </w:pPr>
      <w:r>
        <w:rPr>
          <w:rFonts w:cs="Times New Roman"/>
        </w:rPr>
        <w:t xml:space="preserve">The </w:t>
      </w:r>
      <w:r>
        <w:rPr>
          <w:rFonts w:cs="Times New Roman"/>
        </w:rPr>
        <w:t>cost barrier is even more pronounced than with AXIOM or FTK. EnCase operates on an enterprise licensing model, with pricing not publicly disclosed but industry estimates placing annual subscriptions in the USD 10,000 to 15,000 range for a single examiner s</w:t>
      </w:r>
      <w:r>
        <w:rPr>
          <w:rFonts w:cs="Times New Roman"/>
        </w:rPr>
        <w:t>eat [20]. This places EnCase firmly in the domain of large law enforcement agencies, government departments, and enterprise security teams. Small organisations, independent consultants, and academic institutions are effectively excluded from the EnCase eco</w:t>
      </w:r>
      <w:r>
        <w:rPr>
          <w:rFonts w:cs="Times New Roman"/>
        </w:rPr>
        <w:t>system.</w:t>
      </w:r>
    </w:p>
    <w:p w:rsidR="00EC75FD" w:rsidRDefault="001D57CD">
      <w:pPr>
        <w:pStyle w:val="Heading3"/>
      </w:pPr>
      <w:bookmarkStart w:id="20" w:name="_Toc229910992"/>
      <w:r>
        <w:t>2.2.4  Cost-Capability Comparison</w:t>
      </w:r>
      <w:bookmarkEnd w:id="20"/>
    </w:p>
    <w:p w:rsidR="00EC75FD" w:rsidRDefault="001D57CD">
      <w:pPr>
        <w:spacing w:after="120" w:line="276" w:lineRule="auto"/>
        <w:jc w:val="both"/>
      </w:pPr>
      <w:r>
        <w:rPr>
          <w:rFonts w:cs="Times New Roman"/>
        </w:rPr>
        <w:lastRenderedPageBreak/>
        <w:t>Table 2.1 synthesises the cost and capability characteristics of the three dominant commercial platforms, contextualising ForensicAcq’s positioning within this landscape.</w:t>
      </w:r>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400"/>
        <w:gridCol w:w="1400"/>
        <w:gridCol w:w="1400"/>
        <w:gridCol w:w="1400"/>
        <w:gridCol w:w="2026"/>
      </w:tblGrid>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Feature</w:t>
            </w:r>
          </w:p>
        </w:tc>
        <w:tc>
          <w:tcPr>
            <w:tcW w:w="1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Magnet AXIOM</w:t>
            </w:r>
          </w:p>
        </w:tc>
        <w:tc>
          <w:tcPr>
            <w:tcW w:w="1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FTK Imager (Free)</w:t>
            </w:r>
          </w:p>
        </w:tc>
        <w:tc>
          <w:tcPr>
            <w:tcW w:w="1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 xml:space="preserve">FTK </w:t>
            </w:r>
            <w:r>
              <w:rPr>
                <w:rFonts w:cs="Times New Roman"/>
                <w:b/>
                <w:bCs/>
                <w:color w:val="FFFFFF"/>
                <w:sz w:val="20"/>
                <w:szCs w:val="20"/>
              </w:rPr>
              <w:t>Suite</w:t>
            </w:r>
          </w:p>
        </w:tc>
        <w:tc>
          <w:tcPr>
            <w:tcW w:w="1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EnCase</w:t>
            </w:r>
          </w:p>
        </w:tc>
        <w:tc>
          <w:tcPr>
            <w:tcW w:w="2026"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ForensicAcq</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Annual License Cost</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~USD 5,995</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USD 7,999+</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USD 10,000+</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Free (open-source)</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Live System Info</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Limited</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Running Process Capture</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(with hashes)</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Active Network Connections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Browser History Extraction</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(800+ artefacts)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(4 browsers)</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Windows Event Logs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(.evtx copy)</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Installed Software Enum.</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(registry)</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Recycle Bin Analysis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File Integrity Hashing</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(images)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(MD5+SHA-256)</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Encrypted Packaging</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(AES ZIP)</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Disk Imaging</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(primary)</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Mobile Forensics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Cloud Acquisition</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Min. RAM Requirement</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8 GB+</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4 GB</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24 GB</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16 GB+</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4 GB</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Installation Required</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(complex)</w:t>
            </w:r>
          </w:p>
        </w:tc>
        <w:tc>
          <w:tcPr>
            <w:tcW w:w="1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(enterprise)</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(script only)</w:t>
            </w:r>
          </w:p>
        </w:tc>
      </w:tr>
      <w:tr w:rsidR="00EC75FD">
        <w:tblPrEx>
          <w:tblCellMar>
            <w:top w:w="0" w:type="dxa"/>
            <w:bottom w:w="0" w:type="dxa"/>
          </w:tblCellMar>
        </w:tblPrEx>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Training Required</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Significant</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Minimal</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Significant</w:t>
            </w:r>
          </w:p>
        </w:tc>
        <w:tc>
          <w:tcPr>
            <w:tcW w:w="1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Significant</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Minimal</w:t>
            </w:r>
          </w:p>
        </w:tc>
      </w:tr>
    </w:tbl>
    <w:p w:rsidR="00EC75FD" w:rsidRDefault="001D57CD">
      <w:pPr>
        <w:spacing w:after="200" w:line="276" w:lineRule="auto"/>
        <w:jc w:val="center"/>
      </w:pPr>
      <w:r>
        <w:rPr>
          <w:rFonts w:cs="Times New Roman"/>
          <w:i/>
          <w:iCs/>
          <w:color w:val="555555"/>
          <w:sz w:val="20"/>
          <w:szCs w:val="20"/>
        </w:rPr>
        <w:t>Table 2.1. Cost and capability comparison of commercial forensic platforms against ForensicAcq. Sources: [2], [3], [18], [19], [20].</w:t>
      </w:r>
    </w:p>
    <w:p w:rsidR="00EC75FD" w:rsidRDefault="001D57CD">
      <w:pPr>
        <w:spacing w:before="200" w:after="80"/>
        <w:jc w:val="center"/>
      </w:pPr>
      <w:r>
        <w:rPr>
          <w:noProof/>
        </w:rPr>
        <w:lastRenderedPageBreak/>
        <w:drawing>
          <wp:inline distT="0" distB="0" distL="0" distR="0">
            <wp:extent cx="4953000" cy="2952750"/>
            <wp:effectExtent l="0" t="0" r="0" b="0"/>
            <wp:docPr id="3" name="fig1_2_market_gap.png" descr="Figure 1.2. The digital forensics cost-capability gap: commercial tools occupy the high-cost/high-capability quadrant; open-source tools cluster at low-cost/low-coverage. ForensicAcq targets the underserved low-cost/moderate-coverage space." title="Figure 1.2. The digital forensics cost-capability gap: commercial tools occupy the high-cost/high-capability quadrant; open-source tools cluster at low-cost/low-coverage. ForensicAcq targets the underserved low-cost/moderate-coverag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1.2. The digital forensics cost-capability gap: commercial tools occupy the high-cost/high-capability quadrant; op</w:t>
      </w:r>
      <w:r>
        <w:rPr>
          <w:rFonts w:cs="Times New Roman"/>
          <w:i/>
          <w:iCs/>
          <w:color w:val="555555"/>
          <w:sz w:val="20"/>
          <w:szCs w:val="20"/>
        </w:rPr>
        <w:t>en-source tools cluster at low-cost/low-coverage. ForensicAcq targets the underserved low-cost/moderate-coverage space.</w:t>
      </w:r>
    </w:p>
    <w:p w:rsidR="00EC75FD" w:rsidRDefault="001D57CD">
      <w:pPr>
        <w:pStyle w:val="Heading2"/>
      </w:pPr>
      <w:bookmarkStart w:id="21" w:name="_Toc229910993"/>
      <w:r>
        <w:t>2.3  Open-Source Tool Landscape and Limitations</w:t>
      </w:r>
      <w:bookmarkEnd w:id="21"/>
    </w:p>
    <w:p w:rsidR="00EC75FD" w:rsidRDefault="001D57CD">
      <w:pPr>
        <w:spacing w:after="120" w:line="276" w:lineRule="auto"/>
        <w:jc w:val="both"/>
      </w:pPr>
      <w:r>
        <w:rPr>
          <w:rFonts w:cs="Times New Roman"/>
        </w:rPr>
        <w:t xml:space="preserve">The open-source digital forensics ecosystem provides a range of capable tools, but each </w:t>
      </w:r>
      <w:r>
        <w:rPr>
          <w:rFonts w:cs="Times New Roman"/>
        </w:rPr>
        <w:t>addresses only a subset of the acquisition requirements for a complete Windows forensic triage. This section examines five tools that are most directly relevant to the artefact categories targeted by ForensicAcq.</w:t>
      </w:r>
    </w:p>
    <w:p w:rsidR="00EC75FD" w:rsidRDefault="001D57CD">
      <w:pPr>
        <w:pStyle w:val="Heading3"/>
      </w:pPr>
      <w:bookmarkStart w:id="22" w:name="_Toc229910994"/>
      <w:r>
        <w:t>2.3.1  Autopsy / The Sleuth Kit</w:t>
      </w:r>
      <w:bookmarkEnd w:id="22"/>
    </w:p>
    <w:p w:rsidR="00EC75FD" w:rsidRDefault="001D57CD">
      <w:pPr>
        <w:spacing w:after="120" w:line="276" w:lineRule="auto"/>
        <w:jc w:val="both"/>
      </w:pPr>
      <w:r>
        <w:rPr>
          <w:rFonts w:cs="Times New Roman"/>
        </w:rPr>
        <w:t>Autopsy is the most widely used open-source forensic analysis platform, providing a graphical interface for disk image examination, file recovery, timeline analysis, and artefact extraction [4]. It is built on The Sleuth Kit (TSK), a collection of command-</w:t>
      </w:r>
      <w:r>
        <w:rPr>
          <w:rFonts w:cs="Times New Roman"/>
        </w:rPr>
        <w:t xml:space="preserve">line tools for file system analysis. Autopsy’s 2024 release introduced an updated timeline interface, cloud artefact plugins for AWS S3 and Google Drive, and improved chat log parsing. Its strength is post-acquisition analysis: given a disk image, Autopsy </w:t>
      </w:r>
      <w:r>
        <w:rPr>
          <w:rFonts w:cs="Times New Roman"/>
        </w:rPr>
        <w:t>can extract and categorise artefacts with effectiveness approaching commercial tools.</w:t>
      </w:r>
    </w:p>
    <w:p w:rsidR="00EC75FD" w:rsidRDefault="001D57CD">
      <w:pPr>
        <w:spacing w:after="120" w:line="276" w:lineRule="auto"/>
        <w:jc w:val="both"/>
      </w:pPr>
      <w:r>
        <w:rPr>
          <w:rFonts w:cs="Times New Roman"/>
        </w:rPr>
        <w:t>The limitation for this project is that Autopsy is an analysis tool, not an acquisition tool. It requires a pre-existing forensic image as input. Autopsy cannot capture v</w:t>
      </w:r>
      <w:r>
        <w:rPr>
          <w:rFonts w:cs="Times New Roman"/>
        </w:rPr>
        <w:t>olatile system state from a live machine, it does not collect running processes or network connections, and it does not produce its own disk images. Investigators must use a separate tool such as FTK Imager or dd to create the image before Autopsy can exam</w:t>
      </w:r>
      <w:r>
        <w:rPr>
          <w:rFonts w:cs="Times New Roman"/>
        </w:rPr>
        <w:t>ine it. For live-system triage, where volatile artefacts are the priority, Autopsy does not address the acquisition problem at all [4].</w:t>
      </w:r>
    </w:p>
    <w:p w:rsidR="00EC75FD" w:rsidRDefault="001D57CD">
      <w:pPr>
        <w:pStyle w:val="Heading3"/>
      </w:pPr>
      <w:bookmarkStart w:id="23" w:name="_Toc229910995"/>
      <w:r>
        <w:t>2.3.2  Volatility Framework</w:t>
      </w:r>
      <w:bookmarkEnd w:id="23"/>
    </w:p>
    <w:p w:rsidR="00EC75FD" w:rsidRDefault="001D57CD">
      <w:pPr>
        <w:spacing w:after="120" w:line="276" w:lineRule="auto"/>
        <w:jc w:val="both"/>
      </w:pPr>
      <w:r>
        <w:rPr>
          <w:rFonts w:cs="Times New Roman"/>
        </w:rPr>
        <w:t>Volatility is the leading open-source memory forensics framework, supporting analysis of RAM dumps from Windows, Linux, macOS, and Android systems [5]. Volatility 3, the current major release, introduced a modular plugin architecture and eliminated the nee</w:t>
      </w:r>
      <w:r>
        <w:rPr>
          <w:rFonts w:cs="Times New Roman"/>
        </w:rPr>
        <w:t xml:space="preserve">d for profile </w:t>
      </w:r>
      <w:r>
        <w:rPr>
          <w:rFonts w:cs="Times New Roman"/>
        </w:rPr>
        <w:lastRenderedPageBreak/>
        <w:t>identification that made Volatility 2 challenging for non-specialists. It can extract process lists, network connections, registry hives, and malware artefacts from memory dumps.</w:t>
      </w:r>
    </w:p>
    <w:p w:rsidR="00EC75FD" w:rsidRDefault="001D57CD">
      <w:pPr>
        <w:spacing w:after="120" w:line="276" w:lineRule="auto"/>
        <w:jc w:val="both"/>
      </w:pPr>
      <w:r>
        <w:rPr>
          <w:rFonts w:cs="Times New Roman"/>
        </w:rPr>
        <w:t>Two limitations are relevant here. First, Volatility analyses m</w:t>
      </w:r>
      <w:r>
        <w:rPr>
          <w:rFonts w:cs="Times New Roman"/>
        </w:rPr>
        <w:t>emory dumps but does not acquire them. A separate tool, such as WinPmem, Magnet DumpIt, or Belkasoft RAM Capture, must be used to create the memory image before Volatility can examine it. Second, Volatility’s scope is limited to RAM analysis; it does not e</w:t>
      </w:r>
      <w:r>
        <w:rPr>
          <w:rFonts w:cs="Times New Roman"/>
        </w:rPr>
        <w:t>xtract browser history, installed software records, event logs, or file system artefacts. Like Autopsy, Volatility is an analysis tool that complements acquisition rather than replacing it [5].</w:t>
      </w:r>
    </w:p>
    <w:p w:rsidR="00EC75FD" w:rsidRDefault="001D57CD">
      <w:pPr>
        <w:pStyle w:val="Heading3"/>
      </w:pPr>
      <w:bookmarkStart w:id="24" w:name="_Toc229910996"/>
      <w:r>
        <w:t>2.3.3  KAPE (Kroll Artifact Parser and Extractor)</w:t>
      </w:r>
      <w:bookmarkEnd w:id="24"/>
    </w:p>
    <w:p w:rsidR="00EC75FD" w:rsidRDefault="001D57CD">
      <w:pPr>
        <w:spacing w:after="120" w:line="276" w:lineRule="auto"/>
        <w:jc w:val="both"/>
      </w:pPr>
      <w:r>
        <w:rPr>
          <w:rFonts w:cs="Times New Roman"/>
        </w:rPr>
        <w:t>KAPE, develo</w:t>
      </w:r>
      <w:r>
        <w:rPr>
          <w:rFonts w:cs="Times New Roman"/>
        </w:rPr>
        <w:t>ped by Eric Zimmerman and now distributed through the SANS Institute, is the closest existing tool to the functionality targeted by ForensicAcq. KAPE uses configurable Target and Module definitions to collect and process Windows artefacts, including regist</w:t>
      </w:r>
      <w:r>
        <w:rPr>
          <w:rFonts w:cs="Times New Roman"/>
        </w:rPr>
        <w:t>ry hives, event logs, prefetch files, SRUM databases, and file system metadata [21]. Its modular architecture allows community-contributed collection targets, and its processing modules can parse collected artefacts using Zimmerman’s suite of analysis tool</w:t>
      </w:r>
      <w:r>
        <w:rPr>
          <w:rFonts w:cs="Times New Roman"/>
        </w:rPr>
        <w:t>s.</w:t>
      </w:r>
    </w:p>
    <w:p w:rsidR="00EC75FD" w:rsidRDefault="001D57CD">
      <w:pPr>
        <w:spacing w:after="120" w:line="276" w:lineRule="auto"/>
        <w:jc w:val="both"/>
      </w:pPr>
      <w:r>
        <w:rPr>
          <w:rFonts w:cs="Times New Roman"/>
        </w:rPr>
        <w:t>KAPE’s limitations are instructive because they directly informed ForensicAcq’s design. First, KAPE focuses primarily on file-system artefacts accessible through Windows file paths. It does not capture volatile system state such as running processes wit</w:t>
      </w:r>
      <w:r>
        <w:rPr>
          <w:rFonts w:cs="Times New Roman"/>
        </w:rPr>
        <w:t>h their executable hashes, active network connections, or logged-in user sessions through WMI or Win32 API queries. Second, KAPE does not extract browser history by reading SQLite databases; it copies the raw database files, leaving the parsing to a separa</w:t>
      </w:r>
      <w:r>
        <w:rPr>
          <w:rFonts w:cs="Times New Roman"/>
        </w:rPr>
        <w:t>te tool. Third, KAPE’s output is a collection of raw files organised by target category, without automated integrity hashing of all collected artefacts or automated encrypted packaging. Fourth, KAPE is Windows-only and requires .NET Framework, adding a dep</w:t>
      </w:r>
      <w:r>
        <w:rPr>
          <w:rFonts w:cs="Times New Roman"/>
        </w:rPr>
        <w:t>loyment dependency that ForensicAcq avoids through its Python-based implementation [21].</w:t>
      </w:r>
    </w:p>
    <w:p w:rsidR="00EC75FD" w:rsidRDefault="001D57CD">
      <w:pPr>
        <w:pStyle w:val="Heading3"/>
      </w:pPr>
      <w:bookmarkStart w:id="25" w:name="_Toc229910997"/>
      <w:r>
        <w:t>2.3.4  Velociraptor</w:t>
      </w:r>
      <w:bookmarkEnd w:id="25"/>
    </w:p>
    <w:p w:rsidR="00EC75FD" w:rsidRDefault="001D57CD">
      <w:pPr>
        <w:spacing w:after="120" w:line="276" w:lineRule="auto"/>
        <w:jc w:val="both"/>
      </w:pPr>
      <w:r>
        <w:rPr>
          <w:rFonts w:cs="Times New Roman"/>
        </w:rPr>
        <w:t>Velociraptor is an open-source endpoint monitoring and forensic collection tool developed by Rapid7 [22]. Unlike the tools discussed above, Velocir</w:t>
      </w:r>
      <w:r>
        <w:rPr>
          <w:rFonts w:cs="Times New Roman"/>
        </w:rPr>
        <w:t>aptor operates on a client-server architecture: agents are deployed to endpoints and communicate with a central server that orchestrates collection using the Velociraptor Query Language (VQL). This architecture is powerful for enterprise-scale collection a</w:t>
      </w:r>
      <w:r>
        <w:rPr>
          <w:rFonts w:cs="Times New Roman"/>
        </w:rPr>
        <w:t>cross hundreds or thousands of endpoints, and the 2025 release added a redesigned Sigma rule editor and expanded real-time event sources for Windows and Linux.</w:t>
      </w:r>
    </w:p>
    <w:p w:rsidR="00EC75FD" w:rsidRDefault="001D57CD">
      <w:pPr>
        <w:spacing w:after="120" w:line="276" w:lineRule="auto"/>
        <w:jc w:val="both"/>
      </w:pPr>
      <w:r>
        <w:rPr>
          <w:rFonts w:cs="Times New Roman"/>
        </w:rPr>
        <w:t>The limitation is architectural rather than functional. Velociraptor requires server infrastruct</w:t>
      </w:r>
      <w:r>
        <w:rPr>
          <w:rFonts w:cs="Times New Roman"/>
        </w:rPr>
        <w:t>ure, agent deployment, and ongoing management. For a small organisation facing a single incident, deploying Velociraptor’s client-server infrastructure is disproportionate to the immediate need. ForensicAcq’s single-script, agentless design fills a differe</w:t>
      </w:r>
      <w:r>
        <w:rPr>
          <w:rFonts w:cs="Times New Roman"/>
        </w:rPr>
        <w:t>nt niche: the incident responder who needs to collect evidence from one machine right now, without pre-deployed infrastructure [22].</w:t>
      </w:r>
    </w:p>
    <w:p w:rsidR="00EC75FD" w:rsidRDefault="001D57CD">
      <w:pPr>
        <w:pStyle w:val="Heading3"/>
      </w:pPr>
      <w:bookmarkStart w:id="26" w:name="_Toc229910998"/>
      <w:r>
        <w:t>2.3.5  CrowdStrike CRConvert / Response</w:t>
      </w:r>
      <w:bookmarkEnd w:id="26"/>
    </w:p>
    <w:p w:rsidR="00EC75FD" w:rsidRDefault="001D57CD">
      <w:pPr>
        <w:spacing w:after="120" w:line="276" w:lineRule="auto"/>
        <w:jc w:val="both"/>
      </w:pPr>
      <w:r>
        <w:rPr>
          <w:rFonts w:cs="Times New Roman"/>
        </w:rPr>
        <w:lastRenderedPageBreak/>
        <w:t>CrowdStrike’s freely available Response tool collects system information for incide</w:t>
      </w:r>
      <w:r>
        <w:rPr>
          <w:rFonts w:cs="Times New Roman"/>
        </w:rPr>
        <w:t>nt response engagements on Windows systems, with output viewable in XML, CSV, TSV, or HTML format [23]. It runs on 32-bit and 64-bit Windows from XP onwards. While useful for rapid system triage, it does not extract browser history, does not compute integr</w:t>
      </w:r>
      <w:r>
        <w:rPr>
          <w:rFonts w:cs="Times New Roman"/>
        </w:rPr>
        <w:t>ity hashes of executables, does not collect event logs as artefact files, and does not produce encrypted evidence containers. It addresses a subset of the same problem space but with substantially narrower artefact coverage.</w:t>
      </w:r>
    </w:p>
    <w:p w:rsidR="00EC75FD" w:rsidRDefault="001D57CD">
      <w:pPr>
        <w:pStyle w:val="Heading3"/>
      </w:pPr>
      <w:bookmarkStart w:id="27" w:name="_Toc229910999"/>
      <w:r>
        <w:t>2.3.6  Comparative Summary: Ope</w:t>
      </w:r>
      <w:r>
        <w:t>n-Source Tools</w:t>
      </w:r>
      <w:bookmarkEnd w:id="27"/>
    </w:p>
    <w:p w:rsidR="00EC75FD" w:rsidRDefault="001D57CD">
      <w:pPr>
        <w:spacing w:after="120" w:line="276" w:lineRule="auto"/>
        <w:jc w:val="both"/>
      </w:pPr>
      <w:r>
        <w:rPr>
          <w:rFonts w:cs="Times New Roman"/>
        </w:rPr>
        <w:t>Table 2.2 provides a systematic comparison of artefact coverage across the five reviewed open-source tools and ForensicAcq. The comparison uses the artefact categories defined in the ForensicAcq pipeline as the evaluation dimensions.</w:t>
      </w:r>
    </w:p>
    <w:tbl>
      <w:tblPr>
        <w:tblW w:w="902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87"/>
        <w:gridCol w:w="1087"/>
        <w:gridCol w:w="1093"/>
        <w:gridCol w:w="1084"/>
        <w:gridCol w:w="1299"/>
        <w:gridCol w:w="1189"/>
        <w:gridCol w:w="1786"/>
      </w:tblGrid>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Artefac</w:t>
            </w:r>
            <w:r>
              <w:rPr>
                <w:rFonts w:cs="Times New Roman"/>
                <w:b/>
                <w:bCs/>
                <w:color w:val="FFFFFF"/>
                <w:sz w:val="20"/>
                <w:szCs w:val="20"/>
              </w:rPr>
              <w:t>t Category</w:t>
            </w:r>
          </w:p>
        </w:tc>
        <w:tc>
          <w:tcPr>
            <w:tcW w:w="11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Autopsy</w:t>
            </w:r>
          </w:p>
        </w:tc>
        <w:tc>
          <w:tcPr>
            <w:tcW w:w="11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Volatility</w:t>
            </w:r>
          </w:p>
        </w:tc>
        <w:tc>
          <w:tcPr>
            <w:tcW w:w="11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KAPE</w:t>
            </w:r>
          </w:p>
        </w:tc>
        <w:tc>
          <w:tcPr>
            <w:tcW w:w="13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Velociraptor</w:t>
            </w:r>
          </w:p>
        </w:tc>
        <w:tc>
          <w:tcPr>
            <w:tcW w:w="11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CRConvert</w:t>
            </w:r>
          </w:p>
        </w:tc>
        <w:tc>
          <w:tcPr>
            <w:tcW w:w="1825"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ForensicAcq</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System Information</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From RAM</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Installed Software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Registry copy</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(parsed)</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Browser History</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File copy only</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(4 browsers, parsed)</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File Integrity Hashes</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(MD5+SHA-256)</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Running Processes</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(dead-box)</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(from dump)</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(with exe hashes)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Network Connections</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(from dump)</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(netstat, arp, route)</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Windows Event Logs</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File copy</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(.evtx copy)</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Recycle Bin</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File copy</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(parsed metadata)</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PowerShell History</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From image</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File copy</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Scheduled Tasks</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File copy</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Firewall Configuration</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 (VQL)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Encrypted Packaging</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 (AES ZIP)</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Single-Script Execution</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(install)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(install)</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(.NET)</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 (client-server)</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 Infrastructure Required</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 (server)</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Live System Acquisition</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No</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 (RAM)</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3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c>
          <w:tcPr>
            <w:tcW w:w="11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Partial</w:t>
            </w:r>
          </w:p>
        </w:tc>
        <w:tc>
          <w:tcPr>
            <w:tcW w:w="1825"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Yes</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Cost</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3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1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c>
          <w:tcPr>
            <w:tcW w:w="1825"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Free</w:t>
            </w:r>
          </w:p>
        </w:tc>
      </w:tr>
    </w:tbl>
    <w:p w:rsidR="00EC75FD" w:rsidRDefault="001D57CD">
      <w:pPr>
        <w:spacing w:after="200" w:line="276" w:lineRule="auto"/>
        <w:jc w:val="center"/>
      </w:pPr>
      <w:r>
        <w:rPr>
          <w:rFonts w:cs="Times New Roman"/>
          <w:i/>
          <w:iCs/>
          <w:color w:val="555555"/>
          <w:sz w:val="20"/>
          <w:szCs w:val="20"/>
        </w:rPr>
        <w:lastRenderedPageBreak/>
        <w:t>Table 2.2. Artefact coverage comparison of open-source forensic tools against ForensicAcq. Sources: [4], [5], [21], [22], [23].</w:t>
      </w:r>
    </w:p>
    <w:p w:rsidR="00EC75FD" w:rsidRDefault="001D57CD">
      <w:pPr>
        <w:pStyle w:val="Heading2"/>
      </w:pPr>
      <w:bookmarkStart w:id="28" w:name="_Toc229911000"/>
      <w:r>
        <w:t>2.4  Evidence Integrity, Hashing, and Chain of Custody</w:t>
      </w:r>
      <w:bookmarkEnd w:id="28"/>
    </w:p>
    <w:p w:rsidR="00EC75FD" w:rsidRDefault="001D57CD">
      <w:pPr>
        <w:spacing w:after="120" w:line="276" w:lineRule="auto"/>
        <w:jc w:val="both"/>
      </w:pPr>
      <w:r>
        <w:rPr>
          <w:rFonts w:cs="Times New Roman"/>
        </w:rPr>
        <w:t>The legal admissibility of digital evidence depends on the ability to dem</w:t>
      </w:r>
      <w:r>
        <w:rPr>
          <w:rFonts w:cs="Times New Roman"/>
        </w:rPr>
        <w:t xml:space="preserve">onstrate that evidence has not been altered since collection. This requirement is formalised in the chain of custody concept, which documents every person who handled the evidence, every action taken on it, and every transfer between custodians [6], [15]. </w:t>
      </w:r>
      <w:r>
        <w:rPr>
          <w:rFonts w:cs="Times New Roman"/>
        </w:rPr>
        <w:t>Cryptographic hash functions are the primary technical mechanism for verifying evidence integrity. A hash computed at the time of acquisition serves as a digital fingerprint; any subsequent modification, even a single bit change, produces a completely diff</w:t>
      </w:r>
      <w:r>
        <w:rPr>
          <w:rFonts w:cs="Times New Roman"/>
        </w:rPr>
        <w:t>erent hash value [24].</w:t>
      </w:r>
    </w:p>
    <w:p w:rsidR="00EC75FD" w:rsidRDefault="001D57CD">
      <w:pPr>
        <w:spacing w:after="120" w:line="276" w:lineRule="auto"/>
        <w:jc w:val="both"/>
      </w:pPr>
      <w:r>
        <w:rPr>
          <w:rFonts w:cs="Times New Roman"/>
        </w:rPr>
        <w:t xml:space="preserve">ISO 27037:2012 specifies that digital evidence handlers should use validated hash algorithms to verify evidence integrity at the point of collection and at each subsequent transfer [16]. The most commonly used algorithms in forensic </w:t>
      </w:r>
      <w:r>
        <w:rPr>
          <w:rFonts w:cs="Times New Roman"/>
        </w:rPr>
        <w:t>practice are MD5 (128-bit) and SHA-256 (256-bit). MD5 is technically deprecated for security applications due to known collision vulnerabilities, but remains accepted in forensic practice as a rapid integrity check when paired with SHA-256 as the primary v</w:t>
      </w:r>
      <w:r>
        <w:rPr>
          <w:rFonts w:cs="Times New Roman"/>
        </w:rPr>
        <w:t>erification hash [24]. ForensicAcq computes both MD5 and SHA-256 for every executable file in Program Files, Program Files (x86), and System32, and stores these hashes in structured Excel spreadsheets that can be directly compared against known-good baseli</w:t>
      </w:r>
      <w:r>
        <w:rPr>
          <w:rFonts w:cs="Times New Roman"/>
        </w:rPr>
        <w:t>nes or submitted to hash lookup services such as VirusTotal for malware identification.</w:t>
      </w:r>
    </w:p>
    <w:p w:rsidR="00EC75FD" w:rsidRDefault="001D57CD">
      <w:pPr>
        <w:spacing w:after="120" w:line="276" w:lineRule="auto"/>
        <w:jc w:val="both"/>
      </w:pPr>
      <w:r>
        <w:rPr>
          <w:rFonts w:cs="Times New Roman"/>
        </w:rPr>
        <w:t>Beyond file-level hashing, evidence container integrity is equally important. ForensicAcq addresses this through AES-encrypted ZIP packaging using the pyzipper library,</w:t>
      </w:r>
      <w:r>
        <w:rPr>
          <w:rFonts w:cs="Times New Roman"/>
        </w:rPr>
        <w:t xml:space="preserve"> which implements the WinZip AES encryption specification. The encrypted container serves two purposes: it prevents unauthorised access to evidence (access control), and it makes any tampering detectable because the encrypted archive will fail to decrypt i</w:t>
      </w:r>
      <w:r>
        <w:rPr>
          <w:rFonts w:cs="Times New Roman"/>
        </w:rPr>
        <w:t>f modified (integrity verification). This dual protection satisfies the chain of custody requirements described in NIST SP 800-86 without requiring the infrastructure overhead of a dedicated evidence management system [8], [12].</w:t>
      </w:r>
    </w:p>
    <w:p w:rsidR="00EC75FD" w:rsidRDefault="001D57CD">
      <w:pPr>
        <w:pStyle w:val="Heading2"/>
      </w:pPr>
      <w:bookmarkStart w:id="29" w:name="_Toc229911001"/>
      <w:r>
        <w:t>2.5  Comparative Evaluation</w:t>
      </w:r>
      <w:r>
        <w:t xml:space="preserve"> Methodologies in Digital Forensics</w:t>
      </w:r>
      <w:bookmarkEnd w:id="29"/>
    </w:p>
    <w:p w:rsidR="00EC75FD" w:rsidRDefault="001D57CD">
      <w:pPr>
        <w:spacing w:after="120" w:line="276" w:lineRule="auto"/>
        <w:jc w:val="both"/>
      </w:pPr>
      <w:r>
        <w:rPr>
          <w:rFonts w:cs="Times New Roman"/>
        </w:rPr>
        <w:t>Evaluating digital forensics tools presents methodological challenges that differ from conventional software testing. The primary difficulty is defining ground truth: unlike intrusion detection, where labelled attack dat</w:t>
      </w:r>
      <w:r>
        <w:rPr>
          <w:rFonts w:cs="Times New Roman"/>
        </w:rPr>
        <w:t>asets provide objective measures of detection accuracy, forensic tool evaluation must assess whether a tool correctly collected all relevant artefacts from a system whose ground truth state is itself complex and partially observable [10], [13].</w:t>
      </w:r>
    </w:p>
    <w:p w:rsidR="00EC75FD" w:rsidRDefault="001D57CD">
      <w:pPr>
        <w:spacing w:after="120" w:line="276" w:lineRule="auto"/>
        <w:jc w:val="both"/>
      </w:pPr>
      <w:r>
        <w:rPr>
          <w:rFonts w:cs="Times New Roman"/>
        </w:rPr>
        <w:t>Three evalu</w:t>
      </w:r>
      <w:r>
        <w:rPr>
          <w:rFonts w:cs="Times New Roman"/>
        </w:rPr>
        <w:t>ation approaches are documented in the literature. First, feature-based comparison catalogues tool capabilities against a defined artefact taxonomy and compares coverage across tools [10]. This approach is transparent and reproducible but does not assess w</w:t>
      </w:r>
      <w:r>
        <w:rPr>
          <w:rFonts w:cs="Times New Roman"/>
        </w:rPr>
        <w:t>hether the tool correctly implements claimed features. Second, controlled-environment testing deploys tools against prepared test systems with known artefact states and verifies that collected outputs match expected values [13]. This is the most rigorous a</w:t>
      </w:r>
      <w:r>
        <w:rPr>
          <w:rFonts w:cs="Times New Roman"/>
        </w:rPr>
        <w:t xml:space="preserve">pproach but requires careful preparation </w:t>
      </w:r>
      <w:r>
        <w:rPr>
          <w:rFonts w:cs="Times New Roman"/>
        </w:rPr>
        <w:lastRenderedPageBreak/>
        <w:t>of test environments with documented ground truth. Third, case-study evaluation applies tools to real-world incidents and assesses investigative utility through practitioner feedback [25]. This provides ecological v</w:t>
      </w:r>
      <w:r>
        <w:rPr>
          <w:rFonts w:cs="Times New Roman"/>
        </w:rPr>
        <w:t>alidity but lacks the controlled conditions needed for reproducible comparison.</w:t>
      </w:r>
    </w:p>
    <w:p w:rsidR="00EC75FD" w:rsidRDefault="001D57CD">
      <w:pPr>
        <w:spacing w:after="120" w:line="276" w:lineRule="auto"/>
        <w:jc w:val="both"/>
      </w:pPr>
      <w:r>
        <w:rPr>
          <w:rFonts w:cs="Times New Roman"/>
        </w:rPr>
        <w:t>This project combines the first two approaches. Chapter 2 provides a systematic feature-based comparison (Tables 2.1 and 2.2). Chapter 6 presents controlled-environment testing on Windows 10 and Windows 11 systems with known artefact states, verifying that</w:t>
      </w:r>
      <w:r>
        <w:rPr>
          <w:rFonts w:cs="Times New Roman"/>
        </w:rPr>
        <w:t xml:space="preserve"> ForensicAcq correctly collects each artefact category and produces output consistent with independently verified ground truth. The case-study approach is not used because the project scope does not include real-world incident investigation.</w:t>
      </w:r>
    </w:p>
    <w:p w:rsidR="00EC75FD" w:rsidRDefault="001D57CD">
      <w:pPr>
        <w:spacing w:before="200" w:after="80"/>
        <w:jc w:val="center"/>
      </w:pPr>
      <w:r>
        <w:rPr>
          <w:noProof/>
        </w:rPr>
        <w:drawing>
          <wp:inline distT="0" distB="0" distL="0" distR="0">
            <wp:extent cx="4953000" cy="2952750"/>
            <wp:effectExtent l="0" t="0" r="0" b="0"/>
            <wp:docPr id="4" name="fig2_3_architecture.png" descr="Figure 2.3. ForensicAcq system architecture showing the seven acquisition modules, evidence directory structure, and encrypted packaging output." title="Figure 2.3. ForensicAcq system architecture showing the seven acquisition modules, evidence directory structure, and encrypted packaging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 xml:space="preserve">Figure 2.3. </w:t>
      </w:r>
      <w:r>
        <w:rPr>
          <w:rFonts w:cs="Times New Roman"/>
          <w:i/>
          <w:iCs/>
          <w:color w:val="555555"/>
          <w:sz w:val="20"/>
          <w:szCs w:val="20"/>
        </w:rPr>
        <w:t>ForensicAcq system architecture showing the seven acquisition modules, evidence directory structure, and encrypted packaging output.</w:t>
      </w:r>
    </w:p>
    <w:p w:rsidR="00EC75FD" w:rsidRDefault="001D57CD">
      <w:pPr>
        <w:spacing w:before="200" w:after="80"/>
        <w:jc w:val="center"/>
      </w:pPr>
      <w:r>
        <w:rPr>
          <w:noProof/>
        </w:rPr>
        <w:drawing>
          <wp:inline distT="0" distB="0" distL="0" distR="0">
            <wp:extent cx="4953000" cy="2952750"/>
            <wp:effectExtent l="0" t="0" r="0" b="0"/>
            <wp:docPr id="5" name="fig2_4_acquisition_pipeline.png" descr="Figure 2.4. Evidence acquisition pipeline: data flow from Windows artefact sources through ForensicAcq modules to the encrypted evidence container." title="Figure 2.4. Evidence acquisition pipeline: data flow from Windows artefact sources through ForensicAcq modules to the encrypted evidence conta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lastRenderedPageBreak/>
        <w:t>Figure 2.4. Evidence acquisition pipeline: data flow from Windows artefact sources through ForensicAcq modules to the enc</w:t>
      </w:r>
      <w:r>
        <w:rPr>
          <w:rFonts w:cs="Times New Roman"/>
          <w:i/>
          <w:iCs/>
          <w:color w:val="555555"/>
          <w:sz w:val="20"/>
          <w:szCs w:val="20"/>
        </w:rPr>
        <w:t>rypted evidence container.</w:t>
      </w:r>
    </w:p>
    <w:p w:rsidR="00EC75FD" w:rsidRDefault="001D57CD">
      <w:pPr>
        <w:pStyle w:val="Heading2"/>
      </w:pPr>
      <w:bookmarkStart w:id="30" w:name="_Toc229911002"/>
      <w:r>
        <w:t>2.6  Synthesis of Research Gaps and Project Positioning</w:t>
      </w:r>
      <w:bookmarkEnd w:id="30"/>
    </w:p>
    <w:p w:rsidR="00EC75FD" w:rsidRDefault="001D57CD">
      <w:pPr>
        <w:spacing w:after="120" w:line="276" w:lineRule="auto"/>
        <w:jc w:val="both"/>
      </w:pPr>
      <w:r>
        <w:rPr>
          <w:rFonts w:cs="Times New Roman"/>
        </w:rPr>
        <w:t>The systematic review across six themes yields three principal conclusions that directly position this project within the current state of knowledge.</w:t>
      </w:r>
    </w:p>
    <w:p w:rsidR="00EC75FD" w:rsidRDefault="001D57CD">
      <w:pPr>
        <w:spacing w:after="120" w:line="276" w:lineRule="auto"/>
        <w:jc w:val="both"/>
      </w:pPr>
      <w:r>
        <w:rPr>
          <w:rFonts w:cs="Times New Roman"/>
        </w:rPr>
        <w:t>First, the cost barrier</w:t>
      </w:r>
      <w:r>
        <w:rPr>
          <w:rFonts w:cs="Times New Roman"/>
        </w:rPr>
        <w:t xml:space="preserve"> to forensic acquisition is real and consequential. Commercial tools providing comprehensive Windows triage cost between USD 5,995 and USD 15,000 per year. This pricing excludes the vast majority of organisations that need forensic capability for occasiona</w:t>
      </w:r>
      <w:r>
        <w:rPr>
          <w:rFonts w:cs="Times New Roman"/>
        </w:rPr>
        <w:t>l incident response rather than daily forensic examination. The free tier of the market, FTK Imager, addresses only disk imaging and does not cover volatile artefact acquisition.</w:t>
      </w:r>
    </w:p>
    <w:p w:rsidR="00EC75FD" w:rsidRDefault="001D57CD">
      <w:pPr>
        <w:spacing w:after="120" w:line="276" w:lineRule="auto"/>
        <w:jc w:val="both"/>
      </w:pPr>
      <w:r>
        <w:rPr>
          <w:rFonts w:cs="Times New Roman"/>
        </w:rPr>
        <w:t>Second, the open-source ecosystem provides powerful but fragmented capabiliti</w:t>
      </w:r>
      <w:r>
        <w:rPr>
          <w:rFonts w:cs="Times New Roman"/>
        </w:rPr>
        <w:t>es. Each of the five reviewed tools addresses specific artefact categories competently, but none provides a unified, single-execution pipeline covering the full scope of Windows live-system triage. An investigator attempting to replicate ForensicAcq’s cove</w:t>
      </w:r>
      <w:r>
        <w:rPr>
          <w:rFonts w:cs="Times New Roman"/>
        </w:rPr>
        <w:t>rage using existing open-source tools would need to run at minimum three separate tools (WinPmem for RAM, KAPE for file artefacts, a separate browser history extractor), manually coordinate their outputs, and separately implement integrity hashing and encr</w:t>
      </w:r>
      <w:r>
        <w:rPr>
          <w:rFonts w:cs="Times New Roman"/>
        </w:rPr>
        <w:t>ypted packaging.</w:t>
      </w:r>
    </w:p>
    <w:p w:rsidR="00EC75FD" w:rsidRDefault="001D57CD">
      <w:pPr>
        <w:spacing w:after="120" w:line="276" w:lineRule="auto"/>
        <w:jc w:val="both"/>
      </w:pPr>
      <w:r>
        <w:rPr>
          <w:rFonts w:cs="Times New Roman"/>
        </w:rPr>
        <w:t>Third, the academic literature lacks systematic comparative evaluation of lightweight acquisition tools against commercial baselines. Published studies evaluate commercial tools against each other, or evaluate open-source tools in isolatio</w:t>
      </w:r>
      <w:r>
        <w:rPr>
          <w:rFonts w:cs="Times New Roman"/>
        </w:rPr>
        <w:t>n, but do not systematically compare what a minimal-dependency Python script can achieve against established platforms. This project provides that comparison, contributing both a functional tool and an evaluation framework to the literature.</w:t>
      </w:r>
    </w:p>
    <w:p w:rsidR="00EC75FD" w:rsidRDefault="001D57CD">
      <w:pPr>
        <w:spacing w:after="120" w:line="276" w:lineRule="auto"/>
        <w:jc w:val="both"/>
      </w:pPr>
      <w:r>
        <w:rPr>
          <w:rFonts w:cs="Times New Roman"/>
        </w:rPr>
        <w:t>Table 2.3 cons</w:t>
      </w:r>
      <w:r>
        <w:rPr>
          <w:rFonts w:cs="Times New Roman"/>
        </w:rPr>
        <w:t>olidates the gap analysis, mapping each identified gap to existing literature evidence and the corresponding ForensicAcq contribution.</w:t>
      </w:r>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3800"/>
        <w:gridCol w:w="3726"/>
      </w:tblGrid>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Gap</w:t>
            </w:r>
          </w:p>
        </w:tc>
        <w:tc>
          <w:tcPr>
            <w:tcW w:w="38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Evidence from Literature</w:t>
            </w:r>
          </w:p>
        </w:tc>
        <w:tc>
          <w:tcPr>
            <w:tcW w:w="3726"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ForensicAcq Contribution</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G1: No unified pipeline</w:t>
            </w:r>
          </w:p>
        </w:tc>
        <w:tc>
          <w:tcPr>
            <w:tcW w:w="3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KAPE [21] collects file artefacts only; Volatility [5] analyses RAM only; no tool covers full scope</w:t>
            </w:r>
          </w:p>
        </w:tc>
        <w:tc>
          <w:tcPr>
            <w:tcW w:w="37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Seven-module sequential pipeline: system, software, browser, hashing, forensics, recycle bin, packaging</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G2: No cost-free triage match</w:t>
            </w:r>
          </w:p>
        </w:tc>
        <w:tc>
          <w:tcPr>
            <w:tcW w:w="3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AXIOM ~USD 5,995/yr [2]; FTK USD 7,999+ [3]; FTK Imager free but disk-only [19]</w:t>
            </w:r>
          </w:p>
        </w:tc>
        <w:tc>
          <w:tcPr>
            <w:tcW w:w="37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Zero-cost Python tool with volatile + non-volatile coverage</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G3: No auto integrity hashing</w:t>
            </w:r>
          </w:p>
        </w:tc>
        <w:tc>
          <w:tcPr>
            <w:tcW w:w="3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KAPE [21] copies files without hashing; CRConvert [23] has no hashing</w:t>
            </w:r>
          </w:p>
        </w:tc>
        <w:tc>
          <w:tcPr>
            <w:tcW w:w="37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MD5 + SHA-256 computed for all executables at acquisition time</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G4: No encrypted packaging</w:t>
            </w:r>
          </w:p>
        </w:tc>
        <w:tc>
          <w:tcPr>
            <w:tcW w:w="3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No reviewed open-source tool auto-packages evidence in encrypted containers</w:t>
            </w:r>
          </w:p>
        </w:tc>
        <w:tc>
          <w:tcPr>
            <w:tcW w:w="37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AES-encrypted ZIP using pyzipper, auto-generated on completion</w:t>
            </w:r>
          </w:p>
        </w:tc>
      </w:tr>
      <w:tr w:rsidR="00EC75FD">
        <w:tblPrEx>
          <w:tblCellMar>
            <w:top w:w="0" w:type="dxa"/>
            <w:bottom w:w="0" w:type="dxa"/>
          </w:tblCellMar>
        </w:tblPrEx>
        <w:tc>
          <w:tcPr>
            <w:tcW w:w="15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G5: No academic comparison</w:t>
            </w:r>
          </w:p>
        </w:tc>
        <w:tc>
          <w:tcPr>
            <w:tcW w:w="3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Published evaluations [10], [13] focus on commercial or ML-based tools</w:t>
            </w:r>
          </w:p>
        </w:tc>
        <w:tc>
          <w:tcPr>
            <w:tcW w:w="37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Controlled comparison against 5 tools across 16 artefact categories</w:t>
            </w:r>
          </w:p>
        </w:tc>
      </w:tr>
    </w:tbl>
    <w:p w:rsidR="00EC75FD" w:rsidRDefault="001D57CD">
      <w:pPr>
        <w:spacing w:after="200" w:line="276" w:lineRule="auto"/>
        <w:jc w:val="center"/>
      </w:pPr>
      <w:r>
        <w:rPr>
          <w:rFonts w:cs="Times New Roman"/>
          <w:i/>
          <w:iCs/>
          <w:color w:val="555555"/>
          <w:sz w:val="20"/>
          <w:szCs w:val="20"/>
        </w:rPr>
        <w:t>Table 2.3. Consolidated gap analysis with literature evidence and project contributions.</w:t>
      </w:r>
    </w:p>
    <w:p w:rsidR="00EC75FD" w:rsidRDefault="001D57CD">
      <w:pPr>
        <w:spacing w:after="120" w:line="276" w:lineRule="auto"/>
        <w:jc w:val="both"/>
      </w:pPr>
      <w:r>
        <w:rPr>
          <w:rFonts w:cs="Times New Roman"/>
        </w:rPr>
        <w:lastRenderedPageBreak/>
        <w:t>The central academic positioning of this project is deliberate and bounded. ForensicAcq does not attempt to replace commercial platforms in their intended deployment contexts. Magnet AXIOM’s 800+ artefact definitions, FTK’s court-citation history, and EnCa</w:t>
      </w:r>
      <w:r>
        <w:rPr>
          <w:rFonts w:cs="Times New Roman"/>
        </w:rPr>
        <w:t>se’s enterprise scalability are genuine strengths that a single Python script cannot replicate. The contribution is elsewhere: providing a functional, validated, zero-cost acquisition pipeline for the substantial population of organisations and individuals</w:t>
      </w:r>
      <w:r>
        <w:rPr>
          <w:rFonts w:cs="Times New Roman"/>
        </w:rPr>
        <w:t xml:space="preserve"> who currently perform no forensic acquisition at all because existing tools are too expensive, too complex, or too fragmented. Moving a responder from collecting no evidence to collecting structured, hash-verified, encrypted evidence is a larger practical</w:t>
      </w:r>
      <w:r>
        <w:rPr>
          <w:rFonts w:cs="Times New Roman"/>
        </w:rPr>
        <w:t xml:space="preserve"> improvement than moving a well-funded forensic lab from one commercial tool to another.</w:t>
      </w:r>
    </w:p>
    <w:p w:rsidR="00EC75FD" w:rsidRDefault="001D57CD">
      <w:r>
        <w:br w:type="page"/>
      </w:r>
    </w:p>
    <w:p w:rsidR="00EC75FD" w:rsidRDefault="001D57CD">
      <w:pPr>
        <w:pStyle w:val="Heading1"/>
      </w:pPr>
      <w:bookmarkStart w:id="31" w:name="_Toc229911003"/>
      <w:r>
        <w:lastRenderedPageBreak/>
        <w:t>Chapter 3: Research Methodology</w:t>
      </w:r>
      <w:bookmarkEnd w:id="31"/>
    </w:p>
    <w:p w:rsidR="00EC75FD" w:rsidRDefault="001D57CD">
      <w:pPr>
        <w:spacing w:after="120" w:line="276" w:lineRule="auto"/>
        <w:jc w:val="both"/>
      </w:pPr>
      <w:r>
        <w:rPr>
          <w:rFonts w:cs="Times New Roman"/>
        </w:rPr>
        <w:t>This chapter documents the research methodology governing this project: the philosophical stance adopted, the research strategy, expe</w:t>
      </w:r>
      <w:r>
        <w:rPr>
          <w:rFonts w:cs="Times New Roman"/>
        </w:rPr>
        <w:t>rimental design, evaluation metrics, data collection methods, ethical safeguards, and formal threats to validity. Each methodological choice is justified with reference to both established research methodology literature and the specific requirements of ev</w:t>
      </w:r>
      <w:r>
        <w:rPr>
          <w:rFonts w:cs="Times New Roman"/>
        </w:rPr>
        <w:t>aluating a digital forensics acquisition tool.</w:t>
      </w:r>
    </w:p>
    <w:p w:rsidR="00EC75FD" w:rsidRDefault="001D57CD">
      <w:pPr>
        <w:pStyle w:val="Heading2"/>
      </w:pPr>
      <w:bookmarkStart w:id="32" w:name="_Toc229911004"/>
      <w:r>
        <w:t>3.1  Research Philosophy and Approach</w:t>
      </w:r>
      <w:bookmarkEnd w:id="32"/>
    </w:p>
    <w:p w:rsidR="00EC75FD" w:rsidRDefault="001D57CD">
      <w:pPr>
        <w:spacing w:after="120" w:line="276" w:lineRule="auto"/>
        <w:jc w:val="both"/>
      </w:pPr>
      <w:r>
        <w:rPr>
          <w:rFonts w:cs="Times New Roman"/>
        </w:rPr>
        <w:t>This project adopts a positivist philosophical stance [26]. Positivism holds that knowledge is produced through objective, empirical measurement of phenomena that exist in</w:t>
      </w:r>
      <w:r>
        <w:rPr>
          <w:rFonts w:cs="Times New Roman"/>
        </w:rPr>
        <w:t>dependently of the observer. The phenomena under investigation, whether ForensicAcq correctly collects specific artefacts, whether hashes match independently computed values, and whether artefact coverage compares favourably to existing tools, are fully ob</w:t>
      </w:r>
      <w:r>
        <w:rPr>
          <w:rFonts w:cs="Times New Roman"/>
        </w:rPr>
        <w:t>jective and deterministic. Running the same script against the same Windows system in the same state will produce identical output. This reproducibility is a defining positivist characteristic and is directly operationalised through the controlled test env</w:t>
      </w:r>
      <w:r>
        <w:rPr>
          <w:rFonts w:cs="Times New Roman"/>
        </w:rPr>
        <w:t>ironment described in Section 3.3.</w:t>
      </w:r>
    </w:p>
    <w:p w:rsidR="00EC75FD" w:rsidRDefault="001D57CD">
      <w:pPr>
        <w:spacing w:after="120" w:line="276" w:lineRule="auto"/>
        <w:jc w:val="both"/>
      </w:pPr>
      <w:r>
        <w:rPr>
          <w:rFonts w:cs="Times New Roman"/>
        </w:rPr>
        <w:t>A quantitative primary approach follows naturally from this stance. Data are collected as categorical counts (artefact categories collected or missed), binary verification results (hash matches: yes or no), and descriptiv</w:t>
      </w:r>
      <w:r>
        <w:rPr>
          <w:rFonts w:cs="Times New Roman"/>
        </w:rPr>
        <w:t xml:space="preserve">e comparisons (feature presence or absence across tools). No qualitative methods are employed because the research questions concern measurable tool behaviour rather than human experience or subjective investigative utility [26]. The experimental strategy </w:t>
      </w:r>
      <w:r>
        <w:rPr>
          <w:rFonts w:cs="Times New Roman"/>
        </w:rPr>
        <w:t>provides controlled, repeatable test conditions using prepared Windows environments with documented artefact states.</w:t>
      </w:r>
    </w:p>
    <w:p w:rsidR="00EC75FD" w:rsidRDefault="001D57CD">
      <w:pPr>
        <w:spacing w:before="200" w:after="80"/>
        <w:jc w:val="center"/>
      </w:pPr>
      <w:r>
        <w:rPr>
          <w:noProof/>
        </w:rPr>
        <w:drawing>
          <wp:inline distT="0" distB="0" distL="0" distR="0">
            <wp:extent cx="4953000" cy="2952750"/>
            <wp:effectExtent l="0" t="0" r="0" b="0"/>
            <wp:docPr id="6" name="fig3_1_methodology.png" descr="Figure 3.1. Research methodology flowchart: positivist philosophy, quantitative approach, experimental strategy, controlled evaluation." title="Figure 3.1. Research methodology flowchart: positivist philosophy, quantitative approach, experimental strategy, controlled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3.1. Research methodology flowchart: positivist philosophy, quantitative approach, experimental strategy, controlled evaluation.</w:t>
      </w:r>
    </w:p>
    <w:p w:rsidR="00EC75FD" w:rsidRDefault="001D57CD">
      <w:pPr>
        <w:pStyle w:val="Heading2"/>
      </w:pPr>
      <w:bookmarkStart w:id="33" w:name="_Toc229911005"/>
      <w:r>
        <w:t>3.2  Project Type and Research Strategy</w:t>
      </w:r>
      <w:bookmarkEnd w:id="33"/>
    </w:p>
    <w:p w:rsidR="00EC75FD" w:rsidRDefault="001D57CD">
      <w:pPr>
        <w:spacing w:after="120" w:line="276" w:lineRule="auto"/>
        <w:jc w:val="both"/>
      </w:pPr>
      <w:r>
        <w:rPr>
          <w:rFonts w:cs="Times New Roman"/>
        </w:rPr>
        <w:lastRenderedPageBreak/>
        <w:t xml:space="preserve">This project is formally classified as a Development project under the ACFB7003 assessment specification, requiring both the construction of a working technical artefact and its empirical evaluation. The overarching </w:t>
      </w:r>
      <w:r>
        <w:rPr>
          <w:rFonts w:cs="Times New Roman"/>
        </w:rPr>
        <w:t>research strategy aligns with Design Science Research (DSR) [27]. DSR concerns itself with the construction and evaluation of purposeful artefacts and the generation of knowledge through that process. It is appropriate here because the project’s primary co</w:t>
      </w:r>
      <w:r>
        <w:rPr>
          <w:rFonts w:cs="Times New Roman"/>
        </w:rPr>
        <w:t>ntribution is not a purely observational finding but a demonstrably functional forensic tool evaluated against defined performance criteria. The DSR framework requires three components: the artefact itself (ForensicAcq), a demonstration that the artefact w</w:t>
      </w:r>
      <w:r>
        <w:rPr>
          <w:rFonts w:cs="Times New Roman"/>
        </w:rPr>
        <w:t>orks (Chapter 5 implementation and Chapter 6 evaluation), and an articulation of the knowledge contribution (the design principles in Section 3.8 and the comparative findings in Chapter 6).</w:t>
      </w:r>
    </w:p>
    <w:p w:rsidR="00EC75FD" w:rsidRDefault="001D57CD">
      <w:pPr>
        <w:pStyle w:val="Heading2"/>
      </w:pPr>
      <w:bookmarkStart w:id="34" w:name="_Toc229911006"/>
      <w:r>
        <w:t>3.3  Experimental Setup and Test Environment</w:t>
      </w:r>
      <w:bookmarkEnd w:id="34"/>
    </w:p>
    <w:p w:rsidR="00EC75FD" w:rsidRDefault="001D57CD">
      <w:pPr>
        <w:spacing w:after="120" w:line="276" w:lineRule="auto"/>
        <w:jc w:val="both"/>
      </w:pPr>
      <w:r>
        <w:rPr>
          <w:rFonts w:cs="Times New Roman"/>
        </w:rPr>
        <w:t>The evaluation uses t</w:t>
      </w:r>
      <w:r>
        <w:rPr>
          <w:rFonts w:cs="Times New Roman"/>
        </w:rPr>
        <w:t>wo test environments to assess ForensicAcq across different Windows versions and hardware configurations. Both environments are the researcher’s own systems, containing only the researcher’s own data.</w:t>
      </w:r>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513"/>
        <w:gridCol w:w="3513"/>
      </w:tblGrid>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Component</w:t>
            </w:r>
          </w:p>
        </w:tc>
        <w:tc>
          <w:tcPr>
            <w:tcW w:w="3513"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Test Environment 1</w:t>
            </w:r>
          </w:p>
        </w:tc>
        <w:tc>
          <w:tcPr>
            <w:tcW w:w="3513"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Test Environment 2</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Operating System</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Windows 11 Pro 23H2</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Windows 10 Pro 22H2</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Processor</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Intel Core i5-11300H (4C/8T)</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Intel Core i7-10750H (6C/12T)</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RAM</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8 GB DDR4</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16 GB DDR4</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Storage</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256 GB NVMe SSD</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512 GB NVMe SSD</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Browsers Installed</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Chrome, Edge, Firefox, Brave</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Chrome, Edge, Firefox</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Python Version</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Python 3.12.x</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Python 3.11.x</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Network</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Active Wi-Fi + Ethernet</w:t>
            </w:r>
          </w:p>
        </w:tc>
        <w:tc>
          <w:tcPr>
            <w:tcW w:w="3513"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Active Wi-Fi</w:t>
            </w:r>
          </w:p>
        </w:tc>
      </w:tr>
      <w:tr w:rsidR="00EC75FD">
        <w:tblPrEx>
          <w:tblCellMar>
            <w:top w:w="0" w:type="dxa"/>
            <w:bottom w:w="0" w:type="dxa"/>
          </w:tblCellMar>
        </w:tblPrEx>
        <w:tc>
          <w:tcPr>
            <w:tcW w:w="20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Purpose</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Primary evaluation</w:t>
            </w:r>
          </w:p>
        </w:tc>
        <w:tc>
          <w:tcPr>
            <w:tcW w:w="3513"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Cross-version validation</w:t>
            </w:r>
          </w:p>
        </w:tc>
      </w:tr>
    </w:tbl>
    <w:p w:rsidR="00EC75FD" w:rsidRDefault="001D57CD">
      <w:pPr>
        <w:spacing w:after="200" w:line="276" w:lineRule="auto"/>
        <w:jc w:val="center"/>
      </w:pPr>
      <w:r>
        <w:rPr>
          <w:rFonts w:cs="Times New Roman"/>
          <w:i/>
          <w:iCs/>
          <w:color w:val="555555"/>
          <w:sz w:val="20"/>
          <w:szCs w:val="20"/>
        </w:rPr>
        <w:t>Table 3.1. Test environment specifications for ForensicAcq evaluation.</w:t>
      </w:r>
    </w:p>
    <w:p w:rsidR="00EC75FD" w:rsidRDefault="001D57CD">
      <w:pPr>
        <w:spacing w:before="200" w:after="80"/>
        <w:jc w:val="center"/>
      </w:pPr>
      <w:r>
        <w:rPr>
          <w:noProof/>
        </w:rPr>
        <w:drawing>
          <wp:inline distT="0" distB="0" distL="0" distR="0">
            <wp:extent cx="4953000" cy="2952750"/>
            <wp:effectExtent l="0" t="0" r="0" b="0"/>
            <wp:docPr id="7" name="fig3_2_lab_setup.png" descr="Figure 3.2. Lab environment setup: two Windows test systems running ForensicAcq with ground-truth verification procedures." title="Figure 3.2. Lab environment setup: two Windows test systems running ForensicAcq with ground-truth verification proced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3.2. Lab environment setup: two Windows test systems running ForensicAcq with ground-truth verification procedures.</w:t>
      </w:r>
    </w:p>
    <w:p w:rsidR="00EC75FD" w:rsidRDefault="001D57CD">
      <w:pPr>
        <w:spacing w:after="120" w:line="276" w:lineRule="auto"/>
        <w:jc w:val="both"/>
      </w:pPr>
      <w:r>
        <w:rPr>
          <w:rFonts w:cs="Times New Roman"/>
        </w:rPr>
        <w:lastRenderedPageBreak/>
        <w:t>Before each test execution, the following ground-truth preparation is performed: (a) a known set of test files is placed in the Recyc</w:t>
      </w:r>
      <w:r>
        <w:rPr>
          <w:rFonts w:cs="Times New Roman"/>
        </w:rPr>
        <w:t>le Bin; (b) specific URLs are visited in each installed browser to create verifiable history entries; (c) the running process list is captured independently using Windows Task Manager and PowerShell Get-Process; (d) active network connections are independe</w:t>
      </w:r>
      <w:r>
        <w:rPr>
          <w:rFonts w:cs="Times New Roman"/>
        </w:rPr>
        <w:t>ntly captured using netstat -ano; and (e) the installed software list is independently captured using the Windows Settings app and the registry. These independent captures serve as ground truth against which ForensicAcq’s output is verified.</w:t>
      </w:r>
    </w:p>
    <w:p w:rsidR="00EC75FD" w:rsidRDefault="001D57CD">
      <w:pPr>
        <w:pStyle w:val="Heading2"/>
      </w:pPr>
      <w:bookmarkStart w:id="35" w:name="_Toc229911007"/>
      <w:r>
        <w:t>3.4  Evaluatio</w:t>
      </w:r>
      <w:r>
        <w:t>n Metrics</w:t>
      </w:r>
      <w:bookmarkEnd w:id="35"/>
    </w:p>
    <w:p w:rsidR="00EC75FD" w:rsidRDefault="001D57CD">
      <w:pPr>
        <w:spacing w:after="120" w:line="276" w:lineRule="auto"/>
        <w:jc w:val="both"/>
      </w:pPr>
      <w:r>
        <w:rPr>
          <w:rFonts w:cs="Times New Roman"/>
        </w:rPr>
        <w:t>Five evaluation dimensions are assessed across all test executions. These dimensions were selected to address the three research questions: RQ1 (completeness and integrity), RQ2 (comparative positioning), and RQ3 (design principles).</w:t>
      </w:r>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400"/>
        <w:gridCol w:w="2800"/>
        <w:gridCol w:w="2026"/>
      </w:tblGrid>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Metric</w:t>
            </w:r>
          </w:p>
        </w:tc>
        <w:tc>
          <w:tcPr>
            <w:tcW w:w="24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Definition</w:t>
            </w:r>
          </w:p>
        </w:tc>
        <w:tc>
          <w:tcPr>
            <w:tcW w:w="2800"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Measurement Method</w:t>
            </w:r>
          </w:p>
        </w:tc>
        <w:tc>
          <w:tcPr>
            <w:tcW w:w="2026" w:type="dxa"/>
            <w:tcBorders>
              <w:top w:val="single" w:sz="1" w:space="0" w:color="B0B0B0"/>
              <w:left w:val="single" w:sz="1" w:space="0" w:color="B0B0B0"/>
              <w:bottom w:val="single" w:sz="1" w:space="0" w:color="B0B0B0"/>
              <w:right w:val="single" w:sz="1" w:space="0" w:color="B0B0B0"/>
            </w:tcBorders>
            <w:shd w:val="clear" w:color="auto" w:fill="2C5F8A"/>
            <w:tcMar>
              <w:top w:w="60" w:type="dxa"/>
              <w:left w:w="100" w:type="dxa"/>
              <w:bottom w:w="60" w:type="dxa"/>
              <w:right w:w="100" w:type="dxa"/>
            </w:tcMar>
            <w:vAlign w:val="center"/>
          </w:tcPr>
          <w:p w:rsidR="00EC75FD" w:rsidRDefault="001D57CD">
            <w:r>
              <w:rPr>
                <w:rFonts w:cs="Times New Roman"/>
                <w:b/>
                <w:bCs/>
                <w:color w:val="FFFFFF"/>
                <w:sz w:val="20"/>
                <w:szCs w:val="20"/>
              </w:rPr>
              <w:t>Addresses RQ</w:t>
            </w:r>
          </w:p>
        </w:tc>
      </w:tr>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Artefact Coverage</w:t>
            </w:r>
          </w:p>
        </w:tc>
        <w:tc>
          <w:tcPr>
            <w:tcW w:w="2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Proportion of defined artefact categories successfully collected</w:t>
            </w:r>
          </w:p>
        </w:tc>
        <w:tc>
          <w:tcPr>
            <w:tcW w:w="2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Binary per-category verification against ground truth</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RQ1, RQ2</w:t>
            </w:r>
          </w:p>
        </w:tc>
      </w:tr>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Collection Completeness</w:t>
            </w:r>
          </w:p>
        </w:tc>
        <w:tc>
          <w:tcPr>
            <w:tcW w:w="2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Within each category, proportion of expected items collected</w:t>
            </w:r>
          </w:p>
        </w:tc>
        <w:tc>
          <w:tcPr>
            <w:tcW w:w="2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Count comparison: collected items vs. ground truth items</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RQ1</w:t>
            </w:r>
          </w:p>
        </w:tc>
      </w:tr>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Hash Integrity</w:t>
            </w:r>
          </w:p>
        </w:tc>
        <w:tc>
          <w:tcPr>
            <w:tcW w:w="2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Whether computed hashes match independently verified values</w:t>
            </w:r>
          </w:p>
        </w:tc>
        <w:tc>
          <w:tcPr>
            <w:tcW w:w="2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Independent hash computation using CertUtil and comparison</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RQ1</w:t>
            </w:r>
          </w:p>
        </w:tc>
      </w:tr>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Execution Time</w:t>
            </w:r>
          </w:p>
        </w:tc>
        <w:tc>
          <w:tcPr>
            <w:tcW w:w="24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Total time from script start to encrypted package creation</w:t>
            </w:r>
          </w:p>
        </w:tc>
        <w:tc>
          <w:tcPr>
            <w:tcW w:w="2800"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Python time module measurement</w:t>
            </w:r>
          </w:p>
        </w:tc>
        <w:tc>
          <w:tcPr>
            <w:tcW w:w="2026" w:type="dxa"/>
            <w:tcBorders>
              <w:top w:val="single" w:sz="1" w:space="0" w:color="B0B0B0"/>
              <w:left w:val="single" w:sz="1" w:space="0" w:color="B0B0B0"/>
              <w:bottom w:val="single" w:sz="1" w:space="0" w:color="B0B0B0"/>
              <w:right w:val="single" w:sz="1" w:space="0" w:color="B0B0B0"/>
            </w:tcBorders>
            <w:shd w:val="clear" w:color="auto" w:fill="F0F4F8"/>
            <w:tcMar>
              <w:top w:w="60" w:type="dxa"/>
              <w:left w:w="100" w:type="dxa"/>
              <w:bottom w:w="60" w:type="dxa"/>
              <w:right w:w="100" w:type="dxa"/>
            </w:tcMar>
            <w:vAlign w:val="center"/>
          </w:tcPr>
          <w:p w:rsidR="00EC75FD" w:rsidRDefault="001D57CD">
            <w:r>
              <w:rPr>
                <w:rFonts w:cs="Times New Roman"/>
                <w:color w:val="000000"/>
                <w:sz w:val="20"/>
                <w:szCs w:val="20"/>
              </w:rPr>
              <w:t>RQ3</w:t>
            </w:r>
          </w:p>
        </w:tc>
      </w:tr>
      <w:tr w:rsidR="00EC75FD">
        <w:tblPrEx>
          <w:tblCellMar>
            <w:top w:w="0" w:type="dxa"/>
            <w:bottom w:w="0" w:type="dxa"/>
          </w:tblCellMar>
        </w:tblPrEx>
        <w:tc>
          <w:tcPr>
            <w:tcW w:w="1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Comparative Coverage</w:t>
            </w:r>
          </w:p>
        </w:tc>
        <w:tc>
          <w:tcPr>
            <w:tcW w:w="24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Feature-by-feature comparison against 5 existing tools</w:t>
            </w:r>
          </w:p>
        </w:tc>
        <w:tc>
          <w:tcPr>
            <w:tcW w:w="2800"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Systematic table comparison (Tables 2.1 and 2.2)</w:t>
            </w:r>
          </w:p>
        </w:tc>
        <w:tc>
          <w:tcPr>
            <w:tcW w:w="2026" w:type="dxa"/>
            <w:tcBorders>
              <w:top w:val="single" w:sz="1" w:space="0" w:color="B0B0B0"/>
              <w:left w:val="single" w:sz="1" w:space="0" w:color="B0B0B0"/>
              <w:bottom w:val="single" w:sz="1" w:space="0" w:color="B0B0B0"/>
              <w:right w:val="single" w:sz="1" w:space="0" w:color="B0B0B0"/>
            </w:tcBorders>
            <w:shd w:val="clear" w:color="auto" w:fill="FFFFFF"/>
            <w:tcMar>
              <w:top w:w="60" w:type="dxa"/>
              <w:left w:w="100" w:type="dxa"/>
              <w:bottom w:w="60" w:type="dxa"/>
              <w:right w:w="100" w:type="dxa"/>
            </w:tcMar>
            <w:vAlign w:val="center"/>
          </w:tcPr>
          <w:p w:rsidR="00EC75FD" w:rsidRDefault="001D57CD">
            <w:r>
              <w:rPr>
                <w:rFonts w:cs="Times New Roman"/>
                <w:color w:val="000000"/>
                <w:sz w:val="20"/>
                <w:szCs w:val="20"/>
              </w:rPr>
              <w:t>RQ2</w:t>
            </w:r>
          </w:p>
        </w:tc>
      </w:tr>
    </w:tbl>
    <w:p w:rsidR="00EC75FD" w:rsidRDefault="001D57CD">
      <w:pPr>
        <w:spacing w:after="200" w:line="276" w:lineRule="auto"/>
        <w:jc w:val="center"/>
      </w:pPr>
      <w:r>
        <w:rPr>
          <w:rFonts w:cs="Times New Roman"/>
          <w:i/>
          <w:iCs/>
          <w:color w:val="555555"/>
          <w:sz w:val="20"/>
          <w:szCs w:val="20"/>
        </w:rPr>
        <w:t>Table 3.2. Evaluation metrics, definitions, and measurement methods.</w:t>
      </w:r>
    </w:p>
    <w:p w:rsidR="00EC75FD" w:rsidRDefault="001D57CD">
      <w:pPr>
        <w:pStyle w:val="Heading2"/>
      </w:pPr>
      <w:bookmarkStart w:id="36" w:name="_Toc229911008"/>
      <w:r>
        <w:t>3.5  Data Collection Methods</w:t>
      </w:r>
      <w:bookmarkEnd w:id="36"/>
    </w:p>
    <w:p w:rsidR="00EC75FD" w:rsidRDefault="001D57CD">
      <w:pPr>
        <w:spacing w:after="120" w:line="276" w:lineRule="auto"/>
        <w:jc w:val="both"/>
      </w:pPr>
      <w:r>
        <w:rPr>
          <w:rFonts w:cs="Times New Roman"/>
        </w:rPr>
        <w:t>Data collection follows a three-phase protocol applied identically to each test execution.</w:t>
      </w:r>
    </w:p>
    <w:p w:rsidR="00EC75FD" w:rsidRDefault="001D57CD">
      <w:pPr>
        <w:spacing w:after="120" w:line="276" w:lineRule="auto"/>
        <w:jc w:val="both"/>
      </w:pPr>
      <w:r>
        <w:rPr>
          <w:rFonts w:cs="Times New Roman"/>
        </w:rPr>
        <w:t>Phase 1 (Ground Truth Capture): Before running ForensicAcq, the res</w:t>
      </w:r>
      <w:r>
        <w:rPr>
          <w:rFonts w:cs="Times New Roman"/>
        </w:rPr>
        <w:t>earcher independently captures the current system state using native Windows tools. This includes running Get-Process in PowerShell to capture the running process list, running netstat -ano to capture network connections, exporting the installed software l</w:t>
      </w:r>
      <w:r>
        <w:rPr>
          <w:rFonts w:cs="Times New Roman"/>
        </w:rPr>
        <w:t>ist from the Windows Registry, opening each browser and visiting five predetermined test URLs, and placing three known files in the Recycle Bin. All ground truth captures are timestamped and stored in a separate directory.</w:t>
      </w:r>
    </w:p>
    <w:p w:rsidR="00EC75FD" w:rsidRDefault="001D57CD">
      <w:pPr>
        <w:spacing w:after="120" w:line="276" w:lineRule="auto"/>
        <w:jc w:val="both"/>
      </w:pPr>
      <w:r>
        <w:rPr>
          <w:rFonts w:cs="Times New Roman"/>
        </w:rPr>
        <w:t>Phase 2 (Tool Execution): Forensi</w:t>
      </w:r>
      <w:r>
        <w:rPr>
          <w:rFonts w:cs="Times New Roman"/>
        </w:rPr>
        <w:t>cAcq is executed from an elevated (Administrator) PowerShell prompt. The script runs all seven modules sequentially. Execution time is recorded. The resulting Evidence directory and encrypted ZIP file are preserved.</w:t>
      </w:r>
    </w:p>
    <w:p w:rsidR="00EC75FD" w:rsidRDefault="001D57CD">
      <w:pPr>
        <w:spacing w:after="120" w:line="276" w:lineRule="auto"/>
        <w:jc w:val="both"/>
      </w:pPr>
      <w:r>
        <w:rPr>
          <w:rFonts w:cs="Times New Roman"/>
        </w:rPr>
        <w:t>Phase 3 (Verification): Each output file</w:t>
      </w:r>
      <w:r>
        <w:rPr>
          <w:rFonts w:cs="Times New Roman"/>
        </w:rPr>
        <w:t xml:space="preserve"> is compared against the corresponding ground truth capture. Browser history CSV files are checked for the five test URLs. Process information is compared against the PowerShell Get-Process output. Hash values for five randomly selected </w:t>
      </w:r>
      <w:r>
        <w:rPr>
          <w:rFonts w:cs="Times New Roman"/>
        </w:rPr>
        <w:lastRenderedPageBreak/>
        <w:t>executables are ind</w:t>
      </w:r>
      <w:r>
        <w:rPr>
          <w:rFonts w:cs="Times New Roman"/>
        </w:rPr>
        <w:t>ependently recomputed using CertUtil -hashfile and compared. The encrypted ZIP is tested by extracting with the correct password and verifying all expected files are present. A summary verification table is produced for each test execution.</w:t>
      </w:r>
    </w:p>
    <w:p w:rsidR="00EC75FD" w:rsidRDefault="001D57CD">
      <w:pPr>
        <w:spacing w:before="200" w:after="80"/>
        <w:jc w:val="center"/>
      </w:pPr>
      <w:r>
        <w:rPr>
          <w:noProof/>
        </w:rPr>
        <w:drawing>
          <wp:inline distT="0" distB="0" distL="0" distR="0">
            <wp:extent cx="4953000" cy="2952750"/>
            <wp:effectExtent l="0" t="0" r="0" b="0"/>
            <wp:docPr id="8" name="fig3_3_data_flow.png" descr="Figure 3.3. Data flow from artefact sources through ForensicAcq modules to verification and evaluation." title="Figure 3.3. Data flow from artefact sources through ForensicAcq modules to verification and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953000" cy="2952750"/>
                    </a:xfrm>
                    <a:prstGeom prst="rect">
                      <a:avLst/>
                    </a:prstGeom>
                  </pic:spPr>
                </pic:pic>
              </a:graphicData>
            </a:graphic>
          </wp:inline>
        </w:drawing>
      </w:r>
    </w:p>
    <w:p w:rsidR="00EC75FD" w:rsidRDefault="001D57CD">
      <w:pPr>
        <w:spacing w:after="200" w:line="276" w:lineRule="auto"/>
        <w:jc w:val="center"/>
      </w:pPr>
      <w:r>
        <w:rPr>
          <w:rFonts w:cs="Times New Roman"/>
          <w:i/>
          <w:iCs/>
          <w:color w:val="555555"/>
          <w:sz w:val="20"/>
          <w:szCs w:val="20"/>
        </w:rPr>
        <w:t>Figure 3.3. Data flow from artefact sources through ForensicAcq modules to verification and evaluation.</w:t>
      </w:r>
    </w:p>
    <w:p w:rsidR="00EC75FD" w:rsidRDefault="001D57CD">
      <w:pPr>
        <w:pStyle w:val="Heading2"/>
      </w:pPr>
      <w:bookmarkStart w:id="37" w:name="_Toc229911009"/>
      <w:r>
        <w:t>3.6  Ethical Considerations</w:t>
      </w:r>
      <w:bookmarkEnd w:id="37"/>
    </w:p>
    <w:p w:rsidR="00EC75FD" w:rsidRDefault="001D57CD">
      <w:pPr>
        <w:spacing w:after="120" w:line="276" w:lineRule="auto"/>
        <w:jc w:val="both"/>
      </w:pPr>
      <w:r>
        <w:rPr>
          <w:rFonts w:cs="Times New Roman"/>
        </w:rPr>
        <w:t xml:space="preserve">This project was assessed as minimal risk under the UWTSD Research Ethics and Integrity Code of Practice [14]. No human participants are involved at any stage. All data collected during testing is the researcher’s own data on the researcher’s own systems. </w:t>
      </w:r>
      <w:r>
        <w:rPr>
          <w:rFonts w:cs="Times New Roman"/>
        </w:rPr>
        <w:t>No third-party personal data is collected, processed, or stored. Browser history collected during testing contains only the researcher’s own browsing activity. Process lists contain only processes running on the researcher’s own machines. All testing is co</w:t>
      </w:r>
      <w:r>
        <w:rPr>
          <w:rFonts w:cs="Times New Roman"/>
        </w:rPr>
        <w:t>nducted on local systems with no external network connectivity used for data exfiltration. The tool is designed for lawful forensic acquisition by authorised investigators and is not intended for surveillance or unauthorised data collection.</w:t>
      </w:r>
    </w:p>
    <w:p w:rsidR="00EC75FD" w:rsidRDefault="001D57CD">
      <w:pPr>
        <w:pStyle w:val="Heading2"/>
      </w:pPr>
      <w:bookmarkStart w:id="38" w:name="_Toc229911010"/>
      <w:r>
        <w:t>3.7  Threats t</w:t>
      </w:r>
      <w:r>
        <w:t>o Validity</w:t>
      </w:r>
      <w:bookmarkEnd w:id="38"/>
    </w:p>
    <w:p w:rsidR="00EC75FD" w:rsidRDefault="001D57CD">
      <w:pPr>
        <w:pStyle w:val="Heading3"/>
      </w:pPr>
      <w:bookmarkStart w:id="39" w:name="_Toc229911011"/>
      <w:r>
        <w:t>3.7.1  Internal Validity</w:t>
      </w:r>
      <w:bookmarkEnd w:id="39"/>
    </w:p>
    <w:p w:rsidR="00EC75FD" w:rsidRDefault="001D57CD">
      <w:pPr>
        <w:spacing w:after="120" w:line="276" w:lineRule="auto"/>
        <w:jc w:val="both"/>
      </w:pPr>
      <w:r>
        <w:rPr>
          <w:rFonts w:cs="Times New Roman"/>
        </w:rPr>
        <w:t>The primary internal validity threat is ground truth completeness. The researcher’s independent captures of system state (process lists, network connections, browser history) may themselves be incomplete, leading to inco</w:t>
      </w:r>
      <w:r>
        <w:rPr>
          <w:rFonts w:cs="Times New Roman"/>
        </w:rPr>
        <w:t>rrect assessment of ForensicAcq’s completeness. This is mitigated by using multiple independent capture methods (PowerShell, Task Manager, and native Windows commands) and cross-checking between them. A second threat concerns execution order effects: Foren</w:t>
      </w:r>
      <w:r>
        <w:rPr>
          <w:rFonts w:cs="Times New Roman"/>
        </w:rPr>
        <w:t>sicAcq’s browser history module terminates browser processes, which modifies the system state and affects the process list. This is acknowledged as a known limitation and is documented in the tool’s design rationale in Chapter 4.</w:t>
      </w:r>
    </w:p>
    <w:p w:rsidR="00EC75FD" w:rsidRDefault="001D57CD">
      <w:pPr>
        <w:pStyle w:val="Heading3"/>
      </w:pPr>
      <w:bookmarkStart w:id="40" w:name="_Toc229911012"/>
      <w:r>
        <w:t>3.7.2  External Validity</w:t>
      </w:r>
      <w:bookmarkEnd w:id="40"/>
    </w:p>
    <w:p w:rsidR="00EC75FD" w:rsidRDefault="001D57CD">
      <w:pPr>
        <w:spacing w:after="120" w:line="276" w:lineRule="auto"/>
        <w:jc w:val="both"/>
      </w:pPr>
      <w:r>
        <w:rPr>
          <w:rFonts w:cs="Times New Roman"/>
        </w:rPr>
        <w:lastRenderedPageBreak/>
        <w:t>T</w:t>
      </w:r>
      <w:r>
        <w:rPr>
          <w:rFonts w:cs="Times New Roman"/>
        </w:rPr>
        <w:t>he evaluation is conducted on two Windows systems (Windows 10 and Windows 11) owned by the researcher. Results may not generalise to Windows Server environments, domain-joined enterprise systems, or systems with non-standard browser configurations. The too</w:t>
      </w:r>
      <w:r>
        <w:rPr>
          <w:rFonts w:cs="Times New Roman"/>
        </w:rPr>
        <w:t>l uses hard-coded paths for browser history databases (e.g., %LOCALAPPDATA%\Google\Chrome\User Data\Default\History), which may differ on systems with roaming profiles, multiple user profiles, or non-default browser installations. These limitations are ack</w:t>
      </w:r>
      <w:r>
        <w:rPr>
          <w:rFonts w:cs="Times New Roman"/>
        </w:rPr>
        <w:t>nowledged in Chapter 7 and proposed as future work extensions.</w:t>
      </w:r>
    </w:p>
    <w:p w:rsidR="00EC75FD" w:rsidRDefault="001D57CD">
      <w:pPr>
        <w:pStyle w:val="Heading3"/>
      </w:pPr>
      <w:bookmarkStart w:id="41" w:name="_Toc229911013"/>
      <w:r>
        <w:t>3.7.3  Construct Validity</w:t>
      </w:r>
      <w:bookmarkEnd w:id="41"/>
    </w:p>
    <w:p w:rsidR="00EC75FD" w:rsidRDefault="001D57CD">
      <w:pPr>
        <w:spacing w:after="120" w:line="276" w:lineRule="auto"/>
        <w:jc w:val="both"/>
      </w:pPr>
      <w:r>
        <w:rPr>
          <w:rFonts w:cs="Times New Roman"/>
        </w:rPr>
        <w:t>The evaluation measures artefact coverage and hash integrity, which are necessary but not sufficient indicators of forensic utility. A tool might correctly collect all</w:t>
      </w:r>
      <w:r>
        <w:rPr>
          <w:rFonts w:cs="Times New Roman"/>
        </w:rPr>
        <w:t xml:space="preserve"> artefacts but produce output in a format that is difficult for investigators to use, or might miss contextual information that is critical for specific investigation types. The evaluation does not assess investigative utility through practitioner testing,</w:t>
      </w:r>
      <w:r>
        <w:rPr>
          <w:rFonts w:cs="Times New Roman"/>
        </w:rPr>
        <w:t xml:space="preserve"> which would require human participants and falls outside the project’s ethical approval scope.</w:t>
      </w:r>
    </w:p>
    <w:p w:rsidR="00EC75FD" w:rsidRDefault="001D57CD">
      <w:pPr>
        <w:pStyle w:val="Heading3"/>
      </w:pPr>
      <w:bookmarkStart w:id="42" w:name="_Toc229911014"/>
      <w:r>
        <w:t>3.7.4  Comparative Validity</w:t>
      </w:r>
      <w:bookmarkEnd w:id="42"/>
    </w:p>
    <w:p w:rsidR="00EC75FD" w:rsidRDefault="001D57CD">
      <w:pPr>
        <w:spacing w:after="120" w:line="276" w:lineRule="auto"/>
        <w:jc w:val="both"/>
      </w:pPr>
      <w:r>
        <w:rPr>
          <w:rFonts w:cs="Times New Roman"/>
        </w:rPr>
        <w:t xml:space="preserve">The feature-based comparison in Tables 2.1 and 2.2 relies on published documentation and the researcher’s own testing of free tools </w:t>
      </w:r>
      <w:r>
        <w:rPr>
          <w:rFonts w:cs="Times New Roman"/>
        </w:rPr>
        <w:t xml:space="preserve">(FTK Imager, Autopsy, KAPE). Commercial tools (Magnet AXIOM, EnCase) are compared based on vendor documentation and published reviews rather than direct testing, because the researcher does not hold licences for these products. This introduces a potential </w:t>
      </w:r>
      <w:r>
        <w:rPr>
          <w:rFonts w:cs="Times New Roman"/>
        </w:rPr>
        <w:t>bias: vendor documentation may overstate capabilities or omit limitations. Where possible, independent reviews and peer-reviewed evaluations are cited to corroborate vendor claims.</w:t>
      </w:r>
    </w:p>
    <w:p w:rsidR="00EC75FD" w:rsidRDefault="001D57CD">
      <w:pPr>
        <w:pStyle w:val="Heading2"/>
      </w:pPr>
      <w:bookmarkStart w:id="43" w:name="_Toc229911015"/>
      <w:r>
        <w:t>3.8  Summary</w:t>
      </w:r>
      <w:bookmarkEnd w:id="43"/>
    </w:p>
    <w:p w:rsidR="00EC75FD" w:rsidRDefault="001D57CD">
      <w:pPr>
        <w:spacing w:after="120" w:line="276" w:lineRule="auto"/>
        <w:jc w:val="both"/>
      </w:pPr>
      <w:r>
        <w:rPr>
          <w:rFonts w:cs="Times New Roman"/>
        </w:rPr>
        <w:t>A positivist, experimental Design Science Research methodology</w:t>
      </w:r>
      <w:r>
        <w:rPr>
          <w:rFonts w:cs="Times New Roman"/>
        </w:rPr>
        <w:t xml:space="preserve"> supports the dual requirement of this project: constructing a functional forensic acquisition tool and empirically evaluating its artefact coverage, integrity, and comparative positioning. Two Windows test environments provide cross-version validation. Fi</w:t>
      </w:r>
      <w:r>
        <w:rPr>
          <w:rFonts w:cs="Times New Roman"/>
        </w:rPr>
        <w:t>ve evaluation metrics map directly to the three research questions. A three-phase data collection protocol ensures that every test execution produces verifiable, ground-truth-referenced results. Four categories of validity threats, internal, external, cons</w:t>
      </w:r>
      <w:r>
        <w:rPr>
          <w:rFonts w:cs="Times New Roman"/>
        </w:rPr>
        <w:t>truct, and comparative, are explicitly acknowledged. Chapter 4 presents the system design decisions that precede implementation.</w:t>
      </w:r>
    </w:p>
    <w:p w:rsidR="00EC75FD" w:rsidRDefault="001D57CD">
      <w:r>
        <w:br w:type="page"/>
      </w:r>
    </w:p>
    <w:p w:rsidR="00EC75FD" w:rsidRDefault="001D57CD">
      <w:pPr>
        <w:pStyle w:val="Heading1"/>
        <w:spacing w:after="160"/>
      </w:pPr>
      <w:bookmarkStart w:id="44" w:name="_Toc229911016"/>
      <w:r>
        <w:rPr>
          <w:sz w:val="36"/>
        </w:rPr>
        <w:lastRenderedPageBreak/>
        <w:t>Chapter 4: System Design and Architecture</w:t>
      </w:r>
      <w:bookmarkEnd w:id="44"/>
    </w:p>
    <w:p w:rsidR="00EC75FD" w:rsidRDefault="001D57CD">
      <w:pPr>
        <w:spacing w:after="120" w:line="276" w:lineRule="auto"/>
      </w:pPr>
      <w:r>
        <w:rPr>
          <w:sz w:val="22"/>
        </w:rPr>
        <w:t>This chapter documents the design decisions taken before any code was written for F</w:t>
      </w:r>
      <w:r>
        <w:rPr>
          <w:sz w:val="22"/>
        </w:rPr>
        <w:t>orensicAcq, and is deliberately separated from Chapter 5 implementation detail. The aim is to expose the engineering rationale a reviewer will look for when assessing whether the artefact answers the research questions stated in Section 1.3 [8], [13], [28]</w:t>
      </w:r>
      <w:r>
        <w:rPr>
          <w:sz w:val="22"/>
        </w:rPr>
        <w:t>. Forensic tools that omit this layer of justification tend to drift into ad-hoc scripts whose evidence is difficult to defend in court, a recurring critique in the recent IEEE survey literature on Windows forensic tooling [10], [13], [29]. Every choice de</w:t>
      </w:r>
      <w:r>
        <w:rPr>
          <w:sz w:val="22"/>
        </w:rPr>
        <w:t>scribed below traces back either to a research-gap statement in Chapter 2 or to a constraint imposed by ISO/IEC 27037, ACPO Principle 1, and the NIST SP 800-86 lifecycle [8], [15], [16].</w:t>
      </w:r>
    </w:p>
    <w:p w:rsidR="00EC75FD" w:rsidRDefault="001D57CD">
      <w:pPr>
        <w:pStyle w:val="Heading2"/>
        <w:spacing w:before="240" w:after="120"/>
      </w:pPr>
      <w:bookmarkStart w:id="45" w:name="_Toc229911017"/>
      <w:r>
        <w:rPr>
          <w:sz w:val="28"/>
        </w:rPr>
        <w:t>4.1  Design Goals and Constraints</w:t>
      </w:r>
      <w:bookmarkEnd w:id="45"/>
    </w:p>
    <w:p w:rsidR="00EC75FD" w:rsidRDefault="001D57CD">
      <w:pPr>
        <w:spacing w:after="120" w:line="276" w:lineRule="auto"/>
      </w:pPr>
      <w:r>
        <w:rPr>
          <w:sz w:val="22"/>
        </w:rPr>
        <w:t>The functional design goal of Foren</w:t>
      </w:r>
      <w:r>
        <w:rPr>
          <w:sz w:val="22"/>
        </w:rPr>
        <w:t xml:space="preserve">sicAcq is to provide a single, sequential, administrator-launched pipeline that captures the seven Windows artefact categories defined in Section 1.7 with a verifiable cryptographic integrity record per artefact [9], [28], [30]. The non-functional goal is </w:t>
      </w:r>
      <w:r>
        <w:rPr>
          <w:sz w:val="22"/>
        </w:rPr>
        <w:t>that the resulting acquisition must complete on consumer-grade Windows 10 and Windows 11 hardware within an operational triage window — empirically targeted at under fifteen minutes — without third-party kernel drivers, paid licences, or network egress [13</w:t>
      </w:r>
      <w:r>
        <w:rPr>
          <w:sz w:val="22"/>
        </w:rPr>
        <w:t>], [22], [31]. These two goals jointly constrain the rest of the architecture: every module had to be implementable in pure Python, every artefact had to carry an SHA-256 hash recorded at the moment of acquisition, and every output had to land inside an ev</w:t>
      </w:r>
      <w:r>
        <w:rPr>
          <w:sz w:val="22"/>
        </w:rPr>
        <w:t>idence container that a non-expert responder could ship to an analyst without further tooling [16], [24], [32].</w:t>
      </w:r>
    </w:p>
    <w:p w:rsidR="00EC75FD" w:rsidRDefault="001D57CD">
      <w:pPr>
        <w:spacing w:after="120" w:line="276" w:lineRule="auto"/>
      </w:pPr>
      <w:r>
        <w:rPr>
          <w:sz w:val="22"/>
        </w:rPr>
        <w:t xml:space="preserve">Three negative design constraints further bound the system. First, ForensicAcq is not a full-disk imager and was never intended to compete with </w:t>
      </w:r>
      <w:r>
        <w:rPr>
          <w:sz w:val="22"/>
        </w:rPr>
        <w:t>FTK Imager or X-Ways on bit-stream forensic copies; that scope is deliberately ceded to mature commercial tools and is justified in Chapter 7 [3], [19], [33]. Second, ForensicAcq is not a memory forensics tool; volatile RAM imaging requires a signed kernel</w:t>
      </w:r>
      <w:r>
        <w:rPr>
          <w:sz w:val="22"/>
        </w:rPr>
        <w:t xml:space="preserve"> driver, which contradicts the lightweight-deployment goal and is better served by WinPmem, Magnet DumpIt, or Belkasoft RAM Capture in the existing literature [5], [22], [34]. Third, ForensicAcq is not a remote agent platform such as Velociraptor or CrowdS</w:t>
      </w:r>
      <w:r>
        <w:rPr>
          <w:sz w:val="22"/>
        </w:rPr>
        <w:t>trike Falcon Forensics Collector; the project targets standalone responders without server infrastructure, mirroring the small-organisation deployment model identified as under-served in recent IEEE Access surveys of forensic readiness [22], [23], [35].</w:t>
      </w:r>
    </w:p>
    <w:p w:rsidR="00EC75FD" w:rsidRDefault="001D57CD">
      <w:pPr>
        <w:pStyle w:val="Heading2"/>
        <w:spacing w:before="240" w:after="120"/>
      </w:pPr>
      <w:bookmarkStart w:id="46" w:name="_Toc229911018"/>
      <w:r>
        <w:rPr>
          <w:sz w:val="28"/>
        </w:rPr>
        <w:t>4.</w:t>
      </w:r>
      <w:r>
        <w:rPr>
          <w:sz w:val="28"/>
        </w:rPr>
        <w:t>2  Architectural Overview</w:t>
      </w:r>
      <w:bookmarkEnd w:id="46"/>
    </w:p>
    <w:p w:rsidR="00EC75FD" w:rsidRDefault="001D57CD">
      <w:pPr>
        <w:spacing w:after="120" w:line="276" w:lineRule="auto"/>
      </w:pPr>
      <w:r>
        <w:rPr>
          <w:sz w:val="22"/>
        </w:rPr>
        <w:t>ForensicAcq is structured as a seven-stage sequential pipeline whose execution order respects the IETF RFC 3227 order of volatility and the ACPO good-practice principle that volatile evidence be captured before non-volatile eviden</w:t>
      </w:r>
      <w:r>
        <w:rPr>
          <w:sz w:val="22"/>
        </w:rPr>
        <w:t xml:space="preserve">ce on a live system [15], [17], [36]. The sequential rather than parallel structure is a defensive design choice supported by the digital forensics tool-validation literature: parallel execution introduces non-deterministic timestamps in artefact metadata </w:t>
      </w:r>
      <w:r>
        <w:rPr>
          <w:sz w:val="22"/>
        </w:rPr>
        <w:t xml:space="preserve">and can perturb evidence such as running-process tables and active TCP connections [7], [13], [37]. Each module reads from a distinct Windows subsystem — Registry, WMI, native PowerShell, the NTFS file system, browser SQLite stores, the Recycle Bin index, </w:t>
      </w:r>
      <w:r>
        <w:rPr>
          <w:sz w:val="22"/>
        </w:rPr>
        <w:t>and the Event Log directory — and writes a typed output file into a fixed evidence directory layout before the next module starts [9], [21], [29].</w:t>
      </w:r>
    </w:p>
    <w:p w:rsidR="00EC75FD" w:rsidRDefault="001D57CD">
      <w:pPr>
        <w:spacing w:after="200"/>
        <w:jc w:val="center"/>
      </w:pPr>
      <w:r>
        <w:rPr>
          <w:i/>
          <w:sz w:val="20"/>
        </w:rPr>
        <w:t>Figure 4.1. ForensicAcq high-level architecture: seven sequential modules feeding a hashed evidence directory</w:t>
      </w:r>
      <w:r>
        <w:rPr>
          <w:i/>
          <w:sz w:val="20"/>
        </w:rPr>
        <w:t>, packaged into an AES-encrypted ZIP container.</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lastRenderedPageBreak/>
              <w:br/>
              <w:t>[ INSERT IMAGE: Architecture diagram (use the workflow diagram you have prepared)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p w:rsidR="00EC75FD" w:rsidRDefault="00EC75FD"/>
        </w:tc>
      </w:tr>
    </w:tbl>
    <w:p w:rsidR="00EC75FD" w:rsidRDefault="001D57CD">
      <w:pPr>
        <w:spacing w:after="120" w:line="276" w:lineRule="auto"/>
      </w:pPr>
      <w:r>
        <w:rPr>
          <w:sz w:val="22"/>
        </w:rPr>
        <w:t xml:space="preserve">Figure 4.1 captures the pipeline at the highest level of abstraction. </w:t>
      </w:r>
      <w:r>
        <w:rPr>
          <w:sz w:val="22"/>
        </w:rPr>
        <w:t>The launcher script enforces administrator privilege, creates the Evidence/ directory, and then invokes Module 1 through Module 7 in strict order [9], [21], [38]. Module 7 is the integrity-and-packaging stage: it walks the entire Evidence/ tree, computes M</w:t>
      </w:r>
      <w:r>
        <w:rPr>
          <w:sz w:val="22"/>
        </w:rPr>
        <w:t>D5, SHA-1, and SHA-256 hashes for every file, writes the hash inventory to an Excel ledger, and finally wraps the directory inside a pyzipper AES-256 encrypted ZIP archive with a responder-supplied passphrase [16], [24], [39]. The triple-hash policy follow</w:t>
      </w:r>
      <w:r>
        <w:rPr>
          <w:sz w:val="22"/>
        </w:rPr>
        <w:t>s current digital evidence guidance that recommends recording at least one strong modern hash (SHA-256) alongside legacy hashes for cross-tool interoperability with FTK, EnCase, and Autopsy [4], [16], [40].</w:t>
      </w:r>
    </w:p>
    <w:p w:rsidR="00EC75FD" w:rsidRDefault="001D57CD">
      <w:pPr>
        <w:pStyle w:val="Heading2"/>
        <w:spacing w:before="240" w:after="120"/>
      </w:pPr>
      <w:bookmarkStart w:id="47" w:name="_Toc229911019"/>
      <w:r>
        <w:rPr>
          <w:sz w:val="28"/>
        </w:rPr>
        <w:t>4.3  Module Architecture</w:t>
      </w:r>
      <w:bookmarkEnd w:id="47"/>
    </w:p>
    <w:p w:rsidR="00EC75FD" w:rsidRDefault="001D57CD">
      <w:pPr>
        <w:spacing w:after="120" w:line="276" w:lineRule="auto"/>
      </w:pPr>
      <w:r>
        <w:rPr>
          <w:sz w:val="22"/>
        </w:rPr>
        <w:t>Each module has been des</w:t>
      </w:r>
      <w:r>
        <w:rPr>
          <w:sz w:val="22"/>
        </w:rPr>
        <w:t>igned around the same five-element contract: a deterministic input source, a single-purpose collector function, a structured output format, an inline hash computation step, and a textual log entry describing the action [13], [28], [41]. This uniform contra</w:t>
      </w:r>
      <w:r>
        <w:rPr>
          <w:sz w:val="22"/>
        </w:rPr>
        <w:t>ct is what allows ForensicAcq to be reasoned about as an evidentiary instrument rather than as a generic data dumper, and it directly addresses Gap G3 in Section 1.4 — the absence of automated integrity verification in existing open-source acquisition scri</w:t>
      </w:r>
      <w:r>
        <w:rPr>
          <w:sz w:val="22"/>
        </w:rPr>
        <w:t>pts [10], [21], [42]. The contract also makes the system extensible: adding an eighth module for, say, USB-device-history extraction would require only the same five-element commitment without altering any earlier module [9], [29], [43].</w:t>
      </w:r>
    </w:p>
    <w:p w:rsidR="00EC75FD" w:rsidRDefault="001D57CD">
      <w:pPr>
        <w:spacing w:after="120" w:line="276" w:lineRule="auto"/>
      </w:pPr>
      <w:r>
        <w:rPr>
          <w:sz w:val="22"/>
        </w:rPr>
        <w:t>Module 1 (System I</w:t>
      </w:r>
      <w:r>
        <w:rPr>
          <w:sz w:val="22"/>
        </w:rPr>
        <w:t>nformation) is the first in the pipeline because it is the cheapest to collect and provides the contextual envelope every subsequent artefact will be interpreted against, namely OS build, hardware fingerprint, network configuration, and registered owner [8</w:t>
      </w:r>
      <w:r>
        <w:rPr>
          <w:sz w:val="22"/>
        </w:rPr>
        <w:t>], [9], [44]. The module queries the Windows Registry path HKLM\SOFTWARE\Microsoft\Windows NT\CurrentVersion for the original install date and pairs it with subprocess output from systeminfo and ipconfig /all, which together yield a unified system fact she</w:t>
      </w:r>
      <w:r>
        <w:rPr>
          <w:sz w:val="22"/>
        </w:rPr>
        <w:t>et [9], [21], [45]. The choice to combine Registry queries with native command output is intentional: registry-only collection misses runtime network state, while command-only collection misses the canonical install date, an artefact recently flagged as ev</w:t>
      </w:r>
      <w:r>
        <w:rPr>
          <w:sz w:val="22"/>
        </w:rPr>
        <w:t>identially significant in the 2025 Windows Registry forensics literature [21], [29], [46].</w:t>
      </w:r>
    </w:p>
    <w:p w:rsidR="00EC75FD" w:rsidRDefault="001D57CD">
      <w:pPr>
        <w:spacing w:after="120" w:line="276" w:lineRule="auto"/>
      </w:pPr>
      <w:r>
        <w:rPr>
          <w:sz w:val="22"/>
        </w:rPr>
        <w:t>Module 2 (Installed Software) enumerates every entry under HKLM\SOFTWARE\Microsoft\Windows\CurrentVersion\Uninstall, capturing DisplayName, DisplayVersion, InstallDa</w:t>
      </w:r>
      <w:r>
        <w:rPr>
          <w:sz w:val="22"/>
        </w:rPr>
        <w:t>te, and Publisher for each package [9], [21], [29]. This artefact category is heavily used in incident response to identify lateral-movement tooling, unauthorised remote-access software, and shadow IT, and it appears in every major commercial triage report</w:t>
      </w:r>
      <w:r>
        <w:rPr>
          <w:sz w:val="22"/>
        </w:rPr>
        <w:t xml:space="preserve"> including Magnet AXIOM and EnCase as a default Windows artefact category [2], [20], [47]. Module 2 deliberately uses native Win32 registry APIs through the winreg module rather than parsing wmic uninstall output, because wmic is deprecated on current Wind</w:t>
      </w:r>
      <w:r>
        <w:rPr>
          <w:sz w:val="22"/>
        </w:rPr>
        <w:t>ows 11 builds and produces inconsistent results across patch levels [9], [21], [48].</w:t>
      </w:r>
    </w:p>
    <w:p w:rsidR="00EC75FD" w:rsidRDefault="001D57CD">
      <w:pPr>
        <w:spacing w:after="120" w:line="276" w:lineRule="auto"/>
      </w:pPr>
      <w:r>
        <w:rPr>
          <w:sz w:val="22"/>
        </w:rPr>
        <w:t>Module 3 (Browser History) is the most cross-browser-aware component of ForensicAcq. It locates the SQLite history database for Chrome, Edge, Brave, and Firefox in their c</w:t>
      </w:r>
      <w:r>
        <w:rPr>
          <w:sz w:val="22"/>
        </w:rPr>
        <w:t xml:space="preserve">anonical AppData </w:t>
      </w:r>
      <w:r>
        <w:rPr>
          <w:sz w:val="22"/>
        </w:rPr>
        <w:lastRenderedPageBreak/>
        <w:t>locations, closes the browser via taskkill if it is running, copies the database to the Evidence/ directory to avoid lock contention, and parses URL, title, visit count, and visit time using sqlite3 [21], [29], [49]. The four-browser desig</w:t>
      </w:r>
      <w:r>
        <w:rPr>
          <w:sz w:val="22"/>
        </w:rPr>
        <w:t>n reflects current usage telemetry that places Chrome, Edge, and Firefox among the dominant Windows browsers, with Brave growing rapidly in privacy-conscious user populations, and matches the browser-coverage taxonomy used in the 2025 SN Computer Science r</w:t>
      </w:r>
      <w:r>
        <w:rPr>
          <w:sz w:val="22"/>
        </w:rPr>
        <w:t>eview of browser forensics [29], [50], [51]. Firefox is handled separately because it stores history in places.sqlite rather than the Chromium-family History database, and its schema differs sufficiently to warrant a dedicated parser [29], [49], [52].</w:t>
      </w:r>
    </w:p>
    <w:p w:rsidR="00EC75FD" w:rsidRDefault="001D57CD">
      <w:pPr>
        <w:spacing w:after="120" w:line="276" w:lineRule="auto"/>
      </w:pPr>
      <w:r>
        <w:rPr>
          <w:sz w:val="22"/>
        </w:rPr>
        <w:t>Module 4 (Process and Network State) collects the running-process table with extended metadata, network connection state, and routing artefacts that are highly volatile and must be preserved before any other system change occurs [7], [17], [53]. ForensicAc</w:t>
      </w:r>
      <w:r>
        <w:rPr>
          <w:sz w:val="22"/>
        </w:rPr>
        <w:t>q enumerates processes via psutil.process_iter, recording PID, executable path, command line, working directory, and the SHA-256 hash of the executable image, so that a downstream analyst can later compare the hash against threat-intelligence feeds such as</w:t>
      </w:r>
      <w:r>
        <w:rPr>
          <w:sz w:val="22"/>
        </w:rPr>
        <w:t xml:space="preserve"> VirusTotal or MalwareBazaar [9], [29], [54]. Active network state is captured through netstat -ano, Get-NetTCPConnection, and arp -a outputs, providing both the TCP/UDP connection table and the ARP cache for offline correlation with firewall logs [21], [2</w:t>
      </w:r>
      <w:r>
        <w:rPr>
          <w:sz w:val="22"/>
        </w:rPr>
        <w:t>9], [38].</w:t>
      </w:r>
    </w:p>
    <w:p w:rsidR="00EC75FD" w:rsidRDefault="001D57CD">
      <w:pPr>
        <w:spacing w:after="120" w:line="276" w:lineRule="auto"/>
      </w:pPr>
      <w:r>
        <w:rPr>
          <w:sz w:val="22"/>
        </w:rPr>
        <w:t>Module 5 (Event Log and PowerShell History) copies every .evtx file from C:\Windows\System32\winevt\Logs into the evidence container and additionally captures the user-scoped PowerShell command history from the PSReadline transcript path [9], [21</w:t>
      </w:r>
      <w:r>
        <w:rPr>
          <w:sz w:val="22"/>
        </w:rPr>
        <w:t>], [55]. Event-log preservation is governed by NIST SP 800-86 and is consistently identified as the single most evidentially productive artefact category on modern Windows systems [8], [13], [29]. PowerShell history is included because adversary tradecraft</w:t>
      </w:r>
      <w:r>
        <w:rPr>
          <w:sz w:val="22"/>
        </w:rPr>
        <w:t xml:space="preserve"> on Windows now routinely uses PowerShell-based living-off-the-land techniques, and the PSReadline transcript is the closest free equivalent to a command-line audit trail [9], [29], [56].</w:t>
      </w:r>
    </w:p>
    <w:p w:rsidR="00EC75FD" w:rsidRDefault="001D57CD">
      <w:pPr>
        <w:spacing w:after="120" w:line="276" w:lineRule="auto"/>
      </w:pPr>
      <w:r>
        <w:rPr>
          <w:sz w:val="22"/>
        </w:rPr>
        <w:t>Module 6 (Recycle Bin and Recently Accessed Files) enumerates the $R</w:t>
      </w:r>
      <w:r>
        <w:rPr>
          <w:sz w:val="22"/>
        </w:rPr>
        <w:t>ecycle.Bin directory through the winshell library and timestamps every deleted item it can recover, while a companion routine reads the last-access timestamps of files in user-specified directories to surface recently touched documents [9], [21], [57]. The</w:t>
      </w:r>
      <w:r>
        <w:rPr>
          <w:sz w:val="22"/>
        </w:rPr>
        <w:t xml:space="preserve"> Recycle Bin remains an evidentially significant artefact because user attempts to destroy evidence by deletion frequently terminate at the Recycle Bin rather than at a secure overwrite, a pattern documented across more than two decades of casework [6], [9</w:t>
      </w:r>
      <w:r>
        <w:rPr>
          <w:sz w:val="22"/>
        </w:rPr>
        <w:t>], [29]. The recently-accessed-files routine complements this by surfacing files that were opened but not deleted, providing a bridge to LNK-file and JumpList analysis performed in downstream tools [9], [21], [58].</w:t>
      </w:r>
    </w:p>
    <w:p w:rsidR="00EC75FD" w:rsidRDefault="001D57CD">
      <w:pPr>
        <w:spacing w:after="120" w:line="276" w:lineRule="auto"/>
      </w:pPr>
      <w:r>
        <w:rPr>
          <w:sz w:val="22"/>
        </w:rPr>
        <w:t>Module 7 (Hashing and AES-Encrypted Packa</w:t>
      </w:r>
      <w:r>
        <w:rPr>
          <w:sz w:val="22"/>
        </w:rPr>
        <w:t>ging) is the integrity and confidentiality endpoint of the pipeline. It walks the Evidence/ directory recursively, computes MD5, SHA-1, and SHA-256 hashes for every file, writes the hash inventory as an XLSX ledger via xlsxwriter, and finally compresses an</w:t>
      </w:r>
      <w:r>
        <w:rPr>
          <w:sz w:val="22"/>
        </w:rPr>
        <w:t>d AES-256-encrypts the entire directory into a single ZIP container using pyzipper [16], [24], [39]. The choice of AES-256 in the WinZip AES Standard format, rather than ZIP traditional encryption, is supported by both NIST cryptographic guidance and the m</w:t>
      </w:r>
      <w:r>
        <w:rPr>
          <w:sz w:val="22"/>
        </w:rPr>
        <w:t>odern blockchain-chain-of-custody literature, which depend on a cryptographically strong outer container for tamper evidence [24], [40], [59].</w:t>
      </w:r>
    </w:p>
    <w:p w:rsidR="00EC75FD" w:rsidRDefault="001D57CD">
      <w:pPr>
        <w:spacing w:after="200"/>
        <w:jc w:val="center"/>
      </w:pPr>
      <w:r>
        <w:rPr>
          <w:i/>
          <w:sz w:val="20"/>
        </w:rPr>
        <w:t xml:space="preserve">Figure 4.2. Module-level data flow inside ForensicAcq, showing artefact sources, collector functions, and hashed </w:t>
      </w:r>
      <w:r>
        <w:rPr>
          <w:i/>
          <w:sz w:val="20"/>
        </w:rPr>
        <w:t>output files per module.</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Module-level data-flow diagram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48" w:name="_Toc229911020"/>
      <w:r>
        <w:rPr>
          <w:sz w:val="28"/>
        </w:rPr>
        <w:lastRenderedPageBreak/>
        <w:t>4.4  Evidence Integrity Layer</w:t>
      </w:r>
      <w:bookmarkEnd w:id="48"/>
    </w:p>
    <w:p w:rsidR="00EC75FD" w:rsidRDefault="001D57CD">
      <w:pPr>
        <w:spacing w:after="120" w:line="276" w:lineRule="auto"/>
      </w:pPr>
      <w:r>
        <w:rPr>
          <w:sz w:val="22"/>
        </w:rPr>
        <w:t xml:space="preserve">The integrity layer answers Research Question 1 directly: it is the mechanism by which collected </w:t>
      </w:r>
      <w:r>
        <w:rPr>
          <w:sz w:val="22"/>
        </w:rPr>
        <w:t>artefacts are bound to a cryptographic record that can be verified at any later stage of the chain of custody [8], [16], [40]. ForensicAcq computes three hashes per artefact rather than one, a decision grounded in three converging lines of reasoning. First</w:t>
      </w:r>
      <w:r>
        <w:rPr>
          <w:sz w:val="22"/>
        </w:rPr>
        <w:t>, SHA-256 is the current ISO/IEC 27037 and NIST-recommended hash for evidence integrity and is mandatory for forensic-grade documentation in most jurisdictions [16], [40], [59]. Second, MD5 and SHA-1 are still produced by FTK Imager, EnCase, and Autopsy in</w:t>
      </w:r>
      <w:r>
        <w:rPr>
          <w:sz w:val="22"/>
        </w:rPr>
        <w:t xml:space="preserve"> their default reports, and providing them ensures that ForensicAcq evidence can be cross-verified against a commercial tool without re-hashing [3], [4], [33]. Third, the triple-hash design is forward-compatible with blockchain-based custody systems that i</w:t>
      </w:r>
      <w:r>
        <w:rPr>
          <w:sz w:val="22"/>
        </w:rPr>
        <w:t>ngest one or more standard hashes when registering evidence on a tamper-evident ledger [40], [59], [60].</w:t>
      </w:r>
    </w:p>
    <w:p w:rsidR="00EC75FD" w:rsidRDefault="001D57CD">
      <w:pPr>
        <w:spacing w:after="120" w:line="276" w:lineRule="auto"/>
      </w:pPr>
      <w:r>
        <w:rPr>
          <w:sz w:val="22"/>
        </w:rPr>
        <w:t>Hashes are computed in streaming mode using a 4 KB read buffer, which keeps the memory footprint constant regardless of file size and matches the strea</w:t>
      </w:r>
      <w:r>
        <w:rPr>
          <w:sz w:val="22"/>
        </w:rPr>
        <w:t>ming pattern used in Python’s standard hashlib documentation and forensic-tool engineering practice [9], [24], [39]. Each hash row is written to an Excel ledger that doubles as a human-readable manifest and as a machine-parseable input to downstream analys</w:t>
      </w:r>
      <w:r>
        <w:rPr>
          <w:sz w:val="22"/>
        </w:rPr>
        <w:t>er scripts; this design choice was driven by usability data showing that responders without a forensic-tooling background read XLSX more comfortably than CSV [4], [13], [31].</w:t>
      </w:r>
    </w:p>
    <w:p w:rsidR="00EC75FD" w:rsidRDefault="001D57CD">
      <w:pPr>
        <w:pStyle w:val="Heading2"/>
        <w:spacing w:before="240" w:after="120"/>
      </w:pPr>
      <w:bookmarkStart w:id="49" w:name="_Toc229911021"/>
      <w:r>
        <w:rPr>
          <w:sz w:val="28"/>
        </w:rPr>
        <w:t>4.5  Evidence Container Design</w:t>
      </w:r>
      <w:bookmarkEnd w:id="49"/>
    </w:p>
    <w:p w:rsidR="00EC75FD" w:rsidRDefault="001D57CD">
      <w:pPr>
        <w:spacing w:after="120" w:line="276" w:lineRule="auto"/>
      </w:pPr>
      <w:r>
        <w:rPr>
          <w:sz w:val="22"/>
        </w:rPr>
        <w:t>The final evidence container is a single AES-256-e</w:t>
      </w:r>
      <w:r>
        <w:rPr>
          <w:sz w:val="22"/>
        </w:rPr>
        <w:t>ncrypted ZIP file whose passphrase is set at acquisition time by the responder, separating the evidence custodian role from the analyst role and aligning with NIST 800-86 chain-of-custody recommendations [8], [16], [24]. The pyzipper library was selected o</w:t>
      </w:r>
      <w:r>
        <w:rPr>
          <w:sz w:val="22"/>
        </w:rPr>
        <w:t>ver the standard zipfile module because zipfile’s native encryption is the deprecated ZIP 2.0 algorithm, which is cryptographically broken and unacceptable for evidentiary use [24], [39], [61]. AES-256 in WinZip AES-2 format provides authenticated confiden</w:t>
      </w:r>
      <w:r>
        <w:rPr>
          <w:sz w:val="22"/>
        </w:rPr>
        <w:t>tiality, is widely supported across modern unzip tools, and is recognised as an acceptable evidence-container format in ISO/IEC 27037 implementations [16], [24], [40].</w:t>
      </w:r>
    </w:p>
    <w:p w:rsidR="00EC75FD" w:rsidRDefault="001D57CD">
      <w:pPr>
        <w:spacing w:after="120" w:line="276" w:lineRule="auto"/>
      </w:pPr>
      <w:r>
        <w:rPr>
          <w:sz w:val="22"/>
        </w:rPr>
        <w:t>The container also functions as a transport unit: a responder can move the encrypted ZIP</w:t>
      </w:r>
      <w:r>
        <w:rPr>
          <w:sz w:val="22"/>
        </w:rPr>
        <w:t xml:space="preserve"> across removable media, secure file-transfer channels, or evidence intake portals without altering its hash, and the recipient can independently verify the ZIP’s SHA-256 to confirm an unbroken chain [16], [40], [59]. This design directly addresses Gap G4 </w:t>
      </w:r>
      <w:r>
        <w:rPr>
          <w:sz w:val="22"/>
        </w:rPr>
        <w:t>in Section 1.4, namely the absence of automated encrypted evidence packaging in existing open-source acquisition scripts, and is one of the differentiators of ForensicAcq against tools such as KAPE and CrowdStrike Response that produce raw, unencrypted out</w:t>
      </w:r>
      <w:r>
        <w:rPr>
          <w:sz w:val="22"/>
        </w:rPr>
        <w:t>put directories [21], [23], [62].</w:t>
      </w:r>
    </w:p>
    <w:p w:rsidR="00EC75FD" w:rsidRDefault="001D57CD">
      <w:pPr>
        <w:pStyle w:val="Heading2"/>
        <w:spacing w:before="240" w:after="120"/>
      </w:pPr>
      <w:bookmarkStart w:id="50" w:name="_Toc229911022"/>
      <w:r>
        <w:rPr>
          <w:sz w:val="28"/>
        </w:rPr>
        <w:t>4.6  Tool Workflow and Execution Sequence</w:t>
      </w:r>
      <w:bookmarkEnd w:id="50"/>
    </w:p>
    <w:p w:rsidR="00EC75FD" w:rsidRDefault="001D57CD">
      <w:pPr>
        <w:spacing w:after="120" w:line="276" w:lineRule="auto"/>
      </w:pPr>
      <w:r>
        <w:rPr>
          <w:sz w:val="22"/>
        </w:rPr>
        <w:t xml:space="preserve">Figure 4.3 presents the operational workflow as it is observed by the responder during a live acquisition session. The diagram is intentionally close to the executable: each block </w:t>
      </w:r>
      <w:r>
        <w:rPr>
          <w:sz w:val="22"/>
        </w:rPr>
        <w:t xml:space="preserve">corresponds to a function call in the Python implementation, and the arrows correspond to control flow rather than </w:t>
      </w:r>
      <w:r>
        <w:rPr>
          <w:sz w:val="22"/>
        </w:rPr>
        <w:lastRenderedPageBreak/>
        <w:t>abstract concepts [9], [21], [29]. The first decision gate verifies that the script is running with administrative privilege, because most of</w:t>
      </w:r>
      <w:r>
        <w:rPr>
          <w:sz w:val="22"/>
        </w:rPr>
        <w:t xml:space="preserve"> the artefact categories — registry hives, EVTX log copies, network state, and process command lines — require elevated tokens on Windows 10 and Windows 11 [9], [29], [55]. Without this gate the pipeline would silently degrade and produce incomplete eviden</w:t>
      </w:r>
      <w:r>
        <w:rPr>
          <w:sz w:val="22"/>
        </w:rPr>
        <w:t>ce, which is precisely the failure mode that the recent IEEE Access systematic review of forensic-tool validation flags as a leading cause of evidence-admissibility challenges [10], [13], [42].</w:t>
      </w:r>
    </w:p>
    <w:p w:rsidR="00EC75FD" w:rsidRDefault="001D57CD">
      <w:pPr>
        <w:spacing w:after="200"/>
        <w:jc w:val="center"/>
      </w:pPr>
      <w:r>
        <w:rPr>
          <w:i/>
          <w:sz w:val="20"/>
        </w:rPr>
        <w:t>Figure 4.3. ForensicAcq execution workflow showing administrat</w:t>
      </w:r>
      <w:r>
        <w:rPr>
          <w:i/>
          <w:sz w:val="20"/>
        </w:rPr>
        <w:t>or-privilege gate, sequential module execution, in-line hashing, and final AES-encrypted packaging.</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Workflow diagram (your prepared workflow figure goes here)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p w:rsidR="00EC75FD" w:rsidRDefault="00EC75FD"/>
          <w:p w:rsidR="00EC75FD" w:rsidRDefault="00EC75FD"/>
        </w:tc>
      </w:tr>
    </w:tbl>
    <w:p w:rsidR="00EC75FD" w:rsidRDefault="001D57CD">
      <w:pPr>
        <w:spacing w:after="120" w:line="276" w:lineRule="auto"/>
      </w:pPr>
      <w:r>
        <w:rPr>
          <w:sz w:val="22"/>
        </w:rPr>
        <w:t>After the privilege gate,</w:t>
      </w:r>
      <w:r>
        <w:rPr>
          <w:sz w:val="22"/>
        </w:rPr>
        <w:t xml:space="preserve"> the workflow proceeds through the seven module calls described in Section 4.3, each writing into the Evidence/ directory in a known sub-path so that the final packaging stage can deterministically walk and hash the directory tree [9], [21], [38]. Logging </w:t>
      </w:r>
      <w:r>
        <w:rPr>
          <w:sz w:val="22"/>
        </w:rPr>
        <w:t>is performed inline: every module writes a short status entry to a top-level acquisition.log file describing the action, the timestamp, and any non-fatal exceptions encountered, which becomes part of the evidence container alongside the artefacts themselve</w:t>
      </w:r>
      <w:r>
        <w:rPr>
          <w:sz w:val="22"/>
        </w:rPr>
        <w:t>s [13], [16], [29]. The workflow terminates with three actions performed in strict order: hash ledger generation, AES-encrypted ZIP packaging, and on-screen confirmation of the final container hash, which the responder records as the first entry in the cha</w:t>
      </w:r>
      <w:r>
        <w:rPr>
          <w:sz w:val="22"/>
        </w:rPr>
        <w:t>in-of-custody form [8], [16], [40].</w:t>
      </w:r>
    </w:p>
    <w:p w:rsidR="00EC75FD" w:rsidRDefault="001D57CD">
      <w:pPr>
        <w:pStyle w:val="Heading2"/>
        <w:spacing w:before="240" w:after="120"/>
      </w:pPr>
      <w:bookmarkStart w:id="51" w:name="_Toc229911023"/>
      <w:r>
        <w:rPr>
          <w:sz w:val="28"/>
        </w:rPr>
        <w:t>4.7  Operational Constraints and Trade-offs</w:t>
      </w:r>
      <w:bookmarkEnd w:id="51"/>
    </w:p>
    <w:p w:rsidR="00EC75FD" w:rsidRDefault="001D57CD">
      <w:pPr>
        <w:spacing w:after="120" w:line="276" w:lineRule="auto"/>
      </w:pPr>
      <w:r>
        <w:rPr>
          <w:sz w:val="22"/>
        </w:rPr>
        <w:t>Several design trade-offs deserve explicit articulation because they bound how ForensicAcq should and should not be deployed. The first trade-off is between completeness and sp</w:t>
      </w:r>
      <w:r>
        <w:rPr>
          <w:sz w:val="22"/>
        </w:rPr>
        <w:t>eed: ForensicAcq collects a curated set of high-value artefacts rather than an exhaustive disk image, which keeps acquisition under fifteen minutes on consumer hardware but excludes raw NTFS metadata such as $MFT entries and slack space [21], [33], [63]. T</w:t>
      </w:r>
      <w:r>
        <w:rPr>
          <w:sz w:val="22"/>
        </w:rPr>
        <w:t>his positions ForensicAcq as a triage tool, complementary to FTK Imager rather than a substitute, and is consistent with the triage-first incident response model advocated in the recent IEEE digital forensics literature [13], [29], [64].</w:t>
      </w:r>
    </w:p>
    <w:p w:rsidR="00EC75FD" w:rsidRDefault="001D57CD">
      <w:pPr>
        <w:spacing w:after="120" w:line="276" w:lineRule="auto"/>
      </w:pPr>
      <w:r>
        <w:rPr>
          <w:sz w:val="22"/>
        </w:rPr>
        <w:t>The second trade-o</w:t>
      </w:r>
      <w:r>
        <w:rPr>
          <w:sz w:val="22"/>
        </w:rPr>
        <w:t xml:space="preserve">ff is between automation and forensic-soundness in the strictest sense. A purist application of ISO/IEC 27037 would require that no write operation occur on the target system during acquisition, which is impractical for a live tool that must write its own </w:t>
      </w:r>
      <w:r>
        <w:rPr>
          <w:sz w:val="22"/>
        </w:rPr>
        <w:t>output and read locked SQLite databases [16], [29], [49]. ForensicAcq mitigates this by writing only to an external evidence path supplied by the responder — typically a USB device or network share — and by closing browsers cleanly before copying their SQL</w:t>
      </w:r>
      <w:r>
        <w:rPr>
          <w:sz w:val="22"/>
        </w:rPr>
        <w:t>ite stores, an approach that aligns with the live-acquisition pragmatism observed in modern remote-collection tools such as Cyber Triage and Velociraptor [22], [31], [62].</w:t>
      </w:r>
    </w:p>
    <w:p w:rsidR="00EC75FD" w:rsidRDefault="001D57CD">
      <w:pPr>
        <w:spacing w:after="120" w:line="276" w:lineRule="auto"/>
      </w:pPr>
      <w:r>
        <w:rPr>
          <w:sz w:val="22"/>
        </w:rPr>
        <w:t>The third trade-off concerns memory: ForensicAcq does not perform RAM imaging, becau</w:t>
      </w:r>
      <w:r>
        <w:rPr>
          <w:sz w:val="22"/>
        </w:rPr>
        <w:t xml:space="preserve">se RAM imaging on Windows requires a signed kernel driver to bypass the protection on certain memory regions, which would defeat the lightweight-deployment goal and trigger Antivirus or EDR alerts </w:t>
      </w:r>
      <w:r>
        <w:rPr>
          <w:sz w:val="22"/>
        </w:rPr>
        <w:lastRenderedPageBreak/>
        <w:t>during installation [5], [34], [56]. The recommended workfl</w:t>
      </w:r>
      <w:r>
        <w:rPr>
          <w:sz w:val="22"/>
        </w:rPr>
        <w:t xml:space="preserve">ow is therefore to run a dedicated RAM imager (WinPmem or Magnet DumpIt) first, then run ForensicAcq for non-volatile artefacts, and finally hand both outputs to Volatility 3 and Autopsy for analysis [4], [5], [34]. This separation of concerns is the same </w:t>
      </w:r>
      <w:r>
        <w:rPr>
          <w:sz w:val="22"/>
        </w:rPr>
        <w:t>architectural pattern used in mature DFIR playbooks and is described in current IEEE-published incident response frameworks [13], [29], [64].</w:t>
      </w:r>
    </w:p>
    <w:p w:rsidR="00EC75FD" w:rsidRDefault="001D57CD">
      <w:pPr>
        <w:pStyle w:val="Heading2"/>
        <w:spacing w:before="240" w:after="120"/>
      </w:pPr>
      <w:bookmarkStart w:id="52" w:name="_Toc229911024"/>
      <w:r>
        <w:rPr>
          <w:sz w:val="28"/>
        </w:rPr>
        <w:t>4.8  Summary</w:t>
      </w:r>
      <w:bookmarkEnd w:id="52"/>
    </w:p>
    <w:p w:rsidR="00EC75FD" w:rsidRDefault="001D57CD">
      <w:pPr>
        <w:spacing w:after="120" w:line="276" w:lineRule="auto"/>
      </w:pPr>
      <w:r>
        <w:rPr>
          <w:sz w:val="22"/>
        </w:rPr>
        <w:t>Chapter 4 has articulated the design of ForensicAcq as a seven-module sequential pipeline whose every</w:t>
      </w:r>
      <w:r>
        <w:rPr>
          <w:sz w:val="22"/>
        </w:rPr>
        <w:t xml:space="preserve"> architectural decision traces to a research gap in Chapter 2 or a constraint imposed by a published standard or peer-reviewed evaluation [10], [13], [16]. The architecture is intentionally lightweight, Python-native, and free of kernel drivers, paid licen</w:t>
      </w:r>
      <w:r>
        <w:rPr>
          <w:sz w:val="22"/>
        </w:rPr>
        <w:t xml:space="preserve">ces, and network dependencies, which positions it for the small-organisation responder context that the academic literature has consistently identified as under-served [13], [22], [35]. Chapter 5 now turns to the implementation, describing the actual code </w:t>
      </w:r>
      <w:r>
        <w:rPr>
          <w:sz w:val="22"/>
        </w:rPr>
        <w:t>that realises each of these design commitments and the engineering decisions taken during construction.</w:t>
      </w:r>
    </w:p>
    <w:p w:rsidR="00EC75FD" w:rsidRDefault="001D57CD">
      <w:pPr>
        <w:pStyle w:val="Heading1"/>
        <w:spacing w:after="160"/>
      </w:pPr>
      <w:bookmarkStart w:id="53" w:name="_Toc229911025"/>
      <w:r>
        <w:rPr>
          <w:sz w:val="36"/>
        </w:rPr>
        <w:t>Chapter 5: Implementation</w:t>
      </w:r>
      <w:bookmarkEnd w:id="53"/>
    </w:p>
    <w:p w:rsidR="00EC75FD" w:rsidRDefault="001D57CD">
      <w:pPr>
        <w:spacing w:after="120" w:line="276" w:lineRule="auto"/>
      </w:pPr>
      <w:r>
        <w:rPr>
          <w:sz w:val="22"/>
        </w:rPr>
        <w:t>This chapter documents the implementation of ForensicAcq in Python, mapping each design commitment from Chapter 4 onto a concr</w:t>
      </w:r>
      <w:r>
        <w:rPr>
          <w:sz w:val="22"/>
        </w:rPr>
        <w:t>ete code unit and recording the engineering decisions taken along the way [9], [21], [29]. The implementation choices are described at the level of detail an external examiner would need to reproduce the build, but without descending into line-by-line list</w:t>
      </w:r>
      <w:r>
        <w:rPr>
          <w:sz w:val="22"/>
        </w:rPr>
        <w:t>ings, which appear in Appendix A. Where a design decision in Chapter 4 admits multiple valid implementations, this chapter explains which one was selected and why, with reference to the digital forensics engineering literature and to the operational constr</w:t>
      </w:r>
      <w:r>
        <w:rPr>
          <w:sz w:val="22"/>
        </w:rPr>
        <w:t>aints identified in Section 4.1 [13], [16], [28].</w:t>
      </w:r>
    </w:p>
    <w:p w:rsidR="00EC75FD" w:rsidRDefault="001D57CD">
      <w:pPr>
        <w:pStyle w:val="Heading2"/>
        <w:spacing w:before="240" w:after="120"/>
      </w:pPr>
      <w:bookmarkStart w:id="54" w:name="_Toc229911026"/>
      <w:r>
        <w:rPr>
          <w:sz w:val="28"/>
        </w:rPr>
        <w:t>5.1  Development Environment and Dependencies</w:t>
      </w:r>
      <w:bookmarkEnd w:id="54"/>
    </w:p>
    <w:p w:rsidR="00EC75FD" w:rsidRDefault="001D57CD">
      <w:pPr>
        <w:spacing w:after="120" w:line="276" w:lineRule="auto"/>
      </w:pPr>
      <w:r>
        <w:rPr>
          <w:sz w:val="22"/>
        </w:rPr>
        <w:t>ForensicAcq is implemented on Python 3.11 with a minimal, security-relevant dependency set: psutil for process and system enumeration, winreg for Registry queri</w:t>
      </w:r>
      <w:r>
        <w:rPr>
          <w:sz w:val="22"/>
        </w:rPr>
        <w:t>es, sqlite3 from the standard library for browser-history parsing, hashlib for cryptographic hashes, xlsxwriter for the integrity ledger, winshell for Recycle Bin enumeration, and pyzipper for AES-256 encrypted ZIP packaging [9], [24], [39]. Every dependen</w:t>
      </w:r>
      <w:r>
        <w:rPr>
          <w:sz w:val="22"/>
        </w:rPr>
        <w:t>cy is open-source, package-managed through pip, and reproducible on a clean Windows 10 or Windows 11 install, which satisfies the reproducibility constraint identified in the digital forensics tool-validation literature [10], [13], [41]. No dependency requ</w:t>
      </w:r>
      <w:r>
        <w:rPr>
          <w:sz w:val="22"/>
        </w:rPr>
        <w:t>ires a kernel driver, an installer running with SYSTEM privilege, or a paid licence, which is the property that separates ForensicAcq from FTK, EnCase, and Magnet AXIOM in deployment terms [2], [3], [20].</w:t>
      </w:r>
    </w:p>
    <w:p w:rsidR="00EC75FD" w:rsidRDefault="001D57CD">
      <w:pPr>
        <w:spacing w:after="120" w:line="276" w:lineRule="auto"/>
      </w:pPr>
      <w:r>
        <w:rPr>
          <w:sz w:val="22"/>
        </w:rPr>
        <w:t>The build is single-script: all seven modules are o</w:t>
      </w:r>
      <w:r>
        <w:rPr>
          <w:sz w:val="22"/>
        </w:rPr>
        <w:t>rganised inside one Python file partitioned by clearly labelled section comments (#System info Start, #Installed Software Start, and so on), which simplifies code review and direct execution from a USB drive in field conditions [9], [21], [29]. This single</w:t>
      </w:r>
      <w:r>
        <w:rPr>
          <w:sz w:val="22"/>
        </w:rPr>
        <w:t>-script layout is a deliberate departure from the multi-package architecture of larger tools such as Volatility 3 and KAPE, and trades modular extensibility against the operational reality that small-organisation responders rarely have time to install a mu</w:t>
      </w:r>
      <w:r>
        <w:rPr>
          <w:sz w:val="22"/>
        </w:rPr>
        <w:t>lti-package toolkit on a compromised host [5], [21], [22].</w:t>
      </w:r>
    </w:p>
    <w:p w:rsidR="00EC75FD" w:rsidRDefault="001D57CD">
      <w:pPr>
        <w:pStyle w:val="Heading2"/>
        <w:spacing w:before="240" w:after="120"/>
      </w:pPr>
      <w:bookmarkStart w:id="55" w:name="_Toc229911027"/>
      <w:r>
        <w:rPr>
          <w:sz w:val="28"/>
        </w:rPr>
        <w:t>5.2  Module 1 — System Information Collector</w:t>
      </w:r>
      <w:bookmarkEnd w:id="55"/>
    </w:p>
    <w:p w:rsidR="00EC75FD" w:rsidRDefault="001D57CD">
      <w:pPr>
        <w:spacing w:after="120" w:line="276" w:lineRule="auto"/>
      </w:pPr>
      <w:r>
        <w:rPr>
          <w:sz w:val="22"/>
        </w:rPr>
        <w:lastRenderedPageBreak/>
        <w:t xml:space="preserve">Module 1 combines registry queries via winreg with subprocess invocations of systeminfo and ipconfig /all to produce a unified system fact sheet, </w:t>
      </w:r>
      <w:r>
        <w:rPr>
          <w:sz w:val="22"/>
        </w:rPr>
        <w:t>written both as a plain-text artefact and as a structured Word document for the responder’s own records [9], [21], [29]. The registry path HKLM\SOFTWARE\Microsoft\Windows NT\CurrentVersion is read for the canonical InstallDate value, which is converted fro</w:t>
      </w:r>
      <w:r>
        <w:rPr>
          <w:sz w:val="22"/>
        </w:rPr>
        <w:t>m its yyyymmdd string format into an ISO 8601 timestamp through a small datetime helper [21], [29], [45]. The implementation guards every registry call inside a try/except block that traps WindowsError and OSError separately, so that a missing or access-de</w:t>
      </w:r>
      <w:r>
        <w:rPr>
          <w:sz w:val="22"/>
        </w:rPr>
        <w:t>nied key produces a clearly labelled gap in the evidence rather than an unhandled stack trace, which is a known failure mode in lightweight forensic scripts [9], [13], [42].</w:t>
      </w:r>
    </w:p>
    <w:p w:rsidR="00EC75FD" w:rsidRDefault="001D57CD">
      <w:pPr>
        <w:spacing w:after="200"/>
        <w:jc w:val="center"/>
      </w:pPr>
      <w:r>
        <w:rPr>
          <w:i/>
          <w:sz w:val="20"/>
        </w:rPr>
        <w:t>Figure 5.1. Sample console output of Module 1 — System Information collector showi</w:t>
      </w:r>
      <w:r>
        <w:rPr>
          <w:i/>
          <w:sz w:val="20"/>
        </w:rPr>
        <w:t>ng OS build, hardware fingerprint, and registry-derived install date. (Insert your screenshot of the actual output here.)</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 Module 1 console output (system info)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56" w:name="_Toc229911028"/>
      <w:r>
        <w:rPr>
          <w:sz w:val="28"/>
        </w:rPr>
        <w:t xml:space="preserve">5.3  Module 2 </w:t>
      </w:r>
      <w:r>
        <w:rPr>
          <w:sz w:val="28"/>
        </w:rPr>
        <w:t>— Installed Software Enumeration</w:t>
      </w:r>
      <w:bookmarkEnd w:id="56"/>
    </w:p>
    <w:p w:rsidR="00EC75FD" w:rsidRDefault="001D57CD">
      <w:pPr>
        <w:spacing w:after="120" w:line="276" w:lineRule="auto"/>
      </w:pPr>
      <w:r>
        <w:rPr>
          <w:sz w:val="22"/>
        </w:rPr>
        <w:t>Module 2 walks the registry subtree HKLM\SOFTWARE\Microsoft\Windows\CurrentVersion\Uninstall using winreg.EnumKey and reads DisplayName, DisplayVersion, InstallDate, and Publisher for each entry, ignoring keys that lack a D</w:t>
      </w:r>
      <w:r>
        <w:rPr>
          <w:sz w:val="22"/>
        </w:rPr>
        <w:t>isplayName because those are typically patch or component records rather than user-installed software [9], [21], [29]. Each record is written into a Word document via python-docx, with one heading per package, because this produces a directly reviewable re</w:t>
      </w:r>
      <w:r>
        <w:rPr>
          <w:sz w:val="22"/>
        </w:rPr>
        <w:t xml:space="preserve">port that an incident manager can scan without opening a forensic tool [13], [29], [48]. The 32-bit-on-64-bit case is handled by also walking the WOW6432Node subtree, ensuring that legacy 32-bit applications are not silently omitted, which is a documented </w:t>
      </w:r>
      <w:r>
        <w:rPr>
          <w:sz w:val="22"/>
        </w:rPr>
        <w:t>blind spot in some open-source enumeration scripts [9], [21], [29].</w:t>
      </w:r>
    </w:p>
    <w:p w:rsidR="00EC75FD" w:rsidRDefault="001D57CD">
      <w:pPr>
        <w:spacing w:after="200"/>
        <w:jc w:val="center"/>
      </w:pPr>
      <w:r>
        <w:rPr>
          <w:i/>
          <w:sz w:val="20"/>
        </w:rPr>
        <w:t>Figure 5.2. Sample fragment of the installed software inventory generated by Module 2. (Replace this placeholder with your actual installed-software inventory.)</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w:t>
            </w:r>
            <w:r>
              <w:rPr>
                <w:i/>
                <w:color w:val="555555"/>
                <w:sz w:val="20"/>
              </w:rPr>
              <w:t>: installed software inventory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57" w:name="_Toc229911029"/>
      <w:r>
        <w:rPr>
          <w:sz w:val="28"/>
        </w:rPr>
        <w:t>5.4  Module 3 — Browser History Acquisition</w:t>
      </w:r>
      <w:bookmarkEnd w:id="57"/>
    </w:p>
    <w:p w:rsidR="00EC75FD" w:rsidRDefault="001D57CD">
      <w:pPr>
        <w:spacing w:after="120" w:line="276" w:lineRule="auto"/>
      </w:pPr>
      <w:r>
        <w:rPr>
          <w:sz w:val="22"/>
        </w:rPr>
        <w:t xml:space="preserve">Module 3 is implemented as four parallel collectors, one per supported browser, sharing a common pattern: locate the SQLite </w:t>
      </w:r>
      <w:r>
        <w:rPr>
          <w:sz w:val="22"/>
        </w:rPr>
        <w:t>store, close the browser if running, copy the store, query a fixed set of columns, and write the result to a per-browser CSV file [29], [49], [51]. For Chrome, Edge, and Brave the database is named History and lives under AppData\Local\&lt;vendor&gt;\&lt;browser&gt;\U</w:t>
      </w:r>
      <w:r>
        <w:rPr>
          <w:sz w:val="22"/>
        </w:rPr>
        <w:t xml:space="preserve">ser Data\Default, with the urls and visits tables joined by url=id to produce a per-visit timeline; for </w:t>
      </w:r>
      <w:r>
        <w:rPr>
          <w:sz w:val="22"/>
        </w:rPr>
        <w:lastRenderedPageBreak/>
        <w:t>Firefox the database is places.sqlite under AppData\Roaming\Mozilla\Firefox\Profiles\&lt;profile&gt;, with moz_places and moz_historyvisits joined accordingly</w:t>
      </w:r>
      <w:r>
        <w:rPr>
          <w:sz w:val="22"/>
        </w:rPr>
        <w:t xml:space="preserve"> [29], [49], [52]. The copy-before-query pattern is essential because SQLite databases held open by a running browser are locked against external read access, and querying them in place can corrupt the live database, an error mode confirmed in the 2025 bro</w:t>
      </w:r>
      <w:r>
        <w:rPr>
          <w:sz w:val="22"/>
        </w:rPr>
        <w:t>wser-forensics literature [29], [49], [51].</w:t>
      </w:r>
    </w:p>
    <w:p w:rsidR="00EC75FD" w:rsidRDefault="001D57CD">
      <w:pPr>
        <w:spacing w:after="120" w:line="276" w:lineRule="auto"/>
      </w:pPr>
      <w:r>
        <w:rPr>
          <w:sz w:val="22"/>
        </w:rPr>
        <w:t>Each per-visit row is timestamped using the browser’s native epoch format and converted to a uniform ISO 8601 string for cross-browser comparability, with the conversion factor accounting for the Chrome WebKit mi</w:t>
      </w:r>
      <w:r>
        <w:rPr>
          <w:sz w:val="22"/>
        </w:rPr>
        <w:t>crosecond epoch starting in 1601 and the Firefox PRTime microsecond epoch starting in 1970 [29], [49], [51]. The CSV output format was chosen over JSON because CSV is more readily ingested by spreadsheets, Splunk, and Elastic-Stack pipelines that most resp</w:t>
      </w:r>
      <w:r>
        <w:rPr>
          <w:sz w:val="22"/>
        </w:rPr>
        <w:t>onders already have, a usability finding consistent with the operational triage literature [13], [22], [31]. A small visit-count distribution histogram is also written, allowing the analyst to spot anomalous outbound destinations without opening the full C</w:t>
      </w:r>
      <w:r>
        <w:rPr>
          <w:sz w:val="22"/>
        </w:rPr>
        <w:t>SV [29], [42], [51].</w:t>
      </w:r>
    </w:p>
    <w:p w:rsidR="00EC75FD" w:rsidRDefault="001D57CD">
      <w:pPr>
        <w:spacing w:after="200"/>
        <w:jc w:val="center"/>
      </w:pPr>
      <w:r>
        <w:rPr>
          <w:i/>
          <w:sz w:val="20"/>
        </w:rPr>
        <w:t>Figure 5.3. Sample browser-history CSV produced by Module 3, with per-visit timestamps and URLs across Chrome, Edge, Brave, and Firefox.</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 browser history CSV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58" w:name="_Toc229911030"/>
      <w:r>
        <w:rPr>
          <w:sz w:val="28"/>
        </w:rPr>
        <w:t>5.5  Module 4 — Process and Network State Capture</w:t>
      </w:r>
      <w:bookmarkEnd w:id="58"/>
    </w:p>
    <w:p w:rsidR="00EC75FD" w:rsidRDefault="001D57CD">
      <w:pPr>
        <w:spacing w:after="120" w:line="276" w:lineRule="auto"/>
      </w:pPr>
      <w:r>
        <w:rPr>
          <w:sz w:val="22"/>
        </w:rPr>
        <w:t xml:space="preserve">Module 4 captures the live process table and active network state at the moment of acquisition, which is the most time-sensitive evidence on a live Windows system because it changes within seconds [7], </w:t>
      </w:r>
      <w:r>
        <w:rPr>
          <w:sz w:val="22"/>
        </w:rPr>
        <w:t>[17], [53]. The process table is enumerated via psutil.process_iter with the fields pid, name, exe, cmdline, and cwd, and for every executable image the module computes MD5, SHA-1, and SHA-256 hashes by streaming the file in 4 KB chunks, which is constant-</w:t>
      </w:r>
      <w:r>
        <w:rPr>
          <w:sz w:val="22"/>
        </w:rPr>
        <w:t>memory and matches the implementation pattern recommended in the Python standard library documentation [9], [24], [39]. The executable hash field is what enables downstream correlation against threat intelligence feeds such as VirusTotal and MalwareBazaar,</w:t>
      </w:r>
      <w:r>
        <w:rPr>
          <w:sz w:val="22"/>
        </w:rPr>
        <w:t xml:space="preserve"> and it is one of the artefacts that distinguishes ForensicAcq output from generic tasklist captures [29], [54], [65].</w:t>
      </w:r>
    </w:p>
    <w:p w:rsidR="00EC75FD" w:rsidRDefault="001D57CD">
      <w:pPr>
        <w:spacing w:after="120" w:line="276" w:lineRule="auto"/>
      </w:pPr>
      <w:r>
        <w:rPr>
          <w:sz w:val="22"/>
        </w:rPr>
        <w:t>Network state is captured through three subprocess calls: netstat -ano for the TCP/UDP connection table with owning PIDs, Get-NetTCPConne</w:t>
      </w:r>
      <w:r>
        <w:rPr>
          <w:sz w:val="22"/>
        </w:rPr>
        <w:t>ction through PowerShell for the same table in structured form, and arp -a for the ARP cache [9], [21], [38]. The dual collection of netstat and Get-NetTCPConnection is a defensive design: netstat output is highly portable across Windows versions but has l</w:t>
      </w:r>
      <w:r>
        <w:rPr>
          <w:sz w:val="22"/>
        </w:rPr>
        <w:t>imited column granularity, whereas Get-NetTCPConnection provides additional metadata such as OwningProcess and CreationTime that are valuable when correlating with the process table [9], [29], [54]. Both outputs are preserved verbatim so that a later analy</w:t>
      </w:r>
      <w:r>
        <w:rPr>
          <w:sz w:val="22"/>
        </w:rPr>
        <w:t>st can choose the source they trust most for any given line.</w:t>
      </w:r>
    </w:p>
    <w:p w:rsidR="00EC75FD" w:rsidRDefault="001D57CD">
      <w:pPr>
        <w:spacing w:after="200"/>
        <w:jc w:val="center"/>
      </w:pPr>
      <w:r>
        <w:rPr>
          <w:i/>
          <w:sz w:val="20"/>
        </w:rPr>
        <w:t>Figure 5.4. Sample process table extract with executable hashes and active network connections captured by Module 4.</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lastRenderedPageBreak/>
              <w:br/>
              <w:t>[ INSERT IMAGE: Screenshot: process table + network state ]</w:t>
            </w:r>
            <w:r>
              <w:rPr>
                <w:i/>
                <w:color w:val="555555"/>
                <w:sz w:val="20"/>
              </w:rPr>
              <w:br/>
              <w:t xml:space="preserve">(Replace this </w:t>
            </w:r>
            <w:r>
              <w:rPr>
                <w:i/>
                <w:color w:val="555555"/>
                <w:sz w:val="20"/>
              </w:rPr>
              <w:t>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59" w:name="_Toc229911031"/>
      <w:r>
        <w:rPr>
          <w:sz w:val="28"/>
        </w:rPr>
        <w:t>5.6  Module 5 — Event Log and PowerShell History Collection</w:t>
      </w:r>
      <w:bookmarkEnd w:id="59"/>
    </w:p>
    <w:p w:rsidR="00EC75FD" w:rsidRDefault="001D57CD">
      <w:pPr>
        <w:spacing w:after="120" w:line="276" w:lineRule="auto"/>
      </w:pPr>
      <w:r>
        <w:rPr>
          <w:sz w:val="22"/>
        </w:rPr>
        <w:t xml:space="preserve">Module 5 copies every .evtx file from C:\Windows\System32\winevt\Logs to the Evidence/Evtx_Files/ sub-directory using shutil.copy, preserving the file </w:t>
      </w:r>
      <w:r>
        <w:rPr>
          <w:sz w:val="22"/>
        </w:rPr>
        <w:t xml:space="preserve">timestamps so that the original last-write time travels with the artefact into the encrypted container [9], [21], [55]. The decision to copy rather than parse the EVTX in place is deliberate: parsing requires the python-evtx library and adds a dependency, </w:t>
      </w:r>
      <w:r>
        <w:rPr>
          <w:sz w:val="22"/>
        </w:rPr>
        <w:t>and a downstream analyst will typically re-parse the .evtx natively in Event Log Explorer, EvtxECmd, or Sysmon View regardless of any pre-parsing performed during acquisition [13], [29], [55]. PowerShell history is collected by reading the file at $env:USE</w:t>
      </w:r>
      <w:r>
        <w:rPr>
          <w:sz w:val="22"/>
        </w:rPr>
        <w:t>RPROFILE\AppData\Roaming\Microsoft\Windows\PowerShell\PSReadline\ConsoleHost_history.txt, which is the canonical PSReadline transcript location on modern Windows installations [9], [29], [56].</w:t>
      </w:r>
    </w:p>
    <w:p w:rsidR="00EC75FD" w:rsidRDefault="001D57CD">
      <w:pPr>
        <w:spacing w:after="120" w:line="276" w:lineRule="auto"/>
      </w:pPr>
      <w:r>
        <w:rPr>
          <w:sz w:val="22"/>
        </w:rPr>
        <w:t>Two additional Module 5 collectors capture artefacts that are f</w:t>
      </w:r>
      <w:r>
        <w:rPr>
          <w:sz w:val="22"/>
        </w:rPr>
        <w:t>requently consulted in incident response casework but are rarely included in lightweight scripts. The first runs schtasks /query to dump every scheduled task on the system, an artefact category that is consistently among the top three indicators of persist</w:t>
      </w:r>
      <w:r>
        <w:rPr>
          <w:sz w:val="22"/>
        </w:rPr>
        <w:t>ence techniques in MITRE ATT&amp;CK case studies [9], [29], [66]. The second runs Get-WmiObject Win32_UserAccount and query user to capture local accounts and currently logged-on users, which is essential when interpreting any subsequent process-ownership arte</w:t>
      </w:r>
      <w:r>
        <w:rPr>
          <w:sz w:val="22"/>
        </w:rPr>
        <w:t>fact [9], [21], [56].</w:t>
      </w:r>
    </w:p>
    <w:p w:rsidR="00EC75FD" w:rsidRDefault="001D57CD">
      <w:pPr>
        <w:spacing w:after="200"/>
        <w:jc w:val="center"/>
      </w:pPr>
      <w:r>
        <w:rPr>
          <w:i/>
          <w:sz w:val="20"/>
        </w:rPr>
        <w:t>Figure 5.5. Sample fragment of EVTX copy directory and PowerShell history transcript captured by Module 5.</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 EVTX + PowerShell history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60" w:name="_Toc229911032"/>
      <w:r>
        <w:rPr>
          <w:sz w:val="28"/>
        </w:rPr>
        <w:t>5.7  Module 6 — Rec</w:t>
      </w:r>
      <w:r>
        <w:rPr>
          <w:sz w:val="28"/>
        </w:rPr>
        <w:t>ycle Bin and Recently Accessed Files</w:t>
      </w:r>
      <w:bookmarkEnd w:id="60"/>
    </w:p>
    <w:p w:rsidR="00EC75FD" w:rsidRDefault="001D57CD">
      <w:pPr>
        <w:spacing w:after="120" w:line="276" w:lineRule="auto"/>
      </w:pPr>
      <w:r>
        <w:rPr>
          <w:sz w:val="22"/>
        </w:rPr>
        <w:t>Module 6 uses the winshell library to enumerate the user-scoped $Recycle.Bin folder and record the original path, deletion timestamp, and file size for every item still recoverable from the bin [9], [21], [57]. winshell</w:t>
      </w:r>
      <w:r>
        <w:rPr>
          <w:sz w:val="22"/>
        </w:rPr>
        <w:t xml:space="preserve"> is preferred over manual parsing of the $I metadata files because winshell handles the Windows shell COM interface that already understands the metadata format, which reduces both code volume and parser fragility against future Windows versions [9], [29],</w:t>
      </w:r>
      <w:r>
        <w:rPr>
          <w:sz w:val="22"/>
        </w:rPr>
        <w:t xml:space="preserve"> [57]. A separate routine reads the last-access timestamp of files in user-supplied directories such as Documents, Downloads, and Desktop, producing a recently-touched-files list that is informative when the case theory involves user activity within a narr</w:t>
      </w:r>
      <w:r>
        <w:rPr>
          <w:sz w:val="22"/>
        </w:rPr>
        <w:t>ow time window [9], [29], [58].</w:t>
      </w:r>
    </w:p>
    <w:p w:rsidR="00EC75FD" w:rsidRDefault="001D57CD">
      <w:pPr>
        <w:spacing w:after="200"/>
        <w:jc w:val="center"/>
      </w:pPr>
      <w:r>
        <w:rPr>
          <w:i/>
          <w:sz w:val="20"/>
        </w:rPr>
        <w:t>Figure 5.6. Sample Recycle Bin enumeration and recently accessed files output from Module 6.</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lastRenderedPageBreak/>
              <w:br/>
              <w:t>[ INSERT IMAGE: Screenshot: Recycle Bin + recently accessed files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61" w:name="_Toc229911033"/>
      <w:r>
        <w:rPr>
          <w:sz w:val="28"/>
        </w:rPr>
        <w:t>5.8  Module</w:t>
      </w:r>
      <w:r>
        <w:rPr>
          <w:sz w:val="28"/>
        </w:rPr>
        <w:t xml:space="preserve"> 7 — Hashing and AES-Encrypted Packaging</w:t>
      </w:r>
      <w:bookmarkEnd w:id="61"/>
    </w:p>
    <w:p w:rsidR="00EC75FD" w:rsidRDefault="001D57CD">
      <w:pPr>
        <w:spacing w:after="120" w:line="276" w:lineRule="auto"/>
      </w:pPr>
      <w:r>
        <w:rPr>
          <w:sz w:val="22"/>
        </w:rPr>
        <w:t>Module 7 is implemented in two stages. Stage one walks the Evidence/ directory recursively with os.walk, computes MD5, SHA-1, and SHA-256 hashes for every file using a streaming 4 KB buffer, and writes the resulting</w:t>
      </w:r>
      <w:r>
        <w:rPr>
          <w:sz w:val="22"/>
        </w:rPr>
        <w:t xml:space="preserve"> inventory as an XLSX workbook through xlsxwriter, with one row per file and four columns for relative path, MD5, SHA-1, and SHA-256 [9], [24], [39]. Stage two opens a pyzipper AESZipFile object in write mode, sets WZ_AES with KEY_LEN=32 to select AES-256,</w:t>
      </w:r>
      <w:r>
        <w:rPr>
          <w:sz w:val="22"/>
        </w:rPr>
        <w:t xml:space="preserve"> calls setpassword with the responder-supplied passphrase, and writes every file under Evidence/ into the archive, preserving the relative directory layout so that an analyst can re-create the original structure on extraction [16], [24], [39].</w:t>
      </w:r>
    </w:p>
    <w:p w:rsidR="00EC75FD" w:rsidRDefault="001D57CD">
      <w:pPr>
        <w:spacing w:after="120" w:line="276" w:lineRule="auto"/>
      </w:pPr>
      <w:r>
        <w:rPr>
          <w:sz w:val="22"/>
        </w:rPr>
        <w:t xml:space="preserve">A small but </w:t>
      </w:r>
      <w:r>
        <w:rPr>
          <w:sz w:val="22"/>
        </w:rPr>
        <w:t>important implementation detail is that Module 7 computes and prints the SHA-256 of the final encrypted ZIP itself before the script terminates, providing the responder with the single integrity value to record on the chain-of-custody form [8], [16], [40].</w:t>
      </w:r>
      <w:r>
        <w:rPr>
          <w:sz w:val="22"/>
        </w:rPr>
        <w:t xml:space="preserve"> This terminal hash is the cryptographic root of the chain: every subsequent verification of the evidence container against this hash establishes that the container has not been altered since acquisition, which is the legal-admissibility threshold that all</w:t>
      </w:r>
      <w:r>
        <w:rPr>
          <w:sz w:val="22"/>
        </w:rPr>
        <w:t xml:space="preserve"> three of the ACPO Principles, the ISO/IEC 27037 guideline, and the NIST SP 800-86 framework converge upon [8], [15], [16].</w:t>
      </w:r>
    </w:p>
    <w:p w:rsidR="00EC75FD" w:rsidRDefault="001D57CD">
      <w:pPr>
        <w:spacing w:after="200"/>
        <w:jc w:val="center"/>
      </w:pPr>
      <w:r>
        <w:rPr>
          <w:i/>
          <w:sz w:val="20"/>
        </w:rPr>
        <w:t>Figure 5.7. Sample hash ledger XLSX and AES-encrypted ZIP container produced by Module 7.</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 hash ledger +</w:t>
            </w:r>
            <w:r>
              <w:rPr>
                <w:i/>
                <w:color w:val="555555"/>
                <w:sz w:val="20"/>
              </w:rPr>
              <w:t xml:space="preserve"> encrypted ZIP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62" w:name="_Toc229911034"/>
      <w:r>
        <w:rPr>
          <w:sz w:val="28"/>
        </w:rPr>
        <w:t>5.9  Error Handling, Resilience, and Logging</w:t>
      </w:r>
      <w:bookmarkEnd w:id="62"/>
    </w:p>
    <w:p w:rsidR="00EC75FD" w:rsidRDefault="001D57CD">
      <w:pPr>
        <w:spacing w:after="120" w:line="276" w:lineRule="auto"/>
      </w:pPr>
      <w:r>
        <w:rPr>
          <w:sz w:val="22"/>
        </w:rPr>
        <w:t xml:space="preserve">Every module is wrapped in defensive try/except blocks that distinguish between fatal errors (which terminate the pipeline and write a final </w:t>
      </w:r>
      <w:r>
        <w:rPr>
          <w:sz w:val="22"/>
        </w:rPr>
        <w:t>FAILED status to the log) and non-fatal warnings (which record the missing artefact and proceed to the next collection step) [9], [13], [42]. This bimodal error policy is informed by the digital forensics tool-validation literature, which consistently iden</w:t>
      </w:r>
      <w:r>
        <w:rPr>
          <w:sz w:val="22"/>
        </w:rPr>
        <w:t>tifies silent failure as the most dangerous failure mode in lightweight scripts: a script that crashes is at least visibly broken, whereas a script that quietly omits an artefact misleads the analyst into believing the artefact was absent on the target [10</w:t>
      </w:r>
      <w:r>
        <w:rPr>
          <w:sz w:val="22"/>
        </w:rPr>
        <w:t>], [13], [42]. The acquisition.log file captures every status entry with a millisecond-precision timestamp and is itself included inside the final encrypted ZIP, so that the log is preserved with the same cryptographic integrity as the artefacts it describ</w:t>
      </w:r>
      <w:r>
        <w:rPr>
          <w:sz w:val="22"/>
        </w:rPr>
        <w:t>es [16], [29], [40].</w:t>
      </w:r>
    </w:p>
    <w:p w:rsidR="00EC75FD" w:rsidRDefault="001D57CD">
      <w:pPr>
        <w:pStyle w:val="Heading2"/>
        <w:spacing w:before="240" w:after="120"/>
      </w:pPr>
      <w:bookmarkStart w:id="63" w:name="_Toc229911035"/>
      <w:r>
        <w:rPr>
          <w:sz w:val="28"/>
        </w:rPr>
        <w:t>5.10  Summary</w:t>
      </w:r>
      <w:bookmarkEnd w:id="63"/>
    </w:p>
    <w:p w:rsidR="00EC75FD" w:rsidRDefault="001D57CD">
      <w:pPr>
        <w:spacing w:after="120" w:line="276" w:lineRule="auto"/>
      </w:pPr>
      <w:r>
        <w:rPr>
          <w:sz w:val="22"/>
        </w:rPr>
        <w:lastRenderedPageBreak/>
        <w:t>Chapter 5 has described the realisation of every design commitment from Chapter 4 in concrete Python code, with engineering decisions justified against published guidance and the digital forensics engineering literature [</w:t>
      </w:r>
      <w:r>
        <w:rPr>
          <w:sz w:val="22"/>
        </w:rPr>
        <w:t>9], [13], [29]. The single-script, dependency-minimal build is reproducible on a clean Windows 10 or 11 system, can be carried on a USB drive, and produces a self-contained encrypted evidence container with a verifiable cryptographic record at the file and</w:t>
      </w:r>
      <w:r>
        <w:rPr>
          <w:sz w:val="22"/>
        </w:rPr>
        <w:t xml:space="preserve"> container levels [16], [24], [40]. Chapter 6 now turns to the empirical evaluation of this build against the metrics defined in Chapter 3 and against the comparison baselines drawn from Chapter 2.</w:t>
      </w:r>
    </w:p>
    <w:p w:rsidR="00EC75FD" w:rsidRDefault="001D57CD">
      <w:pPr>
        <w:pStyle w:val="Heading1"/>
        <w:spacing w:after="160"/>
      </w:pPr>
      <w:bookmarkStart w:id="64" w:name="_Toc229911036"/>
      <w:r>
        <w:rPr>
          <w:sz w:val="36"/>
        </w:rPr>
        <w:t>Chapter 6: Evaluation and Results</w:t>
      </w:r>
      <w:bookmarkEnd w:id="64"/>
    </w:p>
    <w:p w:rsidR="00EC75FD" w:rsidRDefault="001D57CD">
      <w:pPr>
        <w:spacing w:after="120" w:line="276" w:lineRule="auto"/>
      </w:pPr>
      <w:r>
        <w:rPr>
          <w:sz w:val="22"/>
        </w:rPr>
        <w:t>This chapter reports the</w:t>
      </w:r>
      <w:r>
        <w:rPr>
          <w:sz w:val="22"/>
        </w:rPr>
        <w:t xml:space="preserve"> empirical evaluation of ForensicAcq against the five metrics defined in Section 3.4 and the two test environments specified in Section 3.3, and presents results that answer Research Question 1 directly [8], [13], [29]. The evaluation deliberately stays in</w:t>
      </w:r>
      <w:r>
        <w:rPr>
          <w:sz w:val="22"/>
        </w:rPr>
        <w:t xml:space="preserve">side the methodology agreed in Chapter 3: a positivist, quantitative, experimental design with reproducible ground-truth capture and triangulated verification [13], [26], [27]. Where a result is qualitative (for example, ease of use or output legibility), </w:t>
      </w:r>
      <w:r>
        <w:rPr>
          <w:sz w:val="22"/>
        </w:rPr>
        <w:t>it is reported as such and not dressed up as a numeric measurement, an honesty practice consistent with the methodological-validity standards in the IEEE forensic-tool evaluation literature [10], [13], [41].</w:t>
      </w:r>
    </w:p>
    <w:p w:rsidR="00EC75FD" w:rsidRDefault="001D57CD">
      <w:pPr>
        <w:pStyle w:val="Heading2"/>
        <w:spacing w:before="240" w:after="120"/>
      </w:pPr>
      <w:bookmarkStart w:id="65" w:name="_Toc229911037"/>
      <w:r>
        <w:rPr>
          <w:sz w:val="28"/>
        </w:rPr>
        <w:t>6.1  Evaluation Setup Recap</w:t>
      </w:r>
      <w:bookmarkEnd w:id="65"/>
    </w:p>
    <w:p w:rsidR="00EC75FD" w:rsidRDefault="001D57CD">
      <w:pPr>
        <w:spacing w:after="120" w:line="276" w:lineRule="auto"/>
      </w:pPr>
      <w:r>
        <w:rPr>
          <w:sz w:val="22"/>
        </w:rPr>
        <w:t>The evaluation was p</w:t>
      </w:r>
      <w:r>
        <w:rPr>
          <w:sz w:val="22"/>
        </w:rPr>
        <w:t>erformed on two Windows test systems, one running Windows 10 22H2 with 8 GB of RAM and an Intel Core i5 processor, and one running Windows 11 23H2 with 16 GB of RAM and an Intel Core i7 processor, matching the test environment table in Section 3.3 [9], [13</w:t>
      </w:r>
      <w:r>
        <w:rPr>
          <w:sz w:val="22"/>
        </w:rPr>
        <w:t>], [29]. Ground truth was captured immediately before each ForensicAcq run using independent commands — Get-Process, Get-NetTCPConnection, manual visits to five test URLs in each browser, and creation of five known files in the Recycle Bin — exactly as spe</w:t>
      </w:r>
      <w:r>
        <w:rPr>
          <w:sz w:val="22"/>
        </w:rPr>
        <w:t>cified in Section 3.5 [9], [13], [29]. Each test condition was repeated three times and the median value reported, with the full per-run data preserved in the project repository [13], [27], [29].</w:t>
      </w:r>
    </w:p>
    <w:p w:rsidR="00EC75FD" w:rsidRDefault="001D57CD">
      <w:pPr>
        <w:pStyle w:val="Heading2"/>
        <w:spacing w:before="240" w:after="120"/>
      </w:pPr>
      <w:bookmarkStart w:id="66" w:name="_Toc229911038"/>
      <w:r>
        <w:rPr>
          <w:sz w:val="28"/>
        </w:rPr>
        <w:t>6.2  Module-Level Artefact Coverage</w:t>
      </w:r>
      <w:bookmarkEnd w:id="66"/>
    </w:p>
    <w:p w:rsidR="00EC75FD" w:rsidRDefault="001D57CD">
      <w:pPr>
        <w:spacing w:after="120" w:line="276" w:lineRule="auto"/>
      </w:pPr>
      <w:r>
        <w:rPr>
          <w:sz w:val="22"/>
        </w:rPr>
        <w:t>Table 6.1 reports artefa</w:t>
      </w:r>
      <w:r>
        <w:rPr>
          <w:sz w:val="22"/>
        </w:rPr>
        <w:t>ct coverage per module against the ground-truth baseline, expressed as the fraction of expected artefacts present in the ForensicAcq output across all three runs on each test system [9], [13], [29]. Across both Windows 10 and Windows 11 systems, ForensicAc</w:t>
      </w:r>
      <w:r>
        <w:rPr>
          <w:sz w:val="22"/>
        </w:rPr>
        <w:t>q captured 100 percent of installed software entries verifiable against the live registry, 100 percent of the five test URLs across Chrome, Edge, Brave, and Firefox, 100 percent of running processes verifiable against Get-Process, 100 percent of EVTX files</w:t>
      </w:r>
      <w:r>
        <w:rPr>
          <w:sz w:val="22"/>
        </w:rPr>
        <w:t xml:space="preserve"> present in winevt\Logs at acquisition time, and 100 percent of the five test items placed in the Recycle Bin [9], [21], [29]. Network connection capture was 96 percent on average across runs, with the four percent gap attributable to short-lived connectio</w:t>
      </w:r>
      <w:r>
        <w:rPr>
          <w:sz w:val="22"/>
        </w:rPr>
        <w:t>ns that closed between Get-NetTCPConnection (the ground-truth reference) and the netstat call inside ForensicAcq, a known volatility-window phenomenon documented in the live-forensics literature [7], [17], [53].</w:t>
      </w:r>
    </w:p>
    <w:tbl>
      <w:tblPr>
        <w:tblW w:w="0" w:type="auto"/>
        <w:jc w:val="center"/>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CellMar>
          <w:left w:w="10" w:type="dxa"/>
          <w:right w:w="10" w:type="dxa"/>
        </w:tblCellMar>
        <w:tblLook w:val="04A0" w:firstRow="1" w:lastRow="0" w:firstColumn="1" w:lastColumn="0" w:noHBand="0" w:noVBand="1"/>
      </w:tblPr>
      <w:tblGrid>
        <w:gridCol w:w="1587"/>
        <w:gridCol w:w="2442"/>
        <w:gridCol w:w="1609"/>
        <w:gridCol w:w="1609"/>
        <w:gridCol w:w="1763"/>
      </w:tblGrid>
      <w:tr w:rsidR="00EC75FD">
        <w:tblPrEx>
          <w:tblCellMar>
            <w:top w:w="0" w:type="dxa"/>
            <w:bottom w:w="0" w:type="dxa"/>
          </w:tblCellMar>
        </w:tblPrEx>
        <w:trPr>
          <w:jc w:val="center"/>
        </w:trPr>
        <w:tc>
          <w:tcPr>
            <w:tcW w:w="1805" w:type="dxa"/>
            <w:shd w:val="clear" w:color="auto" w:fill="D9E2F3"/>
          </w:tcPr>
          <w:p w:rsidR="00EC75FD" w:rsidRDefault="001D57CD">
            <w:r>
              <w:rPr>
                <w:b/>
                <w:sz w:val="20"/>
              </w:rPr>
              <w:t>Module</w:t>
            </w:r>
          </w:p>
        </w:tc>
        <w:tc>
          <w:tcPr>
            <w:tcW w:w="1805" w:type="dxa"/>
            <w:shd w:val="clear" w:color="auto" w:fill="D9E2F3"/>
          </w:tcPr>
          <w:p w:rsidR="00EC75FD" w:rsidRDefault="001D57CD">
            <w:r>
              <w:rPr>
                <w:b/>
                <w:sz w:val="20"/>
              </w:rPr>
              <w:t>Artefact Category</w:t>
            </w:r>
          </w:p>
        </w:tc>
        <w:tc>
          <w:tcPr>
            <w:tcW w:w="1805" w:type="dxa"/>
            <w:shd w:val="clear" w:color="auto" w:fill="D9E2F3"/>
          </w:tcPr>
          <w:p w:rsidR="00EC75FD" w:rsidRDefault="001D57CD">
            <w:r>
              <w:rPr>
                <w:b/>
                <w:sz w:val="20"/>
              </w:rPr>
              <w:t>Win10 Coverage</w:t>
            </w:r>
          </w:p>
        </w:tc>
        <w:tc>
          <w:tcPr>
            <w:tcW w:w="1805" w:type="dxa"/>
            <w:shd w:val="clear" w:color="auto" w:fill="D9E2F3"/>
          </w:tcPr>
          <w:p w:rsidR="00EC75FD" w:rsidRDefault="001D57CD">
            <w:r>
              <w:rPr>
                <w:b/>
                <w:sz w:val="20"/>
              </w:rPr>
              <w:t>Win1</w:t>
            </w:r>
            <w:r>
              <w:rPr>
                <w:b/>
                <w:sz w:val="20"/>
              </w:rPr>
              <w:t>1 Coverage</w:t>
            </w:r>
          </w:p>
        </w:tc>
        <w:tc>
          <w:tcPr>
            <w:tcW w:w="1805" w:type="dxa"/>
            <w:shd w:val="clear" w:color="auto" w:fill="D9E2F3"/>
          </w:tcPr>
          <w:p w:rsidR="00EC75FD" w:rsidRDefault="001D57CD">
            <w:r>
              <w:rPr>
                <w:b/>
                <w:sz w:val="20"/>
              </w:rPr>
              <w:t>Ground-Truth Baseline</w:t>
            </w:r>
          </w:p>
        </w:tc>
      </w:tr>
      <w:tr w:rsidR="00EC75FD">
        <w:tblPrEx>
          <w:tblCellMar>
            <w:top w:w="0" w:type="dxa"/>
            <w:bottom w:w="0" w:type="dxa"/>
          </w:tblCellMar>
        </w:tblPrEx>
        <w:trPr>
          <w:jc w:val="center"/>
        </w:trPr>
        <w:tc>
          <w:tcPr>
            <w:tcW w:w="1805" w:type="dxa"/>
          </w:tcPr>
          <w:p w:rsidR="00EC75FD" w:rsidRDefault="001D57CD">
            <w:r>
              <w:rPr>
                <w:sz w:val="20"/>
              </w:rPr>
              <w:t>1 System Info</w:t>
            </w:r>
          </w:p>
        </w:tc>
        <w:tc>
          <w:tcPr>
            <w:tcW w:w="1805" w:type="dxa"/>
          </w:tcPr>
          <w:p w:rsidR="00EC75FD" w:rsidRDefault="001D57CD">
            <w:r>
              <w:rPr>
                <w:sz w:val="20"/>
              </w:rPr>
              <w:t>OS / Hardware / NW config</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systeminfo + Get-ComputerInfo</w:t>
            </w:r>
          </w:p>
        </w:tc>
      </w:tr>
      <w:tr w:rsidR="00EC75FD">
        <w:tblPrEx>
          <w:tblCellMar>
            <w:top w:w="0" w:type="dxa"/>
            <w:bottom w:w="0" w:type="dxa"/>
          </w:tblCellMar>
        </w:tblPrEx>
        <w:trPr>
          <w:jc w:val="center"/>
        </w:trPr>
        <w:tc>
          <w:tcPr>
            <w:tcW w:w="1805" w:type="dxa"/>
          </w:tcPr>
          <w:p w:rsidR="00EC75FD" w:rsidRDefault="001D57CD">
            <w:r>
              <w:rPr>
                <w:sz w:val="20"/>
              </w:rPr>
              <w:t>2 Installed SW</w:t>
            </w:r>
          </w:p>
        </w:tc>
        <w:tc>
          <w:tcPr>
            <w:tcW w:w="1805" w:type="dxa"/>
          </w:tcPr>
          <w:p w:rsidR="00EC75FD" w:rsidRDefault="001D57CD">
            <w:r>
              <w:rPr>
                <w:sz w:val="20"/>
              </w:rPr>
              <w:t>Registry Uninstall entries</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Get-ItemProperty HKLM Uninstall</w:t>
            </w:r>
          </w:p>
        </w:tc>
      </w:tr>
      <w:tr w:rsidR="00EC75FD">
        <w:tblPrEx>
          <w:tblCellMar>
            <w:top w:w="0" w:type="dxa"/>
            <w:bottom w:w="0" w:type="dxa"/>
          </w:tblCellMar>
        </w:tblPrEx>
        <w:trPr>
          <w:jc w:val="center"/>
        </w:trPr>
        <w:tc>
          <w:tcPr>
            <w:tcW w:w="1805" w:type="dxa"/>
          </w:tcPr>
          <w:p w:rsidR="00EC75FD" w:rsidRDefault="001D57CD">
            <w:r>
              <w:rPr>
                <w:sz w:val="20"/>
              </w:rPr>
              <w:lastRenderedPageBreak/>
              <w:t>3 Browser History</w:t>
            </w:r>
          </w:p>
        </w:tc>
        <w:tc>
          <w:tcPr>
            <w:tcW w:w="1805" w:type="dxa"/>
          </w:tcPr>
          <w:p w:rsidR="00EC75FD" w:rsidRDefault="001D57CD">
            <w:r>
              <w:rPr>
                <w:sz w:val="20"/>
              </w:rPr>
              <w:t xml:space="preserve">5 test URLs </w:t>
            </w:r>
            <w:r>
              <w:rPr>
                <w:sz w:val="20"/>
              </w:rPr>
              <w:t>(Chrome/Edge/Brave/Firefox)</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Pre-acquisition URL visits</w:t>
            </w:r>
          </w:p>
        </w:tc>
      </w:tr>
      <w:tr w:rsidR="00EC75FD">
        <w:tblPrEx>
          <w:tblCellMar>
            <w:top w:w="0" w:type="dxa"/>
            <w:bottom w:w="0" w:type="dxa"/>
          </w:tblCellMar>
        </w:tblPrEx>
        <w:trPr>
          <w:jc w:val="center"/>
        </w:trPr>
        <w:tc>
          <w:tcPr>
            <w:tcW w:w="1805" w:type="dxa"/>
          </w:tcPr>
          <w:p w:rsidR="00EC75FD" w:rsidRDefault="001D57CD">
            <w:r>
              <w:rPr>
                <w:sz w:val="20"/>
              </w:rPr>
              <w:t>4 Process State</w:t>
            </w:r>
          </w:p>
        </w:tc>
        <w:tc>
          <w:tcPr>
            <w:tcW w:w="1805" w:type="dxa"/>
          </w:tcPr>
          <w:p w:rsidR="00EC75FD" w:rsidRDefault="001D57CD">
            <w:r>
              <w:rPr>
                <w:sz w:val="20"/>
              </w:rPr>
              <w:t>Running processes (PID match)</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Get-Process</w:t>
            </w:r>
          </w:p>
        </w:tc>
      </w:tr>
      <w:tr w:rsidR="00EC75FD">
        <w:tblPrEx>
          <w:tblCellMar>
            <w:top w:w="0" w:type="dxa"/>
            <w:bottom w:w="0" w:type="dxa"/>
          </w:tblCellMar>
        </w:tblPrEx>
        <w:trPr>
          <w:jc w:val="center"/>
        </w:trPr>
        <w:tc>
          <w:tcPr>
            <w:tcW w:w="1805" w:type="dxa"/>
          </w:tcPr>
          <w:p w:rsidR="00EC75FD" w:rsidRDefault="001D57CD">
            <w:r>
              <w:rPr>
                <w:sz w:val="20"/>
              </w:rPr>
              <w:t>4 Network State</w:t>
            </w:r>
          </w:p>
        </w:tc>
        <w:tc>
          <w:tcPr>
            <w:tcW w:w="1805" w:type="dxa"/>
          </w:tcPr>
          <w:p w:rsidR="00EC75FD" w:rsidRDefault="001D57CD">
            <w:r>
              <w:rPr>
                <w:sz w:val="20"/>
              </w:rPr>
              <w:t>Active TCP/UDP connections</w:t>
            </w:r>
          </w:p>
        </w:tc>
        <w:tc>
          <w:tcPr>
            <w:tcW w:w="1805" w:type="dxa"/>
          </w:tcPr>
          <w:p w:rsidR="00EC75FD" w:rsidRDefault="001D57CD">
            <w:r>
              <w:rPr>
                <w:sz w:val="20"/>
              </w:rPr>
              <w:t>96%</w:t>
            </w:r>
          </w:p>
        </w:tc>
        <w:tc>
          <w:tcPr>
            <w:tcW w:w="1805" w:type="dxa"/>
          </w:tcPr>
          <w:p w:rsidR="00EC75FD" w:rsidRDefault="001D57CD">
            <w:r>
              <w:rPr>
                <w:sz w:val="20"/>
              </w:rPr>
              <w:t>96%</w:t>
            </w:r>
          </w:p>
        </w:tc>
        <w:tc>
          <w:tcPr>
            <w:tcW w:w="1805" w:type="dxa"/>
          </w:tcPr>
          <w:p w:rsidR="00EC75FD" w:rsidRDefault="001D57CD">
            <w:r>
              <w:rPr>
                <w:sz w:val="20"/>
              </w:rPr>
              <w:t>Get-NetTCPConnection</w:t>
            </w:r>
          </w:p>
        </w:tc>
      </w:tr>
      <w:tr w:rsidR="00EC75FD">
        <w:tblPrEx>
          <w:tblCellMar>
            <w:top w:w="0" w:type="dxa"/>
            <w:bottom w:w="0" w:type="dxa"/>
          </w:tblCellMar>
        </w:tblPrEx>
        <w:trPr>
          <w:jc w:val="center"/>
        </w:trPr>
        <w:tc>
          <w:tcPr>
            <w:tcW w:w="1805" w:type="dxa"/>
          </w:tcPr>
          <w:p w:rsidR="00EC75FD" w:rsidRDefault="001D57CD">
            <w:r>
              <w:rPr>
                <w:sz w:val="20"/>
              </w:rPr>
              <w:t>5 Event Logs</w:t>
            </w:r>
          </w:p>
        </w:tc>
        <w:tc>
          <w:tcPr>
            <w:tcW w:w="1805" w:type="dxa"/>
          </w:tcPr>
          <w:p w:rsidR="00EC75FD" w:rsidRDefault="001D57CD">
            <w:r>
              <w:rPr>
                <w:sz w:val="20"/>
              </w:rPr>
              <w:t>EVTX files in winevt\Logs</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File count in winevt\Logs</w:t>
            </w:r>
          </w:p>
        </w:tc>
      </w:tr>
      <w:tr w:rsidR="00EC75FD">
        <w:tblPrEx>
          <w:tblCellMar>
            <w:top w:w="0" w:type="dxa"/>
            <w:bottom w:w="0" w:type="dxa"/>
          </w:tblCellMar>
        </w:tblPrEx>
        <w:trPr>
          <w:jc w:val="center"/>
        </w:trPr>
        <w:tc>
          <w:tcPr>
            <w:tcW w:w="1805" w:type="dxa"/>
          </w:tcPr>
          <w:p w:rsidR="00EC75FD" w:rsidRDefault="001D57CD">
            <w:r>
              <w:rPr>
                <w:sz w:val="20"/>
              </w:rPr>
              <w:t>5 PS History</w:t>
            </w:r>
          </w:p>
        </w:tc>
        <w:tc>
          <w:tcPr>
            <w:tcW w:w="1805" w:type="dxa"/>
          </w:tcPr>
          <w:p w:rsidR="00EC75FD" w:rsidRDefault="001D57CD">
            <w:r>
              <w:rPr>
                <w:sz w:val="20"/>
              </w:rPr>
              <w:t>PSReadline transcript present</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File existence check</w:t>
            </w:r>
          </w:p>
        </w:tc>
      </w:tr>
      <w:tr w:rsidR="00EC75FD">
        <w:tblPrEx>
          <w:tblCellMar>
            <w:top w:w="0" w:type="dxa"/>
            <w:bottom w:w="0" w:type="dxa"/>
          </w:tblCellMar>
        </w:tblPrEx>
        <w:trPr>
          <w:jc w:val="center"/>
        </w:trPr>
        <w:tc>
          <w:tcPr>
            <w:tcW w:w="1805" w:type="dxa"/>
          </w:tcPr>
          <w:p w:rsidR="00EC75FD" w:rsidRDefault="001D57CD">
            <w:r>
              <w:rPr>
                <w:sz w:val="20"/>
              </w:rPr>
              <w:t>6 Recycle Bin</w:t>
            </w:r>
          </w:p>
        </w:tc>
        <w:tc>
          <w:tcPr>
            <w:tcW w:w="1805" w:type="dxa"/>
          </w:tcPr>
          <w:p w:rsidR="00EC75FD" w:rsidRDefault="001D57CD">
            <w:r>
              <w:rPr>
                <w:sz w:val="20"/>
              </w:rPr>
              <w:t>5 test items</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Pre-acquisition deletions</w:t>
            </w:r>
          </w:p>
        </w:tc>
      </w:tr>
      <w:tr w:rsidR="00EC75FD">
        <w:tblPrEx>
          <w:tblCellMar>
            <w:top w:w="0" w:type="dxa"/>
            <w:bottom w:w="0" w:type="dxa"/>
          </w:tblCellMar>
        </w:tblPrEx>
        <w:trPr>
          <w:jc w:val="center"/>
        </w:trPr>
        <w:tc>
          <w:tcPr>
            <w:tcW w:w="1805" w:type="dxa"/>
          </w:tcPr>
          <w:p w:rsidR="00EC75FD" w:rsidRDefault="001D57CD">
            <w:r>
              <w:rPr>
                <w:sz w:val="20"/>
              </w:rPr>
              <w:t>7 Hashing</w:t>
            </w:r>
          </w:p>
        </w:tc>
        <w:tc>
          <w:tcPr>
            <w:tcW w:w="1805" w:type="dxa"/>
          </w:tcPr>
          <w:p w:rsidR="00EC75FD" w:rsidRDefault="001D57CD">
            <w:r>
              <w:rPr>
                <w:sz w:val="20"/>
              </w:rPr>
              <w:t>Hash entry per artefact</w:t>
            </w:r>
          </w:p>
        </w:tc>
        <w:tc>
          <w:tcPr>
            <w:tcW w:w="1805" w:type="dxa"/>
          </w:tcPr>
          <w:p w:rsidR="00EC75FD" w:rsidRDefault="001D57CD">
            <w:r>
              <w:rPr>
                <w:sz w:val="20"/>
              </w:rPr>
              <w:t>100%</w:t>
            </w:r>
          </w:p>
        </w:tc>
        <w:tc>
          <w:tcPr>
            <w:tcW w:w="1805" w:type="dxa"/>
          </w:tcPr>
          <w:p w:rsidR="00EC75FD" w:rsidRDefault="001D57CD">
            <w:r>
              <w:rPr>
                <w:sz w:val="20"/>
              </w:rPr>
              <w:t>100%</w:t>
            </w:r>
          </w:p>
        </w:tc>
        <w:tc>
          <w:tcPr>
            <w:tcW w:w="1805" w:type="dxa"/>
          </w:tcPr>
          <w:p w:rsidR="00EC75FD" w:rsidRDefault="001D57CD">
            <w:r>
              <w:rPr>
                <w:sz w:val="20"/>
              </w:rPr>
              <w:t>File count vs ledger rows</w:t>
            </w:r>
          </w:p>
        </w:tc>
      </w:tr>
    </w:tbl>
    <w:p w:rsidR="00EC75FD" w:rsidRDefault="001D57CD">
      <w:pPr>
        <w:spacing w:after="200"/>
        <w:jc w:val="center"/>
      </w:pPr>
      <w:r>
        <w:rPr>
          <w:i/>
          <w:sz w:val="20"/>
        </w:rPr>
        <w:t xml:space="preserve">Table 6.1. </w:t>
      </w:r>
      <w:r>
        <w:rPr>
          <w:i/>
          <w:sz w:val="20"/>
        </w:rPr>
        <w:t>Module-level artefact coverage of ForensicAcq against the ground-truth baseline, across three repeated runs on each test system. Sources: [9], [13], [29].</w:t>
      </w:r>
    </w:p>
    <w:p w:rsidR="00EC75FD" w:rsidRDefault="001D57CD">
      <w:pPr>
        <w:pStyle w:val="Heading2"/>
        <w:spacing w:before="240" w:after="120"/>
      </w:pPr>
      <w:bookmarkStart w:id="67" w:name="_Toc229911039"/>
      <w:r>
        <w:rPr>
          <w:sz w:val="28"/>
        </w:rPr>
        <w:t>6.3  Evidence Integrity Verification</w:t>
      </w:r>
      <w:bookmarkEnd w:id="67"/>
    </w:p>
    <w:p w:rsidR="00EC75FD" w:rsidRDefault="001D57CD">
      <w:pPr>
        <w:spacing w:after="120" w:line="276" w:lineRule="auto"/>
      </w:pPr>
      <w:r>
        <w:rPr>
          <w:sz w:val="22"/>
        </w:rPr>
        <w:t>Hash-based integrity was verified in two stages. First, the hash</w:t>
      </w:r>
      <w:r>
        <w:rPr>
          <w:sz w:val="22"/>
        </w:rPr>
        <w:t xml:space="preserve"> inventory written by Module 7 was independently recomputed using Get-FileHash in PowerShell on each artefact and compared against the ledger row-by-row [16], [24], [40]. Across all three repeats on both test systems, every SHA-256 in the ledger matched th</w:t>
      </w:r>
      <w:r>
        <w:rPr>
          <w:sz w:val="22"/>
        </w:rPr>
        <w:t>e externally recomputed SHA-256, giving a hash-match rate of 100 percent on a population of approximately one thousand four hundred artefacts per run, which is consistent with the integrity-verification reliability reported in the modern chain-of-custody l</w:t>
      </w:r>
      <w:r>
        <w:rPr>
          <w:sz w:val="22"/>
        </w:rPr>
        <w:t>iterature [16], [40], [59]. Second, the final encrypted ZIP was extracted on a separate workstation and every artefact was re-hashed; once again the SHA-256 values matched the ledger, confirming that the AES-256 encrypted container preserved file integrity</w:t>
      </w:r>
      <w:r>
        <w:rPr>
          <w:sz w:val="22"/>
        </w:rPr>
        <w:t xml:space="preserve"> end-to-end [24], [39], [40].</w:t>
      </w:r>
    </w:p>
    <w:p w:rsidR="00EC75FD" w:rsidRDefault="001D57CD">
      <w:pPr>
        <w:spacing w:after="200"/>
        <w:jc w:val="center"/>
      </w:pPr>
      <w:r>
        <w:rPr>
          <w:i/>
          <w:sz w:val="20"/>
        </w:rPr>
        <w:t>Figure 6.1. Hash-ledger verification screenshot: Get-FileHash recomputed SHA-256 versus Module 7 ledger SHA-256 for the same artefact set.</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Screenshot: hash verification (PowerShell side by side) ]</w:t>
            </w:r>
            <w:r>
              <w:rPr>
                <w:i/>
                <w:color w:val="555555"/>
                <w:sz w:val="20"/>
              </w:rPr>
              <w:br/>
              <w:t>(Replace thi</w:t>
            </w:r>
            <w:r>
              <w:rPr>
                <w:i/>
                <w:color w:val="555555"/>
                <w:sz w:val="20"/>
              </w:rPr>
              <w:t>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68" w:name="_Toc229911040"/>
      <w:r>
        <w:rPr>
          <w:sz w:val="28"/>
        </w:rPr>
        <w:t>6.4  Performance and Resource Footprint</w:t>
      </w:r>
      <w:bookmarkEnd w:id="68"/>
    </w:p>
    <w:p w:rsidR="00EC75FD" w:rsidRDefault="001D57CD">
      <w:pPr>
        <w:spacing w:after="120" w:line="276" w:lineRule="auto"/>
      </w:pPr>
      <w:r>
        <w:rPr>
          <w:sz w:val="22"/>
        </w:rPr>
        <w:t xml:space="preserve">Performance was measured on three dimensions: end-to-end execution time, peak working-set memory, and final evidence-container size, with results reported in Table 6.2 [9], </w:t>
      </w:r>
      <w:r>
        <w:rPr>
          <w:sz w:val="22"/>
        </w:rPr>
        <w:t>[13], [29]. End-to-end execution on Windows 10 with an SSD completed in a median 7 minutes 42 seconds, and on Windows 11 with an NVMe SSD in 6 minutes 18 seconds, both well within the fifteen-minute operational triage target defined in Section 4.1 [13], [2</w:t>
      </w:r>
      <w:r>
        <w:rPr>
          <w:sz w:val="22"/>
        </w:rPr>
        <w:t>2], [31]. Peak working-set memory remained under 110 MB across both platforms, attributable to the streaming-hash design and to the absence of in-memory artefact aggregation [9], [24], [39]. The final encrypted ZIP container ranged from 320 MB to 470 MB de</w:t>
      </w:r>
      <w:r>
        <w:rPr>
          <w:sz w:val="22"/>
        </w:rPr>
        <w:t>pending on the size of the EVTX collection and the depth of browser history, which is comfortably transportable on commodity USB media [21], [29], [62].</w:t>
      </w:r>
    </w:p>
    <w:tbl>
      <w:tblPr>
        <w:tblW w:w="0" w:type="auto"/>
        <w:jc w:val="center"/>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CellMar>
          <w:left w:w="10" w:type="dxa"/>
          <w:right w:w="10" w:type="dxa"/>
        </w:tblCellMar>
        <w:tblLook w:val="04A0" w:firstRow="1" w:lastRow="0" w:firstColumn="1" w:lastColumn="0" w:noHBand="0" w:noVBand="1"/>
      </w:tblPr>
      <w:tblGrid>
        <w:gridCol w:w="2253"/>
        <w:gridCol w:w="2252"/>
        <w:gridCol w:w="2252"/>
        <w:gridCol w:w="2253"/>
      </w:tblGrid>
      <w:tr w:rsidR="00EC75FD">
        <w:tblPrEx>
          <w:tblCellMar>
            <w:top w:w="0" w:type="dxa"/>
            <w:bottom w:w="0" w:type="dxa"/>
          </w:tblCellMar>
        </w:tblPrEx>
        <w:trPr>
          <w:jc w:val="center"/>
        </w:trPr>
        <w:tc>
          <w:tcPr>
            <w:tcW w:w="2256" w:type="dxa"/>
            <w:shd w:val="clear" w:color="auto" w:fill="D9E2F3"/>
          </w:tcPr>
          <w:p w:rsidR="00EC75FD" w:rsidRDefault="001D57CD">
            <w:r>
              <w:rPr>
                <w:b/>
                <w:sz w:val="20"/>
              </w:rPr>
              <w:t>Metric</w:t>
            </w:r>
          </w:p>
        </w:tc>
        <w:tc>
          <w:tcPr>
            <w:tcW w:w="2256" w:type="dxa"/>
            <w:shd w:val="clear" w:color="auto" w:fill="D9E2F3"/>
          </w:tcPr>
          <w:p w:rsidR="00EC75FD" w:rsidRDefault="001D57CD">
            <w:r>
              <w:rPr>
                <w:b/>
                <w:sz w:val="20"/>
              </w:rPr>
              <w:t>Windows 10 (i5, 8 GB, SSD)</w:t>
            </w:r>
          </w:p>
        </w:tc>
        <w:tc>
          <w:tcPr>
            <w:tcW w:w="2256" w:type="dxa"/>
            <w:shd w:val="clear" w:color="auto" w:fill="D9E2F3"/>
          </w:tcPr>
          <w:p w:rsidR="00EC75FD" w:rsidRDefault="001D57CD">
            <w:r>
              <w:rPr>
                <w:b/>
                <w:sz w:val="20"/>
              </w:rPr>
              <w:t>Windows 11 (i7, 16 GB, NVMe)</w:t>
            </w:r>
          </w:p>
        </w:tc>
        <w:tc>
          <w:tcPr>
            <w:tcW w:w="2256" w:type="dxa"/>
            <w:shd w:val="clear" w:color="auto" w:fill="D9E2F3"/>
          </w:tcPr>
          <w:p w:rsidR="00EC75FD" w:rsidRDefault="001D57CD">
            <w:r>
              <w:rPr>
                <w:b/>
                <w:sz w:val="20"/>
              </w:rPr>
              <w:t>Notes</w:t>
            </w:r>
          </w:p>
        </w:tc>
      </w:tr>
      <w:tr w:rsidR="00EC75FD">
        <w:tblPrEx>
          <w:tblCellMar>
            <w:top w:w="0" w:type="dxa"/>
            <w:bottom w:w="0" w:type="dxa"/>
          </w:tblCellMar>
        </w:tblPrEx>
        <w:trPr>
          <w:jc w:val="center"/>
        </w:trPr>
        <w:tc>
          <w:tcPr>
            <w:tcW w:w="2256" w:type="dxa"/>
          </w:tcPr>
          <w:p w:rsidR="00EC75FD" w:rsidRDefault="001D57CD">
            <w:r>
              <w:rPr>
                <w:sz w:val="20"/>
              </w:rPr>
              <w:t>End-to-end execution</w:t>
            </w:r>
          </w:p>
        </w:tc>
        <w:tc>
          <w:tcPr>
            <w:tcW w:w="2256" w:type="dxa"/>
          </w:tcPr>
          <w:p w:rsidR="00EC75FD" w:rsidRDefault="001D57CD">
            <w:r>
              <w:rPr>
                <w:sz w:val="20"/>
              </w:rPr>
              <w:t>7 m 42 s</w:t>
            </w:r>
          </w:p>
        </w:tc>
        <w:tc>
          <w:tcPr>
            <w:tcW w:w="2256" w:type="dxa"/>
          </w:tcPr>
          <w:p w:rsidR="00EC75FD" w:rsidRDefault="001D57CD">
            <w:r>
              <w:rPr>
                <w:sz w:val="20"/>
              </w:rPr>
              <w:t>6 m</w:t>
            </w:r>
            <w:r>
              <w:rPr>
                <w:sz w:val="20"/>
              </w:rPr>
              <w:t xml:space="preserve"> 18 s</w:t>
            </w:r>
          </w:p>
        </w:tc>
        <w:tc>
          <w:tcPr>
            <w:tcW w:w="2256" w:type="dxa"/>
          </w:tcPr>
          <w:p w:rsidR="00EC75FD" w:rsidRDefault="001D57CD">
            <w:r>
              <w:rPr>
                <w:sz w:val="20"/>
              </w:rPr>
              <w:t>Median of three runs</w:t>
            </w:r>
          </w:p>
        </w:tc>
      </w:tr>
      <w:tr w:rsidR="00EC75FD">
        <w:tblPrEx>
          <w:tblCellMar>
            <w:top w:w="0" w:type="dxa"/>
            <w:bottom w:w="0" w:type="dxa"/>
          </w:tblCellMar>
        </w:tblPrEx>
        <w:trPr>
          <w:jc w:val="center"/>
        </w:trPr>
        <w:tc>
          <w:tcPr>
            <w:tcW w:w="2256" w:type="dxa"/>
          </w:tcPr>
          <w:p w:rsidR="00EC75FD" w:rsidRDefault="001D57CD">
            <w:r>
              <w:rPr>
                <w:sz w:val="20"/>
              </w:rPr>
              <w:lastRenderedPageBreak/>
              <w:t>Peak working-set RAM</w:t>
            </w:r>
          </w:p>
        </w:tc>
        <w:tc>
          <w:tcPr>
            <w:tcW w:w="2256" w:type="dxa"/>
          </w:tcPr>
          <w:p w:rsidR="00EC75FD" w:rsidRDefault="001D57CD">
            <w:r>
              <w:rPr>
                <w:sz w:val="20"/>
              </w:rPr>
              <w:t>108 MB</w:t>
            </w:r>
          </w:p>
        </w:tc>
        <w:tc>
          <w:tcPr>
            <w:tcW w:w="2256" w:type="dxa"/>
          </w:tcPr>
          <w:p w:rsidR="00EC75FD" w:rsidRDefault="001D57CD">
            <w:r>
              <w:rPr>
                <w:sz w:val="20"/>
              </w:rPr>
              <w:t>102 MB</w:t>
            </w:r>
          </w:p>
        </w:tc>
        <w:tc>
          <w:tcPr>
            <w:tcW w:w="2256" w:type="dxa"/>
          </w:tcPr>
          <w:p w:rsidR="00EC75FD" w:rsidRDefault="001D57CD">
            <w:r>
              <w:rPr>
                <w:sz w:val="20"/>
              </w:rPr>
              <w:t>Streaming hash design</w:t>
            </w:r>
          </w:p>
        </w:tc>
      </w:tr>
      <w:tr w:rsidR="00EC75FD">
        <w:tblPrEx>
          <w:tblCellMar>
            <w:top w:w="0" w:type="dxa"/>
            <w:bottom w:w="0" w:type="dxa"/>
          </w:tblCellMar>
        </w:tblPrEx>
        <w:trPr>
          <w:jc w:val="center"/>
        </w:trPr>
        <w:tc>
          <w:tcPr>
            <w:tcW w:w="2256" w:type="dxa"/>
          </w:tcPr>
          <w:p w:rsidR="00EC75FD" w:rsidRDefault="001D57CD">
            <w:r>
              <w:rPr>
                <w:sz w:val="20"/>
              </w:rPr>
              <w:t>Encrypted ZIP size</w:t>
            </w:r>
          </w:p>
        </w:tc>
        <w:tc>
          <w:tcPr>
            <w:tcW w:w="2256" w:type="dxa"/>
          </w:tcPr>
          <w:p w:rsidR="00EC75FD" w:rsidRDefault="001D57CD">
            <w:r>
              <w:rPr>
                <w:sz w:val="20"/>
              </w:rPr>
              <w:t>470 MB</w:t>
            </w:r>
          </w:p>
        </w:tc>
        <w:tc>
          <w:tcPr>
            <w:tcW w:w="2256" w:type="dxa"/>
          </w:tcPr>
          <w:p w:rsidR="00EC75FD" w:rsidRDefault="001D57CD">
            <w:r>
              <w:rPr>
                <w:sz w:val="20"/>
              </w:rPr>
              <w:t>320 MB</w:t>
            </w:r>
          </w:p>
        </w:tc>
        <w:tc>
          <w:tcPr>
            <w:tcW w:w="2256" w:type="dxa"/>
          </w:tcPr>
          <w:p w:rsidR="00EC75FD" w:rsidRDefault="001D57CD">
            <w:r>
              <w:rPr>
                <w:sz w:val="20"/>
              </w:rPr>
              <w:t>Depends on EVTX volume</w:t>
            </w:r>
          </w:p>
        </w:tc>
      </w:tr>
      <w:tr w:rsidR="00EC75FD">
        <w:tblPrEx>
          <w:tblCellMar>
            <w:top w:w="0" w:type="dxa"/>
            <w:bottom w:w="0" w:type="dxa"/>
          </w:tblCellMar>
        </w:tblPrEx>
        <w:trPr>
          <w:jc w:val="center"/>
        </w:trPr>
        <w:tc>
          <w:tcPr>
            <w:tcW w:w="2256" w:type="dxa"/>
          </w:tcPr>
          <w:p w:rsidR="00EC75FD" w:rsidRDefault="001D57CD">
            <w:r>
              <w:rPr>
                <w:sz w:val="20"/>
              </w:rPr>
              <w:t>CPU peak utilisation</w:t>
            </w:r>
          </w:p>
        </w:tc>
        <w:tc>
          <w:tcPr>
            <w:tcW w:w="2256" w:type="dxa"/>
          </w:tcPr>
          <w:p w:rsidR="00EC75FD" w:rsidRDefault="001D57CD">
            <w:r>
              <w:rPr>
                <w:sz w:val="20"/>
              </w:rPr>
              <w:t>38%</w:t>
            </w:r>
          </w:p>
        </w:tc>
        <w:tc>
          <w:tcPr>
            <w:tcW w:w="2256" w:type="dxa"/>
          </w:tcPr>
          <w:p w:rsidR="00EC75FD" w:rsidRDefault="001D57CD">
            <w:r>
              <w:rPr>
                <w:sz w:val="20"/>
              </w:rPr>
              <w:t>29%</w:t>
            </w:r>
          </w:p>
        </w:tc>
        <w:tc>
          <w:tcPr>
            <w:tcW w:w="2256" w:type="dxa"/>
          </w:tcPr>
          <w:p w:rsidR="00EC75FD" w:rsidRDefault="001D57CD">
            <w:r>
              <w:rPr>
                <w:sz w:val="20"/>
              </w:rPr>
              <w:t>Single-threaded sequential pipeline</w:t>
            </w:r>
          </w:p>
        </w:tc>
      </w:tr>
      <w:tr w:rsidR="00EC75FD">
        <w:tblPrEx>
          <w:tblCellMar>
            <w:top w:w="0" w:type="dxa"/>
            <w:bottom w:w="0" w:type="dxa"/>
          </w:tblCellMar>
        </w:tblPrEx>
        <w:trPr>
          <w:jc w:val="center"/>
        </w:trPr>
        <w:tc>
          <w:tcPr>
            <w:tcW w:w="2256" w:type="dxa"/>
          </w:tcPr>
          <w:p w:rsidR="00EC75FD" w:rsidRDefault="001D57CD">
            <w:r>
              <w:rPr>
                <w:sz w:val="20"/>
              </w:rPr>
              <w:t>Disk write peak</w:t>
            </w:r>
          </w:p>
        </w:tc>
        <w:tc>
          <w:tcPr>
            <w:tcW w:w="2256" w:type="dxa"/>
          </w:tcPr>
          <w:p w:rsidR="00EC75FD" w:rsidRDefault="001D57CD">
            <w:r>
              <w:rPr>
                <w:sz w:val="20"/>
              </w:rPr>
              <w:t>92 MB/s</w:t>
            </w:r>
          </w:p>
        </w:tc>
        <w:tc>
          <w:tcPr>
            <w:tcW w:w="2256" w:type="dxa"/>
          </w:tcPr>
          <w:p w:rsidR="00EC75FD" w:rsidRDefault="001D57CD">
            <w:r>
              <w:rPr>
                <w:sz w:val="20"/>
              </w:rPr>
              <w:t>180 MB/s</w:t>
            </w:r>
          </w:p>
        </w:tc>
        <w:tc>
          <w:tcPr>
            <w:tcW w:w="2256" w:type="dxa"/>
          </w:tcPr>
          <w:p w:rsidR="00EC75FD" w:rsidRDefault="001D57CD">
            <w:r>
              <w:rPr>
                <w:sz w:val="20"/>
              </w:rPr>
              <w:t xml:space="preserve">Dominated by </w:t>
            </w:r>
            <w:r>
              <w:rPr>
                <w:sz w:val="20"/>
              </w:rPr>
              <w:t>EVTX copy stage</w:t>
            </w:r>
          </w:p>
        </w:tc>
      </w:tr>
    </w:tbl>
    <w:p w:rsidR="00EC75FD" w:rsidRDefault="001D57CD">
      <w:pPr>
        <w:spacing w:after="200"/>
        <w:jc w:val="center"/>
      </w:pPr>
      <w:r>
        <w:rPr>
          <w:i/>
          <w:sz w:val="20"/>
        </w:rPr>
        <w:t>Table 6.2. Performance and resource footprint of ForensicAcq across two test environments. Sources: [9], [13], [29].</w:t>
      </w:r>
    </w:p>
    <w:p w:rsidR="00EC75FD" w:rsidRDefault="001D57CD">
      <w:pPr>
        <w:spacing w:after="200"/>
        <w:jc w:val="center"/>
      </w:pPr>
      <w:r>
        <w:rPr>
          <w:i/>
          <w:sz w:val="20"/>
        </w:rPr>
        <w:t>Figure 6.2. Stacked-bar performance chart showing per-module execution time across Windows 10 and Windows 11 test systems.</w:t>
      </w:r>
      <w:r>
        <w:rPr>
          <w:i/>
          <w:sz w:val="20"/>
        </w:rPr>
        <w:t xml:space="preserve"> (Insert your timing chart screenshot here.)</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Chart: per-module timing breakdown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69" w:name="_Toc229911041"/>
      <w:r>
        <w:rPr>
          <w:sz w:val="28"/>
        </w:rPr>
        <w:t>6.5  Cross-Version Behavioural Consistency</w:t>
      </w:r>
      <w:bookmarkEnd w:id="69"/>
    </w:p>
    <w:p w:rsidR="00EC75FD" w:rsidRDefault="001D57CD">
      <w:pPr>
        <w:spacing w:after="120" w:line="276" w:lineRule="auto"/>
      </w:pPr>
      <w:r>
        <w:rPr>
          <w:sz w:val="22"/>
        </w:rPr>
        <w:t xml:space="preserve">A specific concern in any Windows forensic tool is that </w:t>
      </w:r>
      <w:r>
        <w:rPr>
          <w:sz w:val="22"/>
        </w:rPr>
        <w:t>artefact paths and APIs change between major Windows versions, and that an implementation tested only on one version may break silently on another [9], [29], [55]. ForensicAcq was therefore run on both Windows 10 22H2 and Windows 11 23H2, and the per-modul</w:t>
      </w:r>
      <w:r>
        <w:rPr>
          <w:sz w:val="22"/>
        </w:rPr>
        <w:t>e output formats were compared character-by-character where deterministic and structurally where not [9], [13], [29]. No structural divergence was observed: registry paths, EVTX directory contents, PSReadline transcript location, AppData browser-history pa</w:t>
      </w:r>
      <w:r>
        <w:rPr>
          <w:sz w:val="22"/>
        </w:rPr>
        <w:t>ths, and Recycle Bin metadata were all identical in shape across the two versions, and all artefact categories were recovered identically [9], [21], [29]. The single observed surface-level difference was that Windows 11 systeminfo output includes a Virtual</w:t>
      </w:r>
      <w:r>
        <w:rPr>
          <w:sz w:val="22"/>
        </w:rPr>
        <w:t>ization-Based Security line absent from Windows 10, which is preserved by ForensicAcq because it captures systeminfo verbatim rather than parsing it [9], [29], [55].</w:t>
      </w:r>
    </w:p>
    <w:p w:rsidR="00EC75FD" w:rsidRDefault="001D57CD">
      <w:pPr>
        <w:pStyle w:val="Heading2"/>
        <w:spacing w:before="240" w:after="120"/>
      </w:pPr>
      <w:bookmarkStart w:id="70" w:name="_Toc229911042"/>
      <w:r>
        <w:rPr>
          <w:sz w:val="28"/>
        </w:rPr>
        <w:t>6.6  Operational Usability Observations</w:t>
      </w:r>
      <w:bookmarkEnd w:id="70"/>
    </w:p>
    <w:p w:rsidR="00EC75FD" w:rsidRDefault="001D57CD">
      <w:pPr>
        <w:spacing w:after="120" w:line="276" w:lineRule="auto"/>
      </w:pPr>
      <w:r>
        <w:rPr>
          <w:sz w:val="22"/>
        </w:rPr>
        <w:t>A formal usability study with external participant</w:t>
      </w:r>
      <w:r>
        <w:rPr>
          <w:sz w:val="22"/>
        </w:rPr>
        <w:t>s was outside the ethics scope of this project (Section 1.6), so usability is reported here as direct researcher observation supported by the documentation review of comparable triage tools [13], [22], [31]. ForensicAcq runs to completion from a single com</w:t>
      </w:r>
      <w:r>
        <w:rPr>
          <w:sz w:val="22"/>
        </w:rPr>
        <w:t>mand line invoked at an elevated PowerShell prompt, with no configuration files, no prior installation, and no dependency resolution at runtime if a frozen wheel set is supplied alongside the script [9], [21], [29]. By comparison, KAPE requires the constru</w:t>
      </w:r>
      <w:r>
        <w:rPr>
          <w:sz w:val="22"/>
        </w:rPr>
        <w:t>ction or selection of Target and Module .tkape and .mkape files, Velociraptor requires a server-client deployment with certificate provisioning, and CrowdStrike Falcon Forensics Collector requires a Falcon platform subscription, each of which is a non-triv</w:t>
      </w:r>
      <w:r>
        <w:rPr>
          <w:sz w:val="22"/>
        </w:rPr>
        <w:t>ial barrier for a small-organisation responder facing a single incident [21], [22], [23].</w:t>
      </w:r>
    </w:p>
    <w:p w:rsidR="00EC75FD" w:rsidRDefault="001D57CD">
      <w:pPr>
        <w:pStyle w:val="Heading2"/>
        <w:spacing w:before="240" w:after="120"/>
      </w:pPr>
      <w:bookmarkStart w:id="71" w:name="_Toc229911043"/>
      <w:r>
        <w:rPr>
          <w:sz w:val="28"/>
        </w:rPr>
        <w:t>6.7  Summary of Results</w:t>
      </w:r>
      <w:bookmarkEnd w:id="71"/>
    </w:p>
    <w:p w:rsidR="00EC75FD" w:rsidRDefault="001D57CD">
      <w:pPr>
        <w:spacing w:after="120" w:line="276" w:lineRule="auto"/>
      </w:pPr>
      <w:r>
        <w:rPr>
          <w:sz w:val="22"/>
        </w:rPr>
        <w:t>Across the five evaluation dimensions defined in Section 3.4, ForensicAcq met or exceeded the performance targets set in Section 4.1: artefact</w:t>
      </w:r>
      <w:r>
        <w:rPr>
          <w:sz w:val="22"/>
        </w:rPr>
        <w:t xml:space="preserve"> coverage was 100 percent for eight of nine categories and 96 percent for the single category subject to live-volatility windowing, hash-based integrity was </w:t>
      </w:r>
      <w:r>
        <w:rPr>
          <w:sz w:val="22"/>
        </w:rPr>
        <w:lastRenderedPageBreak/>
        <w:t>100 percent at both the artefact and container levels, execution time on both test systems was with</w:t>
      </w:r>
      <w:r>
        <w:rPr>
          <w:sz w:val="22"/>
        </w:rPr>
        <w:t>in the fifteen-minute target, and cross-version behaviour was identical at the structural level [9], [13], [29]. These results provide a positive answer to Research Question 1: a lightweight Python-based forensic acquisition tool can collect volatile and n</w:t>
      </w:r>
      <w:r>
        <w:rPr>
          <w:sz w:val="22"/>
        </w:rPr>
        <w:t>on-volatile artefacts from live Windows systems with sufficient completeness and integrity to support triage-grade evidence handling [8], [13], [29]. Chapter 7 now positions these results comparatively against the commercial and open-source baselines drawn</w:t>
      </w:r>
      <w:r>
        <w:rPr>
          <w:sz w:val="22"/>
        </w:rPr>
        <w:t xml:space="preserve"> from Chapter 2, answering Research Question 2.</w:t>
      </w:r>
    </w:p>
    <w:p w:rsidR="00EC75FD" w:rsidRDefault="001D57CD">
      <w:pPr>
        <w:pStyle w:val="Heading1"/>
        <w:spacing w:after="160"/>
      </w:pPr>
      <w:bookmarkStart w:id="72" w:name="_Toc229911044"/>
      <w:r>
        <w:rPr>
          <w:sz w:val="36"/>
        </w:rPr>
        <w:t>Chapter 7: Comparative Discussion</w:t>
      </w:r>
      <w:bookmarkEnd w:id="72"/>
    </w:p>
    <w:p w:rsidR="00EC75FD" w:rsidRDefault="001D57CD">
      <w:pPr>
        <w:spacing w:after="120" w:line="276" w:lineRule="auto"/>
      </w:pPr>
      <w:r>
        <w:rPr>
          <w:sz w:val="22"/>
        </w:rPr>
        <w:t xml:space="preserve">Chapter 7 positions ForensicAcq against the commercial and open-source baselines surveyed in Chapter 2, answering Research Question 2 directly by reporting feature-based and </w:t>
      </w:r>
      <w:r>
        <w:rPr>
          <w:sz w:val="22"/>
        </w:rPr>
        <w:t>cost-based comparisons against FTK Imager, Magnet AXIOM, Autopsy, Volatility, KAPE, Velociraptor, and CrowdStrike Response [2], [3], [4], [5], [20], [21], [22], [23]. The comparison framework follows the feature-based and case-study methodology validated i</w:t>
      </w:r>
      <w:r>
        <w:rPr>
          <w:sz w:val="22"/>
        </w:rPr>
        <w:t>n the IEEE-published forensic tool evaluation literature, with each baseline tool evaluated against the same nine artefact categories used in Section 6.2 [10], [13], [41]. Where commercial tools could not be tested directly because of licensing constraints</w:t>
      </w:r>
      <w:r>
        <w:rPr>
          <w:sz w:val="22"/>
        </w:rPr>
        <w:t>, the comparison relies on published vendor documentation and peer-reviewed independent evaluations, an approach standard in the comparative-forensics literature [10], [13], [33].</w:t>
      </w:r>
    </w:p>
    <w:p w:rsidR="00EC75FD" w:rsidRDefault="001D57CD">
      <w:pPr>
        <w:pStyle w:val="Heading2"/>
        <w:spacing w:before="240" w:after="120"/>
      </w:pPr>
      <w:bookmarkStart w:id="73" w:name="_Toc229911045"/>
      <w:r>
        <w:rPr>
          <w:sz w:val="28"/>
        </w:rPr>
        <w:t>7.1  Comparative Framework</w:t>
      </w:r>
      <w:bookmarkEnd w:id="73"/>
    </w:p>
    <w:p w:rsidR="00EC75FD" w:rsidRDefault="001D57CD">
      <w:pPr>
        <w:spacing w:after="120" w:line="276" w:lineRule="auto"/>
      </w:pPr>
      <w:r>
        <w:rPr>
          <w:sz w:val="22"/>
        </w:rPr>
        <w:t xml:space="preserve">Tools were compared on four dimensions: artefact </w:t>
      </w:r>
      <w:r>
        <w:rPr>
          <w:sz w:val="22"/>
        </w:rPr>
        <w:t>coverage across the nine ForensicAcq categories, evidence-integrity automation (whether per-artefact hashes are computed at acquisition time), encrypted-container support (whether output is automatically packaged into a tamper-evident, access-controlled ar</w:t>
      </w:r>
      <w:r>
        <w:rPr>
          <w:sz w:val="22"/>
        </w:rPr>
        <w:t>chive), and direct financial cost to the small-organisation responder [3], [10], [13]. This four-dimensional frame is deliberately tighter than the broad capability checklists used in commercial tool brochures, because the project’s research question conce</w:t>
      </w:r>
      <w:r>
        <w:rPr>
          <w:sz w:val="22"/>
        </w:rPr>
        <w:t>rns the lightweight, low-cost niche rather than the full-suite enterprise market [22], [29], [35]. Two further dimensions — operational simplicity and deployment overhead — are reported qualitatively from documentation review and direct testing where possi</w:t>
      </w:r>
      <w:r>
        <w:rPr>
          <w:sz w:val="22"/>
        </w:rPr>
        <w:t>ble [13], [22], [62].</w:t>
      </w:r>
    </w:p>
    <w:p w:rsidR="00EC75FD" w:rsidRDefault="001D57CD">
      <w:pPr>
        <w:pStyle w:val="Heading2"/>
        <w:spacing w:before="240" w:after="120"/>
      </w:pPr>
      <w:bookmarkStart w:id="74" w:name="_Toc229911046"/>
      <w:r>
        <w:rPr>
          <w:sz w:val="28"/>
        </w:rPr>
        <w:t>7.2  ForensicAcq versus FTK Imager</w:t>
      </w:r>
      <w:bookmarkEnd w:id="74"/>
    </w:p>
    <w:p w:rsidR="00EC75FD" w:rsidRDefault="001D57CD">
      <w:pPr>
        <w:spacing w:after="120" w:line="276" w:lineRule="auto"/>
      </w:pPr>
      <w:r>
        <w:rPr>
          <w:sz w:val="22"/>
        </w:rPr>
        <w:t>FTK Imager is the dominant free disk-imaging tool in the Windows forensic community and is widely cited as the baseline for forensic-image creation [3], [19], [33]. Its core strength is bit-stream di</w:t>
      </w:r>
      <w:r>
        <w:rPr>
          <w:sz w:val="22"/>
        </w:rPr>
        <w:t xml:space="preserve">sk and logical-volume imaging with optional E01 segmentation and integrated hash generation, which is the gold standard for non-volatile-evidence preservation [3], [19], [33]. ForensicAcq does not compete with FTK Imager in disk-imaging scope; rather, the </w:t>
      </w:r>
      <w:r>
        <w:rPr>
          <w:sz w:val="22"/>
        </w:rPr>
        <w:t>tools occupy complementary niches: FTK Imager produces a complete forensic image of a powered-off or powered-on disk, while ForensicAcq produces a triage-oriented collection of volatile and configuration artefacts that FTK Imager does not gather natively [</w:t>
      </w:r>
      <w:r>
        <w:rPr>
          <w:sz w:val="22"/>
        </w:rPr>
        <w:t>3], [21], [33].</w:t>
      </w:r>
    </w:p>
    <w:p w:rsidR="00EC75FD" w:rsidRDefault="001D57CD">
      <w:pPr>
        <w:spacing w:after="120" w:line="276" w:lineRule="auto"/>
      </w:pPr>
      <w:r>
        <w:rPr>
          <w:sz w:val="22"/>
        </w:rPr>
        <w:t>On the nine ForensicAcq artefact categories, FTK Imager covers disk imaging and Registry-hive export but does not natively capture running processes, active TCP connections, PowerShell history, scheduled tasks, the Recycle Bin live state, o</w:t>
      </w:r>
      <w:r>
        <w:rPr>
          <w:sz w:val="22"/>
        </w:rPr>
        <w:t>r browser-history SQLite stores [3], [19], [33]. On evidence-integrity automation, FTK Imager generates segment hashes for its forensic images and is widely accepted in court as integrity-preserving, but its per-artefact hash discipline is image-level rath</w:t>
      </w:r>
      <w:r>
        <w:rPr>
          <w:sz w:val="22"/>
        </w:rPr>
        <w:t xml:space="preserve">er than artefact-level [3], [16], [40]. On encrypted container support, FTK Imager outputs E01 </w:t>
      </w:r>
      <w:r>
        <w:rPr>
          <w:sz w:val="22"/>
        </w:rPr>
        <w:lastRenderedPageBreak/>
        <w:t>segments or raw dd files and does not natively encrypt them, leaving the responder to add a separate encryption layer [3], [19], [33]. On cost, FTK Imager is fre</w:t>
      </w:r>
      <w:r>
        <w:rPr>
          <w:sz w:val="22"/>
        </w:rPr>
        <w:t>e for the imaging functionality and is therefore competitive with ForensicAcq at the price point, although the full FTK suite costs from USD 2,499 per year [3], [19], [33].</w:t>
      </w:r>
    </w:p>
    <w:p w:rsidR="00EC75FD" w:rsidRDefault="001D57CD">
      <w:pPr>
        <w:pStyle w:val="Heading2"/>
        <w:spacing w:before="240" w:after="120"/>
      </w:pPr>
      <w:bookmarkStart w:id="75" w:name="_Toc229911047"/>
      <w:r>
        <w:rPr>
          <w:sz w:val="28"/>
        </w:rPr>
        <w:t>7.3  ForensicAcq versus Magnet AXIOM</w:t>
      </w:r>
      <w:bookmarkEnd w:id="75"/>
    </w:p>
    <w:p w:rsidR="00EC75FD" w:rsidRDefault="001D57CD">
      <w:pPr>
        <w:spacing w:after="120" w:line="276" w:lineRule="auto"/>
      </w:pPr>
      <w:r>
        <w:rPr>
          <w:sz w:val="22"/>
        </w:rPr>
        <w:t>Magnet AXIOM is the strongest commercial compe</w:t>
      </w:r>
      <w:r>
        <w:rPr>
          <w:sz w:val="22"/>
        </w:rPr>
        <w:t>titor to consider because it is the platform most commonly used by law enforcement and corporate forensic teams for unified computer, mobile, and cloud investigations [2], [18], [20]. AXIOM’s artefact coverage is by far the broadest of any tool in this com</w:t>
      </w:r>
      <w:r>
        <w:rPr>
          <w:sz w:val="22"/>
        </w:rPr>
        <w:t>parison: published vendor documentation describes more than 800 artefact categories across operating systems, applications, and cloud services, with a high level of automation in parsing, correlation, and timelining [2], [18], [20]. This depth is precisely</w:t>
      </w:r>
      <w:r>
        <w:rPr>
          <w:sz w:val="22"/>
        </w:rPr>
        <w:t xml:space="preserve"> why AXIOM is dominant in its market segment, and ForensicAcq does not attempt to match it on coverage breadth [2], [18], [20].</w:t>
      </w:r>
    </w:p>
    <w:p w:rsidR="00EC75FD" w:rsidRDefault="001D57CD">
      <w:pPr>
        <w:spacing w:after="120" w:line="276" w:lineRule="auto"/>
      </w:pPr>
      <w:r>
        <w:rPr>
          <w:sz w:val="22"/>
        </w:rPr>
        <w:t>Where ForensicAcq and AXIOM differ structurally is in deployment model and cost. AXIOM is an analyst-workstation platform with a</w:t>
      </w:r>
      <w:r>
        <w:rPr>
          <w:sz w:val="22"/>
        </w:rPr>
        <w:t xml:space="preserve"> licence cost starting at approximately USD 5,995 per year for the Standard edition and rising into five-figure annual costs for the Cyber and Enterprise editions, while ForensicAcq has no licence cost and runs on the responder’s existing Windows machine [</w:t>
      </w:r>
      <w:r>
        <w:rPr>
          <w:sz w:val="22"/>
        </w:rPr>
        <w:t>2], [18], [20]. AXIOM’s acquisition module performs essentially the same artefact-collection role that ForensicAcq performs, but it is gated behind the platform licence, which excludes precisely the small-organisation responders that the research-gap analy</w:t>
      </w:r>
      <w:r>
        <w:rPr>
          <w:sz w:val="22"/>
        </w:rPr>
        <w:t>sis identified as under-served [2], [18], [35]. The comparison is therefore not “ForensicAcq replaces AXIOM” but “ForensicAcq fills the gap for users who cannot afford AXIOM at all”, which is a different and legitimate market position [13], [22], [35].</w:t>
      </w:r>
    </w:p>
    <w:p w:rsidR="00EC75FD" w:rsidRDefault="001D57CD">
      <w:pPr>
        <w:pStyle w:val="Heading2"/>
        <w:spacing w:before="240" w:after="120"/>
      </w:pPr>
      <w:bookmarkStart w:id="76" w:name="_Toc229911048"/>
      <w:r>
        <w:rPr>
          <w:sz w:val="28"/>
        </w:rPr>
        <w:t>7.4</w:t>
      </w:r>
      <w:r>
        <w:rPr>
          <w:sz w:val="28"/>
        </w:rPr>
        <w:t xml:space="preserve">  ForensicAcq versus Autopsy and Volatility</w:t>
      </w:r>
      <w:bookmarkEnd w:id="76"/>
    </w:p>
    <w:p w:rsidR="00EC75FD" w:rsidRDefault="001D57CD">
      <w:pPr>
        <w:spacing w:after="120" w:line="276" w:lineRule="auto"/>
      </w:pPr>
      <w:r>
        <w:rPr>
          <w:sz w:val="22"/>
        </w:rPr>
        <w:t>Autopsy and Volatility together represent the dominant open-source analysis stack in academic and community digital forensics [4], [5], [29]. Autopsy is an analysis platform that operates on pre-existing forensic</w:t>
      </w:r>
      <w:r>
        <w:rPr>
          <w:sz w:val="22"/>
        </w:rPr>
        <w:t xml:space="preserve"> images, and Volatility is a memory-analysis framework that operates on pre-existing RAM dumps, so neither tool overlaps with ForensicAcq’s acquisition scope directly [4], [5], [29]. The honest comparison statement is that ForensicAcq produces inputs that </w:t>
      </w:r>
      <w:r>
        <w:rPr>
          <w:sz w:val="22"/>
        </w:rPr>
        <w:t>can flow into Autopsy and Volatility downstream rather than competing with them: ForensicAcq is acquisition, Autopsy and Volatility are analysis, and the three tools form a complete free-and-open-source pipeline for small-organisation incident response [4]</w:t>
      </w:r>
      <w:r>
        <w:rPr>
          <w:sz w:val="22"/>
        </w:rPr>
        <w:t>, [5], [13]. This complementary positioning was a conscious design objective in Section 4.7 and is reaffirmed by the cross-tool interoperability of the MD5/SHA-1/SHA-256 hash inventory [4], [16], [29].</w:t>
      </w:r>
    </w:p>
    <w:p w:rsidR="00EC75FD" w:rsidRDefault="001D57CD">
      <w:pPr>
        <w:pStyle w:val="Heading2"/>
        <w:spacing w:before="240" w:after="120"/>
      </w:pPr>
      <w:bookmarkStart w:id="77" w:name="_Toc229911049"/>
      <w:r>
        <w:rPr>
          <w:sz w:val="28"/>
        </w:rPr>
        <w:t>7.5  ForensicAcq versus KAPE</w:t>
      </w:r>
      <w:bookmarkEnd w:id="77"/>
    </w:p>
    <w:p w:rsidR="00EC75FD" w:rsidRDefault="001D57CD">
      <w:pPr>
        <w:spacing w:after="120" w:line="276" w:lineRule="auto"/>
      </w:pPr>
      <w:r>
        <w:rPr>
          <w:sz w:val="22"/>
        </w:rPr>
        <w:t>KAPE is the closest exist</w:t>
      </w:r>
      <w:r>
        <w:rPr>
          <w:sz w:val="22"/>
        </w:rPr>
        <w:t>ing tool to ForensicAcq in functional scope: it is a free, Windows-targeted, modular acquisition framework that collects file-system artefacts via configurable .tkape Target definitions and processes them with .mkape Module definitions [21]. The functional</w:t>
      </w:r>
      <w:r>
        <w:rPr>
          <w:sz w:val="22"/>
        </w:rPr>
        <w:t xml:space="preserve"> differences are nevertheless meaningful. First, KAPE focuses primarily on file-system-resident artefacts accessible by path and does not natively capture running processes, active network connections, or browser SQLite history in the same single-execution</w:t>
      </w:r>
      <w:r>
        <w:rPr>
          <w:sz w:val="22"/>
        </w:rPr>
        <w:t xml:space="preserve"> flow that ForensicAcq provides [21], [29], [62]. Second, KAPE requires the responder to select or write Target and Module configurations, which is a non-trivial barrier for non-specialist users, whereas ForensicAcq runs a fixed, opinionated default set wi</w:t>
      </w:r>
      <w:r>
        <w:rPr>
          <w:sz w:val="22"/>
        </w:rPr>
        <w:t>th no configuration step [13], [21], [22]. Third, KAPE output is unencrypted, whereas ForensicAcq produces an AES-256 encrypted container as its terminal artefact [16], [21], [24].</w:t>
      </w:r>
    </w:p>
    <w:p w:rsidR="00EC75FD" w:rsidRDefault="001D57CD">
      <w:pPr>
        <w:pStyle w:val="Heading2"/>
        <w:spacing w:before="240" w:after="120"/>
      </w:pPr>
      <w:bookmarkStart w:id="78" w:name="_Toc229911050"/>
      <w:r>
        <w:rPr>
          <w:sz w:val="28"/>
        </w:rPr>
        <w:lastRenderedPageBreak/>
        <w:t>7.6  ForensicAcq versus Velociraptor and CrowdStrike Response</w:t>
      </w:r>
      <w:bookmarkEnd w:id="78"/>
    </w:p>
    <w:p w:rsidR="00EC75FD" w:rsidRDefault="001D57CD">
      <w:pPr>
        <w:spacing w:after="120" w:line="276" w:lineRule="auto"/>
      </w:pPr>
      <w:r>
        <w:rPr>
          <w:sz w:val="22"/>
        </w:rPr>
        <w:t xml:space="preserve">Velociraptor </w:t>
      </w:r>
      <w:r>
        <w:rPr>
          <w:sz w:val="22"/>
        </w:rPr>
        <w:t>and CrowdStrike Response represent the modern remote-agent collection paradigm, where forensic artefacts are gathered from one or many endpoints through a server-managed client agent [22], [23], [62]. Velociraptor is open-source and free, but its deploymen</w:t>
      </w:r>
      <w:r>
        <w:rPr>
          <w:sz w:val="22"/>
        </w:rPr>
        <w:t>t model presupposes a server, agent provisioning, and certificate management, which adds operational overhead that exceeds the project’s lightweight-deployment goal [22], [62]. CrowdStrike Response is gated behind the Falcon platform subscription and is th</w:t>
      </w:r>
      <w:r>
        <w:rPr>
          <w:sz w:val="22"/>
        </w:rPr>
        <w:t>erefore not accessible to small organisations that do not already have a CrowdStrike contract [23], [35]. ForensicAcq occupies a distinct niche from both: a single-host, single-execution, no-server, no-licence tool for the responder who needs a triage coll</w:t>
      </w:r>
      <w:r>
        <w:rPr>
          <w:sz w:val="22"/>
        </w:rPr>
        <w:t>ection right now without provisioning any infrastructure [13], [22], [35].</w:t>
      </w:r>
    </w:p>
    <w:p w:rsidR="00EC75FD" w:rsidRDefault="001D57CD">
      <w:pPr>
        <w:pStyle w:val="Heading2"/>
        <w:spacing w:before="240" w:after="120"/>
      </w:pPr>
      <w:bookmarkStart w:id="79" w:name="_Toc229911051"/>
      <w:r>
        <w:rPr>
          <w:sz w:val="28"/>
        </w:rPr>
        <w:t>7.7  Consolidated Comparison Table</w:t>
      </w:r>
      <w:bookmarkEnd w:id="79"/>
    </w:p>
    <w:p w:rsidR="00EC75FD" w:rsidRDefault="001D57CD">
      <w:pPr>
        <w:spacing w:after="120" w:line="276" w:lineRule="auto"/>
      </w:pPr>
      <w:r>
        <w:rPr>
          <w:sz w:val="22"/>
        </w:rPr>
        <w:t xml:space="preserve">Table 7.1 consolidates the comparison across the four evaluation dimensions, using a four-state coverage scale (full / partial / via-pipeline / </w:t>
      </w:r>
      <w:r>
        <w:rPr>
          <w:sz w:val="22"/>
        </w:rPr>
        <w:t>none) for clarity. The table makes the differentiated positioning of ForensicAcq explicit: it is not the most comprehensive tool on any single axis, but it is the only tool in the comparison set that combines unified acquisition coverage, automated per-art</w:t>
      </w:r>
      <w:r>
        <w:rPr>
          <w:sz w:val="22"/>
        </w:rPr>
        <w:t>efact hashing, automated AES-encrypted packaging, and zero direct cost in a single, no-install, no-server, no-licence package [13], [22], [35].</w:t>
      </w:r>
    </w:p>
    <w:tbl>
      <w:tblPr>
        <w:tblW w:w="0" w:type="auto"/>
        <w:jc w:val="center"/>
        <w:tblBorders>
          <w:top w:val="single" w:sz="6" w:space="0" w:color="444444"/>
          <w:left w:val="single" w:sz="6" w:space="0" w:color="444444"/>
          <w:bottom w:val="single" w:sz="6" w:space="0" w:color="444444"/>
          <w:right w:val="single" w:sz="6" w:space="0" w:color="444444"/>
          <w:insideH w:val="single" w:sz="6" w:space="0" w:color="444444"/>
          <w:insideV w:val="single" w:sz="6" w:space="0" w:color="444444"/>
        </w:tblBorders>
        <w:tblCellMar>
          <w:left w:w="10" w:type="dxa"/>
          <w:right w:w="10" w:type="dxa"/>
        </w:tblCellMar>
        <w:tblLook w:val="04A0" w:firstRow="1" w:lastRow="0" w:firstColumn="1" w:lastColumn="0" w:noHBand="0" w:noVBand="1"/>
      </w:tblPr>
      <w:tblGrid>
        <w:gridCol w:w="1287"/>
        <w:gridCol w:w="1286"/>
        <w:gridCol w:w="1286"/>
        <w:gridCol w:w="1288"/>
        <w:gridCol w:w="1287"/>
        <w:gridCol w:w="1288"/>
        <w:gridCol w:w="1288"/>
      </w:tblGrid>
      <w:tr w:rsidR="00EC75FD">
        <w:tblPrEx>
          <w:tblCellMar>
            <w:top w:w="0" w:type="dxa"/>
            <w:bottom w:w="0" w:type="dxa"/>
          </w:tblCellMar>
        </w:tblPrEx>
        <w:trPr>
          <w:jc w:val="center"/>
        </w:trPr>
        <w:tc>
          <w:tcPr>
            <w:tcW w:w="1289" w:type="dxa"/>
            <w:shd w:val="clear" w:color="auto" w:fill="D9E2F3"/>
          </w:tcPr>
          <w:p w:rsidR="00EC75FD" w:rsidRDefault="001D57CD">
            <w:r>
              <w:rPr>
                <w:b/>
                <w:sz w:val="20"/>
              </w:rPr>
              <w:t>Tool</w:t>
            </w:r>
          </w:p>
        </w:tc>
        <w:tc>
          <w:tcPr>
            <w:tcW w:w="1289" w:type="dxa"/>
            <w:shd w:val="clear" w:color="auto" w:fill="D9E2F3"/>
          </w:tcPr>
          <w:p w:rsidR="00EC75FD" w:rsidRDefault="001D57CD">
            <w:r>
              <w:rPr>
                <w:b/>
                <w:sz w:val="20"/>
              </w:rPr>
              <w:t>Volatile Artefacts</w:t>
            </w:r>
          </w:p>
        </w:tc>
        <w:tc>
          <w:tcPr>
            <w:tcW w:w="1289" w:type="dxa"/>
            <w:shd w:val="clear" w:color="auto" w:fill="D9E2F3"/>
          </w:tcPr>
          <w:p w:rsidR="00EC75FD" w:rsidRDefault="001D57CD">
            <w:r>
              <w:rPr>
                <w:b/>
                <w:sz w:val="20"/>
              </w:rPr>
              <w:t>Non-Vol. Artefacts</w:t>
            </w:r>
          </w:p>
        </w:tc>
        <w:tc>
          <w:tcPr>
            <w:tcW w:w="1289" w:type="dxa"/>
            <w:shd w:val="clear" w:color="auto" w:fill="D9E2F3"/>
          </w:tcPr>
          <w:p w:rsidR="00EC75FD" w:rsidRDefault="001D57CD">
            <w:r>
              <w:rPr>
                <w:b/>
                <w:sz w:val="20"/>
              </w:rPr>
              <w:t>Per-Artefact Hash</w:t>
            </w:r>
          </w:p>
        </w:tc>
        <w:tc>
          <w:tcPr>
            <w:tcW w:w="1289" w:type="dxa"/>
            <w:shd w:val="clear" w:color="auto" w:fill="D9E2F3"/>
          </w:tcPr>
          <w:p w:rsidR="00EC75FD" w:rsidRDefault="001D57CD">
            <w:r>
              <w:rPr>
                <w:b/>
                <w:sz w:val="20"/>
              </w:rPr>
              <w:t>Auto-Encrypted Pkg</w:t>
            </w:r>
          </w:p>
        </w:tc>
        <w:tc>
          <w:tcPr>
            <w:tcW w:w="1289" w:type="dxa"/>
            <w:shd w:val="clear" w:color="auto" w:fill="D9E2F3"/>
          </w:tcPr>
          <w:p w:rsidR="00EC75FD" w:rsidRDefault="001D57CD">
            <w:r>
              <w:rPr>
                <w:b/>
                <w:sz w:val="20"/>
              </w:rPr>
              <w:t>Direct Cost (USD/yr)</w:t>
            </w:r>
          </w:p>
        </w:tc>
        <w:tc>
          <w:tcPr>
            <w:tcW w:w="1289" w:type="dxa"/>
            <w:shd w:val="clear" w:color="auto" w:fill="D9E2F3"/>
          </w:tcPr>
          <w:p w:rsidR="00EC75FD" w:rsidRDefault="001D57CD">
            <w:r>
              <w:rPr>
                <w:b/>
                <w:sz w:val="20"/>
              </w:rPr>
              <w:t>Deployment</w:t>
            </w:r>
          </w:p>
        </w:tc>
      </w:tr>
      <w:tr w:rsidR="00EC75FD">
        <w:tblPrEx>
          <w:tblCellMar>
            <w:top w:w="0" w:type="dxa"/>
            <w:bottom w:w="0" w:type="dxa"/>
          </w:tblCellMar>
        </w:tblPrEx>
        <w:trPr>
          <w:jc w:val="center"/>
        </w:trPr>
        <w:tc>
          <w:tcPr>
            <w:tcW w:w="1289" w:type="dxa"/>
          </w:tcPr>
          <w:p w:rsidR="00EC75FD" w:rsidRDefault="001D57CD">
            <w:r>
              <w:rPr>
                <w:sz w:val="20"/>
              </w:rPr>
              <w:t>ForensicAcq</w:t>
            </w:r>
          </w:p>
        </w:tc>
        <w:tc>
          <w:tcPr>
            <w:tcW w:w="1289" w:type="dxa"/>
          </w:tcPr>
          <w:p w:rsidR="00EC75FD" w:rsidRDefault="001D57CD">
            <w:r>
              <w:rPr>
                <w:sz w:val="20"/>
              </w:rPr>
              <w:t>Full</w:t>
            </w:r>
          </w:p>
        </w:tc>
        <w:tc>
          <w:tcPr>
            <w:tcW w:w="1289" w:type="dxa"/>
          </w:tcPr>
          <w:p w:rsidR="00EC75FD" w:rsidRDefault="001D57CD">
            <w:r>
              <w:rPr>
                <w:sz w:val="20"/>
              </w:rPr>
              <w:t>Full (curated)</w:t>
            </w:r>
          </w:p>
        </w:tc>
        <w:tc>
          <w:tcPr>
            <w:tcW w:w="1289" w:type="dxa"/>
          </w:tcPr>
          <w:p w:rsidR="00EC75FD" w:rsidRDefault="001D57CD">
            <w:r>
              <w:rPr>
                <w:sz w:val="20"/>
              </w:rPr>
              <w:t>Full (MD5/SHA-1/SHA-256)</w:t>
            </w:r>
          </w:p>
        </w:tc>
        <w:tc>
          <w:tcPr>
            <w:tcW w:w="1289" w:type="dxa"/>
          </w:tcPr>
          <w:p w:rsidR="00EC75FD" w:rsidRDefault="001D57CD">
            <w:r>
              <w:rPr>
                <w:sz w:val="20"/>
              </w:rPr>
              <w:t>Full (AES-256 ZIP)</w:t>
            </w:r>
          </w:p>
        </w:tc>
        <w:tc>
          <w:tcPr>
            <w:tcW w:w="1289" w:type="dxa"/>
          </w:tcPr>
          <w:p w:rsidR="00EC75FD" w:rsidRDefault="001D57CD">
            <w:r>
              <w:rPr>
                <w:sz w:val="20"/>
              </w:rPr>
              <w:t>0</w:t>
            </w:r>
          </w:p>
        </w:tc>
        <w:tc>
          <w:tcPr>
            <w:tcW w:w="1289" w:type="dxa"/>
          </w:tcPr>
          <w:p w:rsidR="00EC75FD" w:rsidRDefault="001D57CD">
            <w:r>
              <w:rPr>
                <w:sz w:val="20"/>
              </w:rPr>
              <w:t>Single-host script</w:t>
            </w:r>
          </w:p>
        </w:tc>
      </w:tr>
      <w:tr w:rsidR="00EC75FD">
        <w:tblPrEx>
          <w:tblCellMar>
            <w:top w:w="0" w:type="dxa"/>
            <w:bottom w:w="0" w:type="dxa"/>
          </w:tblCellMar>
        </w:tblPrEx>
        <w:trPr>
          <w:jc w:val="center"/>
        </w:trPr>
        <w:tc>
          <w:tcPr>
            <w:tcW w:w="1289" w:type="dxa"/>
          </w:tcPr>
          <w:p w:rsidR="00EC75FD" w:rsidRDefault="001D57CD">
            <w:r>
              <w:rPr>
                <w:sz w:val="20"/>
              </w:rPr>
              <w:t>FTK Imager</w:t>
            </w:r>
          </w:p>
        </w:tc>
        <w:tc>
          <w:tcPr>
            <w:tcW w:w="1289" w:type="dxa"/>
          </w:tcPr>
          <w:p w:rsidR="00EC75FD" w:rsidRDefault="001D57CD">
            <w:r>
              <w:rPr>
                <w:sz w:val="20"/>
              </w:rPr>
              <w:t>None</w:t>
            </w:r>
          </w:p>
        </w:tc>
        <w:tc>
          <w:tcPr>
            <w:tcW w:w="1289" w:type="dxa"/>
          </w:tcPr>
          <w:p w:rsidR="00EC75FD" w:rsidRDefault="001D57CD">
            <w:r>
              <w:rPr>
                <w:sz w:val="20"/>
              </w:rPr>
              <w:t>Disk image only</w:t>
            </w:r>
          </w:p>
        </w:tc>
        <w:tc>
          <w:tcPr>
            <w:tcW w:w="1289" w:type="dxa"/>
          </w:tcPr>
          <w:p w:rsidR="00EC75FD" w:rsidRDefault="001D57CD">
            <w:r>
              <w:rPr>
                <w:sz w:val="20"/>
              </w:rPr>
              <w:t>Image-level only</w:t>
            </w:r>
          </w:p>
        </w:tc>
        <w:tc>
          <w:tcPr>
            <w:tcW w:w="1289" w:type="dxa"/>
          </w:tcPr>
          <w:p w:rsidR="00EC75FD" w:rsidRDefault="001D57CD">
            <w:r>
              <w:rPr>
                <w:sz w:val="20"/>
              </w:rPr>
              <w:t>None</w:t>
            </w:r>
          </w:p>
        </w:tc>
        <w:tc>
          <w:tcPr>
            <w:tcW w:w="1289" w:type="dxa"/>
          </w:tcPr>
          <w:p w:rsidR="00EC75FD" w:rsidRDefault="001D57CD">
            <w:r>
              <w:rPr>
                <w:sz w:val="20"/>
              </w:rPr>
              <w:t>0</w:t>
            </w:r>
          </w:p>
        </w:tc>
        <w:tc>
          <w:tcPr>
            <w:tcW w:w="1289" w:type="dxa"/>
          </w:tcPr>
          <w:p w:rsidR="00EC75FD" w:rsidRDefault="001D57CD">
            <w:r>
              <w:rPr>
                <w:sz w:val="20"/>
              </w:rPr>
              <w:t>Single-host GUI</w:t>
            </w:r>
          </w:p>
        </w:tc>
      </w:tr>
      <w:tr w:rsidR="00EC75FD">
        <w:tblPrEx>
          <w:tblCellMar>
            <w:top w:w="0" w:type="dxa"/>
            <w:bottom w:w="0" w:type="dxa"/>
          </w:tblCellMar>
        </w:tblPrEx>
        <w:trPr>
          <w:jc w:val="center"/>
        </w:trPr>
        <w:tc>
          <w:tcPr>
            <w:tcW w:w="1289" w:type="dxa"/>
          </w:tcPr>
          <w:p w:rsidR="00EC75FD" w:rsidRDefault="001D57CD">
            <w:r>
              <w:rPr>
                <w:sz w:val="20"/>
              </w:rPr>
              <w:t>FTK Full Suite</w:t>
            </w:r>
          </w:p>
        </w:tc>
        <w:tc>
          <w:tcPr>
            <w:tcW w:w="1289" w:type="dxa"/>
          </w:tcPr>
          <w:p w:rsidR="00EC75FD" w:rsidRDefault="001D57CD">
            <w:r>
              <w:rPr>
                <w:sz w:val="20"/>
              </w:rPr>
              <w:t>Partial</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Partial</w:t>
            </w:r>
          </w:p>
        </w:tc>
        <w:tc>
          <w:tcPr>
            <w:tcW w:w="1289" w:type="dxa"/>
          </w:tcPr>
          <w:p w:rsidR="00EC75FD" w:rsidRDefault="001D57CD">
            <w:r>
              <w:rPr>
                <w:sz w:val="20"/>
              </w:rPr>
              <w:t>~2,499+</w:t>
            </w:r>
          </w:p>
        </w:tc>
        <w:tc>
          <w:tcPr>
            <w:tcW w:w="1289" w:type="dxa"/>
          </w:tcPr>
          <w:p w:rsidR="00EC75FD" w:rsidRDefault="001D57CD">
            <w:r>
              <w:rPr>
                <w:sz w:val="20"/>
              </w:rPr>
              <w:t>Workstation install</w:t>
            </w:r>
          </w:p>
        </w:tc>
      </w:tr>
      <w:tr w:rsidR="00EC75FD">
        <w:tblPrEx>
          <w:tblCellMar>
            <w:top w:w="0" w:type="dxa"/>
            <w:bottom w:w="0" w:type="dxa"/>
          </w:tblCellMar>
        </w:tblPrEx>
        <w:trPr>
          <w:jc w:val="center"/>
        </w:trPr>
        <w:tc>
          <w:tcPr>
            <w:tcW w:w="1289" w:type="dxa"/>
          </w:tcPr>
          <w:p w:rsidR="00EC75FD" w:rsidRDefault="001D57CD">
            <w:r>
              <w:rPr>
                <w:sz w:val="20"/>
              </w:rPr>
              <w:t>Magnet AXIOM</w:t>
            </w:r>
          </w:p>
        </w:tc>
        <w:tc>
          <w:tcPr>
            <w:tcW w:w="1289" w:type="dxa"/>
          </w:tcPr>
          <w:p w:rsidR="00EC75FD" w:rsidRDefault="001D57CD">
            <w:r>
              <w:rPr>
                <w:sz w:val="20"/>
              </w:rPr>
              <w:t>Full</w:t>
            </w:r>
          </w:p>
        </w:tc>
        <w:tc>
          <w:tcPr>
            <w:tcW w:w="1289" w:type="dxa"/>
          </w:tcPr>
          <w:p w:rsidR="00EC75FD" w:rsidRDefault="001D57CD">
            <w:r>
              <w:rPr>
                <w:sz w:val="20"/>
              </w:rPr>
              <w:t>Full (800+)</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~5,995+</w:t>
            </w:r>
          </w:p>
        </w:tc>
        <w:tc>
          <w:tcPr>
            <w:tcW w:w="1289" w:type="dxa"/>
          </w:tcPr>
          <w:p w:rsidR="00EC75FD" w:rsidRDefault="001D57CD">
            <w:r>
              <w:rPr>
                <w:sz w:val="20"/>
              </w:rPr>
              <w:t>Workstation install</w:t>
            </w:r>
          </w:p>
        </w:tc>
      </w:tr>
      <w:tr w:rsidR="00EC75FD">
        <w:tblPrEx>
          <w:tblCellMar>
            <w:top w:w="0" w:type="dxa"/>
            <w:bottom w:w="0" w:type="dxa"/>
          </w:tblCellMar>
        </w:tblPrEx>
        <w:trPr>
          <w:jc w:val="center"/>
        </w:trPr>
        <w:tc>
          <w:tcPr>
            <w:tcW w:w="1289" w:type="dxa"/>
          </w:tcPr>
          <w:p w:rsidR="00EC75FD" w:rsidRDefault="001D57CD">
            <w:r>
              <w:rPr>
                <w:sz w:val="20"/>
              </w:rPr>
              <w:t>OpenText EnCase</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~15,000+</w:t>
            </w:r>
          </w:p>
        </w:tc>
        <w:tc>
          <w:tcPr>
            <w:tcW w:w="1289" w:type="dxa"/>
          </w:tcPr>
          <w:p w:rsidR="00EC75FD" w:rsidRDefault="001D57CD">
            <w:r>
              <w:rPr>
                <w:sz w:val="20"/>
              </w:rPr>
              <w:t>Workstation install</w:t>
            </w:r>
          </w:p>
        </w:tc>
      </w:tr>
      <w:tr w:rsidR="00EC75FD">
        <w:tblPrEx>
          <w:tblCellMar>
            <w:top w:w="0" w:type="dxa"/>
            <w:bottom w:w="0" w:type="dxa"/>
          </w:tblCellMar>
        </w:tblPrEx>
        <w:trPr>
          <w:jc w:val="center"/>
        </w:trPr>
        <w:tc>
          <w:tcPr>
            <w:tcW w:w="1289" w:type="dxa"/>
          </w:tcPr>
          <w:p w:rsidR="00EC75FD" w:rsidRDefault="001D57CD">
            <w:r>
              <w:rPr>
                <w:sz w:val="20"/>
              </w:rPr>
              <w:t>Autopsy / Sleuth Kit</w:t>
            </w:r>
          </w:p>
        </w:tc>
        <w:tc>
          <w:tcPr>
            <w:tcW w:w="1289" w:type="dxa"/>
          </w:tcPr>
          <w:p w:rsidR="00EC75FD" w:rsidRDefault="001D57CD">
            <w:r>
              <w:rPr>
                <w:sz w:val="20"/>
              </w:rPr>
              <w:t>None</w:t>
            </w:r>
          </w:p>
        </w:tc>
        <w:tc>
          <w:tcPr>
            <w:tcW w:w="1289" w:type="dxa"/>
          </w:tcPr>
          <w:p w:rsidR="00EC75FD" w:rsidRDefault="001D57CD">
            <w:r>
              <w:rPr>
                <w:sz w:val="20"/>
              </w:rPr>
              <w:t>Image analysis</w:t>
            </w:r>
          </w:p>
        </w:tc>
        <w:tc>
          <w:tcPr>
            <w:tcW w:w="1289" w:type="dxa"/>
          </w:tcPr>
          <w:p w:rsidR="00EC75FD" w:rsidRDefault="001D57CD">
            <w:r>
              <w:rPr>
                <w:sz w:val="20"/>
              </w:rPr>
              <w:t>Full (analysis-side)</w:t>
            </w:r>
          </w:p>
        </w:tc>
        <w:tc>
          <w:tcPr>
            <w:tcW w:w="1289" w:type="dxa"/>
          </w:tcPr>
          <w:p w:rsidR="00EC75FD" w:rsidRDefault="001D57CD">
            <w:r>
              <w:rPr>
                <w:sz w:val="20"/>
              </w:rPr>
              <w:t>None</w:t>
            </w:r>
          </w:p>
        </w:tc>
        <w:tc>
          <w:tcPr>
            <w:tcW w:w="1289" w:type="dxa"/>
          </w:tcPr>
          <w:p w:rsidR="00EC75FD" w:rsidRDefault="001D57CD">
            <w:r>
              <w:rPr>
                <w:sz w:val="20"/>
              </w:rPr>
              <w:t>0</w:t>
            </w:r>
          </w:p>
        </w:tc>
        <w:tc>
          <w:tcPr>
            <w:tcW w:w="1289" w:type="dxa"/>
          </w:tcPr>
          <w:p w:rsidR="00EC75FD" w:rsidRDefault="001D57CD">
            <w:r>
              <w:rPr>
                <w:sz w:val="20"/>
              </w:rPr>
              <w:t>Workstation install</w:t>
            </w:r>
          </w:p>
        </w:tc>
      </w:tr>
      <w:tr w:rsidR="00EC75FD">
        <w:tblPrEx>
          <w:tblCellMar>
            <w:top w:w="0" w:type="dxa"/>
            <w:bottom w:w="0" w:type="dxa"/>
          </w:tblCellMar>
        </w:tblPrEx>
        <w:trPr>
          <w:jc w:val="center"/>
        </w:trPr>
        <w:tc>
          <w:tcPr>
            <w:tcW w:w="1289" w:type="dxa"/>
          </w:tcPr>
          <w:p w:rsidR="00EC75FD" w:rsidRDefault="001D57CD">
            <w:r>
              <w:rPr>
                <w:sz w:val="20"/>
              </w:rPr>
              <w:t>Volatility 3</w:t>
            </w:r>
          </w:p>
        </w:tc>
        <w:tc>
          <w:tcPr>
            <w:tcW w:w="1289" w:type="dxa"/>
          </w:tcPr>
          <w:p w:rsidR="00EC75FD" w:rsidRDefault="001D57CD">
            <w:r>
              <w:rPr>
                <w:sz w:val="20"/>
              </w:rPr>
              <w:t>Memory analysis only</w:t>
            </w:r>
          </w:p>
        </w:tc>
        <w:tc>
          <w:tcPr>
            <w:tcW w:w="1289" w:type="dxa"/>
          </w:tcPr>
          <w:p w:rsidR="00EC75FD" w:rsidRDefault="001D57CD">
            <w:r>
              <w:rPr>
                <w:sz w:val="20"/>
              </w:rPr>
              <w:t>None</w:t>
            </w:r>
          </w:p>
        </w:tc>
        <w:tc>
          <w:tcPr>
            <w:tcW w:w="1289" w:type="dxa"/>
          </w:tcPr>
          <w:p w:rsidR="00EC75FD" w:rsidRDefault="001D57CD">
            <w:r>
              <w:rPr>
                <w:sz w:val="20"/>
              </w:rPr>
              <w:t xml:space="preserve">N/A </w:t>
            </w:r>
            <w:r>
              <w:rPr>
                <w:sz w:val="20"/>
              </w:rPr>
              <w:t>(analysis-side)</w:t>
            </w:r>
          </w:p>
        </w:tc>
        <w:tc>
          <w:tcPr>
            <w:tcW w:w="1289" w:type="dxa"/>
          </w:tcPr>
          <w:p w:rsidR="00EC75FD" w:rsidRDefault="001D57CD">
            <w:r>
              <w:rPr>
                <w:sz w:val="20"/>
              </w:rPr>
              <w:t>None</w:t>
            </w:r>
          </w:p>
        </w:tc>
        <w:tc>
          <w:tcPr>
            <w:tcW w:w="1289" w:type="dxa"/>
          </w:tcPr>
          <w:p w:rsidR="00EC75FD" w:rsidRDefault="001D57CD">
            <w:r>
              <w:rPr>
                <w:sz w:val="20"/>
              </w:rPr>
              <w:t>0</w:t>
            </w:r>
          </w:p>
        </w:tc>
        <w:tc>
          <w:tcPr>
            <w:tcW w:w="1289" w:type="dxa"/>
          </w:tcPr>
          <w:p w:rsidR="00EC75FD" w:rsidRDefault="001D57CD">
            <w:r>
              <w:rPr>
                <w:sz w:val="20"/>
              </w:rPr>
              <w:t>CLI framework</w:t>
            </w:r>
          </w:p>
        </w:tc>
      </w:tr>
      <w:tr w:rsidR="00EC75FD">
        <w:tblPrEx>
          <w:tblCellMar>
            <w:top w:w="0" w:type="dxa"/>
            <w:bottom w:w="0" w:type="dxa"/>
          </w:tblCellMar>
        </w:tblPrEx>
        <w:trPr>
          <w:jc w:val="center"/>
        </w:trPr>
        <w:tc>
          <w:tcPr>
            <w:tcW w:w="1289" w:type="dxa"/>
          </w:tcPr>
          <w:p w:rsidR="00EC75FD" w:rsidRDefault="001D57CD">
            <w:r>
              <w:rPr>
                <w:sz w:val="20"/>
              </w:rPr>
              <w:t>KAPE</w:t>
            </w:r>
          </w:p>
        </w:tc>
        <w:tc>
          <w:tcPr>
            <w:tcW w:w="1289" w:type="dxa"/>
          </w:tcPr>
          <w:p w:rsidR="00EC75FD" w:rsidRDefault="001D57CD">
            <w:r>
              <w:rPr>
                <w:sz w:val="20"/>
              </w:rPr>
              <w:t>Partial</w:t>
            </w:r>
          </w:p>
        </w:tc>
        <w:tc>
          <w:tcPr>
            <w:tcW w:w="1289" w:type="dxa"/>
          </w:tcPr>
          <w:p w:rsidR="00EC75FD" w:rsidRDefault="001D57CD">
            <w:r>
              <w:rPr>
                <w:sz w:val="20"/>
              </w:rPr>
              <w:t>Full (FS)</w:t>
            </w:r>
          </w:p>
        </w:tc>
        <w:tc>
          <w:tcPr>
            <w:tcW w:w="1289" w:type="dxa"/>
          </w:tcPr>
          <w:p w:rsidR="00EC75FD" w:rsidRDefault="001D57CD">
            <w:r>
              <w:rPr>
                <w:sz w:val="20"/>
              </w:rPr>
              <w:t>Optional</w:t>
            </w:r>
          </w:p>
        </w:tc>
        <w:tc>
          <w:tcPr>
            <w:tcW w:w="1289" w:type="dxa"/>
          </w:tcPr>
          <w:p w:rsidR="00EC75FD" w:rsidRDefault="001D57CD">
            <w:r>
              <w:rPr>
                <w:sz w:val="20"/>
              </w:rPr>
              <w:t>None</w:t>
            </w:r>
          </w:p>
        </w:tc>
        <w:tc>
          <w:tcPr>
            <w:tcW w:w="1289" w:type="dxa"/>
          </w:tcPr>
          <w:p w:rsidR="00EC75FD" w:rsidRDefault="001D57CD">
            <w:r>
              <w:rPr>
                <w:sz w:val="20"/>
              </w:rPr>
              <w:t>0</w:t>
            </w:r>
          </w:p>
        </w:tc>
        <w:tc>
          <w:tcPr>
            <w:tcW w:w="1289" w:type="dxa"/>
          </w:tcPr>
          <w:p w:rsidR="00EC75FD" w:rsidRDefault="001D57CD">
            <w:r>
              <w:rPr>
                <w:sz w:val="20"/>
              </w:rPr>
              <w:t>CLI framework</w:t>
            </w:r>
          </w:p>
        </w:tc>
      </w:tr>
      <w:tr w:rsidR="00EC75FD">
        <w:tblPrEx>
          <w:tblCellMar>
            <w:top w:w="0" w:type="dxa"/>
            <w:bottom w:w="0" w:type="dxa"/>
          </w:tblCellMar>
        </w:tblPrEx>
        <w:trPr>
          <w:jc w:val="center"/>
        </w:trPr>
        <w:tc>
          <w:tcPr>
            <w:tcW w:w="1289" w:type="dxa"/>
          </w:tcPr>
          <w:p w:rsidR="00EC75FD" w:rsidRDefault="001D57CD">
            <w:r>
              <w:rPr>
                <w:sz w:val="20"/>
              </w:rPr>
              <w:t>Velociraptor</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Optional</w:t>
            </w:r>
          </w:p>
        </w:tc>
        <w:tc>
          <w:tcPr>
            <w:tcW w:w="1289" w:type="dxa"/>
          </w:tcPr>
          <w:p w:rsidR="00EC75FD" w:rsidRDefault="001D57CD">
            <w:r>
              <w:rPr>
                <w:sz w:val="20"/>
              </w:rPr>
              <w:t>Optional</w:t>
            </w:r>
          </w:p>
        </w:tc>
        <w:tc>
          <w:tcPr>
            <w:tcW w:w="1289" w:type="dxa"/>
          </w:tcPr>
          <w:p w:rsidR="00EC75FD" w:rsidRDefault="001D57CD">
            <w:r>
              <w:rPr>
                <w:sz w:val="20"/>
              </w:rPr>
              <w:t>0</w:t>
            </w:r>
          </w:p>
        </w:tc>
        <w:tc>
          <w:tcPr>
            <w:tcW w:w="1289" w:type="dxa"/>
          </w:tcPr>
          <w:p w:rsidR="00EC75FD" w:rsidRDefault="001D57CD">
            <w:r>
              <w:rPr>
                <w:sz w:val="20"/>
              </w:rPr>
              <w:t>Client-server</w:t>
            </w:r>
          </w:p>
        </w:tc>
      </w:tr>
      <w:tr w:rsidR="00EC75FD">
        <w:tblPrEx>
          <w:tblCellMar>
            <w:top w:w="0" w:type="dxa"/>
            <w:bottom w:w="0" w:type="dxa"/>
          </w:tblCellMar>
        </w:tblPrEx>
        <w:trPr>
          <w:jc w:val="center"/>
        </w:trPr>
        <w:tc>
          <w:tcPr>
            <w:tcW w:w="1289" w:type="dxa"/>
          </w:tcPr>
          <w:p w:rsidR="00EC75FD" w:rsidRDefault="001D57CD">
            <w:r>
              <w:rPr>
                <w:sz w:val="20"/>
              </w:rPr>
              <w:t>CrowdStrike Falcon FFC</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Full</w:t>
            </w:r>
          </w:p>
        </w:tc>
        <w:tc>
          <w:tcPr>
            <w:tcW w:w="1289" w:type="dxa"/>
          </w:tcPr>
          <w:p w:rsidR="00EC75FD" w:rsidRDefault="001D57CD">
            <w:r>
              <w:rPr>
                <w:sz w:val="20"/>
              </w:rPr>
              <w:t>Subscription</w:t>
            </w:r>
          </w:p>
        </w:tc>
        <w:tc>
          <w:tcPr>
            <w:tcW w:w="1289" w:type="dxa"/>
          </w:tcPr>
          <w:p w:rsidR="00EC75FD" w:rsidRDefault="001D57CD">
            <w:r>
              <w:rPr>
                <w:sz w:val="20"/>
              </w:rPr>
              <w:t>Cloud-managed</w:t>
            </w:r>
          </w:p>
        </w:tc>
      </w:tr>
    </w:tbl>
    <w:p w:rsidR="00EC75FD" w:rsidRDefault="001D57CD">
      <w:pPr>
        <w:spacing w:after="200"/>
        <w:jc w:val="center"/>
      </w:pPr>
      <w:r>
        <w:rPr>
          <w:i/>
          <w:sz w:val="20"/>
        </w:rPr>
        <w:t xml:space="preserve">Table 7.1. Consolidated comparison </w:t>
      </w:r>
      <w:r>
        <w:rPr>
          <w:i/>
          <w:sz w:val="20"/>
        </w:rPr>
        <w:t>of ForensicAcq against commercial and open-source forensic acquisition baselines on four evaluation dimensions. Sources: [2], [3], [4], [5], [18], [19], [20], [21], [22], [23].</w:t>
      </w:r>
    </w:p>
    <w:p w:rsidR="00EC75FD" w:rsidRDefault="001D57CD">
      <w:pPr>
        <w:spacing w:after="200"/>
        <w:jc w:val="center"/>
      </w:pPr>
      <w:r>
        <w:rPr>
          <w:i/>
          <w:sz w:val="20"/>
        </w:rPr>
        <w:t xml:space="preserve">Figure 7.1. Cost–capability scatter plot showing ForensicAcq position relative </w:t>
      </w:r>
      <w:r>
        <w:rPr>
          <w:i/>
          <w:sz w:val="20"/>
        </w:rPr>
        <w:t>to commercial and open-source acquisition tools, illustrating the under-served niche the tool addresses.</w:t>
      </w:r>
    </w:p>
    <w:tbl>
      <w:tblPr>
        <w:tblW w:w="0" w:type="auto"/>
        <w:jc w:val="center"/>
        <w:tblCellMar>
          <w:left w:w="10" w:type="dxa"/>
          <w:right w:w="10" w:type="dxa"/>
        </w:tblCellMar>
        <w:tblLook w:val="04A0" w:firstRow="1" w:lastRow="0" w:firstColumn="1" w:lastColumn="0" w:noHBand="0" w:noVBand="1"/>
      </w:tblPr>
      <w:tblGrid>
        <w:gridCol w:w="8640"/>
      </w:tblGrid>
      <w:tr w:rsidR="00EC75FD">
        <w:tblPrEx>
          <w:tblCellMar>
            <w:top w:w="0" w:type="dxa"/>
            <w:bottom w:w="0" w:type="dxa"/>
          </w:tblCellMar>
        </w:tblPrEx>
        <w:trPr>
          <w:jc w:val="center"/>
        </w:trPr>
        <w:tc>
          <w:tcPr>
            <w:tcW w:w="8640" w:type="dxa"/>
            <w:shd w:val="clear" w:color="auto" w:fill="EFEFEF"/>
          </w:tcPr>
          <w:p w:rsidR="00EC75FD" w:rsidRDefault="001D57CD">
            <w:pPr>
              <w:jc w:val="center"/>
            </w:pPr>
            <w:r>
              <w:rPr>
                <w:i/>
                <w:color w:val="555555"/>
                <w:sz w:val="20"/>
              </w:rPr>
              <w:br/>
              <w:t>[ INSERT IMAGE: Chart: cost vs capability scatter (use your prepared scatter) ]</w:t>
            </w:r>
            <w:r>
              <w:rPr>
                <w:i/>
                <w:color w:val="555555"/>
                <w:sz w:val="20"/>
              </w:rPr>
              <w:br/>
              <w:t>(Replace this grey box with your screenshot)</w:t>
            </w:r>
          </w:p>
          <w:p w:rsidR="00EC75FD" w:rsidRDefault="00EC75FD"/>
          <w:p w:rsidR="00EC75FD" w:rsidRDefault="00EC75FD"/>
          <w:p w:rsidR="00EC75FD" w:rsidRDefault="00EC75FD"/>
          <w:p w:rsidR="00EC75FD" w:rsidRDefault="00EC75FD"/>
          <w:p w:rsidR="00EC75FD" w:rsidRDefault="00EC75FD"/>
        </w:tc>
      </w:tr>
    </w:tbl>
    <w:p w:rsidR="00EC75FD" w:rsidRDefault="001D57CD">
      <w:pPr>
        <w:pStyle w:val="Heading2"/>
        <w:spacing w:before="240" w:after="120"/>
      </w:pPr>
      <w:bookmarkStart w:id="80" w:name="_Toc229911052"/>
      <w:r>
        <w:rPr>
          <w:sz w:val="28"/>
        </w:rPr>
        <w:lastRenderedPageBreak/>
        <w:t>7.8  Cost–Benefit a</w:t>
      </w:r>
      <w:r>
        <w:rPr>
          <w:sz w:val="28"/>
        </w:rPr>
        <w:t>nd Total Cost of Ownership</w:t>
      </w:r>
      <w:bookmarkEnd w:id="80"/>
    </w:p>
    <w:p w:rsidR="00EC75FD" w:rsidRDefault="001D57CD">
      <w:pPr>
        <w:spacing w:after="120" w:line="276" w:lineRule="auto"/>
      </w:pPr>
      <w:r>
        <w:rPr>
          <w:sz w:val="22"/>
        </w:rPr>
        <w:t>The cost analysis goes beyond list price to consider total cost of ownership for the small-organisation responder. The list-price differential between ForensicAcq and Magnet AXIOM is approximately USD 5,995 per year, between Fore</w:t>
      </w:r>
      <w:r>
        <w:rPr>
          <w:sz w:val="22"/>
        </w:rPr>
        <w:t>nsicAcq and FTK Full Suite is approximately USD 2,499 per year, and between ForensicAcq and EnCase is in the order of USD 15,000 per year [2], [3], [20]. Layered on top of list price are training costs, certification costs, and platform-specific operationa</w:t>
      </w:r>
      <w:r>
        <w:rPr>
          <w:sz w:val="22"/>
        </w:rPr>
        <w:t>l overhead, all of which are reported in the IEEE-published total-cost analyses of enterprise forensic tooling as significant multipliers of the headline licence figure [13], [33], [35]. ForensicAcq inherits none of these multipliers because its operationa</w:t>
      </w:r>
      <w:r>
        <w:rPr>
          <w:sz w:val="22"/>
        </w:rPr>
        <w:t>l model is the same as running any Python script: install Python, install dependencies, execute [9], [22], [29].</w:t>
      </w:r>
    </w:p>
    <w:p w:rsidR="00EC75FD" w:rsidRDefault="001D57CD">
      <w:pPr>
        <w:pStyle w:val="Heading2"/>
        <w:spacing w:before="240" w:after="120"/>
      </w:pPr>
      <w:bookmarkStart w:id="81" w:name="_Toc229911053"/>
      <w:r>
        <w:rPr>
          <w:sz w:val="28"/>
        </w:rPr>
        <w:t>7.9  Limitations of the Comparison</w:t>
      </w:r>
      <w:bookmarkEnd w:id="81"/>
    </w:p>
    <w:p w:rsidR="00EC75FD" w:rsidRDefault="001D57CD">
      <w:pPr>
        <w:spacing w:after="120" w:line="276" w:lineRule="auto"/>
      </w:pPr>
      <w:r>
        <w:rPr>
          <w:sz w:val="22"/>
        </w:rPr>
        <w:t>Three limitations of this comparison must be stated explicitly to preserve methodological honesty. First, th</w:t>
      </w:r>
      <w:r>
        <w:rPr>
          <w:sz w:val="22"/>
        </w:rPr>
        <w:t>e commercial-tool entries in Table 7.1 rely on vendor documentation and peer-reviewed independent reviews rather than direct researcher access to the platforms, because the licence cost is itself the barrier the project is reporting on [2], [13], [20]. Sec</w:t>
      </w:r>
      <w:r>
        <w:rPr>
          <w:sz w:val="22"/>
        </w:rPr>
        <w:t>ond, the artefact-coverage cells in Table 7.1 are coarse-grained: a Full rating for AXIOM and a Full (curated) rating for ForensicAcq are not commensurable on artefact-count alone, since AXIOM covers categories ForensicAcq does not (mobile devices, cloud s</w:t>
      </w:r>
      <w:r>
        <w:rPr>
          <w:sz w:val="22"/>
        </w:rPr>
        <w:t>ervices, vehicle infotainment) and ForensicAcq covers everything its responders actually need within its niche [2], [20], [35]. Third, the cost figures are approximate and subject to vendor pricing change; the values used here reflect the publicly reported</w:t>
      </w:r>
      <w:r>
        <w:rPr>
          <w:sz w:val="22"/>
        </w:rPr>
        <w:t xml:space="preserve"> figures at the time of writing and the consensus in independent reviews [2], [3], [18], [19], [20].</w:t>
      </w:r>
    </w:p>
    <w:p w:rsidR="00EC75FD" w:rsidRDefault="001D57CD">
      <w:pPr>
        <w:pStyle w:val="Heading2"/>
        <w:spacing w:before="240" w:after="120"/>
      </w:pPr>
      <w:bookmarkStart w:id="82" w:name="_Toc229911054"/>
      <w:r>
        <w:rPr>
          <w:sz w:val="28"/>
        </w:rPr>
        <w:t>7.10  Summary</w:t>
      </w:r>
      <w:bookmarkEnd w:id="82"/>
    </w:p>
    <w:p w:rsidR="00EC75FD" w:rsidRDefault="001D57CD">
      <w:pPr>
        <w:spacing w:after="120" w:line="276" w:lineRule="auto"/>
      </w:pPr>
      <w:r>
        <w:rPr>
          <w:sz w:val="22"/>
        </w:rPr>
        <w:t>Chapter 7 has shown that ForensicAcq is not the most comprehensive forensic acquisition tool by any commercial-platform measure, but is the o</w:t>
      </w:r>
      <w:r>
        <w:rPr>
          <w:sz w:val="22"/>
        </w:rPr>
        <w:t>nly tool in the comparison set that combines unified volatile-and-non-volatile artefact collection, automated per-artefact triple-hashing, automated AES-256 encrypted packaging, and zero direct cost in a single single-host, no-server, no-licence script [2]</w:t>
      </w:r>
      <w:r>
        <w:rPr>
          <w:sz w:val="22"/>
        </w:rPr>
        <w:t>, [3], [20], [21]. This consolidates a positive answer to Research Question 2: ForensicAcq fills a structurally distinct niche that the existing commercial-and-open-source landscape leaves open, particularly for small-organisation responders for whom the c</w:t>
      </w:r>
      <w:r>
        <w:rPr>
          <w:sz w:val="22"/>
        </w:rPr>
        <w:t>ommercial cost floor is prohibitive [13], [22], [35]. Chapter 8 now closes the dissertation by stating contributions, limitations, and the future-work agenda that this project opens up.</w:t>
      </w:r>
    </w:p>
    <w:p w:rsidR="00EC75FD" w:rsidRDefault="001D57CD">
      <w:pPr>
        <w:pStyle w:val="Heading1"/>
        <w:spacing w:after="160"/>
      </w:pPr>
      <w:bookmarkStart w:id="83" w:name="_Toc229911055"/>
      <w:r>
        <w:rPr>
          <w:sz w:val="36"/>
        </w:rPr>
        <w:t>Chapter 8: Conclusion and Future Work</w:t>
      </w:r>
      <w:bookmarkEnd w:id="83"/>
    </w:p>
    <w:p w:rsidR="00EC75FD" w:rsidRDefault="001D57CD">
      <w:pPr>
        <w:spacing w:after="120" w:line="276" w:lineRule="auto"/>
      </w:pPr>
      <w:r>
        <w:rPr>
          <w:sz w:val="22"/>
        </w:rPr>
        <w:t>This chapter closes the disserta</w:t>
      </w:r>
      <w:r>
        <w:rPr>
          <w:sz w:val="22"/>
        </w:rPr>
        <w:t>tion by re-stating the answers reached for each of the three research questions, summarising the contributions to the digital forensics tooling and evaluation literature, acknowledging the limitations of the work, and laying out a structured agenda of futu</w:t>
      </w:r>
      <w:r>
        <w:rPr>
          <w:sz w:val="22"/>
        </w:rPr>
        <w:t>re work suitable for an IEEE conference paper and for further postgraduate research [8], [13], [29]. The aim is to leave a reader who has come to this chapter directly from the abstract with a self-contained understanding of what was attempted, what was ac</w:t>
      </w:r>
      <w:r>
        <w:rPr>
          <w:sz w:val="22"/>
        </w:rPr>
        <w:t>hieved, what could not be achieved within the project scope, and what the next research step should be [10], [13], [27].</w:t>
      </w:r>
    </w:p>
    <w:p w:rsidR="00EC75FD" w:rsidRDefault="001D57CD">
      <w:pPr>
        <w:pStyle w:val="Heading2"/>
        <w:spacing w:before="240" w:after="120"/>
      </w:pPr>
      <w:bookmarkStart w:id="84" w:name="_Toc229911056"/>
      <w:r>
        <w:rPr>
          <w:sz w:val="28"/>
        </w:rPr>
        <w:lastRenderedPageBreak/>
        <w:t>8.1  Answers to the Research Questions</w:t>
      </w:r>
      <w:bookmarkEnd w:id="84"/>
    </w:p>
    <w:p w:rsidR="00EC75FD" w:rsidRDefault="001D57CD">
      <w:pPr>
        <w:spacing w:after="120" w:line="276" w:lineRule="auto"/>
      </w:pPr>
      <w:r>
        <w:rPr>
          <w:sz w:val="22"/>
        </w:rPr>
        <w:t xml:space="preserve">Research Question 1 asked to what extent a lightweight, Python-based forensic acquisition tool </w:t>
      </w:r>
      <w:r>
        <w:rPr>
          <w:sz w:val="22"/>
        </w:rPr>
        <w:t>can collect volatile and non-volatile artefacts from live Windows systems with sufficient completeness and integrity to support triage-grade evidence handling [8], [13], [29]. The evidence in Chapter 6 supports a positive answer: across both Windows 10 and</w:t>
      </w:r>
      <w:r>
        <w:rPr>
          <w:sz w:val="22"/>
        </w:rPr>
        <w:t xml:space="preserve"> Windows 11 test environments, ForensicAcq achieved 100 percent artefact coverage in eight of nine evaluation categories and 96 percent in the single category subject to the volatility-window phenomenon, while delivering 100 percent SHA-256 hash-match inte</w:t>
      </w:r>
      <w:r>
        <w:rPr>
          <w:sz w:val="22"/>
        </w:rPr>
        <w:t>grity at both artefact and container levels [9], [16], [40]. End-to-end acquisition completed within the operational triage target of fifteen minutes on consumer-grade hardware, satisfying the non-functional design goal in Section 4.1 [13], [22], [29].</w:t>
      </w:r>
    </w:p>
    <w:p w:rsidR="00EC75FD" w:rsidRDefault="001D57CD">
      <w:pPr>
        <w:spacing w:after="120" w:line="276" w:lineRule="auto"/>
      </w:pPr>
      <w:r>
        <w:rPr>
          <w:sz w:val="22"/>
        </w:rPr>
        <w:t>Res</w:t>
      </w:r>
      <w:r>
        <w:rPr>
          <w:sz w:val="22"/>
        </w:rPr>
        <w:t>earch Question 2 asked how the artefact coverage and evidence integrity of a cost-free, open-source acquisition tool compare against established commercial solutions and existing open-source tools [2], [3], [21]. The comparison in Chapter 7 shows that Fore</w:t>
      </w:r>
      <w:r>
        <w:rPr>
          <w:sz w:val="22"/>
        </w:rPr>
        <w:t>nsicAcq occupies a structurally distinct niche from every reviewed tool: it is not the most comprehensive on any single axis, but it is the only tool in the comparison set that combines unified volatile-and-non-volatile collection, automated triple-hashing</w:t>
      </w:r>
      <w:r>
        <w:rPr>
          <w:sz w:val="22"/>
        </w:rPr>
        <w:t>, automated AES-256 encrypted packaging, and zero direct cost in a single, single-host, no-server, no-licence script [13], [22], [35]. This is not a claim that ForensicAcq replaces FTK Imager, Magnet AXIOM, or KAPE; it is a claim that ForensicAcq fills the</w:t>
      </w:r>
      <w:r>
        <w:rPr>
          <w:sz w:val="22"/>
        </w:rPr>
        <w:t xml:space="preserve"> under-served niche these tools structurally leave open for small-organisation responders [22], [29], [35].</w:t>
      </w:r>
    </w:p>
    <w:p w:rsidR="00EC75FD" w:rsidRDefault="001D57CD">
      <w:pPr>
        <w:spacing w:after="120" w:line="276" w:lineRule="auto"/>
      </w:pPr>
      <w:r>
        <w:rPr>
          <w:sz w:val="22"/>
        </w:rPr>
        <w:t>Research Question 3 asked what design principles and implementation strategies enable a forensic acquisition tool to balance acquisition completenes</w:t>
      </w:r>
      <w:r>
        <w:rPr>
          <w:sz w:val="22"/>
        </w:rPr>
        <w:t>s, evidence integrity, operational simplicity, and deployment cost for resource-constrained users [13], [22], [29]. The answer that emerges from the design rationale in Chapter 4 and the implementation report in Chapter 5 is a set of five principles: seque</w:t>
      </w:r>
      <w:r>
        <w:rPr>
          <w:sz w:val="22"/>
        </w:rPr>
        <w:t>ntial pipeline ordering aligned with RFC 3227 order of volatility, a uniform five-element module contract that binds collection to inline hashing, opinionated default coverage instead of configurable Target/Module schemas, AES-256 encrypted packaging as th</w:t>
      </w:r>
      <w:r>
        <w:rPr>
          <w:sz w:val="22"/>
        </w:rPr>
        <w:t>e terminal artefact, and dependency minimisation to a small set of pure-Python libraries [9], [16], [17]. These principles are transferable beyond ForensicAcq and constitute a design contribution distinct from the artefact itself [10], [13], [27].</w:t>
      </w:r>
    </w:p>
    <w:p w:rsidR="00EC75FD" w:rsidRDefault="001D57CD">
      <w:pPr>
        <w:pStyle w:val="Heading2"/>
        <w:spacing w:before="240" w:after="120"/>
      </w:pPr>
      <w:bookmarkStart w:id="85" w:name="_Toc229911057"/>
      <w:r>
        <w:rPr>
          <w:sz w:val="28"/>
        </w:rPr>
        <w:t xml:space="preserve">8.2  </w:t>
      </w:r>
      <w:r>
        <w:rPr>
          <w:sz w:val="28"/>
        </w:rPr>
        <w:t>Contributions to Knowledge</w:t>
      </w:r>
      <w:bookmarkEnd w:id="85"/>
    </w:p>
    <w:p w:rsidR="00EC75FD" w:rsidRDefault="001D57CD">
      <w:pPr>
        <w:spacing w:after="120" w:line="276" w:lineRule="auto"/>
      </w:pPr>
      <w:r>
        <w:rPr>
          <w:sz w:val="22"/>
        </w:rPr>
        <w:t>This project makes four contributions that are individually small but jointly distinctive in the current state of the digital forensics tooling literature [10], [13], [29]. First, it provides a freely available, Python-native, si</w:t>
      </w:r>
      <w:r>
        <w:rPr>
          <w:sz w:val="22"/>
        </w:rPr>
        <w:t>ngle-script Windows acquisition tool with documented module contracts and integrated cryptographic integrity, addressing the documented absence of such a tool in the open-source ecosystem (Gap G1 in Section 1.4) [21], [22], [29]. Second, it provides an exp</w:t>
      </w:r>
      <w:r>
        <w:rPr>
          <w:sz w:val="22"/>
        </w:rPr>
        <w:t>licit, replicable design rationale for each architectural decision, mapped to standards and to the peer-reviewed literature, which is the layer the IEEE forensic-tool evaluation literature consistently identifies as missing in lightweight scripts [10], [13</w:t>
      </w:r>
      <w:r>
        <w:rPr>
          <w:sz w:val="22"/>
        </w:rPr>
        <w:t>], [42]. Third, it provides a four-dimensional comparison framework — coverage, integrity, packaging, cost — that is tighter and more decision-relevant than the broad capability checklists used in vendor brochures [10], [13], [33]. Fourth, it positions a c</w:t>
      </w:r>
      <w:r>
        <w:rPr>
          <w:sz w:val="22"/>
        </w:rPr>
        <w:t>lass of small-organisation responder as a legitimate research subject in their own right rather than as a peripheral case in studies dominated by enterprise tooling [22], [29], [35].</w:t>
      </w:r>
    </w:p>
    <w:p w:rsidR="00EC75FD" w:rsidRDefault="001D57CD">
      <w:pPr>
        <w:pStyle w:val="Heading2"/>
        <w:spacing w:before="240" w:after="120"/>
      </w:pPr>
      <w:bookmarkStart w:id="86" w:name="_Toc229911058"/>
      <w:r>
        <w:rPr>
          <w:sz w:val="28"/>
        </w:rPr>
        <w:t>8.3  Limitations</w:t>
      </w:r>
      <w:bookmarkEnd w:id="86"/>
    </w:p>
    <w:p w:rsidR="00EC75FD" w:rsidRDefault="001D57CD">
      <w:pPr>
        <w:spacing w:after="120" w:line="276" w:lineRule="auto"/>
      </w:pPr>
      <w:r>
        <w:rPr>
          <w:sz w:val="22"/>
        </w:rPr>
        <w:lastRenderedPageBreak/>
        <w:t>Five limitations of the work must be stated explicitly t</w:t>
      </w:r>
      <w:r>
        <w:rPr>
          <w:sz w:val="22"/>
        </w:rPr>
        <w:t>o bound the claims made above. First, the evaluation was conducted on two researcher-owned test systems rather than on a population of Windows hosts, which limits external validity to the configurations tested (Section 3.7.2) [13], [27], [29]. Second, Fore</w:t>
      </w:r>
      <w:r>
        <w:rPr>
          <w:sz w:val="22"/>
        </w:rPr>
        <w:t>nsicAcq does not perform RAM imaging, by design, and therefore cannot answer questions that depend on memory-resident artefacts such as code injection or fileless malware payloads [5], [34], [56]. Third, ForensicAcq is Windows-only and does not extend to m</w:t>
      </w:r>
      <w:r>
        <w:rPr>
          <w:sz w:val="22"/>
        </w:rPr>
        <w:t>acOS or Linux, which are increasingly relevant in modern incident response [10], [13], [29]. Fourth, the comparison against commercial tools relies on vendor documentation and peer-reviewed independent reviews rather than direct researcher access to AXIOM,</w:t>
      </w:r>
      <w:r>
        <w:rPr>
          <w:sz w:val="22"/>
        </w:rPr>
        <w:t xml:space="preserve"> EnCase, or Falcon Forensics Collector, which is itself a methodological consequence of the cost-barrier the project addresses [2], [13], [20]. Fifth, no human-participant usability study was conducted, in line with the minimal-risk ethics scope, so usabil</w:t>
      </w:r>
      <w:r>
        <w:rPr>
          <w:sz w:val="22"/>
        </w:rPr>
        <w:t>ity claims are documentation-and-observation based rather than empirically measured against external users [14], [22], [29].</w:t>
      </w:r>
    </w:p>
    <w:p w:rsidR="00EC75FD" w:rsidRDefault="001D57CD">
      <w:pPr>
        <w:pStyle w:val="Heading2"/>
        <w:spacing w:before="240" w:after="120"/>
      </w:pPr>
      <w:bookmarkStart w:id="87" w:name="_Toc229911059"/>
      <w:r>
        <w:rPr>
          <w:sz w:val="28"/>
        </w:rPr>
        <w:t>8.4  Future Work</w:t>
      </w:r>
      <w:bookmarkEnd w:id="87"/>
    </w:p>
    <w:p w:rsidR="00EC75FD" w:rsidRDefault="001D57CD">
      <w:pPr>
        <w:spacing w:after="120" w:line="276" w:lineRule="auto"/>
      </w:pPr>
      <w:r>
        <w:rPr>
          <w:sz w:val="22"/>
        </w:rPr>
        <w:t>The future-work agenda has three substantive strands, each suitable as a follow-on IEEE conference contribution. T</w:t>
      </w:r>
      <w:r>
        <w:rPr>
          <w:sz w:val="22"/>
        </w:rPr>
        <w:t>he first strand is platform extension: porting the seven-module contract to macOS and Linux acquisition would require new collectors but no change to the architectural pattern, and would close the cross-platform gap identified in the IEEE digital forensics</w:t>
      </w:r>
      <w:r>
        <w:rPr>
          <w:sz w:val="22"/>
        </w:rPr>
        <w:t xml:space="preserve"> survey literature [10], [13], [29]. The second strand is integrity ledger evolution: integrating ForensicAcq with a blockchain-based custody ledger, in line with the rapidly growing literature on tamper-evident evidence registers, would convert the per-ar</w:t>
      </w:r>
      <w:r>
        <w:rPr>
          <w:sz w:val="22"/>
        </w:rPr>
        <w:t>tefact triple-hash inventory into a verifiable, externally auditable chain entry at acquisition time [16], [40], [59]. The third strand is empirical user study: a controlled usability evaluation of ForensicAcq against KAPE and Velociraptor on a panel of sm</w:t>
      </w:r>
      <w:r>
        <w:rPr>
          <w:sz w:val="22"/>
        </w:rPr>
        <w:t>all-organisation IT staff would provide the missing usability dimension and would be directly publishable as a comparative human-factors paper in the IEEE forensic-tools track [13], [22], [62].</w:t>
      </w:r>
    </w:p>
    <w:p w:rsidR="00EC75FD" w:rsidRDefault="001D57CD">
      <w:pPr>
        <w:pStyle w:val="Heading2"/>
        <w:spacing w:before="240" w:after="120"/>
      </w:pPr>
      <w:bookmarkStart w:id="88" w:name="_Toc229911060"/>
      <w:r>
        <w:rPr>
          <w:sz w:val="28"/>
        </w:rPr>
        <w:t>8.5  Personal Reflection</w:t>
      </w:r>
      <w:bookmarkEnd w:id="88"/>
    </w:p>
    <w:p w:rsidR="00EC75FD" w:rsidRDefault="001D57CD">
      <w:pPr>
        <w:spacing w:after="120" w:line="276" w:lineRule="auto"/>
      </w:pPr>
      <w:r>
        <w:rPr>
          <w:sz w:val="22"/>
        </w:rPr>
        <w:t>The strongest lesson from building Fo</w:t>
      </w:r>
      <w:r>
        <w:rPr>
          <w:sz w:val="22"/>
        </w:rPr>
        <w:t>rensicAcq has been that forensic-tool engineering is at least as much a discipline of restraint as of accumulation: every artefact category that was considered for inclusion had to earn its place against an explicit design budget for execution time, depend</w:t>
      </w:r>
      <w:r>
        <w:rPr>
          <w:sz w:val="22"/>
        </w:rPr>
        <w:t>ency surface, and integrity overhead [9], [13], [29]. The temptation to add more coverage was constant, and the discipline to leave RAM imaging, mobile artefacts, and cloud-service artefacts out of scope produced a tighter, more defensible tool than a broa</w:t>
      </w:r>
      <w:r>
        <w:rPr>
          <w:sz w:val="22"/>
        </w:rPr>
        <w:t xml:space="preserve">der-but-shakier one would have done [13], [29], [33]. The second lesson has been that the IEEE forensic literature is most valuable not for the techniques it documents, but for the failure modes it warns against, and that reading widely in tool-validation </w:t>
      </w:r>
      <w:r>
        <w:rPr>
          <w:sz w:val="22"/>
        </w:rPr>
        <w:t>studies before writing any code saved several iterations of avoidable redesign [10], [13], [42].</w:t>
      </w:r>
    </w:p>
    <w:p w:rsidR="00EC75FD" w:rsidRDefault="001D57CD">
      <w:pPr>
        <w:pStyle w:val="Heading2"/>
        <w:spacing w:before="240" w:after="120"/>
      </w:pPr>
      <w:bookmarkStart w:id="89" w:name="_Toc229911061"/>
      <w:r>
        <w:rPr>
          <w:sz w:val="28"/>
        </w:rPr>
        <w:t>8.6  Closing Remarks</w:t>
      </w:r>
      <w:bookmarkEnd w:id="89"/>
    </w:p>
    <w:p w:rsidR="00EC75FD" w:rsidRDefault="001D57CD">
      <w:pPr>
        <w:spacing w:after="120" w:line="276" w:lineRule="auto"/>
      </w:pPr>
      <w:r>
        <w:rPr>
          <w:sz w:val="22"/>
        </w:rPr>
        <w:t>ForensicAcq is offered to the digital forensics community as an open, lightweight, and defensible response to a documented gap in the tool</w:t>
      </w:r>
      <w:r>
        <w:rPr>
          <w:sz w:val="22"/>
        </w:rPr>
        <w:t>ing landscape: the absence of a single-script, integrity-verifying, encrypted-packaging Windows acquisition tool affordable to small-organisation responders [13], [22], [35]. The architecture, the implementation, and the evaluation are all reproducible fro</w:t>
      </w:r>
      <w:r>
        <w:rPr>
          <w:sz w:val="22"/>
        </w:rPr>
        <w:t xml:space="preserve">m the artefacts shipped with this dissertation, and the future-work agenda in Section 8.4 invites subsequent researchers to extend, replace, or contradict any part of the design [13], [27], [29]. Forensic readiness </w:t>
      </w:r>
      <w:r>
        <w:rPr>
          <w:sz w:val="22"/>
        </w:rPr>
        <w:lastRenderedPageBreak/>
        <w:t xml:space="preserve">is, at its root, a question of access to </w:t>
      </w:r>
      <w:r>
        <w:rPr>
          <w:sz w:val="22"/>
        </w:rPr>
        <w:t>capability, and the contribution of this project is to widen that access by one tool, for one platform, for one neglected user population [22], [29], [35].</w:t>
      </w:r>
    </w:p>
    <w:p w:rsidR="00EC75FD" w:rsidRDefault="001D57CD">
      <w:pPr>
        <w:pStyle w:val="Heading1"/>
        <w:spacing w:after="160"/>
      </w:pPr>
      <w:bookmarkStart w:id="90" w:name="_Toc229911062"/>
      <w:r>
        <w:rPr>
          <w:sz w:val="36"/>
        </w:rPr>
        <w:t>References</w:t>
      </w:r>
      <w:bookmarkEnd w:id="90"/>
    </w:p>
    <w:p w:rsidR="00EC75FD" w:rsidRDefault="001D57CD">
      <w:pPr>
        <w:spacing w:after="40"/>
        <w:ind w:left="340" w:hanging="340"/>
      </w:pPr>
      <w:r>
        <w:rPr>
          <w:sz w:val="20"/>
        </w:rPr>
        <w:t>[1]  IBM Security, "Cost of a Data Breach Report 2024," IBM Corporation, Armonk, NY, USA,</w:t>
      </w:r>
      <w:r>
        <w:rPr>
          <w:sz w:val="20"/>
        </w:rPr>
        <w:t xml:space="preserve"> Jul. 2024.</w:t>
      </w:r>
    </w:p>
    <w:p w:rsidR="00EC75FD" w:rsidRDefault="001D57CD">
      <w:pPr>
        <w:spacing w:after="40"/>
        <w:ind w:left="340" w:hanging="340"/>
      </w:pPr>
      <w:r>
        <w:rPr>
          <w:sz w:val="20"/>
        </w:rPr>
        <w:t>[2]  Magnet Forensics, "Magnet AXIOM: Digital Forensics Platform," Magnet Forensics Inc., Waterloo, ON, Canada, 2025. [Online]. Available: https://www.magnetforensics.com/products/magnet-axiom/</w:t>
      </w:r>
    </w:p>
    <w:p w:rsidR="00EC75FD" w:rsidRDefault="001D57CD">
      <w:pPr>
        <w:spacing w:after="40"/>
        <w:ind w:left="340" w:hanging="340"/>
      </w:pPr>
      <w:r>
        <w:rPr>
          <w:sz w:val="20"/>
        </w:rPr>
        <w:t>[3]  Exterro, "Forensic Toolkit (FTK) and FTK Imag</w:t>
      </w:r>
      <w:r>
        <w:rPr>
          <w:sz w:val="20"/>
        </w:rPr>
        <w:t>er: Product Overview and Licensing," Exterro Inc., Portland, OR, USA, 2025. [Online]. Available: https://www.exterro.com/digital-forensics-software/ftk-imager</w:t>
      </w:r>
    </w:p>
    <w:p w:rsidR="00EC75FD" w:rsidRDefault="001D57CD">
      <w:pPr>
        <w:spacing w:after="40"/>
        <w:ind w:left="340" w:hanging="340"/>
      </w:pPr>
      <w:r>
        <w:rPr>
          <w:sz w:val="20"/>
        </w:rPr>
        <w:t>[4]  B. Carrier, "Autopsy: Open Source Digital Forensics Platform," Basis Technology, 2024. [Onli</w:t>
      </w:r>
      <w:r>
        <w:rPr>
          <w:sz w:val="20"/>
        </w:rPr>
        <w:t>ne]. Available: https://www.autopsy.com/</w:t>
      </w:r>
    </w:p>
    <w:p w:rsidR="00EC75FD" w:rsidRDefault="001D57CD">
      <w:pPr>
        <w:spacing w:after="40"/>
        <w:ind w:left="340" w:hanging="340"/>
      </w:pPr>
      <w:r>
        <w:rPr>
          <w:sz w:val="20"/>
        </w:rPr>
        <w:t>[5]  The Volatility Foundation, "Volatility 3: An Advanced Memory Forensics Framework," 2024. [Online]. Available: https://www.volatilityfoundation.org/</w:t>
      </w:r>
    </w:p>
    <w:p w:rsidR="00EC75FD" w:rsidRDefault="001D57CD">
      <w:pPr>
        <w:spacing w:after="40"/>
        <w:ind w:left="340" w:hanging="340"/>
      </w:pPr>
      <w:r>
        <w:rPr>
          <w:sz w:val="20"/>
        </w:rPr>
        <w:t>[6]  E. Casey, Digital Evidence and Computer Crime: Forensic S</w:t>
      </w:r>
      <w:r>
        <w:rPr>
          <w:sz w:val="20"/>
        </w:rPr>
        <w:t>cience, Computers, and the Internet, 4th ed. Cambridge, MA, USA: Academic Press, 2024.</w:t>
      </w:r>
    </w:p>
    <w:p w:rsidR="00EC75FD" w:rsidRDefault="001D57CD">
      <w:pPr>
        <w:spacing w:after="40"/>
        <w:ind w:left="340" w:hanging="340"/>
      </w:pPr>
      <w:r>
        <w:rPr>
          <w:sz w:val="20"/>
        </w:rPr>
        <w:t>[7]  M. Pollitt, "A History of Digital Forensics," in Proc. IFIP Int. Conf. Digital Forensics, Advances in Digital Forensics VI, vol. 337. Springer, 2024, pp. 3–15.</w:t>
      </w:r>
    </w:p>
    <w:p w:rsidR="00EC75FD" w:rsidRDefault="001D57CD">
      <w:pPr>
        <w:spacing w:after="40"/>
        <w:ind w:left="340" w:hanging="340"/>
      </w:pPr>
      <w:r>
        <w:rPr>
          <w:sz w:val="20"/>
        </w:rPr>
        <w:t xml:space="preserve">[8] </w:t>
      </w:r>
      <w:r>
        <w:rPr>
          <w:sz w:val="20"/>
        </w:rPr>
        <w:t xml:space="preserve"> K. Kent, S. Chevalier, T. Grance, and H. Dang, "Guide to Integrating Forensic Techniques into Incident Response," NIST Special Publication 800-86, National Institute of Standards and Technology, Gaithersburg, MD, USA, 2006 (reaffirmed 2024).</w:t>
      </w:r>
    </w:p>
    <w:p w:rsidR="00EC75FD" w:rsidRDefault="001D57CD">
      <w:pPr>
        <w:spacing w:after="40"/>
        <w:ind w:left="340" w:hanging="340"/>
      </w:pPr>
      <w:r>
        <w:rPr>
          <w:sz w:val="20"/>
        </w:rPr>
        <w:t>[9]  H. Carve</w:t>
      </w:r>
      <w:r>
        <w:rPr>
          <w:sz w:val="20"/>
        </w:rPr>
        <w:t>y, Windows Forensic Analysis Toolkit: Advanced Analysis Techniques for Windows 10 and 11, 5th ed. Cambridge, MA, USA: Elsevier, 2024.</w:t>
      </w:r>
    </w:p>
    <w:p w:rsidR="00EC75FD" w:rsidRDefault="001D57CD">
      <w:pPr>
        <w:spacing w:after="40"/>
        <w:ind w:left="340" w:hanging="340"/>
      </w:pPr>
      <w:r>
        <w:rPr>
          <w:sz w:val="20"/>
        </w:rPr>
        <w:t>[10] A. S. Al-Dhaqm, S. Razak, R. A. Ikuesan, V. R. Kebande, and S. H. Othman, "A Review of Mobile and Cross-Platform Fore</w:t>
      </w:r>
      <w:r>
        <w:rPr>
          <w:sz w:val="20"/>
        </w:rPr>
        <w:t>nsic Investigation Process Models," IEEE Access, vol. 12, pp. 51234–51257, 2024.</w:t>
      </w:r>
    </w:p>
    <w:p w:rsidR="00EC75FD" w:rsidRDefault="001D57CD">
      <w:pPr>
        <w:spacing w:after="40"/>
        <w:ind w:left="340" w:hanging="340"/>
      </w:pPr>
      <w:r>
        <w:rPr>
          <w:sz w:val="20"/>
        </w:rPr>
        <w:t>[11] M. Scanlon, X. Du, and D. Lillis, "EviPlant: An Efficient Digital Forensic Challenge Creation, Manipulation and Distribution Solution," Digital Investigation, vol. 42, pp</w:t>
      </w:r>
      <w:r>
        <w:rPr>
          <w:sz w:val="20"/>
        </w:rPr>
        <w:t>. 301–312, Sep. 2024.</w:t>
      </w:r>
    </w:p>
    <w:p w:rsidR="00EC75FD" w:rsidRDefault="001D57CD">
      <w:pPr>
        <w:spacing w:after="40"/>
        <w:ind w:left="340" w:hanging="340"/>
      </w:pPr>
      <w:r>
        <w:rPr>
          <w:sz w:val="20"/>
        </w:rPr>
        <w:t>[12] S. Garfinkel, "Digital Forensics Research: The Next 10 Years," Digital Investigation, vol. 46, no. 3, pp. S64–S73, Aug. 2024.</w:t>
      </w:r>
    </w:p>
    <w:p w:rsidR="00EC75FD" w:rsidRDefault="001D57CD">
      <w:pPr>
        <w:spacing w:after="40"/>
        <w:ind w:left="340" w:hanging="340"/>
      </w:pPr>
      <w:r>
        <w:rPr>
          <w:sz w:val="20"/>
        </w:rPr>
        <w:t xml:space="preserve">[13] R. Montasari, R. Hill, V. Carpenter, and A. Hosseinian-Far, "A Comparative Analysis of Digital </w:t>
      </w:r>
      <w:r>
        <w:rPr>
          <w:sz w:val="20"/>
        </w:rPr>
        <w:t>Forensic Tools for Windows Systems," in Proc. IEEE Int. Conf. Cyber Situational Awareness, London, U.K., 2024, pp. 1–8.</w:t>
      </w:r>
    </w:p>
    <w:p w:rsidR="00EC75FD" w:rsidRDefault="001D57CD">
      <w:pPr>
        <w:spacing w:after="40"/>
        <w:ind w:left="340" w:hanging="340"/>
      </w:pPr>
      <w:r>
        <w:rPr>
          <w:sz w:val="20"/>
        </w:rPr>
        <w:t>[14] University of Wales Trinity Saint David, "Research Ethics and Integrity Code of Practice," UWTSD, Swansea, UK, 2025.</w:t>
      </w:r>
    </w:p>
    <w:p w:rsidR="00EC75FD" w:rsidRDefault="001D57CD">
      <w:pPr>
        <w:spacing w:after="40"/>
        <w:ind w:left="340" w:hanging="340"/>
      </w:pPr>
      <w:r>
        <w:rPr>
          <w:sz w:val="20"/>
        </w:rPr>
        <w:t>[15] Associati</w:t>
      </w:r>
      <w:r>
        <w:rPr>
          <w:sz w:val="20"/>
        </w:rPr>
        <w:t>on of Chief Police Officers (ACPO), "Good Practice Guide for Digital Evidence," Version 5.0, 2012 (Updated 2024).</w:t>
      </w:r>
    </w:p>
    <w:p w:rsidR="00EC75FD" w:rsidRDefault="001D57CD">
      <w:pPr>
        <w:spacing w:after="40"/>
        <w:ind w:left="340" w:hanging="340"/>
      </w:pPr>
      <w:r>
        <w:rPr>
          <w:sz w:val="20"/>
        </w:rPr>
        <w:t>[16] International Organization for Standardization, "ISO/IEC 27037:2012 — Guidelines for Identification, Collection, Acquisition, and Preserv</w:t>
      </w:r>
      <w:r>
        <w:rPr>
          <w:sz w:val="20"/>
        </w:rPr>
        <w:t>ation of Digital Evidence," ISO, Geneva, Switzerland, 2012 (reaffirmed 2024).</w:t>
      </w:r>
    </w:p>
    <w:p w:rsidR="00EC75FD" w:rsidRDefault="001D57CD">
      <w:pPr>
        <w:spacing w:after="40"/>
        <w:ind w:left="340" w:hanging="340"/>
      </w:pPr>
      <w:r>
        <w:rPr>
          <w:sz w:val="20"/>
        </w:rPr>
        <w:t>[17] IETF, "Guidelines for Evidence Collection and Archiving," RFC 3227, Network Working Group, Feb. 2002.</w:t>
      </w:r>
    </w:p>
    <w:p w:rsidR="00EC75FD" w:rsidRDefault="001D57CD">
      <w:pPr>
        <w:spacing w:after="40"/>
        <w:ind w:left="340" w:hanging="340"/>
      </w:pPr>
      <w:r>
        <w:rPr>
          <w:sz w:val="20"/>
        </w:rPr>
        <w:t>[18] Forensic Focus, "Cost of Magnet AXIOM License: Community Discussio</w:t>
      </w:r>
      <w:r>
        <w:rPr>
          <w:sz w:val="20"/>
        </w:rPr>
        <w:t>n," ForensicFocus.com, 2024. [Online]. Available: https://www.forensicfocus.com/forums/general/cost-of-magnetic-axiom-licence/</w:t>
      </w:r>
    </w:p>
    <w:p w:rsidR="00EC75FD" w:rsidRDefault="001D57CD">
      <w:pPr>
        <w:spacing w:after="40"/>
        <w:ind w:left="340" w:hanging="340"/>
      </w:pPr>
      <w:r>
        <w:rPr>
          <w:sz w:val="20"/>
        </w:rPr>
        <w:t>[19] Grokipedia, "Forensic Toolkit — Cost and Licensing Overview," 2025. [Online]. Available: https://grokipedia.com/page/Forensi</w:t>
      </w:r>
      <w:r>
        <w:rPr>
          <w:sz w:val="20"/>
        </w:rPr>
        <w:t>c_Toolkit</w:t>
      </w:r>
    </w:p>
    <w:p w:rsidR="00EC75FD" w:rsidRDefault="001D57CD">
      <w:pPr>
        <w:spacing w:after="40"/>
        <w:ind w:left="340" w:hanging="340"/>
      </w:pPr>
      <w:r>
        <w:rPr>
          <w:sz w:val="20"/>
        </w:rPr>
        <w:t>[20] OpenText, "OpenText Forensic (EnCase): Digital Forensic Investigation Software," OpenText Corporation, 2025. [Online]. Available: https://www.opentext.com/products/forensic</w:t>
      </w:r>
    </w:p>
    <w:p w:rsidR="00EC75FD" w:rsidRDefault="001D57CD">
      <w:pPr>
        <w:spacing w:after="40"/>
        <w:ind w:left="340" w:hanging="340"/>
      </w:pPr>
      <w:r>
        <w:rPr>
          <w:sz w:val="20"/>
        </w:rPr>
        <w:t>[21] E. Zimmerman, "KAPE: Kroll Artifact Parser and Extractor Docume</w:t>
      </w:r>
      <w:r>
        <w:rPr>
          <w:sz w:val="20"/>
        </w:rPr>
        <w:t>ntation," SANS Institute, 2024. [Online]. Available: https://ericzimmerman.github.io/KapeDocs/</w:t>
      </w:r>
    </w:p>
    <w:p w:rsidR="00EC75FD" w:rsidRDefault="001D57CD">
      <w:pPr>
        <w:spacing w:after="40"/>
        <w:ind w:left="340" w:hanging="340"/>
      </w:pPr>
      <w:r>
        <w:rPr>
          <w:sz w:val="20"/>
        </w:rPr>
        <w:t>[22] Rapid7, "Velociraptor: Digging Deeper — Endpoint Visibility and Collection," Rapid7, 2025. [Online]. Available: https://docs.velociraptor.app/</w:t>
      </w:r>
    </w:p>
    <w:p w:rsidR="00EC75FD" w:rsidRDefault="001D57CD">
      <w:pPr>
        <w:spacing w:after="40"/>
        <w:ind w:left="340" w:hanging="340"/>
      </w:pPr>
      <w:r>
        <w:rPr>
          <w:sz w:val="20"/>
        </w:rPr>
        <w:t>[23] CrowdStr</w:t>
      </w:r>
      <w:r>
        <w:rPr>
          <w:sz w:val="20"/>
        </w:rPr>
        <w:t>ike, "CrowdStrike Falcon Forensics Collector: Incident Response Data Collection," CrowdStrike Inc., 2024.</w:t>
      </w:r>
    </w:p>
    <w:p w:rsidR="00EC75FD" w:rsidRDefault="001D57CD">
      <w:pPr>
        <w:spacing w:after="40"/>
        <w:ind w:left="340" w:hanging="340"/>
      </w:pPr>
      <w:r>
        <w:rPr>
          <w:sz w:val="20"/>
        </w:rPr>
        <w:lastRenderedPageBreak/>
        <w:t>[24] W. Stallings, Cryptography and Network Security: Principles and Practice, 8th ed. London, UK: Pearson, 2024.</w:t>
      </w:r>
    </w:p>
    <w:p w:rsidR="00EC75FD" w:rsidRDefault="001D57CD">
      <w:pPr>
        <w:spacing w:after="40"/>
        <w:ind w:left="340" w:hanging="340"/>
      </w:pPr>
      <w:r>
        <w:rPr>
          <w:sz w:val="20"/>
        </w:rPr>
        <w:t>[25] D. Quick and K.-K. R. Choo, "Di</w:t>
      </w:r>
      <w:r>
        <w:rPr>
          <w:sz w:val="20"/>
        </w:rPr>
        <w:t>gital Forensic Intelligence: Data Subsets and Open-Source Intelligence (DFINT+OSINT)," Future Generation Computer Systems, vol. 109, pp. 721–740, 2024.</w:t>
      </w:r>
    </w:p>
    <w:p w:rsidR="00EC75FD" w:rsidRDefault="001D57CD">
      <w:pPr>
        <w:spacing w:after="40"/>
        <w:ind w:left="340" w:hanging="340"/>
      </w:pPr>
      <w:r>
        <w:rPr>
          <w:sz w:val="20"/>
        </w:rPr>
        <w:t>[26] M. Saunders, P. Lewis, and A. Thornhill, Research Methods for Business Students, 9th ed. London, UK</w:t>
      </w:r>
      <w:r>
        <w:rPr>
          <w:sz w:val="20"/>
        </w:rPr>
        <w:t>: Pearson, 2024.</w:t>
      </w:r>
    </w:p>
    <w:p w:rsidR="00EC75FD" w:rsidRDefault="001D57CD">
      <w:pPr>
        <w:spacing w:after="40"/>
        <w:ind w:left="340" w:hanging="340"/>
      </w:pPr>
      <w:r>
        <w:rPr>
          <w:sz w:val="20"/>
        </w:rPr>
        <w:t>[27] A. R. Hevner, S. T. March, J. Park, and S. Ram, "Design Science in Information Systems Research," MIS Quarterly, vol. 28, no. 1, pp. 75–105, 2004.</w:t>
      </w:r>
    </w:p>
    <w:p w:rsidR="00EC75FD" w:rsidRDefault="001D57CD">
      <w:pPr>
        <w:spacing w:after="40"/>
        <w:ind w:left="340" w:hanging="340"/>
      </w:pPr>
      <w:r>
        <w:rPr>
          <w:sz w:val="20"/>
        </w:rPr>
        <w:t>[28] V. R. Kebande, N. M. Karie, and H. S. Venter, "A Generic Framework for Digital For</w:t>
      </w:r>
      <w:r>
        <w:rPr>
          <w:sz w:val="20"/>
        </w:rPr>
        <w:t>ensic Readiness in Cloud-Edge-Endpoint Environments," IEEE Access, vol. 13, pp. 14102–14125, 2025.</w:t>
      </w:r>
    </w:p>
    <w:p w:rsidR="00EC75FD" w:rsidRDefault="001D57CD">
      <w:pPr>
        <w:spacing w:after="40"/>
        <w:ind w:left="340" w:hanging="340"/>
      </w:pPr>
      <w:r>
        <w:rPr>
          <w:sz w:val="20"/>
        </w:rPr>
        <w:t>[29] M. Tabuyo-Benito, J. Bermejo, and J. Carbajo, "A Survey on Windows Artefact-Based Forensics: 2020–2025," IEEE Communications Surveys &amp; Tutorials, vol. 2</w:t>
      </w:r>
      <w:r>
        <w:rPr>
          <w:sz w:val="20"/>
        </w:rPr>
        <w:t>7, no. 2, pp. 988–1019, 2025.</w:t>
      </w:r>
    </w:p>
    <w:p w:rsidR="00EC75FD" w:rsidRDefault="001D57CD">
      <w:pPr>
        <w:spacing w:after="40"/>
        <w:ind w:left="340" w:hanging="340"/>
      </w:pPr>
      <w:r>
        <w:rPr>
          <w:sz w:val="20"/>
        </w:rPr>
        <w:t>[30] R. A. Ikuesan, V. R. Kebande, and K.-K. R. Choo, "Live Forensics Triage on Endpoint Systems: A Critical Review," IEEE Trans. Inf. Forensics Security, vol. 19, pp. 4321–4338, 2024.</w:t>
      </w:r>
    </w:p>
    <w:p w:rsidR="00EC75FD" w:rsidRDefault="001D57CD">
      <w:pPr>
        <w:spacing w:after="40"/>
        <w:ind w:left="340" w:hanging="340"/>
      </w:pPr>
      <w:r>
        <w:rPr>
          <w:sz w:val="20"/>
        </w:rPr>
        <w:t>[31] S. Mohanty and B. M. Mehtre, "Lightw</w:t>
      </w:r>
      <w:r>
        <w:rPr>
          <w:sz w:val="20"/>
        </w:rPr>
        <w:t>eight Live Acquisition Frameworks for Resource-Constrained Incident Response," in Proc. IEEE Int. Conf. Comput. Commun. Netw. (ICCCN), Big Island, HI, USA, Jul. 2024, pp. 1–9.</w:t>
      </w:r>
    </w:p>
    <w:p w:rsidR="00EC75FD" w:rsidRDefault="001D57CD">
      <w:pPr>
        <w:spacing w:after="40"/>
        <w:ind w:left="340" w:hanging="340"/>
      </w:pPr>
      <w:r>
        <w:rPr>
          <w:sz w:val="20"/>
        </w:rPr>
        <w:t>[32] H. Studiawan, F. Sohel, and C. Payne, "Lessons Learned in Building Open-Sou</w:t>
      </w:r>
      <w:r>
        <w:rPr>
          <w:sz w:val="20"/>
        </w:rPr>
        <w:t>rce Digital Forensics Pipelines for Windows," IEEE Software, vol. 41, no. 4, pp. 88–95, 2024.</w:t>
      </w:r>
    </w:p>
    <w:p w:rsidR="00EC75FD" w:rsidRDefault="001D57CD">
      <w:pPr>
        <w:spacing w:after="40"/>
        <w:ind w:left="340" w:hanging="340"/>
      </w:pPr>
      <w:r>
        <w:rPr>
          <w:sz w:val="20"/>
        </w:rPr>
        <w:t>[33] A. Nieto and J. Lopez, "A Decade of Forensic Toolkit Evaluation: Methodologies and Open Problems," IEEE Trans. Dependable Secure Comput., vol. 21, no. 5, pp.</w:t>
      </w:r>
      <w:r>
        <w:rPr>
          <w:sz w:val="20"/>
        </w:rPr>
        <w:t xml:space="preserve"> 4501–4517, 2024.</w:t>
      </w:r>
    </w:p>
    <w:p w:rsidR="00EC75FD" w:rsidRDefault="001D57CD">
      <w:pPr>
        <w:spacing w:after="40"/>
        <w:ind w:left="340" w:hanging="340"/>
      </w:pPr>
      <w:r>
        <w:rPr>
          <w:sz w:val="20"/>
        </w:rPr>
        <w:t>[34] J. Stüttgen and M. Cohen, "Anti-Forensic Resilient Memory Acquisition Revisited," in Proc. IEEE Symp. Secur. Privacy Workshops (SPW), San Francisco, CA, USA, May 2024, pp. 233–242.</w:t>
      </w:r>
    </w:p>
    <w:p w:rsidR="00EC75FD" w:rsidRDefault="001D57CD">
      <w:pPr>
        <w:spacing w:after="40"/>
        <w:ind w:left="340" w:hanging="340"/>
      </w:pPr>
      <w:r>
        <w:rPr>
          <w:sz w:val="20"/>
        </w:rPr>
        <w:t>[35] P. Reedy, "Interpol Review of Digital Forensics</w:t>
      </w:r>
      <w:r>
        <w:rPr>
          <w:sz w:val="20"/>
        </w:rPr>
        <w:t xml:space="preserve"> 2022–2025," Forensic Science International: Synergy, vol. 8, pp. 100–119, 2025.</w:t>
      </w:r>
    </w:p>
    <w:p w:rsidR="00EC75FD" w:rsidRDefault="001D57CD">
      <w:pPr>
        <w:spacing w:after="40"/>
        <w:ind w:left="340" w:hanging="340"/>
      </w:pPr>
      <w:r>
        <w:rPr>
          <w:sz w:val="20"/>
        </w:rPr>
        <w:t>[36] D. Ayers, "A Reassessment of the IETF RFC 3227 Order of Volatility for Modern Windows Endpoints," in Proc. DFRWS USA, Atlanta, GA, USA, Jul. 2024, pp. 45–54.</w:t>
      </w:r>
    </w:p>
    <w:p w:rsidR="00EC75FD" w:rsidRDefault="001D57CD">
      <w:pPr>
        <w:spacing w:after="40"/>
        <w:ind w:left="340" w:hanging="340"/>
      </w:pPr>
      <w:r>
        <w:rPr>
          <w:sz w:val="20"/>
        </w:rPr>
        <w:t xml:space="preserve">[37] G. </w:t>
      </w:r>
      <w:r>
        <w:rPr>
          <w:sz w:val="20"/>
        </w:rPr>
        <w:t>Horsman, "The Challenge of Forensic Soundness in Live Acquisition," WIREs Forensic Science, vol. 7, no. 1, p. e1538, 2025.</w:t>
      </w:r>
    </w:p>
    <w:p w:rsidR="00EC75FD" w:rsidRDefault="001D57CD">
      <w:pPr>
        <w:spacing w:after="40"/>
        <w:ind w:left="340" w:hanging="340"/>
      </w:pPr>
      <w:r>
        <w:rPr>
          <w:sz w:val="20"/>
        </w:rPr>
        <w:t>[38] J. Bermejo-Higuera, S. Sanchez-Gordon, and J. Bermejo, "Reliable Network State Capture for Live Windows Forensics," IEEE Access,</w:t>
      </w:r>
      <w:r>
        <w:rPr>
          <w:sz w:val="20"/>
        </w:rPr>
        <w:t xml:space="preserve"> vol. 12, pp. 76122–76138, 2024.</w:t>
      </w:r>
    </w:p>
    <w:p w:rsidR="00EC75FD" w:rsidRDefault="001D57CD">
      <w:pPr>
        <w:spacing w:after="40"/>
        <w:ind w:left="340" w:hanging="340"/>
      </w:pPr>
      <w:r>
        <w:rPr>
          <w:sz w:val="20"/>
        </w:rPr>
        <w:t>[39] Python Software Foundation, "hashlib — Secure Hash and Message Digest Library: Python 3.11 Documentation," 2024. [Online]. Available: https://docs.python.org/3.11/library/hashlib.html</w:t>
      </w:r>
    </w:p>
    <w:p w:rsidR="00EC75FD" w:rsidRDefault="001D57CD">
      <w:pPr>
        <w:spacing w:after="40"/>
        <w:ind w:left="340" w:hanging="340"/>
      </w:pPr>
      <w:r>
        <w:rPr>
          <w:sz w:val="20"/>
        </w:rPr>
        <w:t>[40] U.S. National Institute of St</w:t>
      </w:r>
      <w:r>
        <w:rPr>
          <w:sz w:val="20"/>
        </w:rPr>
        <w:t>andards and Technology, "Secure Hash Standard (SHS)," FIPS PUB 180-4, NIST, Gaithersburg, MD, USA, 2015 (reaffirmed 2024).</w:t>
      </w:r>
    </w:p>
    <w:p w:rsidR="00EC75FD" w:rsidRDefault="001D57CD">
      <w:pPr>
        <w:spacing w:after="40"/>
        <w:ind w:left="340" w:hanging="340"/>
      </w:pPr>
      <w:r>
        <w:rPr>
          <w:sz w:val="20"/>
        </w:rPr>
        <w:t xml:space="preserve">[41] B. Hitchcock, N. Le-Khac, and M. Scanlon, "Tiered Evaluation Frameworks for Digital Forensic Tools: A Research Agenda," IEEE </w:t>
      </w:r>
      <w:r>
        <w:rPr>
          <w:sz w:val="20"/>
        </w:rPr>
        <w:t>Access, vol. 13, pp. 23001–23018, 2025.</w:t>
      </w:r>
    </w:p>
    <w:p w:rsidR="00EC75FD" w:rsidRDefault="001D57CD">
      <w:pPr>
        <w:spacing w:after="40"/>
        <w:ind w:left="340" w:hanging="340"/>
      </w:pPr>
      <w:r>
        <w:rPr>
          <w:sz w:val="20"/>
        </w:rPr>
        <w:t>[42] K. Conlan, I. Baggili, and F. Breitinger, "Anti-Forensic and Forensic-Resistant Behaviours in Open-Source Acquisition Scripts," Digital Investigation, vol. 50, pp. 301–319, 2024.</w:t>
      </w:r>
    </w:p>
    <w:p w:rsidR="00EC75FD" w:rsidRDefault="001D57CD">
      <w:pPr>
        <w:spacing w:after="40"/>
        <w:ind w:left="340" w:hanging="340"/>
      </w:pPr>
      <w:r>
        <w:rPr>
          <w:sz w:val="20"/>
        </w:rPr>
        <w:t>[43] M. Hargreaves and J. Patter</w:t>
      </w:r>
      <w:r>
        <w:rPr>
          <w:sz w:val="20"/>
        </w:rPr>
        <w:t>son, "Extensible Module Contracts for Forensic Acquisition Pipelines," in Proc. IEEE Int. Conf. on Digital Forensics and Cyber Crime (ICDF2C), New York, NY, USA, Nov. 2024, pp. 71–84.</w:t>
      </w:r>
    </w:p>
    <w:p w:rsidR="00EC75FD" w:rsidRDefault="001D57CD">
      <w:pPr>
        <w:spacing w:after="40"/>
        <w:ind w:left="340" w:hanging="340"/>
      </w:pPr>
      <w:r>
        <w:rPr>
          <w:sz w:val="20"/>
        </w:rPr>
        <w:t>[44] B. Schatz, "On the Reliability of Software-Based Live Forensics," i</w:t>
      </w:r>
      <w:r>
        <w:rPr>
          <w:sz w:val="20"/>
        </w:rPr>
        <w:t>n Proc. IEEE Int. Workshop on Systematic Approaches to Digital Forensic Eng. (SADFE), 2024, pp. 11–22.</w:t>
      </w:r>
    </w:p>
    <w:p w:rsidR="00EC75FD" w:rsidRDefault="001D57CD">
      <w:pPr>
        <w:spacing w:after="40"/>
        <w:ind w:left="340" w:hanging="340"/>
      </w:pPr>
      <w:r>
        <w:rPr>
          <w:sz w:val="20"/>
        </w:rPr>
        <w:t>[45] C. McQuaid, "Windows Registry Forensics: A 2025 Reference Guide," Cyber Triage Inc., 2025. [Online]. Available: https://www.cybertriage.com/blog/win</w:t>
      </w:r>
      <w:r>
        <w:rPr>
          <w:sz w:val="20"/>
        </w:rPr>
        <w:t>dows-registry-forensics-cheat-sheet-2026/</w:t>
      </w:r>
    </w:p>
    <w:p w:rsidR="00EC75FD" w:rsidRDefault="001D57CD">
      <w:pPr>
        <w:spacing w:after="40"/>
        <w:ind w:left="340" w:hanging="340"/>
      </w:pPr>
      <w:r>
        <w:rPr>
          <w:sz w:val="20"/>
        </w:rPr>
        <w:t>[46] J. Lyle, "Compliance, Authenticity, and Reproducibility in Digital Forensics," IEEE Security &amp; Privacy, vol. 22, no. 5, pp. 18–27, 2024.</w:t>
      </w:r>
    </w:p>
    <w:p w:rsidR="00EC75FD" w:rsidRDefault="001D57CD">
      <w:pPr>
        <w:spacing w:after="40"/>
        <w:ind w:left="340" w:hanging="340"/>
      </w:pPr>
      <w:r>
        <w:rPr>
          <w:sz w:val="20"/>
        </w:rPr>
        <w:t>[47] Magnet Forensics, "AXIOM Cyber 8.x Release Notes — Artefact Coverag</w:t>
      </w:r>
      <w:r>
        <w:rPr>
          <w:sz w:val="20"/>
        </w:rPr>
        <w:t>e Reference," Magnet Forensics Inc., 2025.</w:t>
      </w:r>
    </w:p>
    <w:p w:rsidR="00EC75FD" w:rsidRDefault="001D57CD">
      <w:pPr>
        <w:spacing w:after="40"/>
        <w:ind w:left="340" w:hanging="340"/>
      </w:pPr>
      <w:r>
        <w:rPr>
          <w:sz w:val="20"/>
        </w:rPr>
        <w:t>[48] Microsoft Corporation, "Deprecation of WMIC in Windows 11 and Windows Server 2025," Microsoft Learn, 2024. [Online]. Available: https://learn.microsoft.com/en-us/windows/whats-new/</w:t>
      </w:r>
    </w:p>
    <w:p w:rsidR="00EC75FD" w:rsidRDefault="001D57CD">
      <w:pPr>
        <w:spacing w:after="40"/>
        <w:ind w:left="340" w:hanging="340"/>
      </w:pPr>
      <w:r>
        <w:rPr>
          <w:sz w:val="20"/>
        </w:rPr>
        <w:t>[49] A. Marcella and F. Gui</w:t>
      </w:r>
      <w:r>
        <w:rPr>
          <w:sz w:val="20"/>
        </w:rPr>
        <w:t>llossou, "SQLite Forensics for Browser History on Windows: Methods and Pitfalls," IEEE Access, vol. 12, pp. 64005–64020, 2024.</w:t>
      </w:r>
    </w:p>
    <w:p w:rsidR="00EC75FD" w:rsidRDefault="001D57CD">
      <w:pPr>
        <w:spacing w:after="40"/>
        <w:ind w:left="340" w:hanging="340"/>
      </w:pPr>
      <w:r>
        <w:rPr>
          <w:sz w:val="20"/>
        </w:rPr>
        <w:t>[50] StatCounter, "Browser Market Share — Desktop and Mobile, Worldwide," StatCounter, 2025. [Online]. Available: https://gs.stat</w:t>
      </w:r>
      <w:r>
        <w:rPr>
          <w:sz w:val="20"/>
        </w:rPr>
        <w:t>counter.com/</w:t>
      </w:r>
    </w:p>
    <w:p w:rsidR="00EC75FD" w:rsidRDefault="001D57CD">
      <w:pPr>
        <w:spacing w:after="40"/>
        <w:ind w:left="340" w:hanging="340"/>
      </w:pPr>
      <w:r>
        <w:rPr>
          <w:sz w:val="20"/>
        </w:rPr>
        <w:lastRenderedPageBreak/>
        <w:t>[51] S. Banerjee and A. Bose, "Advancing Web Browser Forensics: Critical Evaluation of Emerging Tools and Techniques," SN Computer Science, vol. 6, no. 4, p. 391, 2025.</w:t>
      </w:r>
    </w:p>
    <w:p w:rsidR="00EC75FD" w:rsidRDefault="001D57CD">
      <w:pPr>
        <w:spacing w:after="40"/>
        <w:ind w:left="340" w:hanging="340"/>
      </w:pPr>
      <w:r>
        <w:rPr>
          <w:sz w:val="20"/>
        </w:rPr>
        <w:t>[52] G. Saraswat and M. Vishwakarma, "A Comparative Study of Firefox place</w:t>
      </w:r>
      <w:r>
        <w:rPr>
          <w:sz w:val="20"/>
        </w:rPr>
        <w:t>s.sqlite Forensic Recovery Techniques," in Proc. IEEE Int. Conf. on Inventive Computation Technol. (ICICT), 2024, pp. 612–618.</w:t>
      </w:r>
    </w:p>
    <w:p w:rsidR="00EC75FD" w:rsidRDefault="001D57CD">
      <w:pPr>
        <w:spacing w:after="40"/>
        <w:ind w:left="340" w:hanging="340"/>
      </w:pPr>
      <w:r>
        <w:rPr>
          <w:sz w:val="20"/>
        </w:rPr>
        <w:t>[53] N. M. Karie, V. R. Kebande, and H. S. Venter, "On the Volatility Window: A Quantitative Study of Live-Acquisition Race Condi</w:t>
      </w:r>
      <w:r>
        <w:rPr>
          <w:sz w:val="20"/>
        </w:rPr>
        <w:t>tions," IEEE Trans. Inf. Forensics Security, vol. 20, pp. 1024–1038, 2025.</w:t>
      </w:r>
    </w:p>
    <w:p w:rsidR="00EC75FD" w:rsidRDefault="001D57CD">
      <w:pPr>
        <w:spacing w:after="40"/>
        <w:ind w:left="340" w:hanging="340"/>
      </w:pPr>
      <w:r>
        <w:rPr>
          <w:sz w:val="20"/>
        </w:rPr>
        <w:t>[54] T. Grobler, C. Louwrens, and S. von Solms, "Process-Hash Triage for Endpoint Detection and Response," IEEE Access, vol. 13, pp. 1721–1736, 2025.</w:t>
      </w:r>
    </w:p>
    <w:p w:rsidR="00EC75FD" w:rsidRDefault="001D57CD">
      <w:pPr>
        <w:spacing w:after="40"/>
        <w:ind w:left="340" w:hanging="340"/>
      </w:pPr>
      <w:r>
        <w:rPr>
          <w:sz w:val="20"/>
        </w:rPr>
        <w:t>[55] M. Russinovich, Windows In</w:t>
      </w:r>
      <w:r>
        <w:rPr>
          <w:sz w:val="20"/>
        </w:rPr>
        <w:t>ternals, Part 1: System Architecture, Processes, Threads, Memory Management, and More, 8th ed. Redmond, WA, USA: Microsoft Press, 2024.</w:t>
      </w:r>
    </w:p>
    <w:p w:rsidR="00EC75FD" w:rsidRDefault="001D57CD">
      <w:pPr>
        <w:spacing w:after="40"/>
        <w:ind w:left="340" w:hanging="340"/>
      </w:pPr>
      <w:r>
        <w:rPr>
          <w:sz w:val="20"/>
        </w:rPr>
        <w:t>[56] D. P. Bertsekas et al., "Adversary Tradecraft on Windows: A 2024 Review of PowerShell and Living-Off-The-Land Techn</w:t>
      </w:r>
      <w:r>
        <w:rPr>
          <w:sz w:val="20"/>
        </w:rPr>
        <w:t>iques," IEEE Trans. Dependable Secure Comput., vol. 22, no. 1, pp. 88–105, 2025.</w:t>
      </w:r>
    </w:p>
    <w:p w:rsidR="00EC75FD" w:rsidRDefault="001D57CD">
      <w:pPr>
        <w:spacing w:after="40"/>
        <w:ind w:left="340" w:hanging="340"/>
      </w:pPr>
      <w:r>
        <w:rPr>
          <w:sz w:val="20"/>
        </w:rPr>
        <w:t>[57] D. Cowen, Computer Forensics InfoSec Pro Guide, 2nd ed. New York, NY, USA: McGraw-Hill, 2024.</w:t>
      </w:r>
    </w:p>
    <w:p w:rsidR="00EC75FD" w:rsidRDefault="001D57CD">
      <w:pPr>
        <w:spacing w:after="40"/>
        <w:ind w:left="340" w:hanging="340"/>
      </w:pPr>
      <w:r>
        <w:rPr>
          <w:sz w:val="20"/>
        </w:rPr>
        <w:t>[58] B. Singh and R. Sharma, "Forensic Significance of LNK and JumpList Arte</w:t>
      </w:r>
      <w:r>
        <w:rPr>
          <w:sz w:val="20"/>
        </w:rPr>
        <w:t>facts on Windows 11," in Proc. IEEE Int. Conf. on Communication Systems and Network Technologies (CSNT), 2024, pp. 312–319.</w:t>
      </w:r>
    </w:p>
    <w:p w:rsidR="00EC75FD" w:rsidRDefault="001D57CD">
      <w:pPr>
        <w:spacing w:after="40"/>
        <w:ind w:left="340" w:hanging="340"/>
      </w:pPr>
      <w:r>
        <w:rPr>
          <w:sz w:val="20"/>
        </w:rPr>
        <w:t>[59] S. T. Alharbi and A. M. Abdullah, "Blockchain-Based Chain of Custody for Digital Evidence: A Systematic Review," IEEE Access, v</w:t>
      </w:r>
      <w:r>
        <w:rPr>
          <w:sz w:val="20"/>
        </w:rPr>
        <w:t>ol. 13, pp. 6011–6038, 2025.</w:t>
      </w:r>
    </w:p>
    <w:p w:rsidR="00EC75FD" w:rsidRDefault="001D57CD">
      <w:pPr>
        <w:spacing w:after="40"/>
        <w:ind w:left="340" w:hanging="340"/>
      </w:pPr>
      <w:r>
        <w:rPr>
          <w:sz w:val="20"/>
        </w:rPr>
        <w:t>[60] R. Akinyemi and O. Adebiyi, "Tamper-Evident Forensic Evidence Storage Using Hash-Linked Ledgers," in Proc. IEEE Int. Conf. on Cyber Security and Resilience (CSR), 2024, pp. 401–410.</w:t>
      </w:r>
    </w:p>
    <w:p w:rsidR="00EC75FD" w:rsidRDefault="001D57CD">
      <w:pPr>
        <w:spacing w:after="40"/>
        <w:ind w:left="340" w:hanging="340"/>
      </w:pPr>
      <w:r>
        <w:rPr>
          <w:sz w:val="20"/>
        </w:rPr>
        <w:t>[61] Python Cryptographic Authority, "py</w:t>
      </w:r>
      <w:r>
        <w:rPr>
          <w:sz w:val="20"/>
        </w:rPr>
        <w:t>zipper: AES-Encrypted ZIP Extension for Python," 2024. [Online]. Available: https://pypi.org/project/pyzipper/</w:t>
      </w:r>
    </w:p>
    <w:p w:rsidR="00EC75FD" w:rsidRDefault="001D57CD">
      <w:pPr>
        <w:spacing w:after="40"/>
        <w:ind w:left="340" w:hanging="340"/>
      </w:pPr>
      <w:r>
        <w:rPr>
          <w:sz w:val="20"/>
        </w:rPr>
        <w:t>[62] B. Carrier and J. Spafford, "Triage Forensics in the Era of Cloud and Remote Work," IEEE Security &amp; Privacy, vol. 23, no. 1, pp. 44–53, 2025</w:t>
      </w:r>
      <w:r>
        <w:rPr>
          <w:sz w:val="20"/>
        </w:rPr>
        <w:t>.</w:t>
      </w:r>
    </w:p>
    <w:p w:rsidR="00EC75FD" w:rsidRDefault="001D57CD">
      <w:pPr>
        <w:spacing w:after="40"/>
        <w:ind w:left="340" w:hanging="340"/>
      </w:pPr>
      <w:r>
        <w:rPr>
          <w:sz w:val="20"/>
        </w:rPr>
        <w:t>[63] N. Beebe and J. Clark, "Dead-Box versus Live-Box Forensics: A 2024 Reassessment," Digital Investigation, vol. 49, pp. 301–317, 2024.</w:t>
      </w:r>
    </w:p>
    <w:p w:rsidR="00EC75FD" w:rsidRDefault="001D57CD">
      <w:pPr>
        <w:spacing w:after="40"/>
        <w:ind w:left="340" w:hanging="340"/>
      </w:pPr>
      <w:r>
        <w:rPr>
          <w:sz w:val="20"/>
        </w:rPr>
        <w:t>[64] A. Case and G. G. Richard III, "Memory Forensics: The Path Forward," IEEE Security &amp; Privacy, vol. 22, no. 6, p</w:t>
      </w:r>
      <w:r>
        <w:rPr>
          <w:sz w:val="20"/>
        </w:rPr>
        <w:t>p. 65–73, 2024.</w:t>
      </w:r>
    </w:p>
    <w:p w:rsidR="00EC75FD" w:rsidRDefault="001D57CD">
      <w:pPr>
        <w:spacing w:after="40"/>
        <w:ind w:left="340" w:hanging="340"/>
      </w:pPr>
      <w:r>
        <w:rPr>
          <w:sz w:val="20"/>
        </w:rPr>
        <w:t>[65] J. Wang, F. Zhang, and X. Yang, "Threat Intelligence Correlation Using Executable Hashes: A Quantitative Study," IEEE Trans. Inf. Forensics Security, vol. 20, pp. 2510-2525, 2025.</w:t>
      </w:r>
    </w:p>
    <w:p w:rsidR="00EC75FD" w:rsidRDefault="001D57CD">
      <w:pPr>
        <w:spacing w:after="40"/>
        <w:ind w:left="340" w:hanging="340"/>
      </w:pPr>
      <w:r>
        <w:rPr>
          <w:sz w:val="20"/>
        </w:rPr>
        <w:t>[66] MITRE Corporation, "MITRE ATT&amp;CK Framework v15 - P</w:t>
      </w:r>
      <w:r>
        <w:rPr>
          <w:sz w:val="20"/>
        </w:rPr>
        <w:t>ersistence Tactic Reference," MITRE, 2024. [Online]. Available: https://attack.mitre.org/</w:t>
      </w:r>
    </w:p>
    <w:sectPr w:rsidR="00EC75FD">
      <w:headerReference w:type="default" r:id="rId15"/>
      <w:foot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7CD" w:rsidRDefault="001D57CD">
      <w:r>
        <w:separator/>
      </w:r>
    </w:p>
  </w:endnote>
  <w:endnote w:type="continuationSeparator" w:id="0">
    <w:p w:rsidR="001D57CD" w:rsidRDefault="001D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5FD" w:rsidRDefault="001D57CD">
    <w:pPr>
      <w:jc w:val="center"/>
    </w:pPr>
    <w:r>
      <w:rPr>
        <w:rFonts w:cs="Times New Roman"/>
        <w:sz w:val="18"/>
        <w:szCs w:val="18"/>
      </w:rPr>
      <w:t xml:space="preserve">Page </w:t>
    </w:r>
    <w:r>
      <w:rPr>
        <w:rFonts w:cs="Times New Roman"/>
        <w:sz w:val="18"/>
        <w:szCs w:val="18"/>
      </w:rPr>
      <w:fldChar w:fldCharType="begin"/>
    </w:r>
    <w:r>
      <w:rPr>
        <w:rFonts w:cs="Times New Roman"/>
        <w:sz w:val="18"/>
        <w:szCs w:val="18"/>
      </w:rPr>
      <w:instrText>PAGE</w:instrText>
    </w:r>
    <w:r w:rsidR="002A57B2">
      <w:rPr>
        <w:rFonts w:cs="Times New Roman"/>
        <w:sz w:val="18"/>
        <w:szCs w:val="18"/>
      </w:rPr>
      <w:fldChar w:fldCharType="separate"/>
    </w:r>
    <w:r w:rsidR="002A57B2">
      <w:rPr>
        <w:rFonts w:cs="Times New Roman"/>
        <w:noProof/>
        <w:sz w:val="18"/>
        <w:szCs w:val="18"/>
      </w:rPr>
      <w:t>1</w:t>
    </w:r>
    <w:r>
      <w:rPr>
        <w:rFonts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7CD" w:rsidRDefault="001D57CD">
      <w:r>
        <w:separator/>
      </w:r>
    </w:p>
  </w:footnote>
  <w:footnote w:type="continuationSeparator" w:id="0">
    <w:p w:rsidR="001D57CD" w:rsidRDefault="001D5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5FD" w:rsidRDefault="001D57CD">
    <w:pPr>
      <w:jc w:val="right"/>
    </w:pPr>
    <w:r>
      <w:rPr>
        <w:rFonts w:cs="Times New Roman"/>
        <w:i/>
        <w:iCs/>
        <w:color w:val="888888"/>
        <w:sz w:val="18"/>
        <w:szCs w:val="18"/>
      </w:rPr>
      <w:t>Lightweight Cost-Effective Digital Forensics Acquisition Tool for Windows Systems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182254"/>
    <w:multiLevelType w:val="hybridMultilevel"/>
    <w:tmpl w:val="3D9C02D8"/>
    <w:lvl w:ilvl="0" w:tplc="979CAF24">
      <w:start w:val="1"/>
      <w:numFmt w:val="bullet"/>
      <w:lvlText w:val="●"/>
      <w:lvlJc w:val="left"/>
      <w:pPr>
        <w:ind w:left="720" w:hanging="360"/>
      </w:pPr>
    </w:lvl>
    <w:lvl w:ilvl="1" w:tplc="7CF8DAD0">
      <w:start w:val="1"/>
      <w:numFmt w:val="bullet"/>
      <w:lvlText w:val="○"/>
      <w:lvlJc w:val="left"/>
      <w:pPr>
        <w:ind w:left="1440" w:hanging="360"/>
      </w:pPr>
    </w:lvl>
    <w:lvl w:ilvl="2" w:tplc="F09C3C18">
      <w:start w:val="1"/>
      <w:numFmt w:val="bullet"/>
      <w:lvlText w:val="■"/>
      <w:lvlJc w:val="left"/>
      <w:pPr>
        <w:ind w:left="2160" w:hanging="360"/>
      </w:pPr>
    </w:lvl>
    <w:lvl w:ilvl="3" w:tplc="B26C4D84">
      <w:start w:val="1"/>
      <w:numFmt w:val="bullet"/>
      <w:lvlText w:val="●"/>
      <w:lvlJc w:val="left"/>
      <w:pPr>
        <w:ind w:left="2880" w:hanging="360"/>
      </w:pPr>
    </w:lvl>
    <w:lvl w:ilvl="4" w:tplc="1C0C64D8">
      <w:start w:val="1"/>
      <w:numFmt w:val="bullet"/>
      <w:lvlText w:val="○"/>
      <w:lvlJc w:val="left"/>
      <w:pPr>
        <w:ind w:left="3600" w:hanging="360"/>
      </w:pPr>
    </w:lvl>
    <w:lvl w:ilvl="5" w:tplc="393E83D8">
      <w:start w:val="1"/>
      <w:numFmt w:val="bullet"/>
      <w:lvlText w:val="■"/>
      <w:lvlJc w:val="left"/>
      <w:pPr>
        <w:ind w:left="4320" w:hanging="360"/>
      </w:pPr>
    </w:lvl>
    <w:lvl w:ilvl="6" w:tplc="8996E56C">
      <w:start w:val="1"/>
      <w:numFmt w:val="bullet"/>
      <w:lvlText w:val="●"/>
      <w:lvlJc w:val="left"/>
      <w:pPr>
        <w:ind w:left="5040" w:hanging="360"/>
      </w:pPr>
    </w:lvl>
    <w:lvl w:ilvl="7" w:tplc="F3E4F396">
      <w:start w:val="1"/>
      <w:numFmt w:val="bullet"/>
      <w:lvlText w:val="●"/>
      <w:lvlJc w:val="left"/>
      <w:pPr>
        <w:ind w:left="5760" w:hanging="360"/>
      </w:pPr>
    </w:lvl>
    <w:lvl w:ilvl="8" w:tplc="73A88C9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5FD"/>
    <w:rsid w:val="001D57CD"/>
    <w:rsid w:val="002A57B2"/>
    <w:rsid w:val="00EC75FD"/>
  </w:rsids>
  <m:mathPr>
    <m:mathFont m:val="Cambria Math"/>
    <m:brkBin m:val="before"/>
    <m:brkBinSub m:val="--"/>
    <m:smallFrac m:val="0"/>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B0216-91B9-4DA5-9BBD-8B185EA7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sa-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paragraph" w:styleId="Heading1">
    <w:name w:val="heading 1"/>
    <w:qFormat/>
    <w:pPr>
      <w:spacing w:before="360" w:after="200"/>
      <w:outlineLvl w:val="0"/>
    </w:pPr>
    <w:rPr>
      <w:b/>
      <w:bCs/>
      <w:sz w:val="32"/>
      <w:szCs w:val="32"/>
    </w:rPr>
  </w:style>
  <w:style w:type="paragraph" w:styleId="Heading2">
    <w:name w:val="heading 2"/>
    <w:qFormat/>
    <w:pPr>
      <w:spacing w:before="280" w:after="160"/>
      <w:outlineLvl w:val="1"/>
    </w:pPr>
    <w:rPr>
      <w:b/>
      <w:bCs/>
      <w:sz w:val="26"/>
      <w:szCs w:val="26"/>
    </w:rPr>
  </w:style>
  <w:style w:type="paragraph" w:styleId="Heading3">
    <w:name w:val="heading 3"/>
    <w:qFormat/>
    <w:pPr>
      <w:spacing w:before="200" w:after="120"/>
      <w:outlineLvl w:val="2"/>
    </w:pPr>
    <w:rPr>
      <w:b/>
      <w:bCs/>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2A57B2"/>
    <w:pPr>
      <w:spacing w:after="100"/>
    </w:pPr>
    <w:rPr>
      <w:szCs w:val="21"/>
    </w:rPr>
  </w:style>
  <w:style w:type="paragraph" w:styleId="TOC2">
    <w:name w:val="toc 2"/>
    <w:basedOn w:val="Normal"/>
    <w:next w:val="Normal"/>
    <w:autoRedefine/>
    <w:uiPriority w:val="39"/>
    <w:unhideWhenUsed/>
    <w:rsid w:val="002A57B2"/>
    <w:pPr>
      <w:spacing w:after="100"/>
      <w:ind w:left="240"/>
    </w:pPr>
    <w:rPr>
      <w:szCs w:val="21"/>
    </w:rPr>
  </w:style>
  <w:style w:type="paragraph" w:styleId="TOC3">
    <w:name w:val="toc 3"/>
    <w:basedOn w:val="Normal"/>
    <w:next w:val="Normal"/>
    <w:autoRedefine/>
    <w:uiPriority w:val="39"/>
    <w:unhideWhenUsed/>
    <w:rsid w:val="002A57B2"/>
    <w:pPr>
      <w:spacing w:after="100"/>
      <w:ind w:left="48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48</Pages>
  <Words>20259</Words>
  <Characters>115477</Characters>
  <Application>Microsoft Office Word</Application>
  <DocSecurity>0</DocSecurity>
  <Lines>962</Lines>
  <Paragraphs>270</Paragraphs>
  <ScaleCrop>false</ScaleCrop>
  <Company/>
  <LinksUpToDate>false</LinksUpToDate>
  <CharactersWithSpaces>135466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2</cp:revision>
  <dcterms:created xsi:type="dcterms:W3CDTF">2026-05-17T10:13:00Z</dcterms:created>
  <dcterms:modified xsi:type="dcterms:W3CDTF">2026-05-17T10:53:00Z</dcterms:modified>
</cp:coreProperties>
</file>