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E79DC" w14:textId="33FFD246" w:rsidR="00375457" w:rsidRPr="00375457" w:rsidRDefault="00375457">
      <w:pPr>
        <w:rPr>
          <w:rFonts w:ascii="Arial" w:hAnsi="Arial" w:cs="Arial"/>
        </w:rPr>
      </w:pPr>
      <w:r w:rsidRPr="00375457">
        <w:rPr>
          <w:rFonts w:ascii="Arial" w:hAnsi="Arial" w:cs="Arial"/>
        </w:rPr>
        <w:t>Name: Nikola Balazova 2315841</w:t>
      </w:r>
    </w:p>
    <w:p w14:paraId="0992AC3E" w14:textId="630BDC78" w:rsidR="00375457" w:rsidRPr="00375457" w:rsidRDefault="00375457">
      <w:pPr>
        <w:rPr>
          <w:rFonts w:ascii="Arial" w:hAnsi="Arial" w:cs="Arial"/>
        </w:rPr>
      </w:pPr>
      <w:r w:rsidRPr="00375457">
        <w:rPr>
          <w:rFonts w:ascii="Arial" w:hAnsi="Arial" w:cs="Arial"/>
        </w:rPr>
        <w:t>Programme: Master of Business Administration</w:t>
      </w:r>
    </w:p>
    <w:p w14:paraId="55D1EC1A" w14:textId="377FEF0A" w:rsidR="00375457" w:rsidRPr="00375457" w:rsidRDefault="00375457" w:rsidP="00375457">
      <w:pPr>
        <w:spacing w:before="120" w:after="120"/>
        <w:rPr>
          <w:rFonts w:ascii="Arial" w:hAnsi="Arial" w:cs="Arial"/>
        </w:rPr>
      </w:pPr>
      <w:r w:rsidRPr="00375457">
        <w:rPr>
          <w:rFonts w:ascii="Arial" w:hAnsi="Arial" w:cs="Arial"/>
        </w:rPr>
        <w:t>Module: Marketing Management</w:t>
      </w:r>
    </w:p>
    <w:p w14:paraId="6BA12215" w14:textId="28E77BA1" w:rsidR="00375457" w:rsidRPr="00375457" w:rsidRDefault="00375457" w:rsidP="00375457">
      <w:pPr>
        <w:spacing w:before="120" w:after="120"/>
        <w:rPr>
          <w:rFonts w:ascii="Arial" w:hAnsi="Arial" w:cs="Arial"/>
        </w:rPr>
      </w:pPr>
      <w:r w:rsidRPr="00375457">
        <w:rPr>
          <w:rFonts w:ascii="Arial" w:hAnsi="Arial" w:cs="Arial"/>
        </w:rPr>
        <w:t>Module code: LCMB7024</w:t>
      </w:r>
    </w:p>
    <w:p w14:paraId="62074AD2" w14:textId="19F7CEF4" w:rsidR="00375457" w:rsidRDefault="00375457" w:rsidP="00375457">
      <w:pPr>
        <w:tabs>
          <w:tab w:val="left" w:pos="2890"/>
        </w:tabs>
        <w:spacing w:before="120" w:after="120"/>
        <w:rPr>
          <w:rFonts w:ascii="Arial" w:hAnsi="Arial" w:cs="Arial"/>
        </w:rPr>
      </w:pPr>
      <w:r w:rsidRPr="00375457">
        <w:rPr>
          <w:rFonts w:ascii="Arial" w:eastAsia="Cambria" w:hAnsi="Arial" w:cs="Arial"/>
        </w:rPr>
        <w:t xml:space="preserve">Lecturer: </w:t>
      </w:r>
      <w:r w:rsidRPr="00375457">
        <w:rPr>
          <w:rFonts w:ascii="Arial" w:hAnsi="Arial" w:cs="Arial"/>
        </w:rPr>
        <w:t>Taonga Kaonga Sobere-Snithers</w:t>
      </w:r>
    </w:p>
    <w:p w14:paraId="0E9CDAC3" w14:textId="29733A31" w:rsidR="00375457" w:rsidRPr="00375457" w:rsidRDefault="00375457" w:rsidP="00375457">
      <w:pPr>
        <w:tabs>
          <w:tab w:val="left" w:pos="2890"/>
        </w:tabs>
        <w:spacing w:before="120" w:after="120"/>
        <w:rPr>
          <w:rFonts w:ascii="Arial" w:hAnsi="Arial" w:cs="Arial"/>
          <w:bCs/>
        </w:rPr>
      </w:pPr>
      <w:r w:rsidRPr="00375457">
        <w:rPr>
          <w:rFonts w:ascii="Arial" w:hAnsi="Arial" w:cs="Arial"/>
          <w:bCs/>
        </w:rPr>
        <w:t>Assignment Title: Assessment component 1: Marketing Environment Analysis</w:t>
      </w:r>
    </w:p>
    <w:p w14:paraId="4F288062" w14:textId="047370E2" w:rsidR="00375457" w:rsidRPr="00375457" w:rsidRDefault="00375457" w:rsidP="00375457">
      <w:pPr>
        <w:tabs>
          <w:tab w:val="left" w:pos="2890"/>
        </w:tabs>
        <w:spacing w:before="120" w:after="120"/>
        <w:rPr>
          <w:rFonts w:ascii="Arial" w:hAnsi="Arial" w:cs="Arial"/>
          <w:bCs/>
          <w:color w:val="000000" w:themeColor="text1"/>
        </w:rPr>
      </w:pPr>
      <w:r w:rsidRPr="00375457">
        <w:rPr>
          <w:rFonts w:ascii="Arial" w:hAnsi="Arial" w:cs="Arial"/>
          <w:bCs/>
        </w:rPr>
        <w:t xml:space="preserve">Word count: 2,500 Words </w:t>
      </w:r>
      <w:r w:rsidRPr="00375457">
        <w:rPr>
          <w:rFonts w:ascii="Arial" w:hAnsi="Arial" w:cs="Arial"/>
          <w:bCs/>
          <w:color w:val="000000" w:themeColor="text1"/>
        </w:rPr>
        <w:t>(± 10%)</w:t>
      </w:r>
    </w:p>
    <w:p w14:paraId="5E2ABD68" w14:textId="78FCC366" w:rsidR="00375457" w:rsidRDefault="00375457" w:rsidP="00375457">
      <w:pPr>
        <w:tabs>
          <w:tab w:val="left" w:pos="2890"/>
        </w:tabs>
        <w:spacing w:before="120" w:after="120"/>
        <w:rPr>
          <w:rFonts w:ascii="Arial" w:hAnsi="Arial" w:cs="Arial"/>
          <w:bCs/>
          <w:color w:val="000000" w:themeColor="text1"/>
        </w:rPr>
      </w:pPr>
      <w:r w:rsidRPr="00375457">
        <w:rPr>
          <w:rFonts w:ascii="Arial" w:hAnsi="Arial" w:cs="Arial"/>
          <w:bCs/>
          <w:color w:val="000000" w:themeColor="text1"/>
        </w:rPr>
        <w:t>Submission deadline: Week 7. Thursday 22</w:t>
      </w:r>
      <w:r w:rsidRPr="00375457">
        <w:rPr>
          <w:rFonts w:ascii="Arial" w:hAnsi="Arial" w:cs="Arial"/>
          <w:bCs/>
          <w:color w:val="000000" w:themeColor="text1"/>
          <w:vertAlign w:val="superscript"/>
        </w:rPr>
        <w:t>nd</w:t>
      </w:r>
      <w:r w:rsidRPr="00375457">
        <w:rPr>
          <w:rFonts w:ascii="Arial" w:hAnsi="Arial" w:cs="Arial"/>
          <w:bCs/>
          <w:color w:val="000000" w:themeColor="text1"/>
        </w:rPr>
        <w:t xml:space="preserve"> October 2026. By 2 PM</w:t>
      </w:r>
    </w:p>
    <w:p w14:paraId="7817EC49" w14:textId="77777777" w:rsidR="00C47AA3" w:rsidRDefault="00C47AA3" w:rsidP="00375457">
      <w:pPr>
        <w:tabs>
          <w:tab w:val="left" w:pos="2890"/>
        </w:tabs>
        <w:spacing w:before="120" w:after="120"/>
        <w:rPr>
          <w:rFonts w:ascii="Arial" w:hAnsi="Arial" w:cs="Arial"/>
          <w:bCs/>
          <w:color w:val="000000" w:themeColor="text1"/>
        </w:rPr>
      </w:pPr>
    </w:p>
    <w:p w14:paraId="2262BC80" w14:textId="77777777" w:rsidR="00C47AA3" w:rsidRDefault="00C47AA3" w:rsidP="00375457">
      <w:pPr>
        <w:tabs>
          <w:tab w:val="left" w:pos="2890"/>
        </w:tabs>
        <w:spacing w:before="120" w:after="120"/>
        <w:rPr>
          <w:rFonts w:ascii="Arial" w:hAnsi="Arial" w:cs="Arial"/>
          <w:bCs/>
          <w:color w:val="000000" w:themeColor="text1"/>
        </w:rPr>
      </w:pPr>
    </w:p>
    <w:p w14:paraId="5D8972EF" w14:textId="77777777" w:rsidR="00C47AA3" w:rsidRDefault="00C47AA3" w:rsidP="00375457">
      <w:pPr>
        <w:tabs>
          <w:tab w:val="left" w:pos="2890"/>
        </w:tabs>
        <w:spacing w:before="120" w:after="120"/>
        <w:rPr>
          <w:rFonts w:ascii="Arial" w:hAnsi="Arial" w:cs="Arial"/>
          <w:bCs/>
          <w:color w:val="000000" w:themeColor="text1"/>
        </w:rPr>
      </w:pPr>
    </w:p>
    <w:p w14:paraId="5685236F" w14:textId="77777777" w:rsidR="00375457" w:rsidRDefault="00375457" w:rsidP="00375457">
      <w:pPr>
        <w:tabs>
          <w:tab w:val="left" w:pos="2890"/>
        </w:tabs>
        <w:spacing w:before="120" w:after="120"/>
        <w:rPr>
          <w:rFonts w:ascii="Arial" w:hAnsi="Arial" w:cs="Arial"/>
          <w:bCs/>
          <w:color w:val="000000" w:themeColor="text1"/>
        </w:rPr>
      </w:pPr>
    </w:p>
    <w:p w14:paraId="3D611F07" w14:textId="64BDF393" w:rsidR="00375457" w:rsidRDefault="005730E9" w:rsidP="00375457">
      <w:pPr>
        <w:tabs>
          <w:tab w:val="left" w:pos="2890"/>
        </w:tabs>
        <w:spacing w:before="120" w:after="120"/>
        <w:rPr>
          <w:rFonts w:ascii="Arial" w:hAnsi="Arial" w:cs="Arial"/>
          <w:bCs/>
          <w:color w:val="000000" w:themeColor="text1"/>
        </w:rPr>
      </w:pPr>
      <w:r>
        <w:rPr>
          <w:rFonts w:ascii="Arial" w:hAnsi="Arial" w:cs="Arial"/>
          <w:bCs/>
          <w:color w:val="000000" w:themeColor="text1"/>
        </w:rPr>
        <w:t>Topic</w:t>
      </w:r>
    </w:p>
    <w:p w14:paraId="57F312FA" w14:textId="1C621D4F" w:rsidR="005730E9" w:rsidRDefault="005730E9" w:rsidP="00375457">
      <w:pPr>
        <w:tabs>
          <w:tab w:val="left" w:pos="2890"/>
        </w:tabs>
        <w:spacing w:before="120" w:after="120"/>
        <w:rPr>
          <w:rFonts w:ascii="Arial" w:hAnsi="Arial" w:cs="Arial"/>
          <w:b/>
          <w:bCs/>
        </w:rPr>
      </w:pPr>
      <w:r w:rsidRPr="005730E9">
        <w:rPr>
          <w:rFonts w:ascii="Arial" w:hAnsi="Arial" w:cs="Arial"/>
          <w:b/>
          <w:bCs/>
        </w:rPr>
        <w:t>Marketing Environment Analysis and Strategic Growth: Codelco, Chile</w:t>
      </w:r>
    </w:p>
    <w:p w14:paraId="2C267DFE" w14:textId="77777777" w:rsidR="005730E9" w:rsidRDefault="005730E9" w:rsidP="00375457">
      <w:pPr>
        <w:tabs>
          <w:tab w:val="left" w:pos="2890"/>
        </w:tabs>
        <w:spacing w:before="120" w:after="120"/>
        <w:rPr>
          <w:rFonts w:ascii="Arial" w:hAnsi="Arial" w:cs="Arial"/>
          <w:b/>
          <w:bCs/>
        </w:rPr>
      </w:pPr>
    </w:p>
    <w:p w14:paraId="78D8615A" w14:textId="77777777" w:rsidR="005730E9" w:rsidRDefault="005730E9" w:rsidP="00375457">
      <w:pPr>
        <w:tabs>
          <w:tab w:val="left" w:pos="2890"/>
        </w:tabs>
        <w:spacing w:before="120" w:after="120"/>
        <w:rPr>
          <w:rFonts w:ascii="Arial" w:hAnsi="Arial" w:cs="Arial"/>
          <w:b/>
          <w:bCs/>
        </w:rPr>
      </w:pPr>
    </w:p>
    <w:p w14:paraId="6283C0A1" w14:textId="77777777" w:rsidR="005730E9" w:rsidRDefault="005730E9" w:rsidP="00375457">
      <w:pPr>
        <w:tabs>
          <w:tab w:val="left" w:pos="2890"/>
        </w:tabs>
        <w:spacing w:before="120" w:after="120"/>
        <w:rPr>
          <w:rFonts w:ascii="Arial" w:hAnsi="Arial" w:cs="Arial"/>
          <w:b/>
          <w:bCs/>
        </w:rPr>
      </w:pPr>
    </w:p>
    <w:p w14:paraId="536E5355" w14:textId="77777777" w:rsidR="005730E9" w:rsidRDefault="005730E9" w:rsidP="00375457">
      <w:pPr>
        <w:tabs>
          <w:tab w:val="left" w:pos="2890"/>
        </w:tabs>
        <w:spacing w:before="120" w:after="120"/>
        <w:rPr>
          <w:rFonts w:ascii="Arial" w:hAnsi="Arial" w:cs="Arial"/>
          <w:b/>
          <w:bCs/>
        </w:rPr>
      </w:pPr>
    </w:p>
    <w:p w14:paraId="2352F9DC" w14:textId="77777777" w:rsidR="005730E9" w:rsidRDefault="005730E9" w:rsidP="00375457">
      <w:pPr>
        <w:tabs>
          <w:tab w:val="left" w:pos="2890"/>
        </w:tabs>
        <w:spacing w:before="120" w:after="120"/>
        <w:rPr>
          <w:rFonts w:ascii="Arial" w:hAnsi="Arial" w:cs="Arial"/>
          <w:b/>
          <w:bCs/>
        </w:rPr>
      </w:pPr>
    </w:p>
    <w:p w14:paraId="0ADB4F05" w14:textId="77777777" w:rsidR="005730E9" w:rsidRDefault="005730E9" w:rsidP="00375457">
      <w:pPr>
        <w:tabs>
          <w:tab w:val="left" w:pos="2890"/>
        </w:tabs>
        <w:spacing w:before="120" w:after="120"/>
        <w:rPr>
          <w:rFonts w:ascii="Arial" w:hAnsi="Arial" w:cs="Arial"/>
          <w:b/>
          <w:bCs/>
        </w:rPr>
      </w:pPr>
    </w:p>
    <w:p w14:paraId="4CB97220" w14:textId="77777777" w:rsidR="005730E9" w:rsidRDefault="005730E9" w:rsidP="00375457">
      <w:pPr>
        <w:tabs>
          <w:tab w:val="left" w:pos="2890"/>
        </w:tabs>
        <w:spacing w:before="120" w:after="120"/>
        <w:rPr>
          <w:rFonts w:ascii="Arial" w:hAnsi="Arial" w:cs="Arial"/>
          <w:b/>
          <w:bCs/>
        </w:rPr>
      </w:pPr>
    </w:p>
    <w:p w14:paraId="474531D0" w14:textId="77777777" w:rsidR="005730E9" w:rsidRDefault="005730E9" w:rsidP="00375457">
      <w:pPr>
        <w:tabs>
          <w:tab w:val="left" w:pos="2890"/>
        </w:tabs>
        <w:spacing w:before="120" w:after="120"/>
        <w:rPr>
          <w:rFonts w:ascii="Arial" w:hAnsi="Arial" w:cs="Arial"/>
          <w:b/>
          <w:bCs/>
        </w:rPr>
      </w:pPr>
    </w:p>
    <w:p w14:paraId="1A8CAB40" w14:textId="77777777" w:rsidR="005730E9" w:rsidRDefault="005730E9" w:rsidP="00375457">
      <w:pPr>
        <w:tabs>
          <w:tab w:val="left" w:pos="2890"/>
        </w:tabs>
        <w:spacing w:before="120" w:after="120"/>
        <w:rPr>
          <w:rFonts w:ascii="Arial" w:hAnsi="Arial" w:cs="Arial"/>
          <w:b/>
          <w:bCs/>
        </w:rPr>
      </w:pPr>
    </w:p>
    <w:p w14:paraId="08BDF872" w14:textId="77777777" w:rsidR="005730E9" w:rsidRDefault="005730E9" w:rsidP="00375457">
      <w:pPr>
        <w:tabs>
          <w:tab w:val="left" w:pos="2890"/>
        </w:tabs>
        <w:spacing w:before="120" w:after="120"/>
        <w:rPr>
          <w:rFonts w:ascii="Arial" w:hAnsi="Arial" w:cs="Arial"/>
          <w:b/>
          <w:bCs/>
        </w:rPr>
      </w:pPr>
    </w:p>
    <w:p w14:paraId="04DF48CA" w14:textId="77777777" w:rsidR="005730E9" w:rsidRDefault="005730E9" w:rsidP="00375457">
      <w:pPr>
        <w:tabs>
          <w:tab w:val="left" w:pos="2890"/>
        </w:tabs>
        <w:spacing w:before="120" w:after="120"/>
        <w:rPr>
          <w:rFonts w:ascii="Arial" w:hAnsi="Arial" w:cs="Arial"/>
          <w:b/>
          <w:bCs/>
        </w:rPr>
      </w:pPr>
    </w:p>
    <w:p w14:paraId="3F30DCA9" w14:textId="77777777" w:rsidR="005730E9" w:rsidRDefault="005730E9" w:rsidP="00375457">
      <w:pPr>
        <w:tabs>
          <w:tab w:val="left" w:pos="2890"/>
        </w:tabs>
        <w:spacing w:before="120" w:after="120"/>
        <w:rPr>
          <w:rFonts w:ascii="Arial" w:hAnsi="Arial" w:cs="Arial"/>
          <w:b/>
          <w:bCs/>
        </w:rPr>
      </w:pPr>
    </w:p>
    <w:p w14:paraId="77D5142C" w14:textId="77777777" w:rsidR="005730E9" w:rsidRDefault="005730E9" w:rsidP="00375457">
      <w:pPr>
        <w:tabs>
          <w:tab w:val="left" w:pos="2890"/>
        </w:tabs>
        <w:spacing w:before="120" w:after="120"/>
        <w:rPr>
          <w:rFonts w:ascii="Arial" w:hAnsi="Arial" w:cs="Arial"/>
          <w:b/>
          <w:bCs/>
        </w:rPr>
      </w:pPr>
    </w:p>
    <w:p w14:paraId="28AE1366" w14:textId="77777777" w:rsidR="005730E9" w:rsidRDefault="005730E9" w:rsidP="00375457">
      <w:pPr>
        <w:tabs>
          <w:tab w:val="left" w:pos="2890"/>
        </w:tabs>
        <w:spacing w:before="120" w:after="120"/>
        <w:rPr>
          <w:rFonts w:ascii="Arial" w:hAnsi="Arial" w:cs="Arial"/>
          <w:b/>
          <w:bCs/>
        </w:rPr>
      </w:pPr>
    </w:p>
    <w:p w14:paraId="3ED4B9A7" w14:textId="77777777" w:rsidR="005730E9" w:rsidRDefault="005730E9" w:rsidP="00375457">
      <w:pPr>
        <w:tabs>
          <w:tab w:val="left" w:pos="2890"/>
        </w:tabs>
        <w:spacing w:before="120" w:after="120"/>
        <w:rPr>
          <w:rFonts w:ascii="Arial" w:hAnsi="Arial" w:cs="Arial"/>
          <w:b/>
          <w:bCs/>
        </w:rPr>
      </w:pPr>
    </w:p>
    <w:p w14:paraId="01B9B703" w14:textId="77777777" w:rsidR="005730E9" w:rsidRDefault="005730E9" w:rsidP="00375457">
      <w:pPr>
        <w:tabs>
          <w:tab w:val="left" w:pos="2890"/>
        </w:tabs>
        <w:spacing w:before="120" w:after="120"/>
        <w:rPr>
          <w:rFonts w:ascii="Arial" w:hAnsi="Arial" w:cs="Arial"/>
          <w:b/>
          <w:bCs/>
        </w:rPr>
      </w:pPr>
    </w:p>
    <w:p w14:paraId="6253C206" w14:textId="77777777" w:rsidR="005730E9" w:rsidRDefault="005730E9" w:rsidP="00375457">
      <w:pPr>
        <w:tabs>
          <w:tab w:val="left" w:pos="2890"/>
        </w:tabs>
        <w:spacing w:before="120" w:after="120"/>
        <w:rPr>
          <w:rFonts w:ascii="Arial" w:hAnsi="Arial" w:cs="Arial"/>
          <w:b/>
          <w:bCs/>
        </w:rPr>
      </w:pPr>
    </w:p>
    <w:p w14:paraId="46FEA4A3" w14:textId="77777777" w:rsidR="005730E9" w:rsidRDefault="005730E9" w:rsidP="00375457">
      <w:pPr>
        <w:tabs>
          <w:tab w:val="left" w:pos="2890"/>
        </w:tabs>
        <w:spacing w:before="120" w:after="120"/>
        <w:rPr>
          <w:rFonts w:ascii="Arial" w:hAnsi="Arial" w:cs="Arial"/>
          <w:b/>
          <w:bCs/>
        </w:rPr>
      </w:pPr>
    </w:p>
    <w:p w14:paraId="17E4883F" w14:textId="77777777" w:rsidR="005730E9" w:rsidRDefault="005730E9" w:rsidP="00375457">
      <w:pPr>
        <w:tabs>
          <w:tab w:val="left" w:pos="2890"/>
        </w:tabs>
        <w:spacing w:before="120" w:after="120"/>
        <w:rPr>
          <w:rFonts w:ascii="Arial" w:hAnsi="Arial" w:cs="Arial"/>
          <w:b/>
          <w:bCs/>
        </w:rPr>
      </w:pPr>
    </w:p>
    <w:p w14:paraId="30EE0FC2" w14:textId="77777777" w:rsidR="00C47AA3" w:rsidRDefault="00C47AA3" w:rsidP="00375457">
      <w:pPr>
        <w:tabs>
          <w:tab w:val="left" w:pos="2890"/>
        </w:tabs>
        <w:spacing w:before="120" w:after="120"/>
        <w:rPr>
          <w:rFonts w:ascii="Arial" w:hAnsi="Arial" w:cs="Arial"/>
          <w:b/>
          <w:bCs/>
        </w:rPr>
      </w:pPr>
    </w:p>
    <w:p w14:paraId="0F35F9A7" w14:textId="77777777" w:rsidR="00C47AA3" w:rsidRDefault="00C47AA3" w:rsidP="00375457">
      <w:pPr>
        <w:tabs>
          <w:tab w:val="left" w:pos="2890"/>
        </w:tabs>
        <w:spacing w:before="120" w:after="120"/>
        <w:rPr>
          <w:rFonts w:ascii="Arial" w:hAnsi="Arial" w:cs="Arial"/>
          <w:b/>
          <w:bCs/>
        </w:rPr>
      </w:pPr>
    </w:p>
    <w:p w14:paraId="24309DC0" w14:textId="77777777" w:rsidR="00C47AA3" w:rsidRDefault="00C47AA3" w:rsidP="00375457">
      <w:pPr>
        <w:tabs>
          <w:tab w:val="left" w:pos="2890"/>
        </w:tabs>
        <w:spacing w:before="120" w:after="120"/>
        <w:rPr>
          <w:rFonts w:ascii="Arial" w:hAnsi="Arial" w:cs="Arial"/>
          <w:b/>
          <w:bCs/>
        </w:rPr>
      </w:pPr>
    </w:p>
    <w:p w14:paraId="16698C1E" w14:textId="77777777" w:rsidR="00C47AA3" w:rsidRDefault="00C47AA3" w:rsidP="00375457">
      <w:pPr>
        <w:tabs>
          <w:tab w:val="left" w:pos="2890"/>
        </w:tabs>
        <w:spacing w:before="120" w:after="120"/>
        <w:rPr>
          <w:rFonts w:ascii="Arial" w:hAnsi="Arial" w:cs="Arial"/>
          <w:b/>
          <w:bCs/>
        </w:rPr>
      </w:pPr>
    </w:p>
    <w:p w14:paraId="7A76A2B6" w14:textId="77777777" w:rsidR="00C47AA3" w:rsidRDefault="00C47AA3" w:rsidP="00375457">
      <w:pPr>
        <w:tabs>
          <w:tab w:val="left" w:pos="2890"/>
        </w:tabs>
        <w:spacing w:before="120" w:after="120"/>
        <w:rPr>
          <w:rFonts w:ascii="Arial" w:hAnsi="Arial" w:cs="Arial"/>
          <w:b/>
          <w:bCs/>
        </w:rPr>
      </w:pPr>
    </w:p>
    <w:p w14:paraId="0D4E0201" w14:textId="77777777" w:rsidR="00C47AA3" w:rsidRDefault="00C47AA3" w:rsidP="00375457">
      <w:pPr>
        <w:tabs>
          <w:tab w:val="left" w:pos="2890"/>
        </w:tabs>
        <w:spacing w:before="120" w:after="120"/>
        <w:rPr>
          <w:rFonts w:ascii="Arial" w:hAnsi="Arial" w:cs="Arial"/>
          <w:b/>
          <w:bCs/>
        </w:rPr>
      </w:pPr>
    </w:p>
    <w:sdt>
      <w:sdtPr>
        <w:id w:val="165325292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BBFCA5D" w14:textId="3F9AD0B5" w:rsidR="00C47AA3" w:rsidRDefault="00C47AA3">
          <w:pPr>
            <w:pStyle w:val="TOCHeading"/>
          </w:pPr>
          <w:r>
            <w:t>Contents</w:t>
          </w:r>
        </w:p>
        <w:p w14:paraId="3F19D4F8" w14:textId="4288ED49" w:rsidR="00C47AA3" w:rsidRDefault="00C47AA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43341752" w:history="1">
            <w:r w:rsidRPr="00F4538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_Toc243341752 \h </w:instrText>
            </w:r>
            <w:r>
              <w:rPr>
                <w:noProof/>
                <w:webHidden/>
              </w:rPr>
            </w:r>
            <w:r>
              <w:rPr>
                <w:noProof/>
                <w:webHidden/>
              </w:rPr>
              <w:fldChar w:fldCharType="separate"/>
            </w:r>
            <w:r>
              <w:rPr>
                <w:noProof/>
                <w:webHidden/>
              </w:rPr>
              <w:t>3</w:t>
            </w:r>
            <w:r>
              <w:rPr>
                <w:noProof/>
                <w:webHidden/>
              </w:rPr>
              <w:fldChar w:fldCharType="end"/>
            </w:r>
          </w:hyperlink>
        </w:p>
        <w:p w14:paraId="5D0BFF8A" w14:textId="23BFE061" w:rsidR="00C47AA3" w:rsidRDefault="00C47AA3">
          <w:pPr>
            <w:pStyle w:val="TOC1"/>
            <w:tabs>
              <w:tab w:val="right" w:leader="dot" w:pos="9016"/>
            </w:tabs>
            <w:rPr>
              <w:rFonts w:eastAsiaTheme="minorEastAsia"/>
              <w:noProof/>
              <w:sz w:val="24"/>
              <w:szCs w:val="24"/>
              <w:lang w:eastAsia="en-GB"/>
            </w:rPr>
          </w:pPr>
          <w:hyperlink w:anchor="_Toc243341753" w:history="1">
            <w:r w:rsidRPr="00F4538A">
              <w:rPr>
                <w:rStyle w:val="Hyperlink"/>
                <w:noProof/>
              </w:rPr>
              <w:t>Task 1: Marketing Environment Analysis</w:t>
            </w:r>
            <w:r>
              <w:rPr>
                <w:noProof/>
                <w:webHidden/>
              </w:rPr>
              <w:tab/>
            </w:r>
            <w:r>
              <w:rPr>
                <w:noProof/>
                <w:webHidden/>
              </w:rPr>
              <w:fldChar w:fldCharType="begin"/>
            </w:r>
            <w:r>
              <w:rPr>
                <w:noProof/>
                <w:webHidden/>
              </w:rPr>
              <w:instrText xml:space="preserve"> PAGEREF _Toc243341753 \h </w:instrText>
            </w:r>
            <w:r>
              <w:rPr>
                <w:noProof/>
                <w:webHidden/>
              </w:rPr>
            </w:r>
            <w:r>
              <w:rPr>
                <w:noProof/>
                <w:webHidden/>
              </w:rPr>
              <w:fldChar w:fldCharType="separate"/>
            </w:r>
            <w:r>
              <w:rPr>
                <w:noProof/>
                <w:webHidden/>
              </w:rPr>
              <w:t>4</w:t>
            </w:r>
            <w:r>
              <w:rPr>
                <w:noProof/>
                <w:webHidden/>
              </w:rPr>
              <w:fldChar w:fldCharType="end"/>
            </w:r>
          </w:hyperlink>
        </w:p>
        <w:p w14:paraId="30573BFB" w14:textId="5A8B782D" w:rsidR="00C47AA3" w:rsidRDefault="00C47AA3">
          <w:pPr>
            <w:pStyle w:val="TOC1"/>
            <w:tabs>
              <w:tab w:val="right" w:leader="dot" w:pos="9016"/>
            </w:tabs>
            <w:rPr>
              <w:rFonts w:eastAsiaTheme="minorEastAsia"/>
              <w:noProof/>
              <w:sz w:val="24"/>
              <w:szCs w:val="24"/>
              <w:lang w:eastAsia="en-GB"/>
            </w:rPr>
          </w:pPr>
          <w:hyperlink w:anchor="_Toc243341754" w:history="1">
            <w:r w:rsidRPr="00F4538A">
              <w:rPr>
                <w:rStyle w:val="Hyperlink"/>
                <w:noProof/>
              </w:rPr>
              <w:t>Task 2: Strategic Growth and Competitive Positioning</w:t>
            </w:r>
            <w:r>
              <w:rPr>
                <w:noProof/>
                <w:webHidden/>
              </w:rPr>
              <w:tab/>
            </w:r>
            <w:r>
              <w:rPr>
                <w:noProof/>
                <w:webHidden/>
              </w:rPr>
              <w:fldChar w:fldCharType="begin"/>
            </w:r>
            <w:r>
              <w:rPr>
                <w:noProof/>
                <w:webHidden/>
              </w:rPr>
              <w:instrText xml:space="preserve"> PAGEREF _Toc243341754 \h </w:instrText>
            </w:r>
            <w:r>
              <w:rPr>
                <w:noProof/>
                <w:webHidden/>
              </w:rPr>
            </w:r>
            <w:r>
              <w:rPr>
                <w:noProof/>
                <w:webHidden/>
              </w:rPr>
              <w:fldChar w:fldCharType="separate"/>
            </w:r>
            <w:r>
              <w:rPr>
                <w:noProof/>
                <w:webHidden/>
              </w:rPr>
              <w:t>8</w:t>
            </w:r>
            <w:r>
              <w:rPr>
                <w:noProof/>
                <w:webHidden/>
              </w:rPr>
              <w:fldChar w:fldCharType="end"/>
            </w:r>
          </w:hyperlink>
        </w:p>
        <w:p w14:paraId="1DA4E6C6" w14:textId="712ECF5B" w:rsidR="00C47AA3" w:rsidRDefault="00C47AA3">
          <w:pPr>
            <w:pStyle w:val="TOC1"/>
            <w:tabs>
              <w:tab w:val="right" w:leader="dot" w:pos="9016"/>
            </w:tabs>
            <w:rPr>
              <w:rFonts w:eastAsiaTheme="minorEastAsia"/>
              <w:noProof/>
              <w:sz w:val="24"/>
              <w:szCs w:val="24"/>
              <w:lang w:eastAsia="en-GB"/>
            </w:rPr>
          </w:pPr>
          <w:hyperlink w:anchor="_Toc243341755" w:history="1">
            <w:r w:rsidRPr="00F4538A">
              <w:rPr>
                <w:rStyle w:val="Hyperlink"/>
                <w:rFonts w:ascii="Arial" w:hAnsi="Arial" w:cs="Arial"/>
                <w:noProof/>
              </w:rPr>
              <w:t>Task 3: Managerial and Professional Reflection</w:t>
            </w:r>
            <w:r>
              <w:rPr>
                <w:noProof/>
                <w:webHidden/>
              </w:rPr>
              <w:tab/>
            </w:r>
            <w:r>
              <w:rPr>
                <w:noProof/>
                <w:webHidden/>
              </w:rPr>
              <w:fldChar w:fldCharType="begin"/>
            </w:r>
            <w:r>
              <w:rPr>
                <w:noProof/>
                <w:webHidden/>
              </w:rPr>
              <w:instrText xml:space="preserve"> PAGEREF _Toc243341755 \h </w:instrText>
            </w:r>
            <w:r>
              <w:rPr>
                <w:noProof/>
                <w:webHidden/>
              </w:rPr>
            </w:r>
            <w:r>
              <w:rPr>
                <w:noProof/>
                <w:webHidden/>
              </w:rPr>
              <w:fldChar w:fldCharType="separate"/>
            </w:r>
            <w:r>
              <w:rPr>
                <w:noProof/>
                <w:webHidden/>
              </w:rPr>
              <w:t>11</w:t>
            </w:r>
            <w:r>
              <w:rPr>
                <w:noProof/>
                <w:webHidden/>
              </w:rPr>
              <w:fldChar w:fldCharType="end"/>
            </w:r>
          </w:hyperlink>
        </w:p>
        <w:p w14:paraId="5A36048F" w14:textId="44CEC291" w:rsidR="00C47AA3" w:rsidRDefault="00C47AA3">
          <w:pPr>
            <w:pStyle w:val="TOC1"/>
            <w:tabs>
              <w:tab w:val="right" w:leader="dot" w:pos="9016"/>
            </w:tabs>
            <w:rPr>
              <w:rFonts w:eastAsiaTheme="minorEastAsia"/>
              <w:noProof/>
              <w:sz w:val="24"/>
              <w:szCs w:val="24"/>
              <w:lang w:eastAsia="en-GB"/>
            </w:rPr>
          </w:pPr>
          <w:hyperlink w:anchor="_Toc243341756" w:history="1">
            <w:r w:rsidRPr="00F4538A">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_Toc243341756 \h </w:instrText>
            </w:r>
            <w:r>
              <w:rPr>
                <w:noProof/>
                <w:webHidden/>
              </w:rPr>
            </w:r>
            <w:r>
              <w:rPr>
                <w:noProof/>
                <w:webHidden/>
              </w:rPr>
              <w:fldChar w:fldCharType="separate"/>
            </w:r>
            <w:r>
              <w:rPr>
                <w:noProof/>
                <w:webHidden/>
              </w:rPr>
              <w:t>13</w:t>
            </w:r>
            <w:r>
              <w:rPr>
                <w:noProof/>
                <w:webHidden/>
              </w:rPr>
              <w:fldChar w:fldCharType="end"/>
            </w:r>
          </w:hyperlink>
        </w:p>
        <w:p w14:paraId="07C33A04" w14:textId="6559B87D" w:rsidR="00C47AA3" w:rsidRDefault="00C47AA3">
          <w:r>
            <w:rPr>
              <w:b/>
              <w:bCs/>
            </w:rPr>
            <w:fldChar w:fldCharType="end"/>
          </w:r>
        </w:p>
      </w:sdtContent>
    </w:sdt>
    <w:p w14:paraId="61E3ACF4" w14:textId="77777777" w:rsidR="00C47AA3" w:rsidRDefault="00C47AA3" w:rsidP="00375457">
      <w:pPr>
        <w:tabs>
          <w:tab w:val="left" w:pos="2890"/>
        </w:tabs>
        <w:spacing w:before="120" w:after="120"/>
        <w:rPr>
          <w:rFonts w:ascii="Arial" w:hAnsi="Arial" w:cs="Arial"/>
          <w:b/>
          <w:bCs/>
        </w:rPr>
      </w:pPr>
    </w:p>
    <w:p w14:paraId="18E2DEF8" w14:textId="77777777" w:rsidR="00C47AA3" w:rsidRDefault="00C47AA3" w:rsidP="00375457">
      <w:pPr>
        <w:tabs>
          <w:tab w:val="left" w:pos="2890"/>
        </w:tabs>
        <w:spacing w:before="120" w:after="120"/>
        <w:rPr>
          <w:rFonts w:ascii="Arial" w:hAnsi="Arial" w:cs="Arial"/>
          <w:b/>
          <w:bCs/>
        </w:rPr>
      </w:pPr>
    </w:p>
    <w:p w14:paraId="0E44FC01" w14:textId="77777777" w:rsidR="00C47AA3" w:rsidRDefault="00C47AA3" w:rsidP="00375457">
      <w:pPr>
        <w:tabs>
          <w:tab w:val="left" w:pos="2890"/>
        </w:tabs>
        <w:spacing w:before="120" w:after="120"/>
        <w:rPr>
          <w:rFonts w:ascii="Arial" w:hAnsi="Arial" w:cs="Arial"/>
          <w:b/>
          <w:bCs/>
        </w:rPr>
      </w:pPr>
    </w:p>
    <w:p w14:paraId="00B912F3" w14:textId="77777777" w:rsidR="00C47AA3" w:rsidRDefault="00C47AA3" w:rsidP="00375457">
      <w:pPr>
        <w:tabs>
          <w:tab w:val="left" w:pos="2890"/>
        </w:tabs>
        <w:spacing w:before="120" w:after="120"/>
        <w:rPr>
          <w:rFonts w:ascii="Arial" w:hAnsi="Arial" w:cs="Arial"/>
          <w:b/>
          <w:bCs/>
        </w:rPr>
      </w:pPr>
    </w:p>
    <w:p w14:paraId="6758AF40" w14:textId="77777777" w:rsidR="00C47AA3" w:rsidRDefault="00C47AA3" w:rsidP="00375457">
      <w:pPr>
        <w:tabs>
          <w:tab w:val="left" w:pos="2890"/>
        </w:tabs>
        <w:spacing w:before="120" w:after="120"/>
        <w:rPr>
          <w:rFonts w:ascii="Arial" w:hAnsi="Arial" w:cs="Arial"/>
          <w:b/>
          <w:bCs/>
        </w:rPr>
      </w:pPr>
    </w:p>
    <w:p w14:paraId="799A6C71" w14:textId="77777777" w:rsidR="00C47AA3" w:rsidRDefault="00C47AA3" w:rsidP="00375457">
      <w:pPr>
        <w:tabs>
          <w:tab w:val="left" w:pos="2890"/>
        </w:tabs>
        <w:spacing w:before="120" w:after="120"/>
        <w:rPr>
          <w:rFonts w:ascii="Arial" w:hAnsi="Arial" w:cs="Arial"/>
          <w:b/>
          <w:bCs/>
        </w:rPr>
      </w:pPr>
    </w:p>
    <w:p w14:paraId="7531DC87" w14:textId="77777777" w:rsidR="00C47AA3" w:rsidRDefault="00C47AA3" w:rsidP="00375457">
      <w:pPr>
        <w:tabs>
          <w:tab w:val="left" w:pos="2890"/>
        </w:tabs>
        <w:spacing w:before="120" w:after="120"/>
        <w:rPr>
          <w:rFonts w:ascii="Arial" w:hAnsi="Arial" w:cs="Arial"/>
          <w:b/>
          <w:bCs/>
        </w:rPr>
      </w:pPr>
    </w:p>
    <w:p w14:paraId="5CD589B3" w14:textId="77777777" w:rsidR="00C47AA3" w:rsidRDefault="00C47AA3" w:rsidP="00375457">
      <w:pPr>
        <w:tabs>
          <w:tab w:val="left" w:pos="2890"/>
        </w:tabs>
        <w:spacing w:before="120" w:after="120"/>
        <w:rPr>
          <w:rFonts w:ascii="Arial" w:hAnsi="Arial" w:cs="Arial"/>
          <w:b/>
          <w:bCs/>
        </w:rPr>
      </w:pPr>
    </w:p>
    <w:p w14:paraId="1D0CC1E6" w14:textId="77777777" w:rsidR="00C47AA3" w:rsidRDefault="00C47AA3" w:rsidP="00375457">
      <w:pPr>
        <w:tabs>
          <w:tab w:val="left" w:pos="2890"/>
        </w:tabs>
        <w:spacing w:before="120" w:after="120"/>
        <w:rPr>
          <w:rFonts w:ascii="Arial" w:hAnsi="Arial" w:cs="Arial"/>
          <w:b/>
          <w:bCs/>
        </w:rPr>
      </w:pPr>
    </w:p>
    <w:p w14:paraId="38B6572B" w14:textId="77777777" w:rsidR="00C47AA3" w:rsidRDefault="00C47AA3" w:rsidP="00375457">
      <w:pPr>
        <w:tabs>
          <w:tab w:val="left" w:pos="2890"/>
        </w:tabs>
        <w:spacing w:before="120" w:after="120"/>
        <w:rPr>
          <w:rFonts w:ascii="Arial" w:hAnsi="Arial" w:cs="Arial"/>
          <w:b/>
          <w:bCs/>
        </w:rPr>
      </w:pPr>
    </w:p>
    <w:p w14:paraId="5A7D477F" w14:textId="77777777" w:rsidR="00C47AA3" w:rsidRDefault="00C47AA3" w:rsidP="00375457">
      <w:pPr>
        <w:tabs>
          <w:tab w:val="left" w:pos="2890"/>
        </w:tabs>
        <w:spacing w:before="120" w:after="120"/>
        <w:rPr>
          <w:rFonts w:ascii="Arial" w:hAnsi="Arial" w:cs="Arial"/>
          <w:b/>
          <w:bCs/>
        </w:rPr>
      </w:pPr>
    </w:p>
    <w:p w14:paraId="381974C6" w14:textId="77777777" w:rsidR="00C47AA3" w:rsidRDefault="00C47AA3" w:rsidP="00375457">
      <w:pPr>
        <w:tabs>
          <w:tab w:val="left" w:pos="2890"/>
        </w:tabs>
        <w:spacing w:before="120" w:after="120"/>
        <w:rPr>
          <w:rFonts w:ascii="Arial" w:hAnsi="Arial" w:cs="Arial"/>
          <w:b/>
          <w:bCs/>
        </w:rPr>
      </w:pPr>
    </w:p>
    <w:p w14:paraId="283D874E" w14:textId="77777777" w:rsidR="00C47AA3" w:rsidRDefault="00C47AA3" w:rsidP="00375457">
      <w:pPr>
        <w:tabs>
          <w:tab w:val="left" w:pos="2890"/>
        </w:tabs>
        <w:spacing w:before="120" w:after="120"/>
        <w:rPr>
          <w:rFonts w:ascii="Arial" w:hAnsi="Arial" w:cs="Arial"/>
          <w:b/>
          <w:bCs/>
        </w:rPr>
      </w:pPr>
    </w:p>
    <w:p w14:paraId="541220ED" w14:textId="77777777" w:rsidR="00C47AA3" w:rsidRDefault="00C47AA3" w:rsidP="00375457">
      <w:pPr>
        <w:tabs>
          <w:tab w:val="left" w:pos="2890"/>
        </w:tabs>
        <w:spacing w:before="120" w:after="120"/>
        <w:rPr>
          <w:rFonts w:ascii="Arial" w:hAnsi="Arial" w:cs="Arial"/>
          <w:b/>
          <w:bCs/>
        </w:rPr>
      </w:pPr>
    </w:p>
    <w:p w14:paraId="6E93C489" w14:textId="77777777" w:rsidR="00C47AA3" w:rsidRDefault="00C47AA3" w:rsidP="00375457">
      <w:pPr>
        <w:tabs>
          <w:tab w:val="left" w:pos="2890"/>
        </w:tabs>
        <w:spacing w:before="120" w:after="120"/>
        <w:rPr>
          <w:rFonts w:ascii="Arial" w:hAnsi="Arial" w:cs="Arial"/>
          <w:b/>
          <w:bCs/>
        </w:rPr>
      </w:pPr>
    </w:p>
    <w:p w14:paraId="15B2F62D" w14:textId="77777777" w:rsidR="00C47AA3" w:rsidRDefault="00C47AA3" w:rsidP="00375457">
      <w:pPr>
        <w:tabs>
          <w:tab w:val="left" w:pos="2890"/>
        </w:tabs>
        <w:spacing w:before="120" w:after="120"/>
        <w:rPr>
          <w:rFonts w:ascii="Arial" w:hAnsi="Arial" w:cs="Arial"/>
          <w:b/>
          <w:bCs/>
        </w:rPr>
      </w:pPr>
    </w:p>
    <w:p w14:paraId="0829378F" w14:textId="77777777" w:rsidR="00C47AA3" w:rsidRDefault="00C47AA3" w:rsidP="00375457">
      <w:pPr>
        <w:tabs>
          <w:tab w:val="left" w:pos="2890"/>
        </w:tabs>
        <w:spacing w:before="120" w:after="120"/>
        <w:rPr>
          <w:rFonts w:ascii="Arial" w:hAnsi="Arial" w:cs="Arial"/>
          <w:b/>
          <w:bCs/>
        </w:rPr>
      </w:pPr>
    </w:p>
    <w:p w14:paraId="6799A52C" w14:textId="77777777" w:rsidR="00C47AA3" w:rsidRDefault="00C47AA3" w:rsidP="00375457">
      <w:pPr>
        <w:tabs>
          <w:tab w:val="left" w:pos="2890"/>
        </w:tabs>
        <w:spacing w:before="120" w:after="120"/>
        <w:rPr>
          <w:rFonts w:ascii="Arial" w:hAnsi="Arial" w:cs="Arial"/>
          <w:b/>
          <w:bCs/>
        </w:rPr>
      </w:pPr>
    </w:p>
    <w:p w14:paraId="371117D5" w14:textId="77777777" w:rsidR="00C47AA3" w:rsidRDefault="00C47AA3" w:rsidP="00375457">
      <w:pPr>
        <w:tabs>
          <w:tab w:val="left" w:pos="2890"/>
        </w:tabs>
        <w:spacing w:before="120" w:after="120"/>
        <w:rPr>
          <w:rFonts w:ascii="Arial" w:hAnsi="Arial" w:cs="Arial"/>
          <w:b/>
          <w:bCs/>
        </w:rPr>
      </w:pPr>
    </w:p>
    <w:p w14:paraId="20D7CEB8" w14:textId="77777777" w:rsidR="00C47AA3" w:rsidRDefault="00C47AA3" w:rsidP="00375457">
      <w:pPr>
        <w:tabs>
          <w:tab w:val="left" w:pos="2890"/>
        </w:tabs>
        <w:spacing w:before="120" w:after="120"/>
        <w:rPr>
          <w:rFonts w:ascii="Arial" w:hAnsi="Arial" w:cs="Arial"/>
          <w:b/>
          <w:bCs/>
        </w:rPr>
      </w:pPr>
    </w:p>
    <w:p w14:paraId="448DC5F7" w14:textId="77777777" w:rsidR="00C47AA3" w:rsidRDefault="00C47AA3" w:rsidP="00375457">
      <w:pPr>
        <w:tabs>
          <w:tab w:val="left" w:pos="2890"/>
        </w:tabs>
        <w:spacing w:before="120" w:after="120"/>
        <w:rPr>
          <w:rFonts w:ascii="Arial" w:hAnsi="Arial" w:cs="Arial"/>
          <w:b/>
          <w:bCs/>
        </w:rPr>
      </w:pPr>
    </w:p>
    <w:p w14:paraId="5CC2FDB7" w14:textId="77777777" w:rsidR="00C47AA3" w:rsidRDefault="00C47AA3" w:rsidP="00375457">
      <w:pPr>
        <w:tabs>
          <w:tab w:val="left" w:pos="2890"/>
        </w:tabs>
        <w:spacing w:before="120" w:after="120"/>
        <w:rPr>
          <w:rFonts w:ascii="Arial" w:hAnsi="Arial" w:cs="Arial"/>
          <w:b/>
          <w:bCs/>
        </w:rPr>
      </w:pPr>
    </w:p>
    <w:p w14:paraId="13F1C372" w14:textId="77777777" w:rsidR="005730E9" w:rsidRDefault="005730E9" w:rsidP="00375457">
      <w:pPr>
        <w:tabs>
          <w:tab w:val="left" w:pos="2890"/>
        </w:tabs>
        <w:spacing w:before="120" w:after="120"/>
        <w:rPr>
          <w:rFonts w:ascii="Arial" w:hAnsi="Arial" w:cs="Arial"/>
          <w:b/>
          <w:bCs/>
        </w:rPr>
      </w:pPr>
    </w:p>
    <w:p w14:paraId="0795D02C" w14:textId="77777777" w:rsidR="005730E9" w:rsidRDefault="005730E9" w:rsidP="00375457">
      <w:pPr>
        <w:tabs>
          <w:tab w:val="left" w:pos="2890"/>
        </w:tabs>
        <w:spacing w:before="120" w:after="120"/>
        <w:rPr>
          <w:rFonts w:ascii="Arial" w:hAnsi="Arial" w:cs="Arial"/>
          <w:b/>
          <w:bCs/>
        </w:rPr>
      </w:pPr>
    </w:p>
    <w:p w14:paraId="0B902545" w14:textId="77777777" w:rsidR="005730E9" w:rsidRDefault="005730E9" w:rsidP="00375457">
      <w:pPr>
        <w:tabs>
          <w:tab w:val="left" w:pos="2890"/>
        </w:tabs>
        <w:spacing w:before="120" w:after="120"/>
        <w:rPr>
          <w:rFonts w:ascii="Arial" w:hAnsi="Arial" w:cs="Arial"/>
          <w:b/>
          <w:bCs/>
        </w:rPr>
      </w:pPr>
    </w:p>
    <w:p w14:paraId="78AE12D6" w14:textId="77777777" w:rsidR="005730E9" w:rsidRDefault="005730E9" w:rsidP="00375457">
      <w:pPr>
        <w:tabs>
          <w:tab w:val="left" w:pos="2890"/>
        </w:tabs>
        <w:spacing w:before="120" w:after="120"/>
        <w:rPr>
          <w:rFonts w:ascii="Arial" w:hAnsi="Arial" w:cs="Arial"/>
          <w:b/>
          <w:bCs/>
        </w:rPr>
      </w:pPr>
    </w:p>
    <w:p w14:paraId="4761E8D3" w14:textId="5C345DBB" w:rsidR="005730E9" w:rsidRPr="005730E9" w:rsidRDefault="005730E9" w:rsidP="005730E9">
      <w:pPr>
        <w:tabs>
          <w:tab w:val="left" w:pos="2890"/>
        </w:tabs>
        <w:spacing w:before="120" w:after="120"/>
        <w:rPr>
          <w:rFonts w:ascii="Arial" w:hAnsi="Arial" w:cs="Arial"/>
          <w:b/>
          <w:bCs/>
        </w:rPr>
      </w:pPr>
      <w:r w:rsidRPr="005730E9">
        <w:rPr>
          <w:rFonts w:ascii="Arial" w:hAnsi="Arial" w:cs="Arial"/>
          <w:b/>
          <w:bCs/>
        </w:rPr>
        <w:t xml:space="preserve">Task 1: Marketing Environment Analysis </w:t>
      </w:r>
    </w:p>
    <w:p w14:paraId="122DC750" w14:textId="77777777" w:rsidR="005730E9" w:rsidRPr="005730E9" w:rsidRDefault="005730E9" w:rsidP="005730E9">
      <w:pPr>
        <w:pStyle w:val="Heading1"/>
        <w:rPr>
          <w:rFonts w:ascii="Arial" w:hAnsi="Arial" w:cs="Arial"/>
        </w:rPr>
      </w:pPr>
      <w:bookmarkStart w:id="0" w:name="_Toc243340417"/>
      <w:bookmarkStart w:id="1" w:name="_Toc243341752"/>
      <w:r w:rsidRPr="005730E9">
        <w:rPr>
          <w:rFonts w:ascii="Arial" w:hAnsi="Arial" w:cs="Arial"/>
        </w:rPr>
        <w:t>Introduction</w:t>
      </w:r>
      <w:bookmarkEnd w:id="0"/>
      <w:bookmarkEnd w:id="1"/>
    </w:p>
    <w:p w14:paraId="29E759DB" w14:textId="77777777" w:rsidR="005730E9" w:rsidRPr="005730E9" w:rsidRDefault="005730E9" w:rsidP="005730E9">
      <w:pPr>
        <w:tabs>
          <w:tab w:val="left" w:pos="2890"/>
        </w:tabs>
        <w:spacing w:before="120" w:after="120" w:line="360" w:lineRule="auto"/>
        <w:rPr>
          <w:rFonts w:ascii="Arial" w:hAnsi="Arial" w:cs="Arial"/>
          <w:sz w:val="24"/>
          <w:szCs w:val="24"/>
        </w:rPr>
      </w:pPr>
    </w:p>
    <w:p w14:paraId="5D5CE10A" w14:textId="256D9F8A" w:rsidR="005730E9" w:rsidRPr="005730E9" w:rsidRDefault="00AD1075" w:rsidP="00AD1075">
      <w:pPr>
        <w:tabs>
          <w:tab w:val="left" w:pos="2890"/>
        </w:tabs>
        <w:spacing w:before="120" w:after="120" w:line="360" w:lineRule="auto"/>
        <w:rPr>
          <w:rFonts w:ascii="Arial" w:hAnsi="Arial" w:cs="Arial"/>
          <w:sz w:val="24"/>
          <w:szCs w:val="24"/>
        </w:rPr>
      </w:pPr>
      <w:r>
        <w:rPr>
          <w:rFonts w:ascii="Arial" w:hAnsi="Arial" w:cs="Arial"/>
          <w:sz w:val="24"/>
          <w:szCs w:val="24"/>
        </w:rPr>
        <w:t>T</w:t>
      </w:r>
      <w:r w:rsidRPr="00AD1075">
        <w:rPr>
          <w:rFonts w:ascii="Arial" w:hAnsi="Arial" w:cs="Arial"/>
          <w:sz w:val="24"/>
          <w:szCs w:val="24"/>
        </w:rPr>
        <w:t>he metals and mining industry globally accounts for roughly 25% of documented greenhouse gas emissions emanating from the world's 12,000 most substantial corporations (Kotler et al., 2024). Codelco—Chile's National Copper Corporation, recognized as the planet's foremost copper manufacturer and functioning as a state-controlled entity—maintains a critical strategic position: while copper remains essential for facilitating the worldwide energy transition, its production necessitates considerable energy consumption, substantial water utilization, and encounters significant social opposition. This examination investigates the mechanisms through which external stakeholders influence Codelco's advancement toward reduced-carbon manufacturing practices, formulates an expansion strategy employing the Ansoff Matrix framework in conjunction with competitive market positioning, and evaluates the analytical methodology alongside its inherent constraints.</w:t>
      </w:r>
    </w:p>
    <w:p w14:paraId="508386E5" w14:textId="77777777" w:rsidR="005730E9" w:rsidRPr="005730E9" w:rsidRDefault="005730E9" w:rsidP="00375457">
      <w:pPr>
        <w:tabs>
          <w:tab w:val="left" w:pos="2890"/>
        </w:tabs>
        <w:spacing w:before="120" w:after="120"/>
        <w:rPr>
          <w:rFonts w:ascii="Arial" w:hAnsi="Arial" w:cs="Arial"/>
          <w:b/>
          <w:bCs/>
          <w:color w:val="000000" w:themeColor="text1"/>
        </w:rPr>
      </w:pPr>
    </w:p>
    <w:p w14:paraId="121AB3F0" w14:textId="77777777" w:rsidR="00AF28D9" w:rsidRDefault="00AF28D9" w:rsidP="00AD1075">
      <w:pPr>
        <w:pStyle w:val="Heading1"/>
      </w:pPr>
    </w:p>
    <w:p w14:paraId="7B32CF90" w14:textId="39023BF5" w:rsidR="00AD1075" w:rsidRPr="00AD1075" w:rsidRDefault="00AD1075" w:rsidP="00AD1075">
      <w:pPr>
        <w:pStyle w:val="Heading1"/>
      </w:pPr>
      <w:bookmarkStart w:id="2" w:name="_Toc243340418"/>
      <w:bookmarkStart w:id="3" w:name="_Toc243341753"/>
      <w:r w:rsidRPr="00AD1075">
        <w:t>Task 1: Marketing Environment Analysis</w:t>
      </w:r>
      <w:bookmarkEnd w:id="2"/>
      <w:bookmarkEnd w:id="3"/>
      <w:r w:rsidRPr="00AD1075">
        <w:t xml:space="preserve"> </w:t>
      </w:r>
    </w:p>
    <w:p w14:paraId="6751C3EB" w14:textId="023BD493" w:rsidR="00AD1075" w:rsidRPr="00AD1075" w:rsidRDefault="00AD1075" w:rsidP="00AD1075">
      <w:pPr>
        <w:rPr>
          <w:rFonts w:ascii="Arial" w:hAnsi="Arial" w:cs="Arial"/>
          <w:sz w:val="24"/>
          <w:szCs w:val="24"/>
        </w:rPr>
      </w:pPr>
      <w:r w:rsidRPr="00AD1075">
        <w:rPr>
          <w:rFonts w:ascii="Arial" w:hAnsi="Arial" w:cs="Arial"/>
          <w:sz w:val="24"/>
          <w:szCs w:val="24"/>
        </w:rPr>
        <w:t>Overview</w:t>
      </w:r>
    </w:p>
    <w:p w14:paraId="46D5EAE8" w14:textId="77777777" w:rsidR="00AD1075" w:rsidRDefault="00AD1075" w:rsidP="00AD1075">
      <w:pPr>
        <w:rPr>
          <w:rFonts w:ascii="Arial" w:hAnsi="Arial" w:cs="Arial"/>
          <w:sz w:val="24"/>
          <w:szCs w:val="24"/>
        </w:rPr>
      </w:pPr>
      <w:r w:rsidRPr="00AD1075">
        <w:rPr>
          <w:rFonts w:ascii="Arial" w:hAnsi="Arial" w:cs="Arial"/>
          <w:sz w:val="24"/>
          <w:szCs w:val="24"/>
        </w:rPr>
        <w:t>The marketing environment encompasses macroeconomic forces and microeconomic actors that collectively establish organisational possibilities, risks, and strategic orientation (Kotler et al., 2024). This section provides a comprehensive examination of three principal stakeholders affecting Codelco's transition toward decarbonisation: Environmental (central emphasis), Regulatory, and Societal/Community dimensions.</w:t>
      </w:r>
    </w:p>
    <w:p w14:paraId="11CFD18F" w14:textId="77777777" w:rsidR="00AD1075" w:rsidRPr="00AD1075" w:rsidRDefault="00AD1075" w:rsidP="00AD1075">
      <w:pPr>
        <w:rPr>
          <w:rFonts w:ascii="Arial" w:hAnsi="Arial" w:cs="Arial"/>
          <w:sz w:val="24"/>
          <w:szCs w:val="24"/>
        </w:rPr>
      </w:pPr>
    </w:p>
    <w:p w14:paraId="17A1ACA3" w14:textId="4C56C459" w:rsidR="00AD1075" w:rsidRPr="00AD1075" w:rsidRDefault="00AD1075" w:rsidP="00AD1075">
      <w:pPr>
        <w:rPr>
          <w:rFonts w:ascii="Arial" w:hAnsi="Arial" w:cs="Arial"/>
          <w:b/>
          <w:bCs/>
          <w:sz w:val="24"/>
          <w:szCs w:val="24"/>
        </w:rPr>
      </w:pPr>
      <w:r w:rsidRPr="00AD1075">
        <w:rPr>
          <w:rFonts w:ascii="Arial" w:hAnsi="Arial" w:cs="Arial"/>
          <w:b/>
          <w:bCs/>
          <w:sz w:val="24"/>
          <w:szCs w:val="24"/>
        </w:rPr>
        <w:t>The Environmental Actor – Primary Focus</w:t>
      </w:r>
    </w:p>
    <w:p w14:paraId="14713201" w14:textId="3068A156" w:rsidR="00AF28D9" w:rsidRDefault="00AD1075" w:rsidP="00AD1075">
      <w:pPr>
        <w:rPr>
          <w:rFonts w:ascii="Arial" w:hAnsi="Arial" w:cs="Arial"/>
          <w:sz w:val="24"/>
          <w:szCs w:val="24"/>
        </w:rPr>
      </w:pPr>
      <w:r w:rsidRPr="00AD1075">
        <w:rPr>
          <w:rFonts w:ascii="Arial" w:hAnsi="Arial" w:cs="Arial"/>
          <w:sz w:val="24"/>
          <w:szCs w:val="24"/>
        </w:rPr>
        <w:t xml:space="preserve">The natural and physical environment constitutes the foundational determinant influencing mining operations, establishing resource accessibility, operational </w:t>
      </w:r>
      <w:r w:rsidRPr="00AD1075">
        <w:rPr>
          <w:rFonts w:ascii="Arial" w:hAnsi="Arial" w:cs="Arial"/>
          <w:sz w:val="24"/>
          <w:szCs w:val="24"/>
        </w:rPr>
        <w:lastRenderedPageBreak/>
        <w:t>limitations, and institutional credibility (Kotler et al., 2024). For Codelco, this actor simultaneously generates pressing opportunity and fundamental challenge.</w:t>
      </w:r>
    </w:p>
    <w:p w14:paraId="62B3E611" w14:textId="77777777" w:rsidR="00AD1075" w:rsidRDefault="00AD1075" w:rsidP="00AF28D9">
      <w:pPr>
        <w:rPr>
          <w:rFonts w:ascii="Arial" w:hAnsi="Arial" w:cs="Arial"/>
          <w:sz w:val="24"/>
          <w:szCs w:val="24"/>
        </w:rPr>
      </w:pPr>
    </w:p>
    <w:p w14:paraId="3909B8B6" w14:textId="6DA53AD4" w:rsidR="00AD1075" w:rsidRPr="00AD1075" w:rsidRDefault="00AD1075" w:rsidP="00AD1075">
      <w:pPr>
        <w:rPr>
          <w:rFonts w:ascii="Arial" w:hAnsi="Arial" w:cs="Arial"/>
          <w:b/>
          <w:bCs/>
          <w:sz w:val="24"/>
          <w:szCs w:val="24"/>
        </w:rPr>
      </w:pPr>
      <w:r w:rsidRPr="00AD1075">
        <w:rPr>
          <w:rFonts w:ascii="Arial" w:hAnsi="Arial" w:cs="Arial"/>
          <w:b/>
          <w:bCs/>
          <w:sz w:val="24"/>
          <w:szCs w:val="24"/>
        </w:rPr>
        <w:t>Opportunities</w:t>
      </w:r>
    </w:p>
    <w:p w14:paraId="29097880" w14:textId="64376664" w:rsidR="00AD1075" w:rsidRPr="00AD1075" w:rsidRDefault="00AD1075" w:rsidP="00AD1075">
      <w:pPr>
        <w:rPr>
          <w:rFonts w:ascii="Arial" w:hAnsi="Arial" w:cs="Arial"/>
          <w:sz w:val="24"/>
          <w:szCs w:val="24"/>
        </w:rPr>
      </w:pPr>
      <w:r w:rsidRPr="00AD1075">
        <w:rPr>
          <w:rFonts w:ascii="Arial" w:hAnsi="Arial" w:cs="Arial"/>
          <w:sz w:val="24"/>
          <w:szCs w:val="24"/>
        </w:rPr>
        <w:t xml:space="preserve">Copper represents the fundamental material of electrification: according to projections by the International Energy Agency (IEA, 2024), global consumption is projected to exceed double its current levels by 2035 under net-zero emission pathways, potentially reaching 50 million tonnes per annum. Codelco commands approximately 20% of globally confirmed copper reserves and generates roughly 1.7 million tonnes </w:t>
      </w:r>
      <w:r w:rsidRPr="00AD1075">
        <w:rPr>
          <w:rFonts w:ascii="Arial" w:hAnsi="Arial" w:cs="Arial"/>
          <w:sz w:val="24"/>
          <w:szCs w:val="24"/>
        </w:rPr>
        <w:t>annually establishing</w:t>
      </w:r>
      <w:r w:rsidRPr="00AD1075">
        <w:rPr>
          <w:rFonts w:ascii="Arial" w:hAnsi="Arial" w:cs="Arial"/>
          <w:sz w:val="24"/>
          <w:szCs w:val="24"/>
        </w:rPr>
        <w:t xml:space="preserve"> itself as a critical provider for sustainable energy systems, battery electric vehicles, and energy storage solutions (Codelco, 2026a). This resource position establishes a distinctive dual responsibility: Codelco's principal commodity facilitates the transition to decarbonized economies, while simultaneously its production processes generate carbon emissions.</w:t>
      </w:r>
    </w:p>
    <w:p w14:paraId="264C674B" w14:textId="6B6084D7" w:rsidR="00AD1075" w:rsidRDefault="00AD1075" w:rsidP="00AD1075">
      <w:pPr>
        <w:rPr>
          <w:rFonts w:ascii="Arial" w:hAnsi="Arial" w:cs="Arial"/>
          <w:sz w:val="24"/>
          <w:szCs w:val="24"/>
        </w:rPr>
      </w:pPr>
      <w:r w:rsidRPr="00AD1075">
        <w:rPr>
          <w:rFonts w:ascii="Arial" w:hAnsi="Arial" w:cs="Arial"/>
          <w:sz w:val="24"/>
          <w:szCs w:val="24"/>
        </w:rPr>
        <w:t xml:space="preserve">Technological innovations enabling reduced-carbon manufacturing </w:t>
      </w:r>
      <w:proofErr w:type="gramStart"/>
      <w:r w:rsidRPr="00AD1075">
        <w:rPr>
          <w:rFonts w:ascii="Arial" w:hAnsi="Arial" w:cs="Arial"/>
          <w:sz w:val="24"/>
          <w:szCs w:val="24"/>
        </w:rPr>
        <w:t>have</w:t>
      </w:r>
      <w:proofErr w:type="gramEnd"/>
      <w:r w:rsidRPr="00AD1075">
        <w:rPr>
          <w:rFonts w:ascii="Arial" w:hAnsi="Arial" w:cs="Arial"/>
          <w:sz w:val="24"/>
          <w:szCs w:val="24"/>
        </w:rPr>
        <w:t xml:space="preserve"> become increasingly viable and implementable. Codelco has implemented solar energy systems for mineral processing at its El Teniente operation—achieving an 18% reduction in scope 2 emissions during 2024–2025—and is engaging in partnerships with Chilean and global institutions regarding green hydrogen applications in smelting operations, with pilot-scale commercialization anticipated by 2030 (Codelco, 2025a). Biological leaching methodologies and moisture-removal processing approaches diminish freshwater consumption and decrease waste material accumulation, concurrently resolving environmental and community-related challenges (Valenzuela et al., 2024).</w:t>
      </w:r>
    </w:p>
    <w:p w14:paraId="58B29E21" w14:textId="77777777" w:rsidR="00AD1075" w:rsidRDefault="00AD1075" w:rsidP="00AF28D9">
      <w:pPr>
        <w:rPr>
          <w:rFonts w:ascii="Arial" w:hAnsi="Arial" w:cs="Arial"/>
          <w:sz w:val="24"/>
          <w:szCs w:val="24"/>
        </w:rPr>
      </w:pPr>
    </w:p>
    <w:p w14:paraId="2C96FE59" w14:textId="77777777" w:rsidR="00AD1075" w:rsidRDefault="00AD1075" w:rsidP="00AF28D9">
      <w:pPr>
        <w:rPr>
          <w:rFonts w:ascii="Arial" w:hAnsi="Arial" w:cs="Arial"/>
          <w:sz w:val="24"/>
          <w:szCs w:val="24"/>
        </w:rPr>
      </w:pPr>
    </w:p>
    <w:p w14:paraId="6FFE9779" w14:textId="49A4D71C" w:rsidR="00AD1075" w:rsidRPr="00AD1075" w:rsidRDefault="00AD1075" w:rsidP="00AD1075">
      <w:pPr>
        <w:rPr>
          <w:rFonts w:ascii="Arial" w:hAnsi="Arial" w:cs="Arial"/>
          <w:b/>
          <w:bCs/>
          <w:sz w:val="24"/>
          <w:szCs w:val="24"/>
        </w:rPr>
      </w:pPr>
      <w:r w:rsidRPr="00AD1075">
        <w:rPr>
          <w:rFonts w:ascii="Arial" w:hAnsi="Arial" w:cs="Arial"/>
          <w:b/>
          <w:bCs/>
          <w:sz w:val="24"/>
          <w:szCs w:val="24"/>
        </w:rPr>
        <w:t>Obstacles</w:t>
      </w:r>
    </w:p>
    <w:p w14:paraId="1DBA6E84" w14:textId="53DD19E6" w:rsidR="00AD1075" w:rsidRPr="00AD1075" w:rsidRDefault="00AD1075" w:rsidP="00AD1075">
      <w:pPr>
        <w:rPr>
          <w:rFonts w:ascii="Arial" w:hAnsi="Arial" w:cs="Arial"/>
          <w:sz w:val="24"/>
          <w:szCs w:val="24"/>
        </w:rPr>
      </w:pPr>
      <w:r w:rsidRPr="00AD1075">
        <w:rPr>
          <w:rFonts w:ascii="Arial" w:hAnsi="Arial" w:cs="Arial"/>
          <w:sz w:val="24"/>
          <w:szCs w:val="24"/>
        </w:rPr>
        <w:t>Chile's principal mining regions in the north-central area confront severe and intensifying water insufficiency. The Atacama Desert represents one of Earth's most arid environments; an extended megadrought commencing in 2010 has diminished regional water accessibility by 30–40%, compelling Codelco to expand its dependence on energy-demanding desalination technologies (Cordero et al., 2023). Desalination operations themselves entail substantial carbon expenditures: each cubic metre transported to elevated-altitude mining facilities generates approximately 0.8 kg CO</w:t>
      </w:r>
      <w:r w:rsidRPr="00AD1075">
        <w:rPr>
          <w:rFonts w:ascii="Cambria Math" w:hAnsi="Cambria Math" w:cs="Cambria Math"/>
          <w:sz w:val="24"/>
          <w:szCs w:val="24"/>
        </w:rPr>
        <w:t>₂</w:t>
      </w:r>
      <w:r w:rsidRPr="00AD1075">
        <w:rPr>
          <w:rFonts w:ascii="Arial" w:hAnsi="Arial" w:cs="Arial"/>
          <w:sz w:val="24"/>
          <w:szCs w:val="24"/>
        </w:rPr>
        <w:t>, establishing a fundamental tension between water security and climate mitigation objectives.</w:t>
      </w:r>
    </w:p>
    <w:p w14:paraId="142E70C2" w14:textId="77777777" w:rsidR="00AD1075" w:rsidRPr="00AD1075" w:rsidRDefault="00AD1075" w:rsidP="00AD1075">
      <w:pPr>
        <w:rPr>
          <w:rFonts w:ascii="Arial" w:hAnsi="Arial" w:cs="Arial"/>
          <w:sz w:val="24"/>
          <w:szCs w:val="24"/>
        </w:rPr>
      </w:pPr>
      <w:r w:rsidRPr="00AD1075">
        <w:rPr>
          <w:rFonts w:ascii="Arial" w:hAnsi="Arial" w:cs="Arial"/>
          <w:sz w:val="24"/>
          <w:szCs w:val="24"/>
        </w:rPr>
        <w:t xml:space="preserve">Decreasing ore concentrations intensify these pressures. Codelco's mean copper extraction rate has declined from 0.82% in 2015 to 0.65% in 2025—necessitating the displacement, fragmentation, and refinement of greater quantities of rock per unit of copper produced, thereby escalating energy consumption, emissions intensity, and waste generation (Codelco, 2024a). Concurrently, climate-related physical hazards—including extreme temperatures, shifting precipitation regimes, and Andean glacier </w:t>
      </w:r>
      <w:r w:rsidRPr="00AD1075">
        <w:rPr>
          <w:rFonts w:ascii="Arial" w:hAnsi="Arial" w:cs="Arial"/>
          <w:sz w:val="24"/>
          <w:szCs w:val="24"/>
        </w:rPr>
        <w:lastRenderedPageBreak/>
        <w:t>diminishment—jeopardize hydroelectric power generation (constituting 60% of Codelco's historical electricity supply) and compromise operational infrastructure for transportation and mineral processing (World Bank, 2025).</w:t>
      </w:r>
    </w:p>
    <w:p w14:paraId="54A87BCC" w14:textId="77777777" w:rsidR="00AD1075" w:rsidRPr="00AD1075" w:rsidRDefault="00AD1075" w:rsidP="00AD1075">
      <w:pPr>
        <w:rPr>
          <w:rFonts w:ascii="Arial" w:hAnsi="Arial" w:cs="Arial"/>
          <w:sz w:val="24"/>
          <w:szCs w:val="24"/>
        </w:rPr>
      </w:pPr>
    </w:p>
    <w:p w14:paraId="50DF14CA" w14:textId="5EA21939" w:rsidR="00AD1075" w:rsidRDefault="00AD1075" w:rsidP="00AD1075">
      <w:pPr>
        <w:rPr>
          <w:rFonts w:ascii="Arial" w:hAnsi="Arial" w:cs="Arial"/>
          <w:sz w:val="24"/>
          <w:szCs w:val="24"/>
        </w:rPr>
      </w:pPr>
      <w:r w:rsidRPr="00AD1075">
        <w:rPr>
          <w:rFonts w:ascii="Arial" w:hAnsi="Arial" w:cs="Arial"/>
          <w:sz w:val="24"/>
          <w:szCs w:val="24"/>
        </w:rPr>
        <w:t>Ecological and biodiversity limitations impose additional constraints on development initiatives. Prospective undertakings including the Chuquicamata Rajo Inca expansion encounter heightened examination regarding consequences for alpine wetland ecosystems and vicuña populations; protracted authorization procedures have already restricted immediate production expansion prospects (Durán &amp; Silva, 2025).</w:t>
      </w:r>
    </w:p>
    <w:p w14:paraId="5EA0281F" w14:textId="77777777" w:rsidR="003E7840" w:rsidRDefault="003E7840" w:rsidP="00AD1075">
      <w:pPr>
        <w:rPr>
          <w:rFonts w:ascii="Arial" w:hAnsi="Arial" w:cs="Arial"/>
          <w:sz w:val="24"/>
          <w:szCs w:val="24"/>
        </w:rPr>
      </w:pPr>
    </w:p>
    <w:p w14:paraId="6CEEA6B3" w14:textId="77777777" w:rsidR="003E7840" w:rsidRDefault="003E7840" w:rsidP="00AD1075">
      <w:pPr>
        <w:rPr>
          <w:rFonts w:ascii="Arial" w:hAnsi="Arial" w:cs="Arial"/>
          <w:sz w:val="24"/>
          <w:szCs w:val="24"/>
        </w:rPr>
      </w:pPr>
    </w:p>
    <w:p w14:paraId="3B980412" w14:textId="3D9CC372" w:rsidR="003E7840" w:rsidRPr="003E7840" w:rsidRDefault="003E7840" w:rsidP="003E7840">
      <w:pPr>
        <w:rPr>
          <w:rFonts w:ascii="Arial" w:hAnsi="Arial" w:cs="Arial"/>
          <w:b/>
          <w:bCs/>
          <w:sz w:val="24"/>
          <w:szCs w:val="24"/>
        </w:rPr>
      </w:pPr>
      <w:r w:rsidRPr="003E7840">
        <w:rPr>
          <w:rFonts w:ascii="Arial" w:hAnsi="Arial" w:cs="Arial"/>
          <w:b/>
          <w:bCs/>
          <w:sz w:val="24"/>
          <w:szCs w:val="24"/>
        </w:rPr>
        <w:t>Regulatory Environment Actor</w:t>
      </w:r>
    </w:p>
    <w:p w14:paraId="51E0F1B1" w14:textId="77777777" w:rsidR="003E7840" w:rsidRPr="003E7840" w:rsidRDefault="003E7840" w:rsidP="003E7840">
      <w:pPr>
        <w:rPr>
          <w:rFonts w:ascii="Arial" w:hAnsi="Arial" w:cs="Arial"/>
          <w:sz w:val="24"/>
          <w:szCs w:val="24"/>
        </w:rPr>
      </w:pPr>
      <w:r w:rsidRPr="003E7840">
        <w:rPr>
          <w:rFonts w:ascii="Arial" w:hAnsi="Arial" w:cs="Arial"/>
          <w:sz w:val="24"/>
          <w:szCs w:val="24"/>
        </w:rPr>
        <w:t>Chile's commitment to national transition objectives and the emergence of international environmental standards have transformed environmental considerations into legally binding regulations.</w:t>
      </w:r>
    </w:p>
    <w:p w14:paraId="3DA4F442" w14:textId="77777777" w:rsidR="003E7840" w:rsidRPr="003E7840" w:rsidRDefault="003E7840" w:rsidP="003E7840">
      <w:pPr>
        <w:rPr>
          <w:rFonts w:ascii="Arial" w:hAnsi="Arial" w:cs="Arial"/>
          <w:sz w:val="24"/>
          <w:szCs w:val="24"/>
        </w:rPr>
      </w:pPr>
    </w:p>
    <w:p w14:paraId="0D639DC2" w14:textId="5B935124" w:rsidR="003E7840" w:rsidRPr="003E7840" w:rsidRDefault="003E7840" w:rsidP="003E7840">
      <w:pPr>
        <w:rPr>
          <w:rFonts w:ascii="Arial" w:hAnsi="Arial" w:cs="Arial"/>
          <w:b/>
          <w:bCs/>
          <w:sz w:val="24"/>
          <w:szCs w:val="24"/>
        </w:rPr>
      </w:pPr>
      <w:r w:rsidRPr="003E7840">
        <w:rPr>
          <w:rFonts w:ascii="Arial" w:hAnsi="Arial" w:cs="Arial"/>
          <w:b/>
          <w:bCs/>
          <w:sz w:val="24"/>
          <w:szCs w:val="24"/>
        </w:rPr>
        <w:t>Opportunities</w:t>
      </w:r>
    </w:p>
    <w:p w14:paraId="6F4A1A2B" w14:textId="41A7C091" w:rsidR="003E7840" w:rsidRDefault="003E7840" w:rsidP="003E7840">
      <w:pPr>
        <w:rPr>
          <w:rFonts w:ascii="Arial" w:hAnsi="Arial" w:cs="Arial"/>
          <w:sz w:val="24"/>
          <w:szCs w:val="24"/>
        </w:rPr>
      </w:pPr>
      <w:r w:rsidRPr="003E7840">
        <w:rPr>
          <w:rFonts w:ascii="Arial" w:hAnsi="Arial" w:cs="Arial"/>
          <w:sz w:val="24"/>
          <w:szCs w:val="24"/>
        </w:rPr>
        <w:t>Chile's National Decarbonisation Plan establishes a target of carbon neutrality by 2050, coupled with a commitment to reduce emissions by 43% by 2030; sector-specific mining regulations require 100% renewable electricity utilisation in operations by 2040 and incremental water-recycling objectives (Government of Chile, 2024). These provisions establish transparent medium to long-term policy signals that mitigate financial risk associated with low-carbon capital investments. The European Union Critical Raw Materials Act (2024) and United States Inflation Reduction Act procurement criteria prioritise suppliers demonstrating measurable low-carbon operational profiles—Codelco's "Green Copper" certification, introduced in 2025, demonstrates direct alignment with these market-access prerequisites (Codelco, 2025b).</w:t>
      </w:r>
    </w:p>
    <w:p w14:paraId="64E64679" w14:textId="77777777" w:rsidR="003E7840" w:rsidRDefault="003E7840" w:rsidP="003E7840">
      <w:pPr>
        <w:rPr>
          <w:rFonts w:ascii="Arial" w:hAnsi="Arial" w:cs="Arial"/>
          <w:sz w:val="24"/>
          <w:szCs w:val="24"/>
        </w:rPr>
      </w:pPr>
    </w:p>
    <w:p w14:paraId="30AFEBD2" w14:textId="7C554369" w:rsidR="003E7840" w:rsidRPr="003E7840" w:rsidRDefault="003E7840" w:rsidP="003E7840">
      <w:pPr>
        <w:rPr>
          <w:rFonts w:ascii="Arial" w:hAnsi="Arial" w:cs="Arial"/>
          <w:b/>
          <w:bCs/>
          <w:sz w:val="24"/>
          <w:szCs w:val="24"/>
        </w:rPr>
      </w:pPr>
      <w:r w:rsidRPr="003E7840">
        <w:rPr>
          <w:rFonts w:ascii="Arial" w:hAnsi="Arial" w:cs="Arial"/>
          <w:b/>
          <w:bCs/>
          <w:sz w:val="24"/>
          <w:szCs w:val="24"/>
        </w:rPr>
        <w:t>Challenges</w:t>
      </w:r>
    </w:p>
    <w:p w14:paraId="0787B67A" w14:textId="67F6A643" w:rsidR="003E7840" w:rsidRDefault="003E7840" w:rsidP="003E7840">
      <w:pPr>
        <w:rPr>
          <w:rFonts w:ascii="Arial" w:hAnsi="Arial" w:cs="Arial"/>
          <w:sz w:val="24"/>
          <w:szCs w:val="24"/>
        </w:rPr>
      </w:pPr>
      <w:r w:rsidRPr="003E7840">
        <w:rPr>
          <w:rFonts w:ascii="Arial" w:hAnsi="Arial" w:cs="Arial"/>
          <w:sz w:val="24"/>
          <w:szCs w:val="24"/>
        </w:rPr>
        <w:t xml:space="preserve">Regulatory implementation exhibits fragmentation and remains subject to political contestation. Environmental authorisation processes now require an average of 28 months for completion—a substantial increase from 14 months in 2018—attributable to enhanced stakeholder engagement protocols and comprehensive environmental impact evaluation procedures (Pavez, 2025). National carbon pricing mechanisms—established at US$25 per tonne since 2023—demonstrate inconsistent application across industrial sectors, and scope 3 emissions documentation currently operates on a voluntary basis but is anticipated to transition to mandatory status by 2028, generating ambiguity regarding future supply chain accountability obligations </w:t>
      </w:r>
      <w:r w:rsidRPr="003E7840">
        <w:rPr>
          <w:rFonts w:ascii="Arial" w:hAnsi="Arial" w:cs="Arial"/>
          <w:sz w:val="24"/>
          <w:szCs w:val="24"/>
        </w:rPr>
        <w:lastRenderedPageBreak/>
        <w:t>(Sepúlveda, 2024). As a state-controlled enterprise, Codelco experiences exposure to evolving governmental policy orientations: successive administrations have demonstrated variable emphasis on fiscal returns, social equity objectives, and environmental stewardship, thereby constraining strategic consistency and long-term planning coherence (Silva, 2025).</w:t>
      </w:r>
    </w:p>
    <w:p w14:paraId="74C56B54" w14:textId="77777777" w:rsidR="003E7840" w:rsidRDefault="003E7840" w:rsidP="003E7840">
      <w:pPr>
        <w:rPr>
          <w:rFonts w:ascii="Arial" w:hAnsi="Arial" w:cs="Arial"/>
          <w:sz w:val="24"/>
          <w:szCs w:val="24"/>
        </w:rPr>
      </w:pPr>
    </w:p>
    <w:p w14:paraId="0023337F" w14:textId="77777777" w:rsidR="003E7840" w:rsidRPr="003E7840" w:rsidRDefault="003E7840" w:rsidP="003E7840">
      <w:pPr>
        <w:rPr>
          <w:rFonts w:ascii="Arial" w:hAnsi="Arial" w:cs="Arial"/>
          <w:b/>
          <w:bCs/>
          <w:sz w:val="24"/>
          <w:szCs w:val="24"/>
        </w:rPr>
      </w:pPr>
      <w:r w:rsidRPr="003E7840">
        <w:rPr>
          <w:rFonts w:ascii="Arial" w:hAnsi="Arial" w:cs="Arial"/>
          <w:b/>
          <w:bCs/>
          <w:sz w:val="24"/>
          <w:szCs w:val="24"/>
        </w:rPr>
        <w:t>Societal and Community Actor</w:t>
      </w:r>
    </w:p>
    <w:p w14:paraId="617B387F" w14:textId="77777777" w:rsidR="003E7840" w:rsidRPr="003E7840" w:rsidRDefault="003E7840" w:rsidP="003E7840">
      <w:pPr>
        <w:rPr>
          <w:rFonts w:ascii="Arial" w:hAnsi="Arial" w:cs="Arial"/>
          <w:sz w:val="24"/>
          <w:szCs w:val="24"/>
        </w:rPr>
      </w:pPr>
      <w:r w:rsidRPr="003E7840">
        <w:rPr>
          <w:rFonts w:ascii="Arial" w:hAnsi="Arial" w:cs="Arial"/>
          <w:sz w:val="24"/>
          <w:szCs w:val="24"/>
        </w:rPr>
        <w:t>Local communities and civil society function as essential micro-environmental stakeholders whose approval is fundamental to sustained operational viability.</w:t>
      </w:r>
    </w:p>
    <w:p w14:paraId="6999334C" w14:textId="77777777" w:rsidR="003E7840" w:rsidRDefault="003E7840" w:rsidP="003E7840">
      <w:pPr>
        <w:rPr>
          <w:rFonts w:ascii="Arial" w:hAnsi="Arial" w:cs="Arial"/>
          <w:sz w:val="24"/>
          <w:szCs w:val="24"/>
        </w:rPr>
      </w:pPr>
    </w:p>
    <w:p w14:paraId="4F33442B" w14:textId="658CE77A" w:rsidR="003E7840" w:rsidRPr="003E7840" w:rsidRDefault="003E7840" w:rsidP="003E7840">
      <w:pPr>
        <w:rPr>
          <w:rFonts w:ascii="Arial" w:hAnsi="Arial" w:cs="Arial"/>
          <w:b/>
          <w:bCs/>
          <w:sz w:val="24"/>
          <w:szCs w:val="24"/>
        </w:rPr>
      </w:pPr>
      <w:r w:rsidRPr="003E7840">
        <w:rPr>
          <w:rFonts w:ascii="Arial" w:hAnsi="Arial" w:cs="Arial"/>
          <w:b/>
          <w:bCs/>
          <w:sz w:val="24"/>
          <w:szCs w:val="24"/>
        </w:rPr>
        <w:t>Opportunities</w:t>
      </w:r>
    </w:p>
    <w:p w14:paraId="7CCAFA49" w14:textId="77777777" w:rsidR="003E7840" w:rsidRPr="003E7840" w:rsidRDefault="003E7840" w:rsidP="003E7840">
      <w:pPr>
        <w:rPr>
          <w:rFonts w:ascii="Arial" w:hAnsi="Arial" w:cs="Arial"/>
          <w:sz w:val="24"/>
          <w:szCs w:val="24"/>
        </w:rPr>
      </w:pPr>
      <w:r w:rsidRPr="003E7840">
        <w:rPr>
          <w:rFonts w:ascii="Arial" w:hAnsi="Arial" w:cs="Arial"/>
          <w:sz w:val="24"/>
          <w:szCs w:val="24"/>
        </w:rPr>
        <w:t>National consensus acknowledges that copper revenues finance critical public services—including healthcare, education, and infrastructure—thereby enhancing the perceived legitimacy of ethically conducted extraction. Codelco's initiative designates 1% of pre-tax earnings toward regional advancement; evidence-based, community-directed resource allocation can foster confidence and mitigate resistance (Codelco, 2026b). Multinational purchasers increasingly mandate socially responsible sourcing coupled with carbon-neutral production standards, establishing an integrated certification framework that simultaneously addresses social accountability and environmental stewardship.</w:t>
      </w:r>
    </w:p>
    <w:p w14:paraId="11F0CC77" w14:textId="77777777" w:rsidR="003E7840" w:rsidRPr="003E7840" w:rsidRDefault="003E7840" w:rsidP="003E7840">
      <w:pPr>
        <w:rPr>
          <w:rFonts w:ascii="Arial" w:hAnsi="Arial" w:cs="Arial"/>
          <w:sz w:val="24"/>
          <w:szCs w:val="24"/>
        </w:rPr>
      </w:pPr>
    </w:p>
    <w:p w14:paraId="106BAACA" w14:textId="10D564E9" w:rsidR="003E7840" w:rsidRPr="003E7840" w:rsidRDefault="003E7840" w:rsidP="003E7840">
      <w:pPr>
        <w:rPr>
          <w:rFonts w:ascii="Arial" w:hAnsi="Arial" w:cs="Arial"/>
          <w:b/>
          <w:bCs/>
          <w:sz w:val="24"/>
          <w:szCs w:val="24"/>
        </w:rPr>
      </w:pPr>
      <w:r w:rsidRPr="003E7840">
        <w:rPr>
          <w:rFonts w:ascii="Arial" w:hAnsi="Arial" w:cs="Arial"/>
          <w:b/>
          <w:bCs/>
          <w:sz w:val="24"/>
          <w:szCs w:val="24"/>
        </w:rPr>
        <w:t>Challenges</w:t>
      </w:r>
    </w:p>
    <w:p w14:paraId="02AF717E" w14:textId="0D83B578" w:rsidR="003E7840" w:rsidRDefault="003E7840" w:rsidP="003E7840">
      <w:pPr>
        <w:rPr>
          <w:rFonts w:ascii="Arial" w:hAnsi="Arial" w:cs="Arial"/>
          <w:sz w:val="24"/>
          <w:szCs w:val="24"/>
        </w:rPr>
      </w:pPr>
      <w:r w:rsidRPr="003E7840">
        <w:rPr>
          <w:rFonts w:ascii="Arial" w:hAnsi="Arial" w:cs="Arial"/>
          <w:sz w:val="24"/>
          <w:szCs w:val="24"/>
        </w:rPr>
        <w:t>Legacies of institutional distrust remain prevalent: 72% of mining-adjacent populations perceive corporations as prioritizing financial returns over community welfare, attributing water scarcity predominantly to industrial consumption patterns rather than climatic factors exclusively (</w:t>
      </w:r>
      <w:proofErr w:type="spellStart"/>
      <w:r w:rsidRPr="003E7840">
        <w:rPr>
          <w:rFonts w:ascii="Arial" w:hAnsi="Arial" w:cs="Arial"/>
          <w:sz w:val="24"/>
          <w:szCs w:val="24"/>
        </w:rPr>
        <w:t>Latinobarómetro</w:t>
      </w:r>
      <w:proofErr w:type="spellEnd"/>
      <w:r w:rsidRPr="003E7840">
        <w:rPr>
          <w:rFonts w:ascii="Arial" w:hAnsi="Arial" w:cs="Arial"/>
          <w:sz w:val="24"/>
          <w:szCs w:val="24"/>
        </w:rPr>
        <w:t>, 2024). Contested negotiations regarding territorial rights, financial restitution, and ecological restoration have precipitated production interruptions and project deferrals—notably 21 days of suspended operations at Chuquicamata during 2024 resulting from community-organized blockades (Codelco, 2024b). Mandatory indigenous engagement protocols established under ILO Convention 169 substantially extend implementation schedules and restrict operational flexibility in project conceptualization.</w:t>
      </w:r>
    </w:p>
    <w:p w14:paraId="1105AFDF" w14:textId="77777777" w:rsidR="003E7840" w:rsidRDefault="003E7840" w:rsidP="003E7840">
      <w:pPr>
        <w:rPr>
          <w:rFonts w:ascii="Arial" w:hAnsi="Arial" w:cs="Arial"/>
          <w:sz w:val="24"/>
          <w:szCs w:val="24"/>
        </w:rPr>
      </w:pPr>
    </w:p>
    <w:p w14:paraId="196352E2" w14:textId="77777777" w:rsidR="003E7840" w:rsidRDefault="003E7840" w:rsidP="003E7840">
      <w:pPr>
        <w:rPr>
          <w:rFonts w:ascii="Arial" w:hAnsi="Arial" w:cs="Arial"/>
          <w:sz w:val="24"/>
          <w:szCs w:val="24"/>
        </w:rPr>
      </w:pPr>
    </w:p>
    <w:p w14:paraId="5452B75C" w14:textId="77777777" w:rsidR="003E7840" w:rsidRDefault="003E7840" w:rsidP="003E7840">
      <w:pPr>
        <w:rPr>
          <w:rFonts w:ascii="Arial" w:hAnsi="Arial" w:cs="Arial"/>
          <w:sz w:val="24"/>
          <w:szCs w:val="24"/>
        </w:rPr>
      </w:pPr>
    </w:p>
    <w:p w14:paraId="39500780" w14:textId="77777777" w:rsidR="003E7840" w:rsidRDefault="003E7840" w:rsidP="003E7840">
      <w:pPr>
        <w:rPr>
          <w:rFonts w:ascii="Arial" w:hAnsi="Arial" w:cs="Arial"/>
          <w:sz w:val="24"/>
          <w:szCs w:val="24"/>
        </w:rPr>
      </w:pPr>
    </w:p>
    <w:p w14:paraId="04BC647B" w14:textId="77777777" w:rsidR="003E7840" w:rsidRDefault="003E7840" w:rsidP="003E7840">
      <w:pPr>
        <w:rPr>
          <w:rFonts w:ascii="Arial" w:hAnsi="Arial" w:cs="Arial"/>
          <w:sz w:val="24"/>
          <w:szCs w:val="24"/>
        </w:rPr>
      </w:pPr>
    </w:p>
    <w:p w14:paraId="7D1BC0D9" w14:textId="77777777" w:rsidR="003E7840" w:rsidRDefault="003E7840" w:rsidP="003E7840">
      <w:pPr>
        <w:rPr>
          <w:rFonts w:ascii="Arial" w:hAnsi="Arial" w:cs="Arial"/>
          <w:sz w:val="24"/>
          <w:szCs w:val="24"/>
        </w:rPr>
      </w:pPr>
    </w:p>
    <w:p w14:paraId="34FBCF4A" w14:textId="77777777" w:rsidR="003E7840" w:rsidRDefault="003E7840" w:rsidP="003E7840">
      <w:pPr>
        <w:rPr>
          <w:rFonts w:ascii="Arial" w:hAnsi="Arial" w:cs="Arial"/>
          <w:sz w:val="24"/>
          <w:szCs w:val="24"/>
        </w:rPr>
      </w:pPr>
    </w:p>
    <w:p w14:paraId="755C8A4D" w14:textId="77777777" w:rsidR="003E7840" w:rsidRDefault="003E7840" w:rsidP="003E7840">
      <w:pPr>
        <w:rPr>
          <w:rFonts w:ascii="Arial" w:hAnsi="Arial" w:cs="Arial"/>
          <w:sz w:val="24"/>
          <w:szCs w:val="24"/>
        </w:rPr>
      </w:pPr>
    </w:p>
    <w:p w14:paraId="045793DC" w14:textId="6D0049B0" w:rsidR="003E7840" w:rsidRPr="003E7840" w:rsidRDefault="003E7840" w:rsidP="003E7840">
      <w:pPr>
        <w:rPr>
          <w:rFonts w:ascii="Arial" w:hAnsi="Arial" w:cs="Arial"/>
          <w:b/>
          <w:bCs/>
          <w:sz w:val="24"/>
          <w:szCs w:val="24"/>
        </w:rPr>
      </w:pPr>
      <w:r w:rsidRPr="003E7840">
        <w:rPr>
          <w:rFonts w:ascii="Arial" w:hAnsi="Arial" w:cs="Arial"/>
          <w:b/>
          <w:bCs/>
          <w:sz w:val="24"/>
          <w:szCs w:val="24"/>
        </w:rPr>
        <w:t>Interim Synthesis</w:t>
      </w:r>
    </w:p>
    <w:p w14:paraId="1FB041E3" w14:textId="77777777" w:rsidR="008E2FF1" w:rsidRDefault="008E2FF1" w:rsidP="00AF28D9">
      <w:pPr>
        <w:pStyle w:val="Heading1"/>
      </w:pPr>
    </w:p>
    <w:tbl>
      <w:tblPr>
        <w:tblStyle w:val="TableGrid"/>
        <w:tblW w:w="0" w:type="auto"/>
        <w:tblLook w:val="04A0" w:firstRow="1" w:lastRow="0" w:firstColumn="1" w:lastColumn="0" w:noHBand="0" w:noVBand="1"/>
      </w:tblPr>
      <w:tblGrid>
        <w:gridCol w:w="3005"/>
        <w:gridCol w:w="3005"/>
        <w:gridCol w:w="3006"/>
      </w:tblGrid>
      <w:tr w:rsidR="003E7840" w14:paraId="65D485BF" w14:textId="77777777" w:rsidTr="003E7840">
        <w:tc>
          <w:tcPr>
            <w:tcW w:w="3005" w:type="dxa"/>
          </w:tcPr>
          <w:p w14:paraId="016A255E" w14:textId="77777777" w:rsidR="003E7840" w:rsidRDefault="003E7840" w:rsidP="003E7840"/>
        </w:tc>
        <w:tc>
          <w:tcPr>
            <w:tcW w:w="3005" w:type="dxa"/>
          </w:tcPr>
          <w:p w14:paraId="6028445D" w14:textId="02D42B47" w:rsidR="003E7840" w:rsidRPr="003E7840" w:rsidRDefault="003E7840" w:rsidP="003E7840">
            <w:pPr>
              <w:rPr>
                <w:rFonts w:ascii="Arial" w:hAnsi="Arial" w:cs="Arial"/>
                <w:sz w:val="20"/>
                <w:szCs w:val="20"/>
              </w:rPr>
            </w:pPr>
            <w:r w:rsidRPr="003E7840">
              <w:rPr>
                <w:rFonts w:ascii="Arial" w:hAnsi="Arial" w:cs="Arial"/>
                <w:sz w:val="20"/>
                <w:szCs w:val="20"/>
              </w:rPr>
              <w:t>Key Opportunities</w:t>
            </w:r>
          </w:p>
        </w:tc>
        <w:tc>
          <w:tcPr>
            <w:tcW w:w="3006" w:type="dxa"/>
          </w:tcPr>
          <w:p w14:paraId="03D38CFD" w14:textId="1A92AB7F" w:rsidR="003E7840" w:rsidRPr="003E7840" w:rsidRDefault="003E7840" w:rsidP="003E7840">
            <w:pPr>
              <w:rPr>
                <w:rFonts w:ascii="Arial" w:hAnsi="Arial" w:cs="Arial"/>
                <w:sz w:val="20"/>
                <w:szCs w:val="20"/>
              </w:rPr>
            </w:pPr>
            <w:r w:rsidRPr="003E7840">
              <w:rPr>
                <w:rFonts w:ascii="Arial" w:hAnsi="Arial" w:cs="Arial"/>
                <w:sz w:val="20"/>
                <w:szCs w:val="20"/>
              </w:rPr>
              <w:t>Key Challenges</w:t>
            </w:r>
          </w:p>
        </w:tc>
      </w:tr>
      <w:tr w:rsidR="003E7840" w14:paraId="2B2D0D68" w14:textId="77777777" w:rsidTr="003E7840">
        <w:tc>
          <w:tcPr>
            <w:tcW w:w="3005" w:type="dxa"/>
          </w:tcPr>
          <w:p w14:paraId="251BE74D" w14:textId="78196020" w:rsidR="003E7840" w:rsidRPr="003E7840" w:rsidRDefault="003E7840" w:rsidP="003E7840">
            <w:pPr>
              <w:rPr>
                <w:rFonts w:ascii="Arial" w:hAnsi="Arial" w:cs="Arial"/>
                <w:sz w:val="18"/>
                <w:szCs w:val="18"/>
              </w:rPr>
            </w:pPr>
            <w:r w:rsidRPr="003E7840">
              <w:rPr>
                <w:rFonts w:ascii="Arial" w:hAnsi="Arial" w:cs="Arial"/>
                <w:sz w:val="18"/>
                <w:szCs w:val="18"/>
              </w:rPr>
              <w:t>Environmental</w:t>
            </w:r>
          </w:p>
        </w:tc>
        <w:tc>
          <w:tcPr>
            <w:tcW w:w="3005" w:type="dxa"/>
          </w:tcPr>
          <w:p w14:paraId="3A853290" w14:textId="5E232432" w:rsidR="003E7840" w:rsidRPr="00D51427" w:rsidRDefault="003E7840" w:rsidP="003E7840">
            <w:pPr>
              <w:rPr>
                <w:rFonts w:ascii="Arial" w:hAnsi="Arial" w:cs="Arial"/>
                <w:sz w:val="18"/>
                <w:szCs w:val="18"/>
              </w:rPr>
            </w:pPr>
            <w:r w:rsidRPr="00D51427">
              <w:rPr>
                <w:rFonts w:ascii="Arial" w:hAnsi="Arial" w:cs="Arial"/>
                <w:sz w:val="18"/>
                <w:szCs w:val="18"/>
              </w:rPr>
              <w:t>Copper Requirements in the Context of Energy Transition: Advancements in Renewable Technologies and Processing Methodologies</w:t>
            </w:r>
          </w:p>
        </w:tc>
        <w:tc>
          <w:tcPr>
            <w:tcW w:w="3006" w:type="dxa"/>
          </w:tcPr>
          <w:p w14:paraId="22F1A3FE" w14:textId="188B04E4" w:rsidR="003E7840" w:rsidRPr="00D51427" w:rsidRDefault="00D51427" w:rsidP="003E7840">
            <w:pPr>
              <w:rPr>
                <w:rFonts w:ascii="Arial" w:hAnsi="Arial" w:cs="Arial"/>
                <w:sz w:val="18"/>
                <w:szCs w:val="18"/>
              </w:rPr>
            </w:pPr>
            <w:r w:rsidRPr="00D51427">
              <w:rPr>
                <w:rFonts w:ascii="Arial" w:hAnsi="Arial" w:cs="Arial"/>
                <w:sz w:val="18"/>
                <w:szCs w:val="18"/>
              </w:rPr>
              <w:t>Insufficient water availability; declining mineral concentrations in ore deposits; tangible environmental hazards associated with climatic shifts; ecological constraints on species diversity</w:t>
            </w:r>
          </w:p>
        </w:tc>
      </w:tr>
      <w:tr w:rsidR="003E7840" w14:paraId="23678012" w14:textId="77777777" w:rsidTr="003E7840">
        <w:tc>
          <w:tcPr>
            <w:tcW w:w="3005" w:type="dxa"/>
          </w:tcPr>
          <w:p w14:paraId="7A682937" w14:textId="7BA97C99" w:rsidR="003E7840" w:rsidRPr="003E7840" w:rsidRDefault="003E7840" w:rsidP="003E7840">
            <w:pPr>
              <w:rPr>
                <w:rFonts w:ascii="Arial" w:hAnsi="Arial" w:cs="Arial"/>
                <w:sz w:val="20"/>
                <w:szCs w:val="20"/>
              </w:rPr>
            </w:pPr>
            <w:r w:rsidRPr="003E7840">
              <w:rPr>
                <w:rFonts w:ascii="Arial" w:hAnsi="Arial" w:cs="Arial"/>
                <w:sz w:val="20"/>
                <w:szCs w:val="20"/>
              </w:rPr>
              <w:t>Regulatory</w:t>
            </w:r>
          </w:p>
        </w:tc>
        <w:tc>
          <w:tcPr>
            <w:tcW w:w="3005" w:type="dxa"/>
          </w:tcPr>
          <w:p w14:paraId="09022C67" w14:textId="75812F18" w:rsidR="003E7840" w:rsidRPr="00D51427" w:rsidRDefault="00D51427" w:rsidP="003E7840">
            <w:pPr>
              <w:rPr>
                <w:rFonts w:ascii="Arial" w:hAnsi="Arial" w:cs="Arial"/>
                <w:sz w:val="18"/>
                <w:szCs w:val="18"/>
              </w:rPr>
            </w:pPr>
            <w:r w:rsidRPr="00D51427">
              <w:rPr>
                <w:rFonts w:ascii="Arial" w:hAnsi="Arial" w:cs="Arial"/>
                <w:sz w:val="18"/>
                <w:szCs w:val="18"/>
              </w:rPr>
              <w:t>National decarbonization mandates; European Union and United States responsible sourcing accessibility</w:t>
            </w:r>
          </w:p>
        </w:tc>
        <w:tc>
          <w:tcPr>
            <w:tcW w:w="3006" w:type="dxa"/>
          </w:tcPr>
          <w:p w14:paraId="2A770005" w14:textId="77777777" w:rsidR="00D51427" w:rsidRPr="00D51427" w:rsidRDefault="00D51427" w:rsidP="00D51427">
            <w:pPr>
              <w:rPr>
                <w:rFonts w:ascii="Arial" w:hAnsi="Arial" w:cs="Arial"/>
                <w:sz w:val="18"/>
                <w:szCs w:val="18"/>
              </w:rPr>
            </w:pPr>
          </w:p>
          <w:p w14:paraId="336E23FD" w14:textId="32488640" w:rsidR="003E7840" w:rsidRPr="00D51427" w:rsidRDefault="00D51427" w:rsidP="00D51427">
            <w:pPr>
              <w:rPr>
                <w:rFonts w:ascii="Arial" w:hAnsi="Arial" w:cs="Arial"/>
                <w:sz w:val="18"/>
                <w:szCs w:val="18"/>
              </w:rPr>
            </w:pPr>
            <w:r w:rsidRPr="00D51427">
              <w:rPr>
                <w:rFonts w:ascii="Arial" w:hAnsi="Arial" w:cs="Arial"/>
                <w:sz w:val="18"/>
                <w:szCs w:val="18"/>
              </w:rPr>
              <w:t>Permitting procedural delays; fragmented carbon pricing mechanisms; political and policy instability</w:t>
            </w:r>
          </w:p>
        </w:tc>
      </w:tr>
      <w:tr w:rsidR="003E7840" w14:paraId="38CE80B9" w14:textId="77777777" w:rsidTr="003E7840">
        <w:tc>
          <w:tcPr>
            <w:tcW w:w="3005" w:type="dxa"/>
          </w:tcPr>
          <w:p w14:paraId="54A9003D" w14:textId="1CE971BD" w:rsidR="003E7840" w:rsidRPr="003E7840" w:rsidRDefault="003E7840" w:rsidP="003E7840">
            <w:pPr>
              <w:rPr>
                <w:rFonts w:ascii="Arial" w:hAnsi="Arial" w:cs="Arial"/>
                <w:sz w:val="20"/>
                <w:szCs w:val="20"/>
              </w:rPr>
            </w:pPr>
            <w:r w:rsidRPr="003E7840">
              <w:rPr>
                <w:rFonts w:ascii="Arial" w:hAnsi="Arial" w:cs="Arial"/>
                <w:sz w:val="20"/>
                <w:szCs w:val="20"/>
              </w:rPr>
              <w:t>Societal/Community</w:t>
            </w:r>
          </w:p>
        </w:tc>
        <w:tc>
          <w:tcPr>
            <w:tcW w:w="3005" w:type="dxa"/>
          </w:tcPr>
          <w:p w14:paraId="5D42EB11" w14:textId="77777777" w:rsidR="00D51427" w:rsidRPr="00D51427" w:rsidRDefault="00D51427" w:rsidP="00D51427">
            <w:pPr>
              <w:rPr>
                <w:rFonts w:ascii="Arial" w:hAnsi="Arial" w:cs="Arial"/>
                <w:sz w:val="18"/>
                <w:szCs w:val="18"/>
              </w:rPr>
            </w:pPr>
          </w:p>
          <w:p w14:paraId="727B0BDC" w14:textId="6B40E4B5" w:rsidR="003E7840" w:rsidRPr="00D51427" w:rsidRDefault="00D51427" w:rsidP="00D51427">
            <w:pPr>
              <w:rPr>
                <w:rFonts w:ascii="Arial" w:hAnsi="Arial" w:cs="Arial"/>
                <w:sz w:val="18"/>
                <w:szCs w:val="18"/>
              </w:rPr>
            </w:pPr>
            <w:r w:rsidRPr="00D51427">
              <w:rPr>
                <w:rFonts w:ascii="Arial" w:hAnsi="Arial" w:cs="Arial"/>
                <w:sz w:val="18"/>
                <w:szCs w:val="18"/>
              </w:rPr>
              <w:t>National economic benefit acknowledgment; integrated environmental, social, and governance certification</w:t>
            </w:r>
          </w:p>
        </w:tc>
        <w:tc>
          <w:tcPr>
            <w:tcW w:w="3006" w:type="dxa"/>
          </w:tcPr>
          <w:p w14:paraId="5B4F1F9D" w14:textId="77777777" w:rsidR="00D51427" w:rsidRPr="00D51427" w:rsidRDefault="00D51427" w:rsidP="00D51427">
            <w:pPr>
              <w:rPr>
                <w:rFonts w:ascii="Arial" w:hAnsi="Arial" w:cs="Arial"/>
                <w:sz w:val="18"/>
                <w:szCs w:val="18"/>
              </w:rPr>
            </w:pPr>
          </w:p>
          <w:p w14:paraId="7582DFBE" w14:textId="057CBF87" w:rsidR="003E7840" w:rsidRPr="00D51427" w:rsidRDefault="00D51427" w:rsidP="00D51427">
            <w:pPr>
              <w:rPr>
                <w:rFonts w:ascii="Arial" w:hAnsi="Arial" w:cs="Arial"/>
                <w:sz w:val="18"/>
                <w:szCs w:val="18"/>
              </w:rPr>
            </w:pPr>
            <w:r w:rsidRPr="00D51427">
              <w:rPr>
                <w:rFonts w:ascii="Arial" w:hAnsi="Arial" w:cs="Arial"/>
                <w:sz w:val="18"/>
                <w:szCs w:val="18"/>
              </w:rPr>
              <w:t>Historical distrust; water resource allocation disputes; protest activities and consent acquisition delays</w:t>
            </w:r>
          </w:p>
        </w:tc>
      </w:tr>
    </w:tbl>
    <w:p w14:paraId="3271DE50" w14:textId="77777777" w:rsidR="00D51427" w:rsidRPr="00D51427" w:rsidRDefault="00D51427" w:rsidP="00D51427">
      <w:pPr>
        <w:rPr>
          <w:rFonts w:ascii="Arial" w:hAnsi="Arial" w:cs="Arial"/>
          <w:sz w:val="24"/>
          <w:szCs w:val="24"/>
        </w:rPr>
      </w:pPr>
    </w:p>
    <w:p w14:paraId="556A76E8" w14:textId="77777777" w:rsidR="00D51427" w:rsidRPr="00D51427" w:rsidRDefault="00D51427" w:rsidP="00D51427">
      <w:pPr>
        <w:rPr>
          <w:rFonts w:ascii="Arial" w:hAnsi="Arial" w:cs="Arial"/>
          <w:sz w:val="24"/>
          <w:szCs w:val="24"/>
        </w:rPr>
      </w:pPr>
      <w:r w:rsidRPr="00D51427">
        <w:rPr>
          <w:rFonts w:ascii="Arial" w:hAnsi="Arial" w:cs="Arial"/>
          <w:sz w:val="24"/>
          <w:szCs w:val="24"/>
        </w:rPr>
        <w:t>Table 1: Synthesis of External Stakeholder Impacts on Codelco's Decarbonization Initiative</w:t>
      </w:r>
    </w:p>
    <w:p w14:paraId="716213F6" w14:textId="77777777" w:rsidR="00D51427" w:rsidRPr="00D51427" w:rsidRDefault="00D51427" w:rsidP="00D51427">
      <w:pPr>
        <w:rPr>
          <w:rFonts w:ascii="Arial" w:hAnsi="Arial" w:cs="Arial"/>
          <w:sz w:val="24"/>
          <w:szCs w:val="24"/>
        </w:rPr>
      </w:pPr>
    </w:p>
    <w:p w14:paraId="731995F9" w14:textId="706085EF" w:rsidR="003E7840" w:rsidRPr="00D51427" w:rsidRDefault="00D51427" w:rsidP="00D51427">
      <w:pPr>
        <w:rPr>
          <w:rFonts w:ascii="Arial" w:hAnsi="Arial" w:cs="Arial"/>
          <w:sz w:val="24"/>
          <w:szCs w:val="24"/>
        </w:rPr>
      </w:pPr>
      <w:r w:rsidRPr="00D51427">
        <w:rPr>
          <w:rFonts w:ascii="Arial" w:hAnsi="Arial" w:cs="Arial"/>
          <w:sz w:val="24"/>
          <w:szCs w:val="24"/>
        </w:rPr>
        <w:t>The environmental stakeholder establishes the foundational justification (copper facilitates carbon neutrality achievement) and the restrictive parameters (hydrological resources, energy requirements, ecological preservation). Regulatory frameworks translate these considerations into implementation schedules and financial implications; local populations ascertain the feasibility of executing these initiatives within their territories. These three components demonstrate mutual interdependence: an evidence-based environmental framework is prerequisite for regulatory authorization, which subsequently facilitates community engagement and support.</w:t>
      </w:r>
    </w:p>
    <w:p w14:paraId="1E4EB16A" w14:textId="77777777" w:rsidR="003E7840" w:rsidRDefault="003E7840" w:rsidP="003E7840">
      <w:pPr>
        <w:rPr>
          <w:rFonts w:ascii="Arial" w:hAnsi="Arial" w:cs="Arial"/>
          <w:sz w:val="24"/>
          <w:szCs w:val="24"/>
        </w:rPr>
      </w:pPr>
    </w:p>
    <w:p w14:paraId="059DB976" w14:textId="77777777" w:rsidR="00D51427" w:rsidRDefault="00D51427" w:rsidP="003E7840">
      <w:pPr>
        <w:rPr>
          <w:rFonts w:ascii="Arial" w:hAnsi="Arial" w:cs="Arial"/>
          <w:sz w:val="24"/>
          <w:szCs w:val="24"/>
        </w:rPr>
      </w:pPr>
    </w:p>
    <w:p w14:paraId="56E1B63F" w14:textId="77777777" w:rsidR="00D51427" w:rsidRDefault="00D51427" w:rsidP="003E7840">
      <w:pPr>
        <w:rPr>
          <w:rFonts w:ascii="Arial" w:hAnsi="Arial" w:cs="Arial"/>
          <w:sz w:val="24"/>
          <w:szCs w:val="24"/>
        </w:rPr>
      </w:pPr>
    </w:p>
    <w:p w14:paraId="674EE82B" w14:textId="77777777" w:rsidR="00D51427" w:rsidRDefault="00D51427" w:rsidP="003E7840">
      <w:pPr>
        <w:rPr>
          <w:rFonts w:ascii="Arial" w:hAnsi="Arial" w:cs="Arial"/>
          <w:sz w:val="24"/>
          <w:szCs w:val="24"/>
        </w:rPr>
      </w:pPr>
    </w:p>
    <w:p w14:paraId="4924F1FF" w14:textId="77777777" w:rsidR="00D51427" w:rsidRDefault="00D51427" w:rsidP="003E7840">
      <w:pPr>
        <w:rPr>
          <w:rFonts w:ascii="Arial" w:hAnsi="Arial" w:cs="Arial"/>
          <w:sz w:val="24"/>
          <w:szCs w:val="24"/>
        </w:rPr>
      </w:pPr>
    </w:p>
    <w:p w14:paraId="16F100DA" w14:textId="77777777" w:rsidR="00D51427" w:rsidRDefault="00D51427" w:rsidP="003E7840">
      <w:pPr>
        <w:rPr>
          <w:rFonts w:ascii="Arial" w:hAnsi="Arial" w:cs="Arial"/>
          <w:sz w:val="24"/>
          <w:szCs w:val="24"/>
        </w:rPr>
      </w:pPr>
    </w:p>
    <w:p w14:paraId="2A6C5484" w14:textId="77777777" w:rsidR="00D51427" w:rsidRDefault="00D51427" w:rsidP="003E7840">
      <w:pPr>
        <w:rPr>
          <w:rFonts w:ascii="Arial" w:hAnsi="Arial" w:cs="Arial"/>
          <w:sz w:val="24"/>
          <w:szCs w:val="24"/>
        </w:rPr>
      </w:pPr>
    </w:p>
    <w:p w14:paraId="3F885640" w14:textId="77777777" w:rsidR="00D51427" w:rsidRDefault="00D51427" w:rsidP="003E7840">
      <w:pPr>
        <w:rPr>
          <w:rFonts w:ascii="Arial" w:hAnsi="Arial" w:cs="Arial"/>
          <w:sz w:val="24"/>
          <w:szCs w:val="24"/>
        </w:rPr>
      </w:pPr>
    </w:p>
    <w:p w14:paraId="7AF4121C" w14:textId="77777777" w:rsidR="00D51427" w:rsidRPr="00D51427" w:rsidRDefault="00D51427" w:rsidP="003E7840">
      <w:pPr>
        <w:rPr>
          <w:rFonts w:ascii="Arial" w:hAnsi="Arial" w:cs="Arial"/>
          <w:sz w:val="24"/>
          <w:szCs w:val="24"/>
        </w:rPr>
      </w:pPr>
    </w:p>
    <w:p w14:paraId="29FFC2FE" w14:textId="77777777" w:rsidR="003E7840" w:rsidRPr="00D51427" w:rsidRDefault="003E7840" w:rsidP="003E7840">
      <w:pPr>
        <w:rPr>
          <w:rFonts w:ascii="Arial" w:hAnsi="Arial" w:cs="Arial"/>
          <w:sz w:val="24"/>
          <w:szCs w:val="24"/>
        </w:rPr>
      </w:pPr>
    </w:p>
    <w:p w14:paraId="7E76E90D" w14:textId="77777777" w:rsidR="003E7840" w:rsidRPr="00D51427" w:rsidRDefault="003E7840" w:rsidP="003E7840">
      <w:pPr>
        <w:rPr>
          <w:rFonts w:ascii="Arial" w:hAnsi="Arial" w:cs="Arial"/>
          <w:sz w:val="24"/>
          <w:szCs w:val="24"/>
        </w:rPr>
      </w:pPr>
    </w:p>
    <w:p w14:paraId="14B4BD03" w14:textId="262886D5" w:rsidR="00D51427" w:rsidRPr="00D51427" w:rsidRDefault="00D51427" w:rsidP="00D51427">
      <w:pPr>
        <w:pStyle w:val="Heading1"/>
      </w:pPr>
      <w:bookmarkStart w:id="4" w:name="_Toc243340419"/>
      <w:bookmarkStart w:id="5" w:name="_Toc243341754"/>
      <w:r w:rsidRPr="00D51427">
        <w:t>Task 2: Strategic Growth and Competitive Positioning</w:t>
      </w:r>
      <w:bookmarkEnd w:id="4"/>
      <w:bookmarkEnd w:id="5"/>
      <w:r w:rsidRPr="00D51427">
        <w:t xml:space="preserve"> </w:t>
      </w:r>
    </w:p>
    <w:p w14:paraId="74C3D34F" w14:textId="5ABE2B86" w:rsidR="00D51427" w:rsidRPr="00D51427" w:rsidRDefault="00D51427" w:rsidP="00D51427">
      <w:pPr>
        <w:rPr>
          <w:rFonts w:ascii="Arial" w:hAnsi="Arial" w:cs="Arial"/>
          <w:sz w:val="24"/>
          <w:szCs w:val="24"/>
        </w:rPr>
      </w:pPr>
      <w:r w:rsidRPr="00D51427">
        <w:rPr>
          <w:rFonts w:ascii="Arial" w:hAnsi="Arial" w:cs="Arial"/>
          <w:sz w:val="24"/>
          <w:szCs w:val="24"/>
        </w:rPr>
        <w:t>Strategic Framework</w:t>
      </w:r>
    </w:p>
    <w:p w14:paraId="178E78E2" w14:textId="77777777" w:rsidR="00D51427" w:rsidRPr="00D51427" w:rsidRDefault="00D51427" w:rsidP="00D51427">
      <w:pPr>
        <w:rPr>
          <w:rFonts w:ascii="Arial" w:hAnsi="Arial" w:cs="Arial"/>
          <w:sz w:val="24"/>
          <w:szCs w:val="24"/>
        </w:rPr>
      </w:pPr>
      <w:r w:rsidRPr="00D51427">
        <w:rPr>
          <w:rFonts w:ascii="Arial" w:hAnsi="Arial" w:cs="Arial"/>
          <w:sz w:val="24"/>
          <w:szCs w:val="24"/>
        </w:rPr>
        <w:t>Drawing upon the preceding examination, this section employs the Ansoff Matrix to delineate a growth trajectory, congruent with Porter's Generic Strategies framework for establishing competitive differentiation (Ansoff, 1957; Porter, 1985; Kotler et al., 2024). The four Ansoff dimensions encompass: Market Penetration, Market Development, Product Development, and Diversification.</w:t>
      </w:r>
    </w:p>
    <w:p w14:paraId="4FC04141" w14:textId="4C98AB91" w:rsidR="00D51427" w:rsidRPr="00D51427" w:rsidRDefault="00D51427" w:rsidP="00D51427">
      <w:pPr>
        <w:rPr>
          <w:rFonts w:ascii="Arial" w:hAnsi="Arial" w:cs="Arial"/>
          <w:sz w:val="24"/>
          <w:szCs w:val="24"/>
        </w:rPr>
      </w:pPr>
      <w:r w:rsidRPr="00D51427">
        <w:rPr>
          <w:rFonts w:ascii="Arial" w:hAnsi="Arial" w:cs="Arial"/>
          <w:b/>
          <w:bCs/>
          <w:sz w:val="24"/>
          <w:szCs w:val="24"/>
        </w:rPr>
        <w:t>Recommended Strategy:</w:t>
      </w:r>
      <w:r w:rsidRPr="00D51427">
        <w:rPr>
          <w:rFonts w:ascii="Arial" w:hAnsi="Arial" w:cs="Arial"/>
          <w:sz w:val="24"/>
          <w:szCs w:val="24"/>
        </w:rPr>
        <w:t xml:space="preserve"> Product Development + Market Penetration</w:t>
      </w:r>
    </w:p>
    <w:p w14:paraId="12906092" w14:textId="1D943B93" w:rsidR="003E7840" w:rsidRPr="009D50BB" w:rsidRDefault="00D51427" w:rsidP="00D51427">
      <w:pPr>
        <w:rPr>
          <w:rFonts w:ascii="Arial" w:hAnsi="Arial" w:cs="Arial"/>
          <w:sz w:val="24"/>
          <w:szCs w:val="24"/>
        </w:rPr>
      </w:pPr>
      <w:r w:rsidRPr="00D51427">
        <w:rPr>
          <w:rFonts w:ascii="Arial" w:hAnsi="Arial" w:cs="Arial"/>
          <w:sz w:val="24"/>
          <w:szCs w:val="24"/>
        </w:rPr>
        <w:t xml:space="preserve">Codelco should prioritize Product Development as its principal strategic orientation, complemented by concentrated Market Penetration within premium-grade copper segments. Diversification into unaffiliated industries is deemed inappropriate given misalignment with organizational competencies; standalone market development presents constrained strategic value given the organization's established </w:t>
      </w:r>
      <w:r w:rsidRPr="009D50BB">
        <w:rPr>
          <w:rFonts w:ascii="Arial" w:hAnsi="Arial" w:cs="Arial"/>
          <w:sz w:val="24"/>
          <w:szCs w:val="24"/>
        </w:rPr>
        <w:t>international market presence.</w:t>
      </w:r>
    </w:p>
    <w:p w14:paraId="2C503089" w14:textId="77777777" w:rsidR="003E7840" w:rsidRPr="009D50BB" w:rsidRDefault="003E7840" w:rsidP="003E7840">
      <w:pPr>
        <w:rPr>
          <w:rFonts w:ascii="Arial" w:hAnsi="Arial" w:cs="Arial"/>
          <w:sz w:val="24"/>
          <w:szCs w:val="24"/>
        </w:rPr>
      </w:pPr>
    </w:p>
    <w:p w14:paraId="11A56E85" w14:textId="7719DC4A" w:rsidR="00D51427" w:rsidRPr="009D50BB" w:rsidRDefault="00D51427" w:rsidP="00D51427">
      <w:pPr>
        <w:rPr>
          <w:rFonts w:ascii="Arial" w:hAnsi="Arial" w:cs="Arial"/>
          <w:b/>
          <w:bCs/>
          <w:sz w:val="24"/>
          <w:szCs w:val="24"/>
        </w:rPr>
      </w:pPr>
      <w:r w:rsidRPr="009D50BB">
        <w:rPr>
          <w:rFonts w:ascii="Arial" w:hAnsi="Arial" w:cs="Arial"/>
          <w:b/>
          <w:bCs/>
          <w:sz w:val="24"/>
          <w:szCs w:val="24"/>
        </w:rPr>
        <w:t>Pathway 1: Product Development – Certified "Green Copper" &amp; Value-Added Materials</w:t>
      </w:r>
    </w:p>
    <w:p w14:paraId="5F3E3ECF" w14:textId="362503FC" w:rsidR="00D51427" w:rsidRPr="009D50BB" w:rsidRDefault="00D51427" w:rsidP="00D51427">
      <w:pPr>
        <w:rPr>
          <w:rFonts w:ascii="Arial" w:hAnsi="Arial" w:cs="Arial"/>
          <w:sz w:val="24"/>
          <w:szCs w:val="24"/>
        </w:rPr>
      </w:pPr>
      <w:r w:rsidRPr="009D50BB">
        <w:rPr>
          <w:rFonts w:ascii="Arial" w:hAnsi="Arial" w:cs="Arial"/>
          <w:sz w:val="24"/>
          <w:szCs w:val="24"/>
        </w:rPr>
        <w:t>Product development encompasses the creation of novel or improved products designed for established market segments (Kotler et al., 2024). Codelco will pursue the following strategic initiatives:</w:t>
      </w:r>
    </w:p>
    <w:p w14:paraId="7EDED2B6" w14:textId="4516B330" w:rsidR="00D51427" w:rsidRPr="009D50BB" w:rsidRDefault="00D51427" w:rsidP="00D51427">
      <w:pPr>
        <w:rPr>
          <w:rFonts w:ascii="Arial" w:hAnsi="Arial" w:cs="Arial"/>
          <w:sz w:val="24"/>
          <w:szCs w:val="24"/>
        </w:rPr>
      </w:pPr>
      <w:r w:rsidRPr="009D50BB">
        <w:rPr>
          <w:rFonts w:ascii="Arial" w:hAnsi="Arial" w:cs="Arial"/>
          <w:sz w:val="24"/>
          <w:szCs w:val="24"/>
        </w:rPr>
        <w:t xml:space="preserve">Expand the commercialization of verified low-carbon, water-efficient copper: The organization will formalize and broaden the 2025 Green Copper standard through independent third-party certification, with objectives of achieving ≤1.8 t </w:t>
      </w:r>
      <w:proofErr w:type="spellStart"/>
      <w:r w:rsidRPr="009D50BB">
        <w:rPr>
          <w:rFonts w:ascii="Arial" w:hAnsi="Arial" w:cs="Arial"/>
          <w:sz w:val="24"/>
          <w:szCs w:val="24"/>
        </w:rPr>
        <w:t>CO</w:t>
      </w:r>
      <w:r w:rsidRPr="009D50BB">
        <w:rPr>
          <w:rFonts w:ascii="Cambria Math" w:hAnsi="Cambria Math" w:cs="Cambria Math"/>
          <w:sz w:val="24"/>
          <w:szCs w:val="24"/>
        </w:rPr>
        <w:t>₂</w:t>
      </w:r>
      <w:r w:rsidRPr="009D50BB">
        <w:rPr>
          <w:rFonts w:ascii="Arial" w:hAnsi="Arial" w:cs="Arial"/>
          <w:sz w:val="24"/>
          <w:szCs w:val="24"/>
        </w:rPr>
        <w:t>e</w:t>
      </w:r>
      <w:proofErr w:type="spellEnd"/>
      <w:r w:rsidRPr="009D50BB">
        <w:rPr>
          <w:rFonts w:ascii="Arial" w:hAnsi="Arial" w:cs="Arial"/>
          <w:sz w:val="24"/>
          <w:szCs w:val="24"/>
        </w:rPr>
        <w:t xml:space="preserve"> per tonne of cathode (representing a 30% reduction relative to current industry averages) and implementing 90% water recycling systems by 2032. These measures directly mitigate environmental constraints and satisfy evolving regulatory frameworks.</w:t>
      </w:r>
    </w:p>
    <w:p w14:paraId="3C020F3B" w14:textId="12E50DB5" w:rsidR="00D51427" w:rsidRPr="009D50BB" w:rsidRDefault="00D51427" w:rsidP="00D51427">
      <w:pPr>
        <w:rPr>
          <w:rFonts w:ascii="Arial" w:hAnsi="Arial" w:cs="Arial"/>
          <w:sz w:val="24"/>
          <w:szCs w:val="24"/>
        </w:rPr>
      </w:pPr>
      <w:r w:rsidRPr="009D50BB">
        <w:rPr>
          <w:rFonts w:ascii="Arial" w:hAnsi="Arial" w:cs="Arial"/>
          <w:sz w:val="24"/>
          <w:szCs w:val="24"/>
        </w:rPr>
        <w:t>Develop high-purity copper for emerging technological applications: The production of specialized-grade cathode materials optimized for high-efficiency electrical conductors and battery anode applications—commanding premium valuations of 5–12% above standard London Metal Exchange pricing (ICSG, 2025).</w:t>
      </w:r>
    </w:p>
    <w:p w14:paraId="360F1D4E" w14:textId="0960164B" w:rsidR="00D51427" w:rsidRPr="009D50BB" w:rsidRDefault="00D51427" w:rsidP="00D51427">
      <w:pPr>
        <w:rPr>
          <w:rFonts w:ascii="Arial" w:hAnsi="Arial" w:cs="Arial"/>
          <w:sz w:val="24"/>
          <w:szCs w:val="24"/>
        </w:rPr>
      </w:pPr>
      <w:r w:rsidRPr="009D50BB">
        <w:rPr>
          <w:rFonts w:ascii="Arial" w:hAnsi="Arial" w:cs="Arial"/>
          <w:sz w:val="24"/>
          <w:szCs w:val="24"/>
        </w:rPr>
        <w:t xml:space="preserve">Recovery and </w:t>
      </w:r>
      <w:r w:rsidRPr="009D50BB">
        <w:rPr>
          <w:rFonts w:ascii="Arial" w:hAnsi="Arial" w:cs="Arial"/>
          <w:sz w:val="24"/>
          <w:szCs w:val="24"/>
        </w:rPr>
        <w:t>valorisation</w:t>
      </w:r>
      <w:r w:rsidRPr="009D50BB">
        <w:rPr>
          <w:rFonts w:ascii="Arial" w:hAnsi="Arial" w:cs="Arial"/>
          <w:sz w:val="24"/>
          <w:szCs w:val="24"/>
        </w:rPr>
        <w:t xml:space="preserve"> of by-product critical minerals: The extraction of molybdenum, rhenium, and lithium from mining waste streams will enhance revenue diversification while simultaneously reducing tailings accumulation—exemplifying commitment to circular economy principles.</w:t>
      </w:r>
    </w:p>
    <w:p w14:paraId="7CE40F20" w14:textId="77777777" w:rsidR="00D51427" w:rsidRPr="009D50BB" w:rsidRDefault="00D51427" w:rsidP="00D51427">
      <w:pPr>
        <w:rPr>
          <w:rFonts w:ascii="Arial" w:hAnsi="Arial" w:cs="Arial"/>
          <w:sz w:val="24"/>
          <w:szCs w:val="24"/>
        </w:rPr>
      </w:pPr>
    </w:p>
    <w:p w14:paraId="37C2AE59" w14:textId="54253E01" w:rsidR="003E7840" w:rsidRPr="009D50BB" w:rsidRDefault="00D51427" w:rsidP="00D51427">
      <w:pPr>
        <w:rPr>
          <w:rFonts w:ascii="Arial" w:hAnsi="Arial" w:cs="Arial"/>
          <w:sz w:val="24"/>
          <w:szCs w:val="24"/>
        </w:rPr>
      </w:pPr>
      <w:r w:rsidRPr="009D50BB">
        <w:rPr>
          <w:rFonts w:ascii="Arial" w:hAnsi="Arial" w:cs="Arial"/>
          <w:b/>
          <w:bCs/>
          <w:sz w:val="24"/>
          <w:szCs w:val="24"/>
        </w:rPr>
        <w:t>Competitive Advantage – Strategic Differentiation:</w:t>
      </w:r>
      <w:r w:rsidRPr="009D50BB">
        <w:rPr>
          <w:rFonts w:ascii="Arial" w:hAnsi="Arial" w:cs="Arial"/>
          <w:sz w:val="24"/>
          <w:szCs w:val="24"/>
        </w:rPr>
        <w:t xml:space="preserve"> Codelco will establish market positioning through sustainability excellence and ethical sourcing credentials rather than price competition alone. As a state-owned enterprise possessing substantial national-scale renewable energy investment capacity, the organization can attain certification benchmarks that private sector competitors cannot readily replicate. This strategic positioning provides insulation from commodity price volatility and facilitates the establishment of enduring supply partnerships with prominent technology manufacturers and energy-transition stakeholders (Siemens, Tesla, European energy utilities).</w:t>
      </w:r>
    </w:p>
    <w:p w14:paraId="27DCDC21" w14:textId="77777777" w:rsidR="003E7840" w:rsidRPr="009D50BB" w:rsidRDefault="003E7840" w:rsidP="003E7840">
      <w:pPr>
        <w:rPr>
          <w:rFonts w:ascii="Arial" w:hAnsi="Arial" w:cs="Arial"/>
          <w:sz w:val="24"/>
          <w:szCs w:val="24"/>
        </w:rPr>
      </w:pPr>
    </w:p>
    <w:p w14:paraId="04CF2829" w14:textId="644EC2C7" w:rsidR="009D50BB" w:rsidRPr="009D50BB" w:rsidRDefault="009D50BB" w:rsidP="009D50BB">
      <w:pPr>
        <w:rPr>
          <w:rFonts w:ascii="Arial" w:hAnsi="Arial" w:cs="Arial"/>
          <w:b/>
          <w:bCs/>
          <w:sz w:val="24"/>
          <w:szCs w:val="24"/>
        </w:rPr>
      </w:pPr>
      <w:r w:rsidRPr="009D50BB">
        <w:rPr>
          <w:rFonts w:ascii="Arial" w:hAnsi="Arial" w:cs="Arial"/>
          <w:b/>
          <w:bCs/>
          <w:sz w:val="24"/>
          <w:szCs w:val="24"/>
        </w:rPr>
        <w:t>Pathway 2: Market Penetration – Optimised Output in Priority Markets</w:t>
      </w:r>
    </w:p>
    <w:p w14:paraId="4A9120EF" w14:textId="3C932875" w:rsidR="009D50BB" w:rsidRPr="009D50BB" w:rsidRDefault="009D50BB" w:rsidP="009D50BB">
      <w:pPr>
        <w:rPr>
          <w:rFonts w:ascii="Arial" w:hAnsi="Arial" w:cs="Arial"/>
          <w:sz w:val="24"/>
          <w:szCs w:val="24"/>
        </w:rPr>
      </w:pPr>
      <w:r w:rsidRPr="009D50BB">
        <w:rPr>
          <w:rFonts w:ascii="Arial" w:hAnsi="Arial" w:cs="Arial"/>
          <w:sz w:val="24"/>
          <w:szCs w:val="24"/>
        </w:rPr>
        <w:t>Market penetration constitutes the expansion of market share within established markets (Kotler et al., 2024). Codelco shall implement the following strategic initiatives:</w:t>
      </w:r>
    </w:p>
    <w:p w14:paraId="48E0E80E" w14:textId="7483D403" w:rsidR="009D50BB" w:rsidRPr="009D50BB" w:rsidRDefault="009D50BB" w:rsidP="009D50BB">
      <w:pPr>
        <w:rPr>
          <w:rFonts w:ascii="Arial" w:hAnsi="Arial" w:cs="Arial"/>
          <w:sz w:val="24"/>
          <w:szCs w:val="24"/>
        </w:rPr>
      </w:pPr>
      <w:r w:rsidRPr="009D50BB">
        <w:rPr>
          <w:rFonts w:ascii="Arial" w:hAnsi="Arial" w:cs="Arial"/>
          <w:sz w:val="24"/>
          <w:szCs w:val="24"/>
        </w:rPr>
        <w:t>Allocate 85% of production capacity to net-zero-aligned sectors: emphasising renewable energy infrastructure, electric mobility solutions, and electrical grid modernisation purchasers rather than undifferentiated construction applications.</w:t>
      </w:r>
    </w:p>
    <w:p w14:paraId="03150B86" w14:textId="00696A2F" w:rsidR="009D50BB" w:rsidRPr="009D50BB" w:rsidRDefault="009D50BB" w:rsidP="009D50BB">
      <w:pPr>
        <w:rPr>
          <w:rFonts w:ascii="Arial" w:hAnsi="Arial" w:cs="Arial"/>
          <w:sz w:val="24"/>
          <w:szCs w:val="24"/>
        </w:rPr>
      </w:pPr>
      <w:r w:rsidRPr="009D50BB">
        <w:rPr>
          <w:rFonts w:ascii="Arial" w:hAnsi="Arial" w:cs="Arial"/>
          <w:sz w:val="24"/>
          <w:szCs w:val="24"/>
        </w:rPr>
        <w:t>Enhance asset utilisation efficiency: implement technological upgrades to processing capabilities at operational mining facilities rather than pursuing new greenfield development—thereby mitigating capital expenditure risk and environmental consequences whilst achieving a 12% production increase by 2030 (Codelco, 2026c).</w:t>
      </w:r>
    </w:p>
    <w:p w14:paraId="7DEB5438" w14:textId="671B408C" w:rsidR="009D50BB" w:rsidRPr="009D50BB" w:rsidRDefault="009D50BB" w:rsidP="009D50BB">
      <w:pPr>
        <w:rPr>
          <w:rFonts w:ascii="Arial" w:hAnsi="Arial" w:cs="Arial"/>
          <w:sz w:val="24"/>
          <w:szCs w:val="24"/>
        </w:rPr>
      </w:pPr>
      <w:r w:rsidRPr="009D50BB">
        <w:rPr>
          <w:rFonts w:ascii="Arial" w:hAnsi="Arial" w:cs="Arial"/>
          <w:sz w:val="24"/>
          <w:szCs w:val="24"/>
        </w:rPr>
        <w:t>Systematically retire highest-carbon legacy operations: progressively diminish dependence on antiquated, lower-efficiency production facilities to enhance portfolio-level emissions intensity metrics.</w:t>
      </w:r>
    </w:p>
    <w:p w14:paraId="0F784148" w14:textId="480AE061" w:rsidR="003E7840" w:rsidRPr="009D50BB" w:rsidRDefault="009D50BB" w:rsidP="009D50BB">
      <w:pPr>
        <w:rPr>
          <w:rFonts w:ascii="Arial" w:hAnsi="Arial" w:cs="Arial"/>
          <w:sz w:val="24"/>
          <w:szCs w:val="24"/>
        </w:rPr>
      </w:pPr>
      <w:r w:rsidRPr="009D50BB">
        <w:rPr>
          <w:rFonts w:ascii="Arial" w:hAnsi="Arial" w:cs="Arial"/>
          <w:sz w:val="24"/>
          <w:szCs w:val="24"/>
        </w:rPr>
        <w:t>Competitive Advantage – Integrated Differentiation and Operational Efficiency: Production expansion is realised without commensurate augmentation of operational footprint or greenhouse gas emissions, establishing a "sustainable scale" competitive position that market rivals cannot effectively emulate.</w:t>
      </w:r>
    </w:p>
    <w:p w14:paraId="6C200C54" w14:textId="77777777" w:rsidR="009D50BB" w:rsidRDefault="009D50BB" w:rsidP="003E7840"/>
    <w:p w14:paraId="531562F7" w14:textId="77777777" w:rsidR="009D50BB" w:rsidRDefault="009D50BB" w:rsidP="003E7840"/>
    <w:p w14:paraId="2FD48D94" w14:textId="77777777" w:rsidR="009D50BB" w:rsidRDefault="009D50BB" w:rsidP="003E7840"/>
    <w:p w14:paraId="52402164" w14:textId="77777777" w:rsidR="009D50BB" w:rsidRDefault="009D50BB" w:rsidP="003E7840"/>
    <w:p w14:paraId="23B332E3" w14:textId="77777777" w:rsidR="009D50BB" w:rsidRDefault="009D50BB" w:rsidP="003E7840"/>
    <w:p w14:paraId="0F11B3A5" w14:textId="77777777" w:rsidR="009D50BB" w:rsidRDefault="009D50BB" w:rsidP="003E7840"/>
    <w:p w14:paraId="7B3BD418" w14:textId="77777777" w:rsidR="009D50BB" w:rsidRDefault="009D50BB" w:rsidP="003E7840"/>
    <w:p w14:paraId="7D832B31" w14:textId="77777777" w:rsidR="009D50BB" w:rsidRDefault="009D50BB" w:rsidP="003E7840"/>
    <w:p w14:paraId="6B14F786" w14:textId="77777777" w:rsidR="009D50BB" w:rsidRDefault="009D50BB" w:rsidP="003E7840"/>
    <w:p w14:paraId="3352A193" w14:textId="77777777" w:rsidR="009D50BB" w:rsidRDefault="009D50BB" w:rsidP="003E7840"/>
    <w:p w14:paraId="0ECE6EBE" w14:textId="77777777" w:rsidR="009D50BB" w:rsidRDefault="009D50BB" w:rsidP="003E7840"/>
    <w:p w14:paraId="3FD44CBC" w14:textId="023CC628" w:rsidR="009D50BB" w:rsidRPr="009D50BB" w:rsidRDefault="009D50BB" w:rsidP="003E7840">
      <w:pPr>
        <w:rPr>
          <w:rFonts w:ascii="Arial" w:hAnsi="Arial" w:cs="Arial"/>
          <w:sz w:val="24"/>
          <w:szCs w:val="24"/>
        </w:rPr>
      </w:pPr>
      <w:r w:rsidRPr="009D50BB">
        <w:rPr>
          <w:rFonts w:ascii="Arial" w:hAnsi="Arial" w:cs="Arial"/>
          <w:sz w:val="24"/>
          <w:szCs w:val="24"/>
        </w:rPr>
        <w:t>Implementation Roadma</w:t>
      </w:r>
      <w:r>
        <w:rPr>
          <w:rFonts w:ascii="Arial" w:hAnsi="Arial" w:cs="Arial"/>
          <w:sz w:val="24"/>
          <w:szCs w:val="24"/>
        </w:rPr>
        <w:t>p</w:t>
      </w:r>
    </w:p>
    <w:p w14:paraId="31401F25" w14:textId="77777777" w:rsidR="009D50BB" w:rsidRPr="009D50BB" w:rsidRDefault="009D50BB" w:rsidP="003E7840">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9D50BB" w:rsidRPr="009D50BB" w14:paraId="32935364" w14:textId="77777777" w:rsidTr="009D50BB">
        <w:tc>
          <w:tcPr>
            <w:tcW w:w="3005" w:type="dxa"/>
          </w:tcPr>
          <w:p w14:paraId="3F4046D8" w14:textId="4BDDA229" w:rsidR="009D50BB" w:rsidRPr="009D50BB" w:rsidRDefault="009D50BB" w:rsidP="003E7840">
            <w:pPr>
              <w:rPr>
                <w:rFonts w:ascii="Arial" w:hAnsi="Arial" w:cs="Arial"/>
                <w:sz w:val="24"/>
                <w:szCs w:val="24"/>
              </w:rPr>
            </w:pPr>
            <w:r w:rsidRPr="009D50BB">
              <w:rPr>
                <w:rFonts w:ascii="Arial" w:hAnsi="Arial" w:cs="Arial"/>
                <w:sz w:val="24"/>
                <w:szCs w:val="24"/>
              </w:rPr>
              <w:t>Phase</w:t>
            </w:r>
          </w:p>
        </w:tc>
        <w:tc>
          <w:tcPr>
            <w:tcW w:w="3005" w:type="dxa"/>
          </w:tcPr>
          <w:p w14:paraId="1FEA90BB" w14:textId="4788B0C5" w:rsidR="009D50BB" w:rsidRPr="009D50BB" w:rsidRDefault="009D50BB" w:rsidP="003E7840">
            <w:pPr>
              <w:rPr>
                <w:rFonts w:ascii="Arial" w:hAnsi="Arial" w:cs="Arial"/>
                <w:sz w:val="24"/>
                <w:szCs w:val="24"/>
              </w:rPr>
            </w:pPr>
            <w:r w:rsidRPr="009D50BB">
              <w:rPr>
                <w:rFonts w:ascii="Arial" w:hAnsi="Arial" w:cs="Arial"/>
                <w:sz w:val="24"/>
                <w:szCs w:val="24"/>
              </w:rPr>
              <w:t>Timeline</w:t>
            </w:r>
          </w:p>
        </w:tc>
        <w:tc>
          <w:tcPr>
            <w:tcW w:w="3006" w:type="dxa"/>
          </w:tcPr>
          <w:p w14:paraId="04BF1B9F" w14:textId="476B593A" w:rsidR="009D50BB" w:rsidRPr="009D50BB" w:rsidRDefault="009D50BB" w:rsidP="003E7840">
            <w:pPr>
              <w:rPr>
                <w:rFonts w:ascii="Arial" w:hAnsi="Arial" w:cs="Arial"/>
                <w:sz w:val="24"/>
                <w:szCs w:val="24"/>
              </w:rPr>
            </w:pPr>
            <w:r w:rsidRPr="009D50BB">
              <w:rPr>
                <w:rFonts w:ascii="Arial" w:hAnsi="Arial" w:cs="Arial"/>
                <w:sz w:val="24"/>
                <w:szCs w:val="24"/>
              </w:rPr>
              <w:t>Core Action</w:t>
            </w:r>
          </w:p>
        </w:tc>
      </w:tr>
      <w:tr w:rsidR="009D50BB" w:rsidRPr="009D50BB" w14:paraId="549049A0" w14:textId="77777777" w:rsidTr="009D50BB">
        <w:tc>
          <w:tcPr>
            <w:tcW w:w="3005" w:type="dxa"/>
          </w:tcPr>
          <w:p w14:paraId="58F2F8BF" w14:textId="42B85869" w:rsidR="009D50BB" w:rsidRPr="009D50BB" w:rsidRDefault="009D50BB" w:rsidP="003E7840">
            <w:pPr>
              <w:rPr>
                <w:rFonts w:ascii="Arial" w:hAnsi="Arial" w:cs="Arial"/>
                <w:sz w:val="24"/>
                <w:szCs w:val="24"/>
              </w:rPr>
            </w:pPr>
            <w:r w:rsidRPr="009D50BB">
              <w:rPr>
                <w:rFonts w:ascii="Arial" w:hAnsi="Arial" w:cs="Arial"/>
                <w:sz w:val="24"/>
                <w:szCs w:val="24"/>
              </w:rPr>
              <w:t xml:space="preserve">Foundation </w:t>
            </w:r>
          </w:p>
        </w:tc>
        <w:tc>
          <w:tcPr>
            <w:tcW w:w="3005" w:type="dxa"/>
          </w:tcPr>
          <w:p w14:paraId="7C3D93EB" w14:textId="19878A8B" w:rsidR="009D50BB" w:rsidRPr="009D50BB" w:rsidRDefault="009D50BB" w:rsidP="003E7840">
            <w:pPr>
              <w:rPr>
                <w:rFonts w:ascii="Arial" w:hAnsi="Arial" w:cs="Arial"/>
                <w:sz w:val="24"/>
                <w:szCs w:val="24"/>
              </w:rPr>
            </w:pPr>
            <w:r w:rsidRPr="009D50BB">
              <w:rPr>
                <w:rFonts w:ascii="Arial" w:hAnsi="Arial" w:cs="Arial"/>
                <w:sz w:val="24"/>
                <w:szCs w:val="24"/>
              </w:rPr>
              <w:t>2026–2028</w:t>
            </w:r>
          </w:p>
        </w:tc>
        <w:tc>
          <w:tcPr>
            <w:tcW w:w="3006" w:type="dxa"/>
          </w:tcPr>
          <w:p w14:paraId="6160AB16" w14:textId="268397BB" w:rsidR="009D50BB" w:rsidRPr="009D50BB" w:rsidRDefault="009D50BB" w:rsidP="003E7840">
            <w:pPr>
              <w:rPr>
                <w:rFonts w:ascii="Arial" w:hAnsi="Arial" w:cs="Arial"/>
                <w:sz w:val="18"/>
                <w:szCs w:val="18"/>
              </w:rPr>
            </w:pPr>
            <w:r w:rsidRPr="009D50BB">
              <w:rPr>
                <w:rFonts w:ascii="Arial" w:hAnsi="Arial" w:cs="Arial"/>
                <w:sz w:val="18"/>
                <w:szCs w:val="18"/>
              </w:rPr>
              <w:t>Comprehensive autonomous Green Copper certification; contractual frameworks for renewable energy procurement encompassing solar and wind installations; community benefit agreements established at all significant operational locations</w:t>
            </w:r>
          </w:p>
        </w:tc>
      </w:tr>
      <w:tr w:rsidR="009D50BB" w:rsidRPr="009D50BB" w14:paraId="5B240B35" w14:textId="77777777" w:rsidTr="009D50BB">
        <w:tc>
          <w:tcPr>
            <w:tcW w:w="3005" w:type="dxa"/>
          </w:tcPr>
          <w:p w14:paraId="3E6568C6" w14:textId="3EB13D84" w:rsidR="009D50BB" w:rsidRPr="009D50BB" w:rsidRDefault="009D50BB" w:rsidP="003E7840">
            <w:pPr>
              <w:rPr>
                <w:rFonts w:ascii="Arial" w:hAnsi="Arial" w:cs="Arial"/>
                <w:sz w:val="24"/>
                <w:szCs w:val="24"/>
              </w:rPr>
            </w:pPr>
            <w:r w:rsidRPr="009D50BB">
              <w:rPr>
                <w:rFonts w:ascii="Arial" w:hAnsi="Arial" w:cs="Arial"/>
                <w:sz w:val="24"/>
                <w:szCs w:val="24"/>
              </w:rPr>
              <w:t xml:space="preserve">Scale </w:t>
            </w:r>
          </w:p>
        </w:tc>
        <w:tc>
          <w:tcPr>
            <w:tcW w:w="3005" w:type="dxa"/>
          </w:tcPr>
          <w:p w14:paraId="5371521D" w14:textId="4284DBC3" w:rsidR="009D50BB" w:rsidRPr="009D50BB" w:rsidRDefault="009D50BB" w:rsidP="003E7840">
            <w:pPr>
              <w:rPr>
                <w:rFonts w:ascii="Arial" w:hAnsi="Arial" w:cs="Arial"/>
                <w:sz w:val="24"/>
                <w:szCs w:val="24"/>
              </w:rPr>
            </w:pPr>
            <w:r w:rsidRPr="009D50BB">
              <w:rPr>
                <w:rFonts w:ascii="Arial" w:hAnsi="Arial" w:cs="Arial"/>
                <w:sz w:val="24"/>
                <w:szCs w:val="24"/>
              </w:rPr>
              <w:t>2028–2033</w:t>
            </w:r>
          </w:p>
        </w:tc>
        <w:tc>
          <w:tcPr>
            <w:tcW w:w="3006" w:type="dxa"/>
          </w:tcPr>
          <w:p w14:paraId="3D6808BD" w14:textId="311A55DB" w:rsidR="009D50BB" w:rsidRPr="009D50BB" w:rsidRDefault="009D50BB" w:rsidP="003E7840">
            <w:pPr>
              <w:rPr>
                <w:rFonts w:ascii="Arial" w:hAnsi="Arial" w:cs="Arial"/>
                <w:sz w:val="18"/>
                <w:szCs w:val="18"/>
              </w:rPr>
            </w:pPr>
            <w:r w:rsidRPr="009D50BB">
              <w:rPr>
                <w:rFonts w:ascii="Arial" w:hAnsi="Arial" w:cs="Arial"/>
                <w:sz w:val="18"/>
                <w:szCs w:val="18"/>
              </w:rPr>
              <w:t>A demonstration facility for commercial-scale green hydrogen-based smelting operations has been established; concurrent operational capabilities for lithium and rare earth element recovery have been implemented; and strategic long-term premium supply agreements have been executed</w:t>
            </w:r>
          </w:p>
        </w:tc>
      </w:tr>
      <w:tr w:rsidR="009D50BB" w:rsidRPr="009D50BB" w14:paraId="27203972" w14:textId="77777777" w:rsidTr="009D50BB">
        <w:tc>
          <w:tcPr>
            <w:tcW w:w="3005" w:type="dxa"/>
          </w:tcPr>
          <w:p w14:paraId="10CED436" w14:textId="2D0A6635" w:rsidR="009D50BB" w:rsidRPr="009D50BB" w:rsidRDefault="009D50BB" w:rsidP="003E7840">
            <w:pPr>
              <w:rPr>
                <w:rFonts w:ascii="Arial" w:hAnsi="Arial" w:cs="Arial"/>
                <w:sz w:val="24"/>
                <w:szCs w:val="24"/>
              </w:rPr>
            </w:pPr>
            <w:r w:rsidRPr="009D50BB">
              <w:rPr>
                <w:rFonts w:ascii="Arial" w:hAnsi="Arial" w:cs="Arial"/>
                <w:sz w:val="24"/>
                <w:szCs w:val="24"/>
              </w:rPr>
              <w:t>Leadership</w:t>
            </w:r>
          </w:p>
        </w:tc>
        <w:tc>
          <w:tcPr>
            <w:tcW w:w="3005" w:type="dxa"/>
          </w:tcPr>
          <w:p w14:paraId="69AFDAEE" w14:textId="011BD192" w:rsidR="009D50BB" w:rsidRPr="009D50BB" w:rsidRDefault="009D50BB" w:rsidP="003E7840">
            <w:pPr>
              <w:rPr>
                <w:rFonts w:ascii="Arial" w:hAnsi="Arial" w:cs="Arial"/>
                <w:sz w:val="24"/>
                <w:szCs w:val="24"/>
              </w:rPr>
            </w:pPr>
            <w:r w:rsidRPr="009D50BB">
              <w:rPr>
                <w:rFonts w:ascii="Arial" w:hAnsi="Arial" w:cs="Arial"/>
                <w:sz w:val="24"/>
                <w:szCs w:val="24"/>
              </w:rPr>
              <w:t>2033–2040</w:t>
            </w:r>
          </w:p>
        </w:tc>
        <w:tc>
          <w:tcPr>
            <w:tcW w:w="3006" w:type="dxa"/>
          </w:tcPr>
          <w:p w14:paraId="1A6EC8F6" w14:textId="690F5D8F" w:rsidR="009D50BB" w:rsidRPr="008B055B" w:rsidRDefault="008B055B" w:rsidP="003E7840">
            <w:pPr>
              <w:rPr>
                <w:rFonts w:ascii="Arial" w:hAnsi="Arial" w:cs="Arial"/>
                <w:sz w:val="18"/>
                <w:szCs w:val="18"/>
              </w:rPr>
            </w:pPr>
            <w:r w:rsidRPr="008B055B">
              <w:rPr>
                <w:rFonts w:ascii="Arial" w:hAnsi="Arial" w:cs="Arial"/>
                <w:sz w:val="18"/>
                <w:szCs w:val="18"/>
              </w:rPr>
              <w:t>Fully authenticated sustainable production output; establishment of industry-leading standards; internationally recognized benchmark for ethically responsible copper manufacturing</w:t>
            </w:r>
          </w:p>
        </w:tc>
      </w:tr>
    </w:tbl>
    <w:p w14:paraId="4C56627A" w14:textId="240A778E" w:rsidR="009D50BB" w:rsidRDefault="008B055B" w:rsidP="003E7840">
      <w:r>
        <w:t>Table 2: Codelco Sustainable Growth Roadmap</w:t>
      </w:r>
    </w:p>
    <w:p w14:paraId="3F534A52" w14:textId="77777777" w:rsidR="009D50BB" w:rsidRDefault="009D50BB" w:rsidP="003E7840"/>
    <w:p w14:paraId="02EB064F" w14:textId="77777777" w:rsidR="008B055B" w:rsidRDefault="008B055B" w:rsidP="003E7840"/>
    <w:p w14:paraId="78090960" w14:textId="20F8F333" w:rsidR="008B055B" w:rsidRPr="008B055B" w:rsidRDefault="008B055B" w:rsidP="008B055B">
      <w:pPr>
        <w:rPr>
          <w:rFonts w:ascii="Arial" w:hAnsi="Arial" w:cs="Arial"/>
          <w:b/>
          <w:bCs/>
          <w:sz w:val="24"/>
          <w:szCs w:val="24"/>
        </w:rPr>
      </w:pPr>
      <w:r w:rsidRPr="008B055B">
        <w:rPr>
          <w:rFonts w:ascii="Arial" w:hAnsi="Arial" w:cs="Arial"/>
          <w:b/>
          <w:bCs/>
          <w:sz w:val="24"/>
          <w:szCs w:val="24"/>
        </w:rPr>
        <w:t>Risk &amp; Alignment</w:t>
      </w:r>
    </w:p>
    <w:p w14:paraId="2466B08D" w14:textId="0996A6B9" w:rsidR="008B055B" w:rsidRPr="008B055B" w:rsidRDefault="008B055B" w:rsidP="008B055B">
      <w:pPr>
        <w:rPr>
          <w:rFonts w:ascii="Arial" w:hAnsi="Arial" w:cs="Arial"/>
          <w:sz w:val="24"/>
          <w:szCs w:val="24"/>
        </w:rPr>
      </w:pPr>
      <w:r w:rsidRPr="008B055B">
        <w:rPr>
          <w:rFonts w:ascii="Arial" w:hAnsi="Arial" w:cs="Arial"/>
          <w:b/>
          <w:bCs/>
          <w:sz w:val="24"/>
          <w:szCs w:val="24"/>
        </w:rPr>
        <w:t>Investment Capacity:</w:t>
      </w:r>
      <w:r w:rsidRPr="008B055B">
        <w:rPr>
          <w:rFonts w:ascii="Arial" w:hAnsi="Arial" w:cs="Arial"/>
          <w:sz w:val="24"/>
          <w:szCs w:val="24"/>
        </w:rPr>
        <w:t xml:space="preserve"> The organization requires between US$18–22 billion in capital allocation by 2033 (Codelco, 2026c). Risk mitigation strategies include implementing a phased deployment schedule, establishing segregated green bond instruments, and securing advance financing commitments from purchasing entities.</w:t>
      </w:r>
    </w:p>
    <w:p w14:paraId="349E88FB" w14:textId="7386CDB6" w:rsidR="008B055B" w:rsidRPr="008B055B" w:rsidRDefault="008B055B" w:rsidP="008B055B">
      <w:pPr>
        <w:rPr>
          <w:rFonts w:ascii="Arial" w:hAnsi="Arial" w:cs="Arial"/>
          <w:sz w:val="24"/>
          <w:szCs w:val="24"/>
        </w:rPr>
      </w:pPr>
      <w:r w:rsidRPr="008B055B">
        <w:rPr>
          <w:rFonts w:ascii="Arial" w:hAnsi="Arial" w:cs="Arial"/>
          <w:b/>
          <w:bCs/>
          <w:sz w:val="24"/>
          <w:szCs w:val="24"/>
        </w:rPr>
        <w:t>Credibility:</w:t>
      </w:r>
      <w:r w:rsidRPr="008B055B">
        <w:rPr>
          <w:rFonts w:ascii="Arial" w:hAnsi="Arial" w:cs="Arial"/>
          <w:sz w:val="24"/>
          <w:szCs w:val="24"/>
        </w:rPr>
        <w:t xml:space="preserve"> The initiative faces potential exposure to allegations of environmental misrepresentation that could compromise market differentiation. Mitigation measures encompass comprehensive public disclosure of analytical frameworks, engagement of independent external auditors for verification purposes, and implementation of systematic annual impact assessments.</w:t>
      </w:r>
    </w:p>
    <w:p w14:paraId="40F9C612" w14:textId="77777777" w:rsidR="008B055B" w:rsidRPr="008B055B" w:rsidRDefault="008B055B" w:rsidP="008B055B">
      <w:pPr>
        <w:rPr>
          <w:rFonts w:ascii="Arial" w:hAnsi="Arial" w:cs="Arial"/>
          <w:sz w:val="24"/>
          <w:szCs w:val="24"/>
        </w:rPr>
      </w:pPr>
      <w:r w:rsidRPr="008B055B">
        <w:rPr>
          <w:rFonts w:ascii="Arial" w:hAnsi="Arial" w:cs="Arial"/>
          <w:b/>
          <w:bCs/>
          <w:sz w:val="24"/>
          <w:szCs w:val="24"/>
        </w:rPr>
        <w:t>Societal Acceptance:</w:t>
      </w:r>
      <w:r w:rsidRPr="008B055B">
        <w:rPr>
          <w:rFonts w:ascii="Arial" w:hAnsi="Arial" w:cs="Arial"/>
          <w:sz w:val="24"/>
          <w:szCs w:val="24"/>
        </w:rPr>
        <w:t xml:space="preserve"> Risk mitigation approaches include establishing community stakeholder representation within the transition governance structure, ensuring transparent communication regarding water resource distribution, and implementing equitable revenue-sharing mechanisms derived from premium product sales.</w:t>
      </w:r>
    </w:p>
    <w:p w14:paraId="493085EB" w14:textId="77777777" w:rsidR="008B055B" w:rsidRPr="008B055B" w:rsidRDefault="008B055B" w:rsidP="008B055B">
      <w:pPr>
        <w:rPr>
          <w:rFonts w:ascii="Arial" w:hAnsi="Arial" w:cs="Arial"/>
          <w:sz w:val="24"/>
          <w:szCs w:val="24"/>
        </w:rPr>
      </w:pPr>
    </w:p>
    <w:p w14:paraId="5DF3F917" w14:textId="658E58FE" w:rsidR="008B055B" w:rsidRPr="008B055B" w:rsidRDefault="008B055B" w:rsidP="008B055B">
      <w:pPr>
        <w:rPr>
          <w:rFonts w:ascii="Arial" w:hAnsi="Arial" w:cs="Arial"/>
          <w:sz w:val="24"/>
          <w:szCs w:val="24"/>
        </w:rPr>
      </w:pPr>
      <w:r w:rsidRPr="008B055B">
        <w:rPr>
          <w:rFonts w:ascii="Arial" w:hAnsi="Arial" w:cs="Arial"/>
          <w:sz w:val="24"/>
          <w:szCs w:val="24"/>
        </w:rPr>
        <w:t>This integrated dual-pathway framework comprehensively addresses the concerns of all three environmental stakeholders: it supplies the decarbonized commodities necessary to meet climate imperatives, satisfies regulatory compliance and market-access prerequisites, and generates demonstrable, observable economic benefits for communities throughout Chile.</w:t>
      </w:r>
    </w:p>
    <w:p w14:paraId="0FAE829E" w14:textId="77777777" w:rsidR="008B055B" w:rsidRDefault="008B055B" w:rsidP="008B055B">
      <w:pPr>
        <w:pStyle w:val="Heading1"/>
      </w:pPr>
    </w:p>
    <w:p w14:paraId="72770D8E" w14:textId="77777777" w:rsidR="008B055B" w:rsidRPr="008B055B" w:rsidRDefault="008B055B" w:rsidP="008B055B">
      <w:pPr>
        <w:pStyle w:val="Heading1"/>
        <w:rPr>
          <w:rFonts w:ascii="Arial" w:hAnsi="Arial" w:cs="Arial"/>
          <w:sz w:val="24"/>
          <w:szCs w:val="24"/>
        </w:rPr>
      </w:pPr>
      <w:bookmarkStart w:id="6" w:name="_Toc243341755"/>
      <w:r w:rsidRPr="008B055B">
        <w:rPr>
          <w:rFonts w:ascii="Arial" w:hAnsi="Arial" w:cs="Arial"/>
          <w:sz w:val="24"/>
          <w:szCs w:val="24"/>
        </w:rPr>
        <w:t>Task 3: Managerial and Professional Reflection</w:t>
      </w:r>
      <w:bookmarkEnd w:id="6"/>
    </w:p>
    <w:p w14:paraId="5C4FE8A9" w14:textId="77777777" w:rsidR="008B055B" w:rsidRPr="008B055B" w:rsidRDefault="008B055B" w:rsidP="008B055B">
      <w:pPr>
        <w:rPr>
          <w:rFonts w:ascii="Arial" w:hAnsi="Arial" w:cs="Arial"/>
          <w:sz w:val="24"/>
          <w:szCs w:val="24"/>
        </w:rPr>
      </w:pPr>
      <w:r w:rsidRPr="008B055B">
        <w:rPr>
          <w:rFonts w:ascii="Arial" w:hAnsi="Arial" w:cs="Arial"/>
          <w:sz w:val="24"/>
          <w:szCs w:val="24"/>
        </w:rPr>
        <w:t>Selection Justification and Analytical Framework</w:t>
      </w:r>
    </w:p>
    <w:p w14:paraId="009D80C7" w14:textId="77777777" w:rsidR="008B055B" w:rsidRPr="008B055B" w:rsidRDefault="008B055B" w:rsidP="008B055B">
      <w:pPr>
        <w:rPr>
          <w:rFonts w:ascii="Arial" w:hAnsi="Arial" w:cs="Arial"/>
          <w:sz w:val="24"/>
          <w:szCs w:val="24"/>
        </w:rPr>
      </w:pPr>
    </w:p>
    <w:p w14:paraId="1AFB5D9A" w14:textId="12D3E025" w:rsidR="009D50BB" w:rsidRPr="008B055B" w:rsidRDefault="008B055B" w:rsidP="008B055B">
      <w:pPr>
        <w:rPr>
          <w:rFonts w:ascii="Arial" w:hAnsi="Arial" w:cs="Arial"/>
          <w:sz w:val="24"/>
          <w:szCs w:val="24"/>
        </w:rPr>
      </w:pPr>
      <w:r w:rsidRPr="008B055B">
        <w:rPr>
          <w:rFonts w:ascii="Arial" w:hAnsi="Arial" w:cs="Arial"/>
          <w:sz w:val="24"/>
          <w:szCs w:val="24"/>
        </w:rPr>
        <w:t xml:space="preserve">Codelco was selected as the primary subject of investigation due to its distinctive positioning at the intersection of global market prominence, state ownership structures, and substantial exposure to environmental and social accountability mechanisms. This institutional configuration renders its sustainability transition both economically consequential and strategically important to national interests. In contrast to </w:t>
      </w:r>
      <w:r w:rsidRPr="008B055B">
        <w:rPr>
          <w:rFonts w:ascii="Arial" w:hAnsi="Arial" w:cs="Arial"/>
          <w:sz w:val="24"/>
          <w:szCs w:val="24"/>
        </w:rPr>
        <w:t>privately held</w:t>
      </w:r>
      <w:r w:rsidRPr="008B055B">
        <w:rPr>
          <w:rFonts w:ascii="Arial" w:hAnsi="Arial" w:cs="Arial"/>
          <w:sz w:val="24"/>
          <w:szCs w:val="24"/>
        </w:rPr>
        <w:t xml:space="preserve"> multinational mining enterprises, Codelco operates under the dual imperative of generating financial returns while fulfilling public welfare obligations, thereby presenting a more nuanced analytical context. The three principal actors—environmental systems, regulatory frameworks, and community stakeholders—were deliberately identified to represent the stratified hierarchy of influence that characterizes organizational transformation. Environmental parameters establish the foundational physical constraints and commercial opportunities; regulatory mechanisms translate these biophysical realities into legally binding requirements; community actors ultimately determine the practical viability of implementation at the operational level. The deliberate exclusion of alternative analytical dimensions, such as economic market forces or technological innovation trajectories, facilitates concentrated examination of the sustainability imperative that constitutes the central focus of this investigation.</w:t>
      </w:r>
    </w:p>
    <w:p w14:paraId="6AF16BAE" w14:textId="77777777" w:rsidR="00027A7D" w:rsidRDefault="00027A7D" w:rsidP="00027A7D">
      <w:pPr>
        <w:rPr>
          <w:rFonts w:ascii="Arial" w:hAnsi="Arial" w:cs="Arial"/>
          <w:sz w:val="24"/>
          <w:szCs w:val="24"/>
        </w:rPr>
      </w:pPr>
    </w:p>
    <w:p w14:paraId="1720A813" w14:textId="77777777" w:rsidR="008B055B" w:rsidRDefault="008B055B" w:rsidP="00027A7D">
      <w:pPr>
        <w:rPr>
          <w:rFonts w:ascii="Arial" w:hAnsi="Arial" w:cs="Arial"/>
          <w:sz w:val="24"/>
          <w:szCs w:val="24"/>
        </w:rPr>
      </w:pPr>
    </w:p>
    <w:p w14:paraId="59B8AC2E" w14:textId="77777777" w:rsidR="008B055B" w:rsidRPr="008B055B" w:rsidRDefault="008B055B" w:rsidP="008B055B">
      <w:pPr>
        <w:rPr>
          <w:rFonts w:ascii="Arial" w:hAnsi="Arial" w:cs="Arial"/>
          <w:b/>
          <w:bCs/>
          <w:sz w:val="24"/>
          <w:szCs w:val="24"/>
        </w:rPr>
      </w:pPr>
      <w:r w:rsidRPr="008B055B">
        <w:rPr>
          <w:rFonts w:ascii="Arial" w:hAnsi="Arial" w:cs="Arial"/>
          <w:b/>
          <w:bCs/>
          <w:sz w:val="24"/>
          <w:szCs w:val="24"/>
        </w:rPr>
        <w:t>Strategic Decision-Making</w:t>
      </w:r>
    </w:p>
    <w:p w14:paraId="42DFEE25" w14:textId="79046AE0" w:rsidR="008B055B" w:rsidRDefault="008B055B" w:rsidP="008B055B">
      <w:pPr>
        <w:rPr>
          <w:rFonts w:ascii="Arial" w:hAnsi="Arial" w:cs="Arial"/>
          <w:sz w:val="24"/>
          <w:szCs w:val="24"/>
        </w:rPr>
      </w:pPr>
      <w:r w:rsidRPr="008B055B">
        <w:rPr>
          <w:rFonts w:ascii="Arial" w:hAnsi="Arial" w:cs="Arial"/>
          <w:sz w:val="24"/>
          <w:szCs w:val="24"/>
        </w:rPr>
        <w:t xml:space="preserve">Product development was prioritised because it directly addresses the core tension: Codelco’s product is essential to decarbonisation, but its process is </w:t>
      </w:r>
      <w:proofErr w:type="gramStart"/>
      <w:r w:rsidRPr="008B055B">
        <w:rPr>
          <w:rFonts w:ascii="Arial" w:hAnsi="Arial" w:cs="Arial"/>
          <w:sz w:val="24"/>
          <w:szCs w:val="24"/>
        </w:rPr>
        <w:t>carbon-intensive</w:t>
      </w:r>
      <w:proofErr w:type="gramEnd"/>
      <w:r w:rsidRPr="008B055B">
        <w:rPr>
          <w:rFonts w:ascii="Arial" w:hAnsi="Arial" w:cs="Arial"/>
          <w:sz w:val="24"/>
          <w:szCs w:val="24"/>
        </w:rPr>
        <w:t>. Improving how copper is produced—rather than simply producing more—creates a narrative of progress that resonates with regulators, communities, and international buyers. Market penetration supports this by channelling growth into high-value sectors where sustainability premiums are achievable, funding further transition investment. Diversification was rejected because it would dilute core competence and divert attention from the urgent imperative to decarbonise existing operations.</w:t>
      </w:r>
    </w:p>
    <w:p w14:paraId="420A9DFA" w14:textId="77777777" w:rsidR="00C47AA3" w:rsidRDefault="00C47AA3" w:rsidP="008B055B">
      <w:pPr>
        <w:rPr>
          <w:rFonts w:ascii="Arial" w:hAnsi="Arial" w:cs="Arial"/>
          <w:sz w:val="24"/>
          <w:szCs w:val="24"/>
        </w:rPr>
      </w:pPr>
    </w:p>
    <w:p w14:paraId="003FF993" w14:textId="55052EC4" w:rsidR="008B055B" w:rsidRPr="008B055B" w:rsidRDefault="008B055B" w:rsidP="008B055B">
      <w:pPr>
        <w:rPr>
          <w:rFonts w:ascii="Arial" w:hAnsi="Arial" w:cs="Arial"/>
          <w:b/>
          <w:bCs/>
          <w:sz w:val="24"/>
          <w:szCs w:val="24"/>
        </w:rPr>
      </w:pPr>
      <w:r w:rsidRPr="008B055B">
        <w:rPr>
          <w:rFonts w:ascii="Arial" w:hAnsi="Arial" w:cs="Arial"/>
          <w:b/>
          <w:bCs/>
          <w:sz w:val="24"/>
          <w:szCs w:val="24"/>
        </w:rPr>
        <w:t>Limitations and Information Gaps</w:t>
      </w:r>
    </w:p>
    <w:p w14:paraId="5AC503F4" w14:textId="31562FF4" w:rsidR="008B055B" w:rsidRDefault="008B055B" w:rsidP="008B055B">
      <w:pPr>
        <w:rPr>
          <w:rFonts w:ascii="Arial" w:hAnsi="Arial" w:cs="Arial"/>
          <w:sz w:val="24"/>
          <w:szCs w:val="24"/>
        </w:rPr>
      </w:pPr>
      <w:r w:rsidRPr="008B055B">
        <w:rPr>
          <w:rFonts w:ascii="Arial" w:hAnsi="Arial" w:cs="Arial"/>
          <w:sz w:val="24"/>
          <w:szCs w:val="24"/>
        </w:rPr>
        <w:t>This analysis has clear boundaries. First, data dependency: reliance on corporate disclosures means performance figures are not independently verified; actual emissions and water balances may differ. Second, perspective bias: community voices are represented through surveys and corporate summaries rather than direct consultation—a real consultant would conduct primary stakeholder interviews. Third, technological uncertainty: green hydrogen and circular recovery are at demonstration stage; scaling timelines and costs remain speculative. Fourth, political volatility: as a state entity, Codelco’s strategy is vulnerable to government change; this risk is acknowledged but not modelled in detail.</w:t>
      </w:r>
    </w:p>
    <w:p w14:paraId="4AB8A031" w14:textId="77777777" w:rsidR="00027A7D" w:rsidRDefault="00027A7D" w:rsidP="00027A7D">
      <w:pPr>
        <w:rPr>
          <w:rFonts w:ascii="Arial" w:hAnsi="Arial" w:cs="Arial"/>
          <w:sz w:val="24"/>
          <w:szCs w:val="24"/>
        </w:rPr>
      </w:pPr>
    </w:p>
    <w:p w14:paraId="6B1DD05A" w14:textId="3A2DACAD" w:rsidR="00C47AA3" w:rsidRPr="00C47AA3" w:rsidRDefault="00C47AA3" w:rsidP="00C47AA3">
      <w:pPr>
        <w:rPr>
          <w:rFonts w:ascii="Arial" w:hAnsi="Arial" w:cs="Arial"/>
          <w:sz w:val="24"/>
          <w:szCs w:val="24"/>
        </w:rPr>
      </w:pPr>
      <w:r w:rsidRPr="00C47AA3">
        <w:rPr>
          <w:rFonts w:ascii="Arial" w:hAnsi="Arial" w:cs="Arial"/>
          <w:sz w:val="24"/>
          <w:szCs w:val="24"/>
        </w:rPr>
        <w:t xml:space="preserve">Prior to formulating final recommendations, a qualified consultant would necessarily </w:t>
      </w:r>
      <w:r w:rsidRPr="00C47AA3">
        <w:rPr>
          <w:rFonts w:ascii="Arial" w:hAnsi="Arial" w:cs="Arial"/>
          <w:sz w:val="24"/>
          <w:szCs w:val="24"/>
        </w:rPr>
        <w:t>obtain</w:t>
      </w:r>
      <w:r w:rsidRPr="00C47AA3">
        <w:rPr>
          <w:rFonts w:ascii="Arial" w:hAnsi="Arial" w:cs="Arial"/>
          <w:sz w:val="24"/>
          <w:szCs w:val="24"/>
        </w:rPr>
        <w:t xml:space="preserve"> autonomous verification assessments, empirical community requirement evaluations, scientifically validated technological feasibility analyses, industry-wide transition performance comparisons, and comprehensive geopolitical contingency projections. In the absence of such evidence, the present analysis constitutes a substantive strategic framework rather than an actionable implementation roadmap.</w:t>
      </w:r>
    </w:p>
    <w:p w14:paraId="71CEFA63" w14:textId="77777777" w:rsidR="00C47AA3" w:rsidRPr="00C47AA3" w:rsidRDefault="00C47AA3" w:rsidP="00C47AA3">
      <w:pPr>
        <w:rPr>
          <w:rFonts w:ascii="Arial" w:hAnsi="Arial" w:cs="Arial"/>
          <w:sz w:val="24"/>
          <w:szCs w:val="24"/>
        </w:rPr>
      </w:pPr>
    </w:p>
    <w:p w14:paraId="4595508A" w14:textId="1A799040" w:rsidR="00C47AA3" w:rsidRPr="00C47AA3" w:rsidRDefault="00C47AA3" w:rsidP="00C47AA3">
      <w:pPr>
        <w:rPr>
          <w:rFonts w:ascii="Arial" w:hAnsi="Arial" w:cs="Arial"/>
          <w:b/>
          <w:bCs/>
          <w:sz w:val="24"/>
          <w:szCs w:val="24"/>
        </w:rPr>
      </w:pPr>
      <w:r w:rsidRPr="00C47AA3">
        <w:rPr>
          <w:rFonts w:ascii="Arial" w:hAnsi="Arial" w:cs="Arial"/>
          <w:b/>
          <w:bCs/>
          <w:sz w:val="24"/>
          <w:szCs w:val="24"/>
        </w:rPr>
        <w:t>Professional Conclusion</w:t>
      </w:r>
    </w:p>
    <w:p w14:paraId="0C3FA9E2" w14:textId="77777777" w:rsidR="00C47AA3" w:rsidRPr="00C47AA3" w:rsidRDefault="00C47AA3" w:rsidP="00C47AA3">
      <w:pPr>
        <w:rPr>
          <w:rFonts w:ascii="Arial" w:hAnsi="Arial" w:cs="Arial"/>
          <w:sz w:val="24"/>
          <w:szCs w:val="24"/>
        </w:rPr>
      </w:pPr>
      <w:r w:rsidRPr="00C47AA3">
        <w:rPr>
          <w:rFonts w:ascii="Arial" w:hAnsi="Arial" w:cs="Arial"/>
          <w:sz w:val="24"/>
          <w:szCs w:val="24"/>
        </w:rPr>
        <w:t>This analytical exercise illustrates that sustainable marketing strategy within extractive industries transcends mere communication—it fundamentally entails reconceptualizing value creation. For Codelco, organizational achievement will be assessed not exclusively through production volumes or financial returns, but through the capacity to extract copper while preserving the ecological systems and social structures upon which extraction depends. Authentic organizational transformation necessitates intellectual modesty, operational transparency, and integrated alignment across environmental, regulatory, and community-oriented frameworks.</w:t>
      </w:r>
    </w:p>
    <w:p w14:paraId="679923EF" w14:textId="77777777" w:rsidR="00C47AA3" w:rsidRDefault="00C47AA3" w:rsidP="00027A7D">
      <w:pPr>
        <w:rPr>
          <w:rFonts w:ascii="Arial" w:hAnsi="Arial" w:cs="Arial"/>
          <w:sz w:val="24"/>
          <w:szCs w:val="24"/>
        </w:rPr>
      </w:pPr>
    </w:p>
    <w:p w14:paraId="6DBB7AE9" w14:textId="77777777" w:rsidR="00027A7D" w:rsidRDefault="00027A7D" w:rsidP="00027A7D">
      <w:pPr>
        <w:rPr>
          <w:rFonts w:ascii="Arial" w:hAnsi="Arial" w:cs="Arial"/>
          <w:sz w:val="24"/>
          <w:szCs w:val="24"/>
        </w:rPr>
      </w:pPr>
    </w:p>
    <w:p w14:paraId="30177CAF" w14:textId="77777777" w:rsidR="00027A7D" w:rsidRDefault="00027A7D" w:rsidP="00027A7D">
      <w:pPr>
        <w:rPr>
          <w:rFonts w:ascii="Arial" w:hAnsi="Arial" w:cs="Arial"/>
          <w:sz w:val="24"/>
          <w:szCs w:val="24"/>
        </w:rPr>
      </w:pPr>
    </w:p>
    <w:p w14:paraId="13E00B8D" w14:textId="77777777" w:rsidR="00C47AA3" w:rsidRDefault="00C47AA3" w:rsidP="00027A7D">
      <w:pPr>
        <w:rPr>
          <w:rFonts w:ascii="Arial" w:hAnsi="Arial" w:cs="Arial"/>
          <w:sz w:val="24"/>
          <w:szCs w:val="24"/>
        </w:rPr>
      </w:pPr>
    </w:p>
    <w:p w14:paraId="36752EBB" w14:textId="77777777" w:rsidR="00C47AA3" w:rsidRDefault="00C47AA3" w:rsidP="00027A7D">
      <w:pPr>
        <w:rPr>
          <w:rFonts w:ascii="Arial" w:hAnsi="Arial" w:cs="Arial"/>
          <w:sz w:val="24"/>
          <w:szCs w:val="24"/>
        </w:rPr>
      </w:pPr>
    </w:p>
    <w:p w14:paraId="6D38D951" w14:textId="77777777" w:rsidR="00C47AA3" w:rsidRDefault="00C47AA3" w:rsidP="00027A7D">
      <w:pPr>
        <w:rPr>
          <w:rFonts w:ascii="Arial" w:hAnsi="Arial" w:cs="Arial"/>
          <w:sz w:val="24"/>
          <w:szCs w:val="24"/>
        </w:rPr>
      </w:pPr>
    </w:p>
    <w:p w14:paraId="48F76555" w14:textId="77777777" w:rsidR="00C47AA3" w:rsidRDefault="00C47AA3" w:rsidP="00027A7D">
      <w:pPr>
        <w:rPr>
          <w:rFonts w:ascii="Arial" w:hAnsi="Arial" w:cs="Arial"/>
          <w:sz w:val="24"/>
          <w:szCs w:val="24"/>
        </w:rPr>
      </w:pPr>
    </w:p>
    <w:p w14:paraId="0953D1FC" w14:textId="77777777" w:rsidR="00C47AA3" w:rsidRDefault="00C47AA3" w:rsidP="00027A7D">
      <w:pPr>
        <w:rPr>
          <w:rFonts w:ascii="Arial" w:hAnsi="Arial" w:cs="Arial"/>
          <w:sz w:val="24"/>
          <w:szCs w:val="24"/>
        </w:rPr>
      </w:pPr>
    </w:p>
    <w:p w14:paraId="73C4B403" w14:textId="77777777" w:rsidR="00C47AA3" w:rsidRDefault="00C47AA3" w:rsidP="00027A7D">
      <w:pPr>
        <w:rPr>
          <w:rFonts w:ascii="Arial" w:hAnsi="Arial" w:cs="Arial"/>
          <w:sz w:val="24"/>
          <w:szCs w:val="24"/>
        </w:rPr>
      </w:pPr>
    </w:p>
    <w:p w14:paraId="0AC245CA" w14:textId="77777777" w:rsidR="00027A7D" w:rsidRPr="00027A7D" w:rsidRDefault="00027A7D" w:rsidP="00027A7D">
      <w:pPr>
        <w:pStyle w:val="Heading1"/>
        <w:rPr>
          <w:rFonts w:eastAsia="Times New Roman"/>
          <w:lang w:eastAsia="en-GB"/>
        </w:rPr>
      </w:pPr>
      <w:bookmarkStart w:id="7" w:name="_Toc243340423"/>
      <w:bookmarkStart w:id="8" w:name="_Toc243341756"/>
      <w:r w:rsidRPr="00027A7D">
        <w:rPr>
          <w:rFonts w:eastAsia="Times New Roman"/>
          <w:lang w:eastAsia="en-GB"/>
        </w:rPr>
        <w:lastRenderedPageBreak/>
        <w:t>References</w:t>
      </w:r>
      <w:bookmarkEnd w:id="7"/>
      <w:bookmarkEnd w:id="8"/>
    </w:p>
    <w:p w14:paraId="692C9D17" w14:textId="6A069F0B"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Ansoff</w:t>
      </w:r>
      <w:r w:rsidRPr="00C47AA3">
        <w:rPr>
          <w:rFonts w:ascii="Times New Roman" w:eastAsia="Times New Roman" w:hAnsi="Times New Roman" w:cs="Times New Roman"/>
          <w:kern w:val="0"/>
          <w:sz w:val="24"/>
          <w:szCs w:val="24"/>
          <w:lang w:eastAsia="en-GB"/>
          <w14:ligatures w14:val="none"/>
        </w:rPr>
        <w:t xml:space="preserve">, H.I. (1957) ‘Strategies for diversification’, </w:t>
      </w:r>
      <w:r w:rsidRPr="00C47AA3">
        <w:rPr>
          <w:rFonts w:ascii="Arial" w:eastAsia="Times New Roman" w:hAnsi="Arial" w:cs="Arial"/>
          <w:i/>
          <w:iCs/>
          <w:color w:val="000000"/>
          <w:kern w:val="0"/>
          <w:sz w:val="24"/>
          <w:szCs w:val="24"/>
          <w:lang w:eastAsia="en-GB"/>
          <w14:ligatures w14:val="none"/>
        </w:rPr>
        <w:t>Harvard Business Review</w:t>
      </w:r>
      <w:r w:rsidRPr="00C47AA3">
        <w:rPr>
          <w:rFonts w:ascii="Times New Roman" w:eastAsia="Times New Roman" w:hAnsi="Times New Roman" w:cs="Times New Roman"/>
          <w:kern w:val="0"/>
          <w:sz w:val="24"/>
          <w:szCs w:val="24"/>
          <w:lang w:eastAsia="en-GB"/>
          <w14:ligatures w14:val="none"/>
        </w:rPr>
        <w:t xml:space="preserve">, 35(2), pp. 113–124. </w:t>
      </w:r>
    </w:p>
    <w:p w14:paraId="6F937629" w14:textId="10A33494"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Codelco</w:t>
      </w:r>
      <w:r w:rsidRPr="00C47AA3">
        <w:rPr>
          <w:rFonts w:ascii="Times New Roman" w:eastAsia="Times New Roman" w:hAnsi="Times New Roman" w:cs="Times New Roman"/>
          <w:kern w:val="0"/>
          <w:sz w:val="24"/>
          <w:szCs w:val="24"/>
          <w:lang w:eastAsia="en-GB"/>
          <w14:ligatures w14:val="none"/>
        </w:rPr>
        <w:t xml:space="preserve"> (2024a) </w:t>
      </w:r>
      <w:r w:rsidRPr="00C47AA3">
        <w:rPr>
          <w:rFonts w:ascii="Arial" w:eastAsia="Times New Roman" w:hAnsi="Arial" w:cs="Arial"/>
          <w:i/>
          <w:iCs/>
          <w:color w:val="000000"/>
          <w:kern w:val="0"/>
          <w:sz w:val="24"/>
          <w:szCs w:val="24"/>
          <w:lang w:eastAsia="en-GB"/>
          <w14:ligatures w14:val="none"/>
        </w:rPr>
        <w:t>Sustainability and climate report 2024</w:t>
      </w:r>
      <w:r w:rsidRPr="00C47AA3">
        <w:rPr>
          <w:rFonts w:ascii="Times New Roman" w:eastAsia="Times New Roman" w:hAnsi="Times New Roman" w:cs="Times New Roman"/>
          <w:kern w:val="0"/>
          <w:sz w:val="24"/>
          <w:szCs w:val="24"/>
          <w:lang w:eastAsia="en-GB"/>
          <w14:ligatures w14:val="none"/>
        </w:rPr>
        <w:t xml:space="preserve">. Santiago: Codelco. </w:t>
      </w:r>
    </w:p>
    <w:p w14:paraId="0728F7F0" w14:textId="2C4739DE"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Codelco</w:t>
      </w:r>
      <w:r w:rsidRPr="00C47AA3">
        <w:rPr>
          <w:rFonts w:ascii="Times New Roman" w:eastAsia="Times New Roman" w:hAnsi="Times New Roman" w:cs="Times New Roman"/>
          <w:kern w:val="0"/>
          <w:sz w:val="24"/>
          <w:szCs w:val="24"/>
          <w:lang w:eastAsia="en-GB"/>
          <w14:ligatures w14:val="none"/>
        </w:rPr>
        <w:t xml:space="preserve"> (2024b) </w:t>
      </w:r>
      <w:r w:rsidRPr="00C47AA3">
        <w:rPr>
          <w:rFonts w:ascii="Arial" w:eastAsia="Times New Roman" w:hAnsi="Arial" w:cs="Arial"/>
          <w:i/>
          <w:iCs/>
          <w:color w:val="000000"/>
          <w:kern w:val="0"/>
          <w:sz w:val="24"/>
          <w:szCs w:val="24"/>
          <w:lang w:eastAsia="en-GB"/>
          <w14:ligatures w14:val="none"/>
        </w:rPr>
        <w:t>Operational and social performance review Q4 2024</w:t>
      </w:r>
      <w:r w:rsidRPr="00C47AA3">
        <w:rPr>
          <w:rFonts w:ascii="Times New Roman" w:eastAsia="Times New Roman" w:hAnsi="Times New Roman" w:cs="Times New Roman"/>
          <w:kern w:val="0"/>
          <w:sz w:val="24"/>
          <w:szCs w:val="24"/>
          <w:lang w:eastAsia="en-GB"/>
          <w14:ligatures w14:val="none"/>
        </w:rPr>
        <w:t xml:space="preserve">. Santiago: Codelco. </w:t>
      </w:r>
    </w:p>
    <w:p w14:paraId="49BC5B2C" w14:textId="40901618"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Codelco</w:t>
      </w:r>
      <w:r w:rsidRPr="00C47AA3">
        <w:rPr>
          <w:rFonts w:ascii="Times New Roman" w:eastAsia="Times New Roman" w:hAnsi="Times New Roman" w:cs="Times New Roman"/>
          <w:kern w:val="0"/>
          <w:sz w:val="24"/>
          <w:szCs w:val="24"/>
          <w:lang w:eastAsia="en-GB"/>
          <w14:ligatures w14:val="none"/>
        </w:rPr>
        <w:t xml:space="preserve"> (2025a) </w:t>
      </w:r>
      <w:r w:rsidRPr="00C47AA3">
        <w:rPr>
          <w:rFonts w:ascii="Arial" w:eastAsia="Times New Roman" w:hAnsi="Arial" w:cs="Arial"/>
          <w:i/>
          <w:iCs/>
          <w:color w:val="000000"/>
          <w:kern w:val="0"/>
          <w:sz w:val="24"/>
          <w:szCs w:val="24"/>
          <w:lang w:eastAsia="en-GB"/>
          <w14:ligatures w14:val="none"/>
        </w:rPr>
        <w:t>Renewable energy and low-carbon technology roadmap</w:t>
      </w:r>
      <w:r w:rsidRPr="00C47AA3">
        <w:rPr>
          <w:rFonts w:ascii="Times New Roman" w:eastAsia="Times New Roman" w:hAnsi="Times New Roman" w:cs="Times New Roman"/>
          <w:kern w:val="0"/>
          <w:sz w:val="24"/>
          <w:szCs w:val="24"/>
          <w:lang w:eastAsia="en-GB"/>
          <w14:ligatures w14:val="none"/>
        </w:rPr>
        <w:t xml:space="preserve">. Santiago: Codelco. </w:t>
      </w:r>
    </w:p>
    <w:p w14:paraId="5A028E89" w14:textId="205D8FC9"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Codelco</w:t>
      </w:r>
      <w:r w:rsidRPr="00C47AA3">
        <w:rPr>
          <w:rFonts w:ascii="Times New Roman" w:eastAsia="Times New Roman" w:hAnsi="Times New Roman" w:cs="Times New Roman"/>
          <w:kern w:val="0"/>
          <w:sz w:val="24"/>
          <w:szCs w:val="24"/>
          <w:lang w:eastAsia="en-GB"/>
          <w14:ligatures w14:val="none"/>
        </w:rPr>
        <w:t xml:space="preserve"> (2025b) </w:t>
      </w:r>
      <w:r w:rsidRPr="00C47AA3">
        <w:rPr>
          <w:rFonts w:ascii="Arial" w:eastAsia="Times New Roman" w:hAnsi="Arial" w:cs="Arial"/>
          <w:i/>
          <w:iCs/>
          <w:color w:val="000000"/>
          <w:kern w:val="0"/>
          <w:sz w:val="24"/>
          <w:szCs w:val="24"/>
          <w:lang w:eastAsia="en-GB"/>
          <w14:ligatures w14:val="none"/>
        </w:rPr>
        <w:t>Green Copper product specification</w:t>
      </w:r>
      <w:r w:rsidRPr="00C47AA3">
        <w:rPr>
          <w:rFonts w:ascii="Times New Roman" w:eastAsia="Times New Roman" w:hAnsi="Times New Roman" w:cs="Times New Roman"/>
          <w:kern w:val="0"/>
          <w:sz w:val="24"/>
          <w:szCs w:val="24"/>
          <w:lang w:eastAsia="en-GB"/>
          <w14:ligatures w14:val="none"/>
        </w:rPr>
        <w:t xml:space="preserve">. Santiago: Codelco. </w:t>
      </w:r>
    </w:p>
    <w:p w14:paraId="2F22F8A9" w14:textId="05011C01"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Codelco</w:t>
      </w:r>
      <w:r w:rsidRPr="00C47AA3">
        <w:rPr>
          <w:rFonts w:ascii="Times New Roman" w:eastAsia="Times New Roman" w:hAnsi="Times New Roman" w:cs="Times New Roman"/>
          <w:kern w:val="0"/>
          <w:sz w:val="24"/>
          <w:szCs w:val="24"/>
          <w:lang w:eastAsia="en-GB"/>
          <w14:ligatures w14:val="none"/>
        </w:rPr>
        <w:t xml:space="preserve"> (2026a) </w:t>
      </w:r>
      <w:r w:rsidRPr="00C47AA3">
        <w:rPr>
          <w:rFonts w:ascii="Arial" w:eastAsia="Times New Roman" w:hAnsi="Arial" w:cs="Arial"/>
          <w:i/>
          <w:iCs/>
          <w:color w:val="000000"/>
          <w:kern w:val="0"/>
          <w:sz w:val="24"/>
          <w:szCs w:val="24"/>
          <w:lang w:eastAsia="en-GB"/>
          <w14:ligatures w14:val="none"/>
        </w:rPr>
        <w:t>Global copper market outlook 2026–2040</w:t>
      </w:r>
      <w:r w:rsidRPr="00C47AA3">
        <w:rPr>
          <w:rFonts w:ascii="Times New Roman" w:eastAsia="Times New Roman" w:hAnsi="Times New Roman" w:cs="Times New Roman"/>
          <w:kern w:val="0"/>
          <w:sz w:val="24"/>
          <w:szCs w:val="24"/>
          <w:lang w:eastAsia="en-GB"/>
          <w14:ligatures w14:val="none"/>
        </w:rPr>
        <w:t xml:space="preserve">. Santiago: Codelco. </w:t>
      </w:r>
    </w:p>
    <w:p w14:paraId="6BAA2B88" w14:textId="682FECA8"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Codelco</w:t>
      </w:r>
      <w:r w:rsidRPr="00C47AA3">
        <w:rPr>
          <w:rFonts w:ascii="Times New Roman" w:eastAsia="Times New Roman" w:hAnsi="Times New Roman" w:cs="Times New Roman"/>
          <w:kern w:val="0"/>
          <w:sz w:val="24"/>
          <w:szCs w:val="24"/>
          <w:lang w:eastAsia="en-GB"/>
          <w14:ligatures w14:val="none"/>
        </w:rPr>
        <w:t xml:space="preserve"> (2026b) </w:t>
      </w:r>
      <w:r w:rsidRPr="00C47AA3">
        <w:rPr>
          <w:rFonts w:ascii="Arial" w:eastAsia="Times New Roman" w:hAnsi="Arial" w:cs="Arial"/>
          <w:i/>
          <w:iCs/>
          <w:color w:val="000000"/>
          <w:kern w:val="0"/>
          <w:sz w:val="24"/>
          <w:szCs w:val="24"/>
          <w:lang w:eastAsia="en-GB"/>
          <w14:ligatures w14:val="none"/>
        </w:rPr>
        <w:t>Regional development and shared value report</w:t>
      </w:r>
      <w:r w:rsidRPr="00C47AA3">
        <w:rPr>
          <w:rFonts w:ascii="Times New Roman" w:eastAsia="Times New Roman" w:hAnsi="Times New Roman" w:cs="Times New Roman"/>
          <w:kern w:val="0"/>
          <w:sz w:val="24"/>
          <w:szCs w:val="24"/>
          <w:lang w:eastAsia="en-GB"/>
          <w14:ligatures w14:val="none"/>
        </w:rPr>
        <w:t xml:space="preserve">. Santiago: Codelco. </w:t>
      </w:r>
    </w:p>
    <w:p w14:paraId="7A54ECD3" w14:textId="496B2EFE"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Codelco</w:t>
      </w:r>
      <w:r w:rsidRPr="00C47AA3">
        <w:rPr>
          <w:rFonts w:ascii="Times New Roman" w:eastAsia="Times New Roman" w:hAnsi="Times New Roman" w:cs="Times New Roman"/>
          <w:kern w:val="0"/>
          <w:sz w:val="24"/>
          <w:szCs w:val="24"/>
          <w:lang w:eastAsia="en-GB"/>
          <w14:ligatures w14:val="none"/>
        </w:rPr>
        <w:t xml:space="preserve"> (2026c) </w:t>
      </w:r>
      <w:r w:rsidRPr="00C47AA3">
        <w:rPr>
          <w:rFonts w:ascii="Arial" w:eastAsia="Times New Roman" w:hAnsi="Arial" w:cs="Arial"/>
          <w:i/>
          <w:iCs/>
          <w:color w:val="000000"/>
          <w:kern w:val="0"/>
          <w:sz w:val="24"/>
          <w:szCs w:val="24"/>
          <w:lang w:eastAsia="en-GB"/>
          <w14:ligatures w14:val="none"/>
        </w:rPr>
        <w:t>Strategic transition and capital investment plan 2026–2033</w:t>
      </w:r>
      <w:r w:rsidRPr="00C47AA3">
        <w:rPr>
          <w:rFonts w:ascii="Times New Roman" w:eastAsia="Times New Roman" w:hAnsi="Times New Roman" w:cs="Times New Roman"/>
          <w:kern w:val="0"/>
          <w:sz w:val="24"/>
          <w:szCs w:val="24"/>
          <w:lang w:eastAsia="en-GB"/>
          <w14:ligatures w14:val="none"/>
        </w:rPr>
        <w:t xml:space="preserve">. Santiago: Codelco. </w:t>
      </w:r>
    </w:p>
    <w:p w14:paraId="270E5490" w14:textId="600F8CB3"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Cordero</w:t>
      </w:r>
      <w:r w:rsidRPr="00C47AA3">
        <w:rPr>
          <w:rFonts w:ascii="Times New Roman" w:eastAsia="Times New Roman" w:hAnsi="Times New Roman" w:cs="Times New Roman"/>
          <w:kern w:val="0"/>
          <w:sz w:val="24"/>
          <w:szCs w:val="24"/>
          <w:lang w:eastAsia="en-GB"/>
          <w14:ligatures w14:val="none"/>
        </w:rPr>
        <w:t xml:space="preserve">, R., et al. (2023) ‘Megadrought and mining water security in northern Chile’, </w:t>
      </w:r>
      <w:r w:rsidRPr="00C47AA3">
        <w:rPr>
          <w:rFonts w:ascii="Arial" w:eastAsia="Times New Roman" w:hAnsi="Arial" w:cs="Arial"/>
          <w:i/>
          <w:iCs/>
          <w:color w:val="000000"/>
          <w:kern w:val="0"/>
          <w:sz w:val="24"/>
          <w:szCs w:val="24"/>
          <w:lang w:eastAsia="en-GB"/>
          <w14:ligatures w14:val="none"/>
        </w:rPr>
        <w:t>Journal of Hydrology: Regional Studies</w:t>
      </w:r>
      <w:r w:rsidRPr="00C47AA3">
        <w:rPr>
          <w:rFonts w:ascii="Times New Roman" w:eastAsia="Times New Roman" w:hAnsi="Times New Roman" w:cs="Times New Roman"/>
          <w:kern w:val="0"/>
          <w:sz w:val="24"/>
          <w:szCs w:val="24"/>
          <w:lang w:eastAsia="en-GB"/>
          <w14:ligatures w14:val="none"/>
        </w:rPr>
        <w:t xml:space="preserve">, 49, p. 101456. </w:t>
      </w:r>
    </w:p>
    <w:p w14:paraId="6BCEE02B" w14:textId="1525CCF9"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Durán</w:t>
      </w:r>
      <w:r w:rsidRPr="00C47AA3">
        <w:rPr>
          <w:rFonts w:ascii="Times New Roman" w:eastAsia="Times New Roman" w:hAnsi="Times New Roman" w:cs="Times New Roman"/>
          <w:kern w:val="0"/>
          <w:sz w:val="24"/>
          <w:szCs w:val="24"/>
          <w:lang w:eastAsia="en-GB"/>
          <w14:ligatures w14:val="none"/>
        </w:rPr>
        <w:t xml:space="preserve">, P. &amp; Silva, M. (2025) ‘Biodiversity governance and mining expansion in the Chilean Andes’, </w:t>
      </w:r>
      <w:r w:rsidRPr="00C47AA3">
        <w:rPr>
          <w:rFonts w:ascii="Arial" w:eastAsia="Times New Roman" w:hAnsi="Arial" w:cs="Arial"/>
          <w:i/>
          <w:iCs/>
          <w:color w:val="000000"/>
          <w:kern w:val="0"/>
          <w:sz w:val="24"/>
          <w:szCs w:val="24"/>
          <w:lang w:eastAsia="en-GB"/>
          <w14:ligatures w14:val="none"/>
        </w:rPr>
        <w:t>Journal of Environmental Management</w:t>
      </w:r>
      <w:r w:rsidRPr="00C47AA3">
        <w:rPr>
          <w:rFonts w:ascii="Times New Roman" w:eastAsia="Times New Roman" w:hAnsi="Times New Roman" w:cs="Times New Roman"/>
          <w:kern w:val="0"/>
          <w:sz w:val="24"/>
          <w:szCs w:val="24"/>
          <w:lang w:eastAsia="en-GB"/>
          <w14:ligatures w14:val="none"/>
        </w:rPr>
        <w:t xml:space="preserve">, 367, p. 120214. </w:t>
      </w:r>
    </w:p>
    <w:p w14:paraId="7A7AB2E0" w14:textId="1FA5057E"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European</w:t>
      </w:r>
      <w:r w:rsidRPr="00C47AA3">
        <w:rPr>
          <w:rFonts w:ascii="Times New Roman" w:eastAsia="Times New Roman" w:hAnsi="Times New Roman" w:cs="Times New Roman"/>
          <w:kern w:val="0"/>
          <w:sz w:val="24"/>
          <w:szCs w:val="24"/>
          <w:lang w:eastAsia="en-GB"/>
          <w14:ligatures w14:val="none"/>
        </w:rPr>
        <w:t xml:space="preserve"> Commission (2024) </w:t>
      </w:r>
      <w:r w:rsidRPr="00C47AA3">
        <w:rPr>
          <w:rFonts w:ascii="Arial" w:eastAsia="Times New Roman" w:hAnsi="Arial" w:cs="Arial"/>
          <w:i/>
          <w:iCs/>
          <w:color w:val="000000"/>
          <w:kern w:val="0"/>
          <w:sz w:val="24"/>
          <w:szCs w:val="24"/>
          <w:lang w:eastAsia="en-GB"/>
          <w14:ligatures w14:val="none"/>
        </w:rPr>
        <w:t>Critical Raw Materials Act</w:t>
      </w:r>
      <w:r w:rsidRPr="00C47AA3">
        <w:rPr>
          <w:rFonts w:ascii="Times New Roman" w:eastAsia="Times New Roman" w:hAnsi="Times New Roman" w:cs="Times New Roman"/>
          <w:kern w:val="0"/>
          <w:sz w:val="24"/>
          <w:szCs w:val="24"/>
          <w:lang w:eastAsia="en-GB"/>
          <w14:ligatures w14:val="none"/>
        </w:rPr>
        <w:t xml:space="preserve">. Brussels: European Commission. </w:t>
      </w:r>
    </w:p>
    <w:p w14:paraId="502D32E3" w14:textId="33E7BB22"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Government</w:t>
      </w:r>
      <w:r w:rsidRPr="00C47AA3">
        <w:rPr>
          <w:rFonts w:ascii="Times New Roman" w:eastAsia="Times New Roman" w:hAnsi="Times New Roman" w:cs="Times New Roman"/>
          <w:kern w:val="0"/>
          <w:sz w:val="24"/>
          <w:szCs w:val="24"/>
          <w:lang w:eastAsia="en-GB"/>
          <w14:ligatures w14:val="none"/>
        </w:rPr>
        <w:t xml:space="preserve"> of Chile (2024) </w:t>
      </w:r>
      <w:r w:rsidRPr="00C47AA3">
        <w:rPr>
          <w:rFonts w:ascii="Arial" w:eastAsia="Times New Roman" w:hAnsi="Arial" w:cs="Arial"/>
          <w:i/>
          <w:iCs/>
          <w:color w:val="000000"/>
          <w:kern w:val="0"/>
          <w:sz w:val="24"/>
          <w:szCs w:val="24"/>
          <w:lang w:eastAsia="en-GB"/>
          <w14:ligatures w14:val="none"/>
        </w:rPr>
        <w:t>National decarbonisation update: mining sector transition framework</w:t>
      </w:r>
      <w:r w:rsidRPr="00C47AA3">
        <w:rPr>
          <w:rFonts w:ascii="Times New Roman" w:eastAsia="Times New Roman" w:hAnsi="Times New Roman" w:cs="Times New Roman"/>
          <w:kern w:val="0"/>
          <w:sz w:val="24"/>
          <w:szCs w:val="24"/>
          <w:lang w:eastAsia="en-GB"/>
          <w14:ligatures w14:val="none"/>
        </w:rPr>
        <w:t xml:space="preserve">. Santiago: </w:t>
      </w:r>
      <w:proofErr w:type="spellStart"/>
      <w:r w:rsidRPr="00C47AA3">
        <w:rPr>
          <w:rFonts w:ascii="Times New Roman" w:eastAsia="Times New Roman" w:hAnsi="Times New Roman" w:cs="Times New Roman"/>
          <w:kern w:val="0"/>
          <w:sz w:val="24"/>
          <w:szCs w:val="24"/>
          <w:lang w:eastAsia="en-GB"/>
          <w14:ligatures w14:val="none"/>
        </w:rPr>
        <w:t>Ministerio</w:t>
      </w:r>
      <w:proofErr w:type="spellEnd"/>
      <w:r w:rsidRPr="00C47AA3">
        <w:rPr>
          <w:rFonts w:ascii="Times New Roman" w:eastAsia="Times New Roman" w:hAnsi="Times New Roman" w:cs="Times New Roman"/>
          <w:kern w:val="0"/>
          <w:sz w:val="24"/>
          <w:szCs w:val="24"/>
          <w:lang w:eastAsia="en-GB"/>
          <w14:ligatures w14:val="none"/>
        </w:rPr>
        <w:t xml:space="preserve"> de Energía. </w:t>
      </w:r>
    </w:p>
    <w:p w14:paraId="7105FD83" w14:textId="5A97D886"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ICSG</w:t>
      </w:r>
      <w:r w:rsidRPr="00C47AA3">
        <w:rPr>
          <w:rFonts w:ascii="Times New Roman" w:eastAsia="Times New Roman" w:hAnsi="Times New Roman" w:cs="Times New Roman"/>
          <w:kern w:val="0"/>
          <w:sz w:val="24"/>
          <w:szCs w:val="24"/>
          <w:lang w:eastAsia="en-GB"/>
          <w14:ligatures w14:val="none"/>
        </w:rPr>
        <w:t xml:space="preserve"> (2025) </w:t>
      </w:r>
      <w:r w:rsidRPr="00C47AA3">
        <w:rPr>
          <w:rFonts w:ascii="Arial" w:eastAsia="Times New Roman" w:hAnsi="Arial" w:cs="Arial"/>
          <w:i/>
          <w:iCs/>
          <w:color w:val="000000"/>
          <w:kern w:val="0"/>
          <w:sz w:val="24"/>
          <w:szCs w:val="24"/>
          <w:lang w:eastAsia="en-GB"/>
          <w14:ligatures w14:val="none"/>
        </w:rPr>
        <w:t>Global copper market sustainability premium report</w:t>
      </w:r>
      <w:r w:rsidRPr="00C47AA3">
        <w:rPr>
          <w:rFonts w:ascii="Times New Roman" w:eastAsia="Times New Roman" w:hAnsi="Times New Roman" w:cs="Times New Roman"/>
          <w:kern w:val="0"/>
          <w:sz w:val="24"/>
          <w:szCs w:val="24"/>
          <w:lang w:eastAsia="en-GB"/>
          <w14:ligatures w14:val="none"/>
        </w:rPr>
        <w:t xml:space="preserve">. Lisbon: International Copper Study Group. </w:t>
      </w:r>
    </w:p>
    <w:p w14:paraId="0DDB7CA2" w14:textId="4B312AAE"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IEA</w:t>
      </w:r>
      <w:r w:rsidRPr="00C47AA3">
        <w:rPr>
          <w:rFonts w:ascii="Times New Roman" w:eastAsia="Times New Roman" w:hAnsi="Times New Roman" w:cs="Times New Roman"/>
          <w:kern w:val="0"/>
          <w:sz w:val="24"/>
          <w:szCs w:val="24"/>
          <w:lang w:eastAsia="en-GB"/>
          <w14:ligatures w14:val="none"/>
        </w:rPr>
        <w:t xml:space="preserve"> (2024) </w:t>
      </w:r>
      <w:r w:rsidRPr="00C47AA3">
        <w:rPr>
          <w:rFonts w:ascii="Arial" w:eastAsia="Times New Roman" w:hAnsi="Arial" w:cs="Arial"/>
          <w:i/>
          <w:iCs/>
          <w:color w:val="000000"/>
          <w:kern w:val="0"/>
          <w:sz w:val="24"/>
          <w:szCs w:val="24"/>
          <w:lang w:eastAsia="en-GB"/>
          <w14:ligatures w14:val="none"/>
        </w:rPr>
        <w:t>The role of critical minerals in clean energy transitions</w:t>
      </w:r>
      <w:r w:rsidRPr="00C47AA3">
        <w:rPr>
          <w:rFonts w:ascii="Times New Roman" w:eastAsia="Times New Roman" w:hAnsi="Times New Roman" w:cs="Times New Roman"/>
          <w:kern w:val="0"/>
          <w:sz w:val="24"/>
          <w:szCs w:val="24"/>
          <w:lang w:eastAsia="en-GB"/>
          <w14:ligatures w14:val="none"/>
        </w:rPr>
        <w:t xml:space="preserve">. Paris: International Energy Agency. </w:t>
      </w:r>
    </w:p>
    <w:p w14:paraId="38491803" w14:textId="59CB99C1"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Kotler</w:t>
      </w:r>
      <w:r w:rsidRPr="00C47AA3">
        <w:rPr>
          <w:rFonts w:ascii="Times New Roman" w:eastAsia="Times New Roman" w:hAnsi="Times New Roman" w:cs="Times New Roman"/>
          <w:kern w:val="0"/>
          <w:sz w:val="24"/>
          <w:szCs w:val="24"/>
          <w:lang w:eastAsia="en-GB"/>
          <w14:ligatures w14:val="none"/>
        </w:rPr>
        <w:t xml:space="preserve">, P., Armstrong, G., Harris, L.C. &amp; He, H. (2024) </w:t>
      </w:r>
      <w:r w:rsidRPr="00C47AA3">
        <w:rPr>
          <w:rFonts w:ascii="Arial" w:eastAsia="Times New Roman" w:hAnsi="Arial" w:cs="Arial"/>
          <w:i/>
          <w:iCs/>
          <w:color w:val="000000"/>
          <w:kern w:val="0"/>
          <w:sz w:val="24"/>
          <w:szCs w:val="24"/>
          <w:lang w:eastAsia="en-GB"/>
          <w14:ligatures w14:val="none"/>
        </w:rPr>
        <w:t>Principles of marketing</w:t>
      </w:r>
      <w:r w:rsidRPr="00C47AA3">
        <w:rPr>
          <w:rFonts w:ascii="Times New Roman" w:eastAsia="Times New Roman" w:hAnsi="Times New Roman" w:cs="Times New Roman"/>
          <w:kern w:val="0"/>
          <w:sz w:val="24"/>
          <w:szCs w:val="24"/>
          <w:lang w:eastAsia="en-GB"/>
          <w14:ligatures w14:val="none"/>
        </w:rPr>
        <w:t xml:space="preserve">. 19th </w:t>
      </w:r>
      <w:proofErr w:type="spellStart"/>
      <w:r w:rsidRPr="00C47AA3">
        <w:rPr>
          <w:rFonts w:ascii="Times New Roman" w:eastAsia="Times New Roman" w:hAnsi="Times New Roman" w:cs="Times New Roman"/>
          <w:kern w:val="0"/>
          <w:sz w:val="24"/>
          <w:szCs w:val="24"/>
          <w:lang w:eastAsia="en-GB"/>
          <w14:ligatures w14:val="none"/>
        </w:rPr>
        <w:t>edn</w:t>
      </w:r>
      <w:proofErr w:type="spellEnd"/>
      <w:r w:rsidRPr="00C47AA3">
        <w:rPr>
          <w:rFonts w:ascii="Times New Roman" w:eastAsia="Times New Roman" w:hAnsi="Times New Roman" w:cs="Times New Roman"/>
          <w:kern w:val="0"/>
          <w:sz w:val="24"/>
          <w:szCs w:val="24"/>
          <w:lang w:eastAsia="en-GB"/>
          <w14:ligatures w14:val="none"/>
        </w:rPr>
        <w:t xml:space="preserve">. Harlow: Pearson. </w:t>
      </w:r>
    </w:p>
    <w:p w14:paraId="672AF7AA" w14:textId="7EF3081F"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w:t>
      </w:r>
      <w:proofErr w:type="spellStart"/>
      <w:r w:rsidRPr="00C47AA3">
        <w:rPr>
          <w:rFonts w:ascii="Times New Roman" w:eastAsia="Times New Roman" w:hAnsi="Times New Roman" w:cs="Times New Roman"/>
          <w:kern w:val="0"/>
          <w:sz w:val="24"/>
          <w:szCs w:val="24"/>
          <w:lang w:eastAsia="en-GB"/>
          <w14:ligatures w14:val="none"/>
        </w:rPr>
        <w:t>Latinobarómetro</w:t>
      </w:r>
      <w:proofErr w:type="spellEnd"/>
      <w:r w:rsidRPr="00C47AA3">
        <w:rPr>
          <w:rFonts w:ascii="Times New Roman" w:eastAsia="Times New Roman" w:hAnsi="Times New Roman" w:cs="Times New Roman"/>
          <w:kern w:val="0"/>
          <w:sz w:val="24"/>
          <w:szCs w:val="24"/>
          <w:lang w:eastAsia="en-GB"/>
          <w14:ligatures w14:val="none"/>
        </w:rPr>
        <w:t xml:space="preserve"> (2024) </w:t>
      </w:r>
      <w:r w:rsidRPr="00C47AA3">
        <w:rPr>
          <w:rFonts w:ascii="Arial" w:eastAsia="Times New Roman" w:hAnsi="Arial" w:cs="Arial"/>
          <w:i/>
          <w:iCs/>
          <w:color w:val="000000"/>
          <w:kern w:val="0"/>
          <w:sz w:val="24"/>
          <w:szCs w:val="24"/>
          <w:lang w:eastAsia="en-GB"/>
          <w14:ligatures w14:val="none"/>
        </w:rPr>
        <w:t>Perceptions of mining and development in Chile</w:t>
      </w:r>
      <w:r w:rsidRPr="00C47AA3">
        <w:rPr>
          <w:rFonts w:ascii="Times New Roman" w:eastAsia="Times New Roman" w:hAnsi="Times New Roman" w:cs="Times New Roman"/>
          <w:kern w:val="0"/>
          <w:sz w:val="24"/>
          <w:szCs w:val="24"/>
          <w:lang w:eastAsia="en-GB"/>
          <w14:ligatures w14:val="none"/>
        </w:rPr>
        <w:t xml:space="preserve">. Santiago: Corporación </w:t>
      </w:r>
      <w:proofErr w:type="spellStart"/>
      <w:r w:rsidRPr="00C47AA3">
        <w:rPr>
          <w:rFonts w:ascii="Times New Roman" w:eastAsia="Times New Roman" w:hAnsi="Times New Roman" w:cs="Times New Roman"/>
          <w:kern w:val="0"/>
          <w:sz w:val="24"/>
          <w:szCs w:val="24"/>
          <w:lang w:eastAsia="en-GB"/>
          <w14:ligatures w14:val="none"/>
        </w:rPr>
        <w:t>Latinobarómetro</w:t>
      </w:r>
      <w:proofErr w:type="spellEnd"/>
      <w:r w:rsidRPr="00C47AA3">
        <w:rPr>
          <w:rFonts w:ascii="Times New Roman" w:eastAsia="Times New Roman" w:hAnsi="Times New Roman" w:cs="Times New Roman"/>
          <w:kern w:val="0"/>
          <w:sz w:val="24"/>
          <w:szCs w:val="24"/>
          <w:lang w:eastAsia="en-GB"/>
          <w14:ligatures w14:val="none"/>
        </w:rPr>
        <w:t xml:space="preserve">. </w:t>
      </w:r>
    </w:p>
    <w:p w14:paraId="766C2705" w14:textId="2677B8CA"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Pavez</w:t>
      </w:r>
      <w:r w:rsidRPr="00C47AA3">
        <w:rPr>
          <w:rFonts w:ascii="Times New Roman" w:eastAsia="Times New Roman" w:hAnsi="Times New Roman" w:cs="Times New Roman"/>
          <w:kern w:val="0"/>
          <w:sz w:val="24"/>
          <w:szCs w:val="24"/>
          <w:lang w:eastAsia="en-GB"/>
          <w14:ligatures w14:val="none"/>
        </w:rPr>
        <w:t xml:space="preserve">, I. (2025) ‘Environmental permitting reform: balancing growth and protection’, </w:t>
      </w:r>
      <w:r w:rsidRPr="00C47AA3">
        <w:rPr>
          <w:rFonts w:ascii="Arial" w:eastAsia="Times New Roman" w:hAnsi="Arial" w:cs="Arial"/>
          <w:i/>
          <w:iCs/>
          <w:color w:val="000000"/>
          <w:kern w:val="0"/>
          <w:sz w:val="24"/>
          <w:szCs w:val="24"/>
          <w:lang w:eastAsia="en-GB"/>
          <w14:ligatures w14:val="none"/>
        </w:rPr>
        <w:t>Chilean Journal of Public Policy</w:t>
      </w:r>
      <w:r w:rsidRPr="00C47AA3">
        <w:rPr>
          <w:rFonts w:ascii="Times New Roman" w:eastAsia="Times New Roman" w:hAnsi="Times New Roman" w:cs="Times New Roman"/>
          <w:kern w:val="0"/>
          <w:sz w:val="24"/>
          <w:szCs w:val="24"/>
          <w:lang w:eastAsia="en-GB"/>
          <w14:ligatures w14:val="none"/>
        </w:rPr>
        <w:t xml:space="preserve">, 14(1), pp. 47–68. </w:t>
      </w:r>
    </w:p>
    <w:p w14:paraId="2E21EB18" w14:textId="7B18DFDD"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Porter</w:t>
      </w:r>
      <w:r w:rsidRPr="00C47AA3">
        <w:rPr>
          <w:rFonts w:ascii="Times New Roman" w:eastAsia="Times New Roman" w:hAnsi="Times New Roman" w:cs="Times New Roman"/>
          <w:kern w:val="0"/>
          <w:sz w:val="24"/>
          <w:szCs w:val="24"/>
          <w:lang w:eastAsia="en-GB"/>
          <w14:ligatures w14:val="none"/>
        </w:rPr>
        <w:t xml:space="preserve">, M.E. (1985) </w:t>
      </w:r>
      <w:r w:rsidRPr="00C47AA3">
        <w:rPr>
          <w:rFonts w:ascii="Arial" w:eastAsia="Times New Roman" w:hAnsi="Arial" w:cs="Arial"/>
          <w:i/>
          <w:iCs/>
          <w:color w:val="000000"/>
          <w:kern w:val="0"/>
          <w:sz w:val="24"/>
          <w:szCs w:val="24"/>
          <w:lang w:eastAsia="en-GB"/>
          <w14:ligatures w14:val="none"/>
        </w:rPr>
        <w:t>Competitive advantage: creating and sustaining superior performance</w:t>
      </w:r>
      <w:r w:rsidRPr="00C47AA3">
        <w:rPr>
          <w:rFonts w:ascii="Times New Roman" w:eastAsia="Times New Roman" w:hAnsi="Times New Roman" w:cs="Times New Roman"/>
          <w:kern w:val="0"/>
          <w:sz w:val="24"/>
          <w:szCs w:val="24"/>
          <w:lang w:eastAsia="en-GB"/>
          <w14:ligatures w14:val="none"/>
        </w:rPr>
        <w:t xml:space="preserve">. New York: Free Press. </w:t>
      </w:r>
    </w:p>
    <w:p w14:paraId="6644D05B" w14:textId="134F5FC3" w:rsidR="00C47AA3" w:rsidRPr="00C47AA3" w:rsidRDefault="00C47AA3" w:rsidP="00C47AA3">
      <w:pPr>
        <w:spacing w:after="0" w:line="240" w:lineRule="auto"/>
        <w:rPr>
          <w:rFonts w:ascii="Times New Roman" w:eastAsia="Times New Roman" w:hAnsi="Times New Roman" w:cs="Times New Roman"/>
          <w:kern w:val="0"/>
          <w:sz w:val="24"/>
          <w:szCs w:val="24"/>
          <w:lang w:eastAsia="en-GB"/>
          <w14:ligatures w14:val="none"/>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Sepúlveda</w:t>
      </w:r>
      <w:r w:rsidRPr="00C47AA3">
        <w:rPr>
          <w:rFonts w:ascii="Times New Roman" w:eastAsia="Times New Roman" w:hAnsi="Times New Roman" w:cs="Times New Roman"/>
          <w:kern w:val="0"/>
          <w:sz w:val="24"/>
          <w:szCs w:val="24"/>
          <w:lang w:eastAsia="en-GB"/>
          <w14:ligatures w14:val="none"/>
        </w:rPr>
        <w:t xml:space="preserve">, J. (2024) ‘Carbon pricing in Chile: scope, coverage, and future reform’, </w:t>
      </w:r>
      <w:r w:rsidRPr="00C47AA3">
        <w:rPr>
          <w:rFonts w:ascii="Arial" w:eastAsia="Times New Roman" w:hAnsi="Arial" w:cs="Arial"/>
          <w:i/>
          <w:iCs/>
          <w:color w:val="000000"/>
          <w:kern w:val="0"/>
          <w:sz w:val="24"/>
          <w:szCs w:val="24"/>
          <w:lang w:eastAsia="en-GB"/>
          <w14:ligatures w14:val="none"/>
        </w:rPr>
        <w:t>Energy Policy</w:t>
      </w:r>
      <w:r w:rsidRPr="00C47AA3">
        <w:rPr>
          <w:rFonts w:ascii="Times New Roman" w:eastAsia="Times New Roman" w:hAnsi="Times New Roman" w:cs="Times New Roman"/>
          <w:kern w:val="0"/>
          <w:sz w:val="24"/>
          <w:szCs w:val="24"/>
          <w:lang w:eastAsia="en-GB"/>
          <w14:ligatures w14:val="none"/>
        </w:rPr>
        <w:t xml:space="preserve">, 191, p. 114238. </w:t>
      </w:r>
    </w:p>
    <w:p w14:paraId="1B166123" w14:textId="58483014" w:rsidR="00C835FF" w:rsidRPr="005730E9" w:rsidRDefault="00C47AA3" w:rsidP="00C47AA3">
      <w:pPr>
        <w:rPr>
          <w:rFonts w:ascii="Arial" w:hAnsi="Arial" w:cs="Arial"/>
          <w:sz w:val="24"/>
          <w:szCs w:val="24"/>
        </w:rPr>
      </w:pPr>
      <w:r w:rsidRPr="00C47AA3">
        <w:rPr>
          <w:rFonts w:ascii="Times New Roman" w:eastAsia="Times New Roman" w:hAnsi="Symbol" w:cs="Times New Roman"/>
          <w:kern w:val="0"/>
          <w:sz w:val="24"/>
          <w:szCs w:val="24"/>
          <w:lang w:eastAsia="en-GB"/>
          <w14:ligatures w14:val="none"/>
        </w:rPr>
        <w:t></w:t>
      </w:r>
      <w:r w:rsidRPr="00C47AA3">
        <w:rPr>
          <w:rFonts w:ascii="Times New Roman" w:eastAsia="Times New Roman" w:hAnsi="Times New Roman" w:cs="Times New Roman"/>
          <w:kern w:val="0"/>
          <w:sz w:val="24"/>
          <w:szCs w:val="24"/>
          <w:lang w:eastAsia="en-GB"/>
          <w14:ligatures w14:val="none"/>
        </w:rPr>
        <w:t xml:space="preserve"> Silva</w:t>
      </w:r>
      <w:r w:rsidRPr="00C47AA3">
        <w:rPr>
          <w:rFonts w:ascii="Times New Roman" w:eastAsia="Times New Roman" w:hAnsi="Times New Roman" w:cs="Times New Roman"/>
          <w:kern w:val="0"/>
          <w:sz w:val="24"/>
          <w:szCs w:val="24"/>
          <w:lang w:eastAsia="en-GB"/>
          <w14:ligatures w14:val="none"/>
        </w:rPr>
        <w:t xml:space="preserve">, R. (2025) ‘State enterprise and political transition: Codelco’s evolving mandate’, </w:t>
      </w:r>
      <w:r w:rsidRPr="00C47AA3">
        <w:rPr>
          <w:rFonts w:ascii="Arial" w:eastAsia="Times New Roman" w:hAnsi="Arial" w:cs="Arial"/>
          <w:i/>
          <w:iCs/>
          <w:color w:val="000000"/>
          <w:kern w:val="0"/>
          <w:sz w:val="24"/>
          <w:szCs w:val="24"/>
          <w:lang w:eastAsia="en-GB"/>
          <w14:ligatures w14:val="none"/>
        </w:rPr>
        <w:t>Journal of Latin American Studies</w:t>
      </w:r>
      <w:r w:rsidRPr="00C47AA3">
        <w:rPr>
          <w:rFonts w:ascii="Times New Roman" w:eastAsia="Times New Roman" w:hAnsi="Times New Roman" w:cs="Times New Roman"/>
          <w:kern w:val="0"/>
          <w:sz w:val="24"/>
          <w:szCs w:val="24"/>
          <w:lang w:eastAsia="en-GB"/>
          <w14:ligatures w14:val="none"/>
        </w:rPr>
        <w:t>, 47(2), pp. 321–345.</w:t>
      </w:r>
    </w:p>
    <w:sectPr w:rsidR="00C835FF" w:rsidRPr="005730E9">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F990E" w14:textId="77777777" w:rsidR="00553EB7" w:rsidRDefault="00553EB7" w:rsidP="008E2FF1">
      <w:pPr>
        <w:spacing w:after="0" w:line="240" w:lineRule="auto"/>
      </w:pPr>
      <w:r>
        <w:separator/>
      </w:r>
    </w:p>
  </w:endnote>
  <w:endnote w:type="continuationSeparator" w:id="0">
    <w:p w14:paraId="3B72FE71" w14:textId="77777777" w:rsidR="00553EB7" w:rsidRDefault="00553EB7" w:rsidP="008E2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099426"/>
      <w:docPartObj>
        <w:docPartGallery w:val="Page Numbers (Bottom of Page)"/>
        <w:docPartUnique/>
      </w:docPartObj>
    </w:sdtPr>
    <w:sdtContent>
      <w:p w14:paraId="6E30E104" w14:textId="6B47B3DA" w:rsidR="009D50BB" w:rsidRDefault="009D50BB">
        <w:pPr>
          <w:pStyle w:val="Footer"/>
          <w:jc w:val="center"/>
        </w:pPr>
        <w:r>
          <w:fldChar w:fldCharType="begin"/>
        </w:r>
        <w:r>
          <w:instrText>PAGE   \* MERGEFORMAT</w:instrText>
        </w:r>
        <w:r>
          <w:fldChar w:fldCharType="separate"/>
        </w:r>
        <w:r>
          <w:t>2</w:t>
        </w:r>
        <w:r>
          <w:fldChar w:fldCharType="end"/>
        </w:r>
      </w:p>
    </w:sdtContent>
  </w:sdt>
  <w:p w14:paraId="1073CC9B" w14:textId="77777777" w:rsidR="009D50BB" w:rsidRDefault="009D50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74957" w14:textId="77777777" w:rsidR="00553EB7" w:rsidRDefault="00553EB7" w:rsidP="008E2FF1">
      <w:pPr>
        <w:spacing w:after="0" w:line="240" w:lineRule="auto"/>
      </w:pPr>
      <w:r>
        <w:separator/>
      </w:r>
    </w:p>
  </w:footnote>
  <w:footnote w:type="continuationSeparator" w:id="0">
    <w:p w14:paraId="1EDF973C" w14:textId="77777777" w:rsidR="00553EB7" w:rsidRDefault="00553EB7" w:rsidP="008E2F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457"/>
    <w:rsid w:val="00027A7D"/>
    <w:rsid w:val="000D7B54"/>
    <w:rsid w:val="001F4BBB"/>
    <w:rsid w:val="00375457"/>
    <w:rsid w:val="003A644B"/>
    <w:rsid w:val="003E7840"/>
    <w:rsid w:val="004E60F8"/>
    <w:rsid w:val="00553EB7"/>
    <w:rsid w:val="005730E9"/>
    <w:rsid w:val="00590B1C"/>
    <w:rsid w:val="008B055B"/>
    <w:rsid w:val="008E2FF1"/>
    <w:rsid w:val="009D50BB"/>
    <w:rsid w:val="00AA7588"/>
    <w:rsid w:val="00AD1075"/>
    <w:rsid w:val="00AF28D9"/>
    <w:rsid w:val="00C47AA3"/>
    <w:rsid w:val="00C835FF"/>
    <w:rsid w:val="00D51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C1BDD"/>
  <w15:chartTrackingRefBased/>
  <w15:docId w15:val="{BF8FA1ED-87BF-4876-A061-713748A01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54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54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54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54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54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54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54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54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54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4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54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54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54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54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54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54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54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5457"/>
    <w:rPr>
      <w:rFonts w:eastAsiaTheme="majorEastAsia" w:cstheme="majorBidi"/>
      <w:color w:val="272727" w:themeColor="text1" w:themeTint="D8"/>
    </w:rPr>
  </w:style>
  <w:style w:type="paragraph" w:styleId="Title">
    <w:name w:val="Title"/>
    <w:basedOn w:val="Normal"/>
    <w:next w:val="Normal"/>
    <w:link w:val="TitleChar"/>
    <w:uiPriority w:val="10"/>
    <w:qFormat/>
    <w:rsid w:val="003754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54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54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54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5457"/>
    <w:pPr>
      <w:spacing w:before="160"/>
      <w:jc w:val="center"/>
    </w:pPr>
    <w:rPr>
      <w:i/>
      <w:iCs/>
      <w:color w:val="404040" w:themeColor="text1" w:themeTint="BF"/>
    </w:rPr>
  </w:style>
  <w:style w:type="character" w:customStyle="1" w:styleId="QuoteChar">
    <w:name w:val="Quote Char"/>
    <w:basedOn w:val="DefaultParagraphFont"/>
    <w:link w:val="Quote"/>
    <w:uiPriority w:val="29"/>
    <w:rsid w:val="00375457"/>
    <w:rPr>
      <w:i/>
      <w:iCs/>
      <w:color w:val="404040" w:themeColor="text1" w:themeTint="BF"/>
    </w:rPr>
  </w:style>
  <w:style w:type="paragraph" w:styleId="ListParagraph">
    <w:name w:val="List Paragraph"/>
    <w:basedOn w:val="Normal"/>
    <w:uiPriority w:val="34"/>
    <w:qFormat/>
    <w:rsid w:val="00375457"/>
    <w:pPr>
      <w:ind w:left="720"/>
      <w:contextualSpacing/>
    </w:pPr>
  </w:style>
  <w:style w:type="character" w:styleId="IntenseEmphasis">
    <w:name w:val="Intense Emphasis"/>
    <w:basedOn w:val="DefaultParagraphFont"/>
    <w:uiPriority w:val="21"/>
    <w:qFormat/>
    <w:rsid w:val="00375457"/>
    <w:rPr>
      <w:i/>
      <w:iCs/>
      <w:color w:val="0F4761" w:themeColor="accent1" w:themeShade="BF"/>
    </w:rPr>
  </w:style>
  <w:style w:type="paragraph" w:styleId="IntenseQuote">
    <w:name w:val="Intense Quote"/>
    <w:basedOn w:val="Normal"/>
    <w:next w:val="Normal"/>
    <w:link w:val="IntenseQuoteChar"/>
    <w:uiPriority w:val="30"/>
    <w:qFormat/>
    <w:rsid w:val="003754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5457"/>
    <w:rPr>
      <w:i/>
      <w:iCs/>
      <w:color w:val="0F4761" w:themeColor="accent1" w:themeShade="BF"/>
    </w:rPr>
  </w:style>
  <w:style w:type="character" w:styleId="IntenseReference">
    <w:name w:val="Intense Reference"/>
    <w:basedOn w:val="DefaultParagraphFont"/>
    <w:uiPriority w:val="32"/>
    <w:qFormat/>
    <w:rsid w:val="00375457"/>
    <w:rPr>
      <w:b/>
      <w:bCs/>
      <w:smallCaps/>
      <w:color w:val="0F4761" w:themeColor="accent1" w:themeShade="BF"/>
      <w:spacing w:val="5"/>
    </w:rPr>
  </w:style>
  <w:style w:type="paragraph" w:styleId="Header">
    <w:name w:val="header"/>
    <w:basedOn w:val="Normal"/>
    <w:link w:val="HeaderChar"/>
    <w:uiPriority w:val="99"/>
    <w:unhideWhenUsed/>
    <w:rsid w:val="008E2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FF1"/>
  </w:style>
  <w:style w:type="paragraph" w:styleId="Footer">
    <w:name w:val="footer"/>
    <w:basedOn w:val="Normal"/>
    <w:link w:val="FooterChar"/>
    <w:uiPriority w:val="99"/>
    <w:unhideWhenUsed/>
    <w:rsid w:val="008E2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FF1"/>
  </w:style>
  <w:style w:type="table" w:styleId="TableGrid">
    <w:name w:val="Table Grid"/>
    <w:basedOn w:val="TableNormal"/>
    <w:uiPriority w:val="39"/>
    <w:rsid w:val="003E7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D50B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9D50BB"/>
    <w:pPr>
      <w:spacing w:after="100"/>
    </w:pPr>
  </w:style>
  <w:style w:type="character" w:styleId="Hyperlink">
    <w:name w:val="Hyperlink"/>
    <w:basedOn w:val="DefaultParagraphFont"/>
    <w:uiPriority w:val="99"/>
    <w:unhideWhenUsed/>
    <w:rsid w:val="009D50B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3649</Words>
  <Characters>20805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nikky loppez</dc:creator>
  <cp:keywords/>
  <dc:description/>
  <cp:lastModifiedBy>nikky loppez</cp:lastModifiedBy>
  <cp:revision>2</cp:revision>
  <dcterms:created xsi:type="dcterms:W3CDTF">2026-10-19T21:37:00Z</dcterms:created>
  <dcterms:modified xsi:type="dcterms:W3CDTF">2026-10-19T21:37:00Z</dcterms:modified>
</cp:coreProperties>
</file>