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1BCAA" w14:textId="2DF8742F" w:rsidR="00FD6428" w:rsidRDefault="00FD6428" w:rsidP="00FD6428">
      <w:pPr>
        <w:spacing w:line="360" w:lineRule="auto"/>
        <w:jc w:val="center"/>
        <w:rPr>
          <w:sz w:val="72"/>
          <w:szCs w:val="72"/>
        </w:rPr>
      </w:pPr>
      <w:r>
        <w:rPr>
          <w:noProof/>
          <w14:ligatures w14:val="standardContextual"/>
        </w:rPr>
        <w:drawing>
          <wp:inline distT="0" distB="0" distL="0" distR="0" wp14:anchorId="2F8DF655" wp14:editId="22C1307E">
            <wp:extent cx="1841500" cy="70485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41500" cy="704850"/>
                    </a:xfrm>
                    <a:prstGeom prst="rect">
                      <a:avLst/>
                    </a:prstGeom>
                    <a:noFill/>
                    <a:ln>
                      <a:noFill/>
                    </a:ln>
                  </pic:spPr>
                </pic:pic>
              </a:graphicData>
            </a:graphic>
          </wp:inline>
        </w:drawing>
      </w:r>
    </w:p>
    <w:p w14:paraId="55BA7399" w14:textId="77777777" w:rsidR="00FD6428" w:rsidRDefault="00FD6428" w:rsidP="00FD6428">
      <w:pPr>
        <w:spacing w:line="360" w:lineRule="auto"/>
        <w:jc w:val="center"/>
        <w:rPr>
          <w:sz w:val="72"/>
          <w:szCs w:val="72"/>
        </w:rPr>
      </w:pPr>
    </w:p>
    <w:p w14:paraId="2A35F45A" w14:textId="2DEF7078" w:rsidR="00FD6428" w:rsidRPr="00ED64DC" w:rsidRDefault="000B4889" w:rsidP="00FD6428">
      <w:pPr>
        <w:spacing w:line="360" w:lineRule="auto"/>
        <w:jc w:val="center"/>
        <w:rPr>
          <w:sz w:val="72"/>
          <w:szCs w:val="72"/>
        </w:rPr>
      </w:pPr>
      <w:r w:rsidRPr="00ED64DC">
        <w:rPr>
          <w:sz w:val="72"/>
          <w:szCs w:val="72"/>
        </w:rPr>
        <w:t>ESTHER NWACHE</w:t>
      </w:r>
    </w:p>
    <w:p w14:paraId="20B2F5CC" w14:textId="77777777" w:rsidR="000B4889" w:rsidRPr="00ED64DC" w:rsidRDefault="000B4889" w:rsidP="000B4889">
      <w:pPr>
        <w:spacing w:line="360" w:lineRule="auto"/>
        <w:jc w:val="center"/>
        <w:rPr>
          <w:sz w:val="72"/>
          <w:szCs w:val="72"/>
        </w:rPr>
      </w:pPr>
      <w:r w:rsidRPr="00ED64DC">
        <w:rPr>
          <w:sz w:val="72"/>
          <w:szCs w:val="72"/>
        </w:rPr>
        <w:t>Student Number: 2505633</w:t>
      </w:r>
    </w:p>
    <w:p w14:paraId="0C8C67C8" w14:textId="77777777" w:rsidR="000B4889" w:rsidRPr="00ED64DC" w:rsidRDefault="000B4889" w:rsidP="000B4889">
      <w:pPr>
        <w:spacing w:line="360" w:lineRule="auto"/>
        <w:jc w:val="center"/>
        <w:rPr>
          <w:sz w:val="72"/>
          <w:szCs w:val="72"/>
        </w:rPr>
      </w:pPr>
      <w:r w:rsidRPr="00ED64DC">
        <w:rPr>
          <w:sz w:val="72"/>
          <w:szCs w:val="72"/>
        </w:rPr>
        <w:t>Module code : LCHS4008</w:t>
      </w:r>
    </w:p>
    <w:p w14:paraId="017620E0" w14:textId="6E49A77A" w:rsidR="000B4889" w:rsidRPr="00ED64DC" w:rsidRDefault="000B4889" w:rsidP="000B4889">
      <w:pPr>
        <w:spacing w:line="360" w:lineRule="auto"/>
        <w:jc w:val="center"/>
        <w:rPr>
          <w:sz w:val="72"/>
          <w:szCs w:val="72"/>
        </w:rPr>
      </w:pPr>
      <w:r w:rsidRPr="00ED64DC">
        <w:rPr>
          <w:sz w:val="72"/>
          <w:szCs w:val="72"/>
        </w:rPr>
        <w:t xml:space="preserve">Title: Introduction to </w:t>
      </w:r>
      <w:r w:rsidR="008F00CB">
        <w:rPr>
          <w:sz w:val="72"/>
          <w:szCs w:val="72"/>
        </w:rPr>
        <w:t xml:space="preserve">Health and social care </w:t>
      </w:r>
    </w:p>
    <w:p w14:paraId="2BD7F436" w14:textId="1405E0FF" w:rsidR="000B4889" w:rsidRPr="00ED64DC" w:rsidRDefault="000B4889" w:rsidP="000B4889">
      <w:pPr>
        <w:spacing w:line="360" w:lineRule="auto"/>
        <w:jc w:val="center"/>
        <w:rPr>
          <w:sz w:val="72"/>
          <w:szCs w:val="72"/>
        </w:rPr>
      </w:pPr>
      <w:r w:rsidRPr="00ED64DC">
        <w:rPr>
          <w:sz w:val="72"/>
          <w:szCs w:val="72"/>
        </w:rPr>
        <w:t xml:space="preserve">Lecture: </w:t>
      </w:r>
      <w:r w:rsidR="00074CA3" w:rsidRPr="00ED64DC">
        <w:rPr>
          <w:rFonts w:ascii="Source Sans Pro" w:hAnsi="Source Sans Pro"/>
          <w:color w:val="242130"/>
          <w:sz w:val="72"/>
          <w:szCs w:val="72"/>
          <w:shd w:val="clear" w:color="auto" w:fill="FFFFFF"/>
        </w:rPr>
        <w:t> Wafa Nasir</w:t>
      </w:r>
    </w:p>
    <w:p w14:paraId="16C0965C" w14:textId="77777777" w:rsidR="000B4889" w:rsidRPr="00ED64DC" w:rsidRDefault="000B4889" w:rsidP="000B4889">
      <w:pPr>
        <w:spacing w:line="360" w:lineRule="auto"/>
        <w:jc w:val="center"/>
        <w:rPr>
          <w:sz w:val="72"/>
          <w:szCs w:val="72"/>
        </w:rPr>
      </w:pPr>
      <w:r w:rsidRPr="00ED64DC">
        <w:rPr>
          <w:sz w:val="72"/>
          <w:szCs w:val="72"/>
        </w:rPr>
        <w:t>Assignment title Portfolio component 2</w:t>
      </w:r>
    </w:p>
    <w:p w14:paraId="42E771E7" w14:textId="77777777" w:rsidR="00ED64DC" w:rsidRDefault="00ED64DC" w:rsidP="00A67996">
      <w:pPr>
        <w:spacing w:line="360" w:lineRule="auto"/>
        <w:rPr>
          <w:sz w:val="40"/>
          <w:szCs w:val="40"/>
        </w:rPr>
      </w:pPr>
    </w:p>
    <w:p w14:paraId="6449D5F2" w14:textId="77777777" w:rsidR="000E77F4" w:rsidRDefault="000E77F4" w:rsidP="00266020">
      <w:pPr>
        <w:pStyle w:val="NoSpacing"/>
        <w:spacing w:line="360" w:lineRule="auto"/>
        <w:jc w:val="both"/>
        <w:rPr>
          <w:rFonts w:ascii="Arial" w:hAnsi="Arial" w:cs="Arial"/>
          <w:b/>
          <w:bCs/>
          <w:sz w:val="22"/>
          <w:szCs w:val="22"/>
        </w:rPr>
      </w:pPr>
    </w:p>
    <w:p w14:paraId="2D5941B4" w14:textId="77777777" w:rsidR="00A67996" w:rsidRDefault="00A67996" w:rsidP="00266020">
      <w:pPr>
        <w:pStyle w:val="NoSpacing"/>
        <w:spacing w:line="360" w:lineRule="auto"/>
        <w:jc w:val="both"/>
        <w:rPr>
          <w:rFonts w:ascii="Arial" w:hAnsi="Arial" w:cs="Arial"/>
          <w:b/>
          <w:bCs/>
          <w:sz w:val="22"/>
          <w:szCs w:val="22"/>
        </w:rPr>
      </w:pPr>
    </w:p>
    <w:p w14:paraId="16EBB1B1" w14:textId="19AEDC65" w:rsidR="001B08AA" w:rsidRPr="00266020" w:rsidRDefault="00E271D8" w:rsidP="00266020">
      <w:pPr>
        <w:pStyle w:val="NoSpacing"/>
        <w:spacing w:line="360" w:lineRule="auto"/>
        <w:jc w:val="both"/>
        <w:rPr>
          <w:rFonts w:ascii="Arial" w:eastAsiaTheme="majorEastAsia" w:hAnsi="Arial" w:cs="Arial"/>
          <w:b/>
          <w:bCs/>
          <w:sz w:val="22"/>
          <w:szCs w:val="22"/>
        </w:rPr>
      </w:pPr>
      <w:r w:rsidRPr="00266020">
        <w:rPr>
          <w:rFonts w:ascii="Arial" w:hAnsi="Arial" w:cs="Arial"/>
          <w:b/>
          <w:bCs/>
          <w:sz w:val="22"/>
          <w:szCs w:val="22"/>
        </w:rPr>
        <w:lastRenderedPageBreak/>
        <w:t>R</w:t>
      </w:r>
      <w:r w:rsidRPr="00266020">
        <w:rPr>
          <w:rFonts w:ascii="Arial" w:eastAsiaTheme="majorEastAsia" w:hAnsi="Arial" w:cs="Arial"/>
          <w:b/>
          <w:bCs/>
          <w:sz w:val="22"/>
          <w:szCs w:val="22"/>
        </w:rPr>
        <w:t>eport: Case Study of Mr Ahmed</w:t>
      </w:r>
    </w:p>
    <w:p w14:paraId="0A12CDC8"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This report is based on a case study of Mr Ahmed, a 68</w:t>
      </w:r>
      <w:r w:rsidRPr="00266020">
        <w:rPr>
          <w:rFonts w:ascii="Arial" w:hAnsi="Arial" w:cs="Arial"/>
          <w:sz w:val="22"/>
          <w:szCs w:val="22"/>
        </w:rPr>
        <w:noBreakHyphen/>
        <w:t>year</w:t>
      </w:r>
      <w:r w:rsidRPr="00266020">
        <w:rPr>
          <w:rFonts w:ascii="Arial" w:hAnsi="Arial" w:cs="Arial"/>
          <w:sz w:val="22"/>
          <w:szCs w:val="22"/>
        </w:rPr>
        <w:noBreakHyphen/>
        <w:t>old man whose first language is Bengali and who is recovering from a stroke. It examines the professional considerations involved in his care following discharge from hospital. The case highlights several key aspects of health and social care service delivery. The report focuses on three main areas. First, it discusses how health and social care professionals can improve service and care delivery through effective communication within the context of Mr Ahmed’s care. Second, it explores the importance of good administrative skills in line with relevant legislation and best</w:t>
      </w:r>
      <w:r w:rsidRPr="00266020">
        <w:rPr>
          <w:rFonts w:ascii="Arial" w:hAnsi="Arial" w:cs="Arial"/>
          <w:sz w:val="22"/>
          <w:szCs w:val="22"/>
        </w:rPr>
        <w:noBreakHyphen/>
        <w:t>practice guidance, with reference to Mr Ahmed’s situation. Finally, the report examines the challenges that arise when coordinating patient care across different service providers. The report concludes with a summary of the key issues identified and recommendations for future practice.</w:t>
      </w:r>
    </w:p>
    <w:p w14:paraId="0E6D1EEB" w14:textId="77777777" w:rsidR="00E271D8" w:rsidRPr="00266020" w:rsidRDefault="00E271D8" w:rsidP="00266020">
      <w:pPr>
        <w:pStyle w:val="NoSpacing"/>
        <w:spacing w:line="360" w:lineRule="auto"/>
        <w:jc w:val="both"/>
        <w:rPr>
          <w:rFonts w:ascii="Arial" w:hAnsi="Arial" w:cs="Arial"/>
          <w:sz w:val="22"/>
          <w:szCs w:val="22"/>
        </w:rPr>
      </w:pPr>
    </w:p>
    <w:p w14:paraId="5C5E9DA9" w14:textId="370BA6D9" w:rsidR="001B08AA" w:rsidRPr="00266020" w:rsidRDefault="00E271D8" w:rsidP="00266020">
      <w:pPr>
        <w:pStyle w:val="NoSpacing"/>
        <w:spacing w:line="360" w:lineRule="auto"/>
        <w:jc w:val="both"/>
        <w:rPr>
          <w:rFonts w:ascii="Arial" w:eastAsiaTheme="majorEastAsia" w:hAnsi="Arial" w:cs="Arial"/>
          <w:b/>
          <w:bCs/>
          <w:sz w:val="22"/>
          <w:szCs w:val="22"/>
        </w:rPr>
      </w:pPr>
      <w:r w:rsidRPr="00266020">
        <w:rPr>
          <w:rFonts w:ascii="Arial" w:eastAsiaTheme="majorEastAsia" w:hAnsi="Arial" w:cs="Arial"/>
          <w:b/>
          <w:bCs/>
          <w:sz w:val="22"/>
          <w:szCs w:val="22"/>
        </w:rPr>
        <w:t>The Importance of Effective Communication in Mr Ahmed’s Care</w:t>
      </w:r>
    </w:p>
    <w:p w14:paraId="5B7A79A5"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Mr Ahmed’s first language is Bengali, and he is recovering from a stroke. Ghoorun et al. (2025) explain that people from ethnic minority backgrounds whose first language is not English may experience difficulties when interacting with healthcare professionals. In Mr Ahmed’s case, an additional barrier is his recovery from stroke. According to Wray et al. (2019), individuals who have experienced a stroke often have communication difficulties, which can affect how they access treatment and services. This suggests that care providers need to make reasonable adjustments to their communication methods in order to deliver person</w:t>
      </w:r>
      <w:r w:rsidRPr="00266020">
        <w:rPr>
          <w:rFonts w:ascii="Arial" w:hAnsi="Arial" w:cs="Arial"/>
          <w:sz w:val="22"/>
          <w:szCs w:val="22"/>
        </w:rPr>
        <w:noBreakHyphen/>
        <w:t>centred care that meets Mr Ahmed’s needs, considering both his language preference and post</w:t>
      </w:r>
      <w:r w:rsidRPr="00266020">
        <w:rPr>
          <w:rFonts w:ascii="Arial" w:hAnsi="Arial" w:cs="Arial"/>
          <w:sz w:val="22"/>
          <w:szCs w:val="22"/>
        </w:rPr>
        <w:noBreakHyphen/>
        <w:t>stroke condition.</w:t>
      </w:r>
    </w:p>
    <w:p w14:paraId="04998470"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The Equality Act (2010) legally protects individuals from discrimination and provides a framework for healthcare professionals to promote equal access to services through non</w:t>
      </w:r>
      <w:r w:rsidRPr="00266020">
        <w:rPr>
          <w:rFonts w:ascii="Arial" w:hAnsi="Arial" w:cs="Arial"/>
          <w:sz w:val="22"/>
          <w:szCs w:val="22"/>
        </w:rPr>
        <w:noBreakHyphen/>
        <w:t>discriminatory communication approaches. The Act states that individuals should not be discriminated against on the grounds of age, race, or disability, all of which are relevant to Mr Ahmed’s circumstances.</w:t>
      </w:r>
    </w:p>
    <w:p w14:paraId="107A79D5" w14:textId="77777777" w:rsidR="00E271D8" w:rsidRPr="00266020" w:rsidRDefault="00E271D8" w:rsidP="00266020">
      <w:pPr>
        <w:pStyle w:val="NoSpacing"/>
        <w:spacing w:line="360" w:lineRule="auto"/>
        <w:jc w:val="both"/>
        <w:rPr>
          <w:rFonts w:ascii="Arial" w:hAnsi="Arial" w:cs="Arial"/>
          <w:sz w:val="22"/>
          <w:szCs w:val="22"/>
        </w:rPr>
      </w:pPr>
    </w:p>
    <w:p w14:paraId="45A09C3F"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Several strategies can be used to address Mr Ahmed’s communication challenges. For example, providing professional interpreting services would enable him to communicate his care needs effectively and to understand his care plan. Translated materials in Bengali can also be offered to allow Mr Ahmed to access relevant services and make informed decisions about his care (Ghoorun et al., 2025). In addition, professionals can use clear and simple language, gestures, and visual aids to support understanding (Nielsen et al., 2020).</w:t>
      </w:r>
    </w:p>
    <w:p w14:paraId="3D96FBBF" w14:textId="77777777" w:rsidR="00E271D8" w:rsidRPr="00266020" w:rsidRDefault="00E271D8" w:rsidP="00266020">
      <w:pPr>
        <w:pStyle w:val="NoSpacing"/>
        <w:spacing w:line="360" w:lineRule="auto"/>
        <w:jc w:val="both"/>
        <w:rPr>
          <w:rFonts w:ascii="Arial" w:hAnsi="Arial" w:cs="Arial"/>
          <w:sz w:val="22"/>
          <w:szCs w:val="22"/>
        </w:rPr>
      </w:pPr>
    </w:p>
    <w:p w14:paraId="6444A693"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lastRenderedPageBreak/>
        <w:t>Involving Mr Ahmed’s wife can also promote communication, as she can help support his understanding of his care plan and act as an advocate for his cultural needs. However, this approach also presents potential disadvantages. Issues of confidentiality may arise, and Mr Ahmed may feel unable to express his true needs in his wife’s presence (Zakaria et al., 2021). There is also evidence that family members may unintentionally speak on behalf of patients rather than reflecting their wishes. As a result, relying on Mrs Ahmed as an interpreter could undermine Mr Ahmed’s autonomy, privacy, and dignity (Nielsen et al., 2020).</w:t>
      </w:r>
    </w:p>
    <w:p w14:paraId="38B74D97" w14:textId="77777777" w:rsidR="00E271D8" w:rsidRDefault="00E271D8" w:rsidP="00266020">
      <w:pPr>
        <w:pStyle w:val="NoSpacing"/>
        <w:spacing w:line="360" w:lineRule="auto"/>
        <w:jc w:val="both"/>
        <w:rPr>
          <w:rFonts w:ascii="Arial" w:hAnsi="Arial" w:cs="Arial"/>
          <w:sz w:val="22"/>
          <w:szCs w:val="22"/>
        </w:rPr>
      </w:pPr>
    </w:p>
    <w:p w14:paraId="2E0BDDF2" w14:textId="184E4D81" w:rsidR="00B46BE8" w:rsidRPr="00266020" w:rsidRDefault="00B46BE8" w:rsidP="00266020">
      <w:pPr>
        <w:pStyle w:val="NoSpacing"/>
        <w:spacing w:line="360" w:lineRule="auto"/>
        <w:jc w:val="both"/>
        <w:rPr>
          <w:rFonts w:ascii="Arial" w:hAnsi="Arial" w:cs="Arial"/>
          <w:sz w:val="22"/>
          <w:szCs w:val="22"/>
        </w:rPr>
      </w:pPr>
      <w:r>
        <w:rPr>
          <w:noProof/>
          <w14:ligatures w14:val="standardContextual"/>
        </w:rPr>
        <w:drawing>
          <wp:inline distT="0" distB="0" distL="0" distR="0" wp14:anchorId="0F00175F" wp14:editId="36B99E25">
            <wp:extent cx="5731510" cy="2970530"/>
            <wp:effectExtent l="0" t="0" r="2540" b="1270"/>
            <wp:docPr id="1441461815" name="Picture 2" descr="A diagram of a communication process&#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45812" name="Picture 2" descr="A diagram of a communication process&#10;&#10;Description automatically generated">
                      <a:hlinkClick r:id="rId9"/>
                    </pic:cNvPr>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p>
    <w:p w14:paraId="101772E4" w14:textId="40E202F9" w:rsidR="00DF6EBB" w:rsidRDefault="00716A09" w:rsidP="00266020">
      <w:pPr>
        <w:pStyle w:val="NoSpacing"/>
        <w:spacing w:line="360" w:lineRule="auto"/>
        <w:jc w:val="both"/>
        <w:rPr>
          <w:rFonts w:ascii="Arial" w:hAnsi="Arial" w:cs="Arial"/>
          <w:sz w:val="22"/>
          <w:szCs w:val="22"/>
        </w:rPr>
      </w:pPr>
      <w:r>
        <w:rPr>
          <w:rFonts w:ascii="Arial" w:hAnsi="Arial" w:cs="Arial"/>
          <w:sz w:val="22"/>
          <w:szCs w:val="22"/>
        </w:rPr>
        <w:t xml:space="preserve">A relevant communication model </w:t>
      </w:r>
      <w:r w:rsidR="00F1701C">
        <w:rPr>
          <w:rFonts w:ascii="Arial" w:hAnsi="Arial" w:cs="Arial"/>
          <w:sz w:val="22"/>
          <w:szCs w:val="22"/>
        </w:rPr>
        <w:t xml:space="preserve">in this context is </w:t>
      </w:r>
      <w:r w:rsidR="00BD4CB6">
        <w:rPr>
          <w:rFonts w:ascii="Arial" w:hAnsi="Arial" w:cs="Arial"/>
          <w:sz w:val="22"/>
          <w:szCs w:val="22"/>
        </w:rPr>
        <w:t>Shannon</w:t>
      </w:r>
      <w:r w:rsidR="00F1701C">
        <w:rPr>
          <w:rFonts w:ascii="Arial" w:hAnsi="Arial" w:cs="Arial"/>
          <w:sz w:val="22"/>
          <w:szCs w:val="22"/>
        </w:rPr>
        <w:t xml:space="preserve">  and weaver</w:t>
      </w:r>
      <w:r w:rsidR="00B55621">
        <w:rPr>
          <w:rFonts w:ascii="Arial" w:hAnsi="Arial" w:cs="Arial"/>
          <w:sz w:val="22"/>
          <w:szCs w:val="22"/>
        </w:rPr>
        <w:t>’s model of communication</w:t>
      </w:r>
      <w:r w:rsidR="00DF6EBB">
        <w:rPr>
          <w:rFonts w:ascii="Arial" w:hAnsi="Arial" w:cs="Arial"/>
          <w:sz w:val="22"/>
          <w:szCs w:val="22"/>
        </w:rPr>
        <w:t>(1948)</w:t>
      </w:r>
    </w:p>
    <w:p w14:paraId="2EBA777B" w14:textId="3716C4D4" w:rsidR="00DF6EBB" w:rsidRDefault="00DF6EBB" w:rsidP="00266020">
      <w:pPr>
        <w:pStyle w:val="NoSpacing"/>
        <w:spacing w:line="360" w:lineRule="auto"/>
        <w:jc w:val="both"/>
        <w:rPr>
          <w:rFonts w:ascii="Arial" w:hAnsi="Arial" w:cs="Arial"/>
          <w:sz w:val="22"/>
          <w:szCs w:val="22"/>
        </w:rPr>
      </w:pPr>
      <w:r>
        <w:rPr>
          <w:rFonts w:ascii="Arial" w:hAnsi="Arial" w:cs="Arial"/>
          <w:sz w:val="22"/>
          <w:szCs w:val="22"/>
        </w:rPr>
        <w:t xml:space="preserve">Using </w:t>
      </w:r>
      <w:r w:rsidR="00B418D6">
        <w:rPr>
          <w:rFonts w:ascii="Arial" w:hAnsi="Arial" w:cs="Arial"/>
          <w:sz w:val="22"/>
          <w:szCs w:val="22"/>
        </w:rPr>
        <w:t xml:space="preserve">the </w:t>
      </w:r>
      <w:r>
        <w:rPr>
          <w:rFonts w:ascii="Arial" w:hAnsi="Arial" w:cs="Arial"/>
          <w:sz w:val="22"/>
          <w:szCs w:val="22"/>
        </w:rPr>
        <w:t>Shannon</w:t>
      </w:r>
      <w:r w:rsidR="00B418D6">
        <w:rPr>
          <w:rFonts w:ascii="Arial" w:hAnsi="Arial" w:cs="Arial"/>
          <w:sz w:val="22"/>
          <w:szCs w:val="22"/>
        </w:rPr>
        <w:t>-</w:t>
      </w:r>
      <w:r>
        <w:rPr>
          <w:rFonts w:ascii="Arial" w:hAnsi="Arial" w:cs="Arial"/>
          <w:sz w:val="22"/>
          <w:szCs w:val="22"/>
        </w:rPr>
        <w:t xml:space="preserve"> weaver </w:t>
      </w:r>
      <w:r w:rsidR="00B418D6">
        <w:rPr>
          <w:rFonts w:ascii="Arial" w:hAnsi="Arial" w:cs="Arial"/>
          <w:sz w:val="22"/>
          <w:szCs w:val="22"/>
        </w:rPr>
        <w:t xml:space="preserve">model communication </w:t>
      </w:r>
      <w:r w:rsidR="0019516B">
        <w:rPr>
          <w:rFonts w:ascii="Arial" w:hAnsi="Arial" w:cs="Arial"/>
          <w:sz w:val="22"/>
          <w:szCs w:val="22"/>
        </w:rPr>
        <w:t xml:space="preserve">with Mr </w:t>
      </w:r>
      <w:r w:rsidR="00BD4CB6">
        <w:rPr>
          <w:rFonts w:ascii="Arial" w:hAnsi="Arial" w:cs="Arial"/>
          <w:sz w:val="22"/>
          <w:szCs w:val="22"/>
        </w:rPr>
        <w:t>Ahmed</w:t>
      </w:r>
      <w:r w:rsidR="0019516B">
        <w:rPr>
          <w:rFonts w:ascii="Arial" w:hAnsi="Arial" w:cs="Arial"/>
          <w:sz w:val="22"/>
          <w:szCs w:val="22"/>
        </w:rPr>
        <w:t xml:space="preserve"> can be understood </w:t>
      </w:r>
      <w:r w:rsidR="00E065D5">
        <w:rPr>
          <w:rFonts w:ascii="Arial" w:hAnsi="Arial" w:cs="Arial"/>
          <w:sz w:val="22"/>
          <w:szCs w:val="22"/>
        </w:rPr>
        <w:t>step-by step</w:t>
      </w:r>
    </w:p>
    <w:p w14:paraId="3B736A04" w14:textId="77777777" w:rsidR="00E065D5" w:rsidRDefault="00E065D5" w:rsidP="00266020">
      <w:pPr>
        <w:pStyle w:val="NoSpacing"/>
        <w:spacing w:line="360" w:lineRule="auto"/>
        <w:jc w:val="both"/>
        <w:rPr>
          <w:rFonts w:ascii="Arial" w:hAnsi="Arial" w:cs="Arial"/>
          <w:sz w:val="22"/>
          <w:szCs w:val="22"/>
        </w:rPr>
      </w:pPr>
    </w:p>
    <w:p w14:paraId="67D025B3" w14:textId="72C38805" w:rsidR="00E065D5" w:rsidRPr="00A67996" w:rsidRDefault="00E065D5" w:rsidP="00266020">
      <w:pPr>
        <w:pStyle w:val="NoSpacing"/>
        <w:spacing w:line="360" w:lineRule="auto"/>
        <w:jc w:val="both"/>
        <w:rPr>
          <w:rFonts w:ascii="Arial" w:hAnsi="Arial" w:cs="Arial"/>
          <w:b/>
          <w:bCs/>
          <w:sz w:val="22"/>
          <w:szCs w:val="22"/>
        </w:rPr>
      </w:pPr>
      <w:r w:rsidRPr="00A67996">
        <w:rPr>
          <w:rFonts w:ascii="Arial" w:hAnsi="Arial" w:cs="Arial"/>
          <w:b/>
          <w:bCs/>
          <w:sz w:val="22"/>
          <w:szCs w:val="22"/>
        </w:rPr>
        <w:t>1.Sender</w:t>
      </w:r>
      <w:r w:rsidR="00BD4CB6" w:rsidRPr="00A67996">
        <w:rPr>
          <w:rFonts w:ascii="Arial" w:hAnsi="Arial" w:cs="Arial"/>
          <w:b/>
          <w:bCs/>
          <w:sz w:val="22"/>
          <w:szCs w:val="22"/>
        </w:rPr>
        <w:t>(Professional)</w:t>
      </w:r>
    </w:p>
    <w:p w14:paraId="4D82FB2B" w14:textId="77777777" w:rsidR="00D13BBC" w:rsidRDefault="00D13BBC" w:rsidP="00266020">
      <w:pPr>
        <w:pStyle w:val="NoSpacing"/>
        <w:spacing w:line="360" w:lineRule="auto"/>
        <w:jc w:val="both"/>
        <w:rPr>
          <w:rFonts w:ascii="Arial" w:hAnsi="Arial" w:cs="Arial"/>
          <w:sz w:val="22"/>
          <w:szCs w:val="22"/>
        </w:rPr>
      </w:pPr>
    </w:p>
    <w:p w14:paraId="217A3D46" w14:textId="5C435E85" w:rsidR="00D13BBC" w:rsidRDefault="00D13BBC" w:rsidP="00266020">
      <w:pPr>
        <w:pStyle w:val="NoSpacing"/>
        <w:spacing w:line="360" w:lineRule="auto"/>
        <w:jc w:val="both"/>
        <w:rPr>
          <w:rFonts w:ascii="Arial" w:hAnsi="Arial" w:cs="Arial"/>
          <w:sz w:val="22"/>
          <w:szCs w:val="22"/>
        </w:rPr>
      </w:pPr>
      <w:r>
        <w:rPr>
          <w:rFonts w:ascii="Arial" w:hAnsi="Arial" w:cs="Arial"/>
          <w:sz w:val="22"/>
          <w:szCs w:val="22"/>
        </w:rPr>
        <w:t xml:space="preserve">Begin the communication by preparing a clear message for </w:t>
      </w:r>
      <w:r w:rsidR="00BE5CD3">
        <w:rPr>
          <w:rFonts w:ascii="Arial" w:hAnsi="Arial" w:cs="Arial"/>
          <w:sz w:val="22"/>
          <w:szCs w:val="22"/>
        </w:rPr>
        <w:t xml:space="preserve">Mr Ahmed, using  simple language and </w:t>
      </w:r>
      <w:r w:rsidR="00807597">
        <w:rPr>
          <w:rFonts w:ascii="Arial" w:hAnsi="Arial" w:cs="Arial"/>
          <w:sz w:val="22"/>
          <w:szCs w:val="22"/>
        </w:rPr>
        <w:t xml:space="preserve">avoiding </w:t>
      </w:r>
      <w:r w:rsidR="00DF4309">
        <w:rPr>
          <w:rFonts w:ascii="Arial" w:hAnsi="Arial" w:cs="Arial"/>
          <w:sz w:val="22"/>
          <w:szCs w:val="22"/>
        </w:rPr>
        <w:t>jargon</w:t>
      </w:r>
    </w:p>
    <w:p w14:paraId="265A5F26" w14:textId="77777777" w:rsidR="00DF4309" w:rsidRDefault="00DF4309" w:rsidP="00266020">
      <w:pPr>
        <w:pStyle w:val="NoSpacing"/>
        <w:spacing w:line="360" w:lineRule="auto"/>
        <w:jc w:val="both"/>
        <w:rPr>
          <w:rFonts w:ascii="Arial" w:hAnsi="Arial" w:cs="Arial"/>
          <w:sz w:val="22"/>
          <w:szCs w:val="22"/>
        </w:rPr>
      </w:pPr>
    </w:p>
    <w:p w14:paraId="6500BF9D" w14:textId="1FD09875" w:rsidR="00DF4309" w:rsidRPr="00A67996" w:rsidRDefault="00DF4309" w:rsidP="00266020">
      <w:pPr>
        <w:pStyle w:val="NoSpacing"/>
        <w:spacing w:line="360" w:lineRule="auto"/>
        <w:jc w:val="both"/>
        <w:rPr>
          <w:rFonts w:ascii="Arial" w:hAnsi="Arial" w:cs="Arial"/>
          <w:b/>
          <w:bCs/>
          <w:sz w:val="22"/>
          <w:szCs w:val="22"/>
        </w:rPr>
      </w:pPr>
      <w:r w:rsidRPr="00A67996">
        <w:rPr>
          <w:rFonts w:ascii="Arial" w:hAnsi="Arial" w:cs="Arial"/>
          <w:b/>
          <w:bCs/>
          <w:sz w:val="22"/>
          <w:szCs w:val="22"/>
        </w:rPr>
        <w:t>2.</w:t>
      </w:r>
      <w:r w:rsidR="00A16F72" w:rsidRPr="00A67996">
        <w:rPr>
          <w:rFonts w:ascii="Arial" w:hAnsi="Arial" w:cs="Arial"/>
          <w:b/>
          <w:bCs/>
          <w:sz w:val="22"/>
          <w:szCs w:val="22"/>
        </w:rPr>
        <w:t>Encoder(</w:t>
      </w:r>
      <w:r w:rsidR="0057279A" w:rsidRPr="00A67996">
        <w:rPr>
          <w:rFonts w:ascii="Arial" w:hAnsi="Arial" w:cs="Arial"/>
          <w:b/>
          <w:bCs/>
          <w:sz w:val="22"/>
          <w:szCs w:val="22"/>
        </w:rPr>
        <w:t>Turning the message into a form he can understand )</w:t>
      </w:r>
    </w:p>
    <w:p w14:paraId="7112D0EB" w14:textId="5629D28A" w:rsidR="00E92272" w:rsidRPr="00E92272" w:rsidRDefault="00261660" w:rsidP="00E92272">
      <w:pPr>
        <w:pStyle w:val="NoSpacing"/>
        <w:numPr>
          <w:ilvl w:val="0"/>
          <w:numId w:val="1"/>
        </w:numPr>
        <w:spacing w:line="360" w:lineRule="auto"/>
        <w:jc w:val="both"/>
        <w:rPr>
          <w:rFonts w:ascii="Arial" w:hAnsi="Arial" w:cs="Arial"/>
          <w:sz w:val="22"/>
          <w:szCs w:val="22"/>
        </w:rPr>
      </w:pPr>
      <w:r>
        <w:rPr>
          <w:rFonts w:ascii="Arial" w:hAnsi="Arial" w:cs="Arial"/>
          <w:sz w:val="22"/>
          <w:szCs w:val="22"/>
        </w:rPr>
        <w:t>Speaking slowl</w:t>
      </w:r>
      <w:r w:rsidR="00E92272">
        <w:rPr>
          <w:rFonts w:ascii="Arial" w:hAnsi="Arial" w:cs="Arial"/>
          <w:sz w:val="22"/>
          <w:szCs w:val="22"/>
        </w:rPr>
        <w:t>y</w:t>
      </w:r>
    </w:p>
    <w:p w14:paraId="2EAA2087" w14:textId="5A52C63C" w:rsidR="00D87B0E" w:rsidRDefault="00E92272" w:rsidP="00261660">
      <w:pPr>
        <w:pStyle w:val="NoSpacing"/>
        <w:numPr>
          <w:ilvl w:val="0"/>
          <w:numId w:val="1"/>
        </w:numPr>
        <w:spacing w:line="360" w:lineRule="auto"/>
        <w:jc w:val="both"/>
        <w:rPr>
          <w:rFonts w:ascii="Arial" w:hAnsi="Arial" w:cs="Arial"/>
          <w:sz w:val="22"/>
          <w:szCs w:val="22"/>
        </w:rPr>
      </w:pPr>
      <w:r>
        <w:rPr>
          <w:rFonts w:ascii="Arial" w:hAnsi="Arial" w:cs="Arial"/>
          <w:sz w:val="22"/>
          <w:szCs w:val="22"/>
        </w:rPr>
        <w:t xml:space="preserve">Using an interpreter </w:t>
      </w:r>
    </w:p>
    <w:p w14:paraId="27E21142" w14:textId="2DC342CA" w:rsidR="00E92272" w:rsidRPr="00D032BA" w:rsidRDefault="00E92272" w:rsidP="00D032BA">
      <w:pPr>
        <w:pStyle w:val="NoSpacing"/>
        <w:numPr>
          <w:ilvl w:val="0"/>
          <w:numId w:val="1"/>
        </w:numPr>
        <w:spacing w:line="360" w:lineRule="auto"/>
        <w:jc w:val="both"/>
        <w:rPr>
          <w:rFonts w:ascii="Arial" w:hAnsi="Arial" w:cs="Arial"/>
          <w:sz w:val="22"/>
          <w:szCs w:val="22"/>
        </w:rPr>
      </w:pPr>
      <w:r>
        <w:rPr>
          <w:rFonts w:ascii="Arial" w:hAnsi="Arial" w:cs="Arial"/>
          <w:sz w:val="22"/>
          <w:szCs w:val="22"/>
        </w:rPr>
        <w:t>Using transl</w:t>
      </w:r>
      <w:r w:rsidRPr="00D032BA">
        <w:rPr>
          <w:rFonts w:ascii="Arial" w:hAnsi="Arial" w:cs="Arial"/>
          <w:sz w:val="22"/>
          <w:szCs w:val="22"/>
        </w:rPr>
        <w:t xml:space="preserve">ated </w:t>
      </w:r>
      <w:r w:rsidR="00085B47" w:rsidRPr="00D032BA">
        <w:rPr>
          <w:rFonts w:ascii="Arial" w:hAnsi="Arial" w:cs="Arial"/>
          <w:sz w:val="22"/>
          <w:szCs w:val="22"/>
        </w:rPr>
        <w:t>written information</w:t>
      </w:r>
    </w:p>
    <w:p w14:paraId="6E0E9010" w14:textId="3F5BF56A" w:rsidR="00085B47" w:rsidRDefault="00085B47" w:rsidP="00261660">
      <w:pPr>
        <w:pStyle w:val="NoSpacing"/>
        <w:numPr>
          <w:ilvl w:val="0"/>
          <w:numId w:val="1"/>
        </w:numPr>
        <w:spacing w:line="360" w:lineRule="auto"/>
        <w:jc w:val="both"/>
        <w:rPr>
          <w:rFonts w:ascii="Arial" w:hAnsi="Arial" w:cs="Arial"/>
          <w:sz w:val="22"/>
          <w:szCs w:val="22"/>
        </w:rPr>
      </w:pPr>
      <w:r>
        <w:rPr>
          <w:rFonts w:ascii="Arial" w:hAnsi="Arial" w:cs="Arial"/>
          <w:sz w:val="22"/>
          <w:szCs w:val="22"/>
        </w:rPr>
        <w:t xml:space="preserve">Using visual aid </w:t>
      </w:r>
    </w:p>
    <w:p w14:paraId="4542B153" w14:textId="77777777" w:rsidR="00A315D7" w:rsidRDefault="00A315D7" w:rsidP="00A315D7">
      <w:pPr>
        <w:pStyle w:val="NoSpacing"/>
        <w:spacing w:line="360" w:lineRule="auto"/>
        <w:ind w:left="720"/>
        <w:jc w:val="both"/>
        <w:rPr>
          <w:rFonts w:ascii="Arial" w:hAnsi="Arial" w:cs="Arial"/>
          <w:sz w:val="22"/>
          <w:szCs w:val="22"/>
        </w:rPr>
      </w:pPr>
    </w:p>
    <w:p w14:paraId="3F37674D" w14:textId="64A13792" w:rsidR="00A67996" w:rsidRDefault="00A67996" w:rsidP="00A315D7">
      <w:pPr>
        <w:pStyle w:val="NoSpacing"/>
        <w:spacing w:line="360" w:lineRule="auto"/>
        <w:jc w:val="both"/>
        <w:rPr>
          <w:rFonts w:ascii="Arial" w:hAnsi="Arial" w:cs="Arial"/>
          <w:sz w:val="22"/>
          <w:szCs w:val="22"/>
        </w:rPr>
      </w:pPr>
      <w:r w:rsidRPr="00A67996">
        <w:rPr>
          <w:rFonts w:ascii="Arial" w:hAnsi="Arial" w:cs="Arial"/>
          <w:b/>
          <w:bCs/>
          <w:sz w:val="22"/>
          <w:szCs w:val="22"/>
        </w:rPr>
        <w:lastRenderedPageBreak/>
        <w:t xml:space="preserve">3. </w:t>
      </w:r>
      <w:r w:rsidR="00384783" w:rsidRPr="00A67996">
        <w:rPr>
          <w:rFonts w:ascii="Arial" w:hAnsi="Arial" w:cs="Arial"/>
          <w:b/>
          <w:bCs/>
          <w:sz w:val="22"/>
          <w:szCs w:val="22"/>
        </w:rPr>
        <w:t xml:space="preserve">Channel(The methods </w:t>
      </w:r>
      <w:r w:rsidR="0011114B" w:rsidRPr="00A67996">
        <w:rPr>
          <w:rFonts w:ascii="Arial" w:hAnsi="Arial" w:cs="Arial"/>
          <w:b/>
          <w:bCs/>
          <w:sz w:val="22"/>
          <w:szCs w:val="22"/>
        </w:rPr>
        <w:t>of Communication</w:t>
      </w:r>
      <w:r w:rsidR="0011114B">
        <w:rPr>
          <w:rFonts w:ascii="Arial" w:hAnsi="Arial" w:cs="Arial"/>
          <w:sz w:val="22"/>
          <w:szCs w:val="22"/>
        </w:rPr>
        <w:t>)</w:t>
      </w:r>
    </w:p>
    <w:p w14:paraId="7FC426FA" w14:textId="3960D9DB" w:rsidR="0011114B" w:rsidRDefault="0011114B" w:rsidP="00A315D7">
      <w:pPr>
        <w:pStyle w:val="NoSpacing"/>
        <w:spacing w:line="360" w:lineRule="auto"/>
        <w:jc w:val="both"/>
        <w:rPr>
          <w:rFonts w:ascii="Arial" w:hAnsi="Arial" w:cs="Arial"/>
          <w:sz w:val="22"/>
          <w:szCs w:val="22"/>
        </w:rPr>
      </w:pPr>
      <w:r>
        <w:rPr>
          <w:rFonts w:ascii="Arial" w:hAnsi="Arial" w:cs="Arial"/>
          <w:sz w:val="22"/>
          <w:szCs w:val="22"/>
        </w:rPr>
        <w:t>Face-</w:t>
      </w:r>
      <w:r w:rsidR="00DE0543">
        <w:rPr>
          <w:rFonts w:ascii="Arial" w:hAnsi="Arial" w:cs="Arial"/>
          <w:sz w:val="22"/>
          <w:szCs w:val="22"/>
        </w:rPr>
        <w:t>to-face conversation</w:t>
      </w:r>
    </w:p>
    <w:p w14:paraId="2033348E" w14:textId="56BDD851" w:rsidR="006C490C" w:rsidRDefault="006C490C" w:rsidP="00A315D7">
      <w:pPr>
        <w:pStyle w:val="NoSpacing"/>
        <w:spacing w:line="360" w:lineRule="auto"/>
        <w:jc w:val="both"/>
        <w:rPr>
          <w:rFonts w:ascii="Arial" w:hAnsi="Arial" w:cs="Arial"/>
          <w:sz w:val="22"/>
          <w:szCs w:val="22"/>
        </w:rPr>
      </w:pPr>
      <w:r>
        <w:rPr>
          <w:rFonts w:ascii="Arial" w:hAnsi="Arial" w:cs="Arial"/>
          <w:sz w:val="22"/>
          <w:szCs w:val="22"/>
        </w:rPr>
        <w:t>Interpreter</w:t>
      </w:r>
      <w:r w:rsidR="00D75E9C">
        <w:rPr>
          <w:rFonts w:ascii="Arial" w:hAnsi="Arial" w:cs="Arial"/>
          <w:sz w:val="22"/>
          <w:szCs w:val="22"/>
        </w:rPr>
        <w:t>-</w:t>
      </w:r>
      <w:r>
        <w:rPr>
          <w:rFonts w:ascii="Arial" w:hAnsi="Arial" w:cs="Arial"/>
          <w:sz w:val="22"/>
          <w:szCs w:val="22"/>
        </w:rPr>
        <w:t>supported communication</w:t>
      </w:r>
    </w:p>
    <w:p w14:paraId="13BB4954" w14:textId="6EBEDCD4" w:rsidR="00D75E9C" w:rsidRDefault="007635DE" w:rsidP="00A315D7">
      <w:pPr>
        <w:pStyle w:val="NoSpacing"/>
        <w:spacing w:line="360" w:lineRule="auto"/>
        <w:jc w:val="both"/>
        <w:rPr>
          <w:rFonts w:ascii="Arial" w:hAnsi="Arial" w:cs="Arial"/>
          <w:sz w:val="22"/>
          <w:szCs w:val="22"/>
        </w:rPr>
      </w:pPr>
      <w:r>
        <w:rPr>
          <w:rFonts w:ascii="Arial" w:hAnsi="Arial" w:cs="Arial"/>
          <w:sz w:val="22"/>
          <w:szCs w:val="22"/>
        </w:rPr>
        <w:t>Translated documents</w:t>
      </w:r>
    </w:p>
    <w:p w14:paraId="1F144C25" w14:textId="5EF8C3A0" w:rsidR="007635DE" w:rsidRDefault="007635DE" w:rsidP="00A315D7">
      <w:pPr>
        <w:pStyle w:val="NoSpacing"/>
        <w:spacing w:line="360" w:lineRule="auto"/>
        <w:jc w:val="both"/>
        <w:rPr>
          <w:rFonts w:ascii="Arial" w:hAnsi="Arial" w:cs="Arial"/>
          <w:sz w:val="22"/>
          <w:szCs w:val="22"/>
        </w:rPr>
      </w:pPr>
      <w:r>
        <w:rPr>
          <w:rFonts w:ascii="Arial" w:hAnsi="Arial" w:cs="Arial"/>
          <w:sz w:val="22"/>
          <w:szCs w:val="22"/>
        </w:rPr>
        <w:t>Gesture</w:t>
      </w:r>
      <w:r w:rsidR="004D16EA">
        <w:rPr>
          <w:rFonts w:ascii="Arial" w:hAnsi="Arial" w:cs="Arial"/>
          <w:sz w:val="22"/>
          <w:szCs w:val="22"/>
        </w:rPr>
        <w:t>s or pictures</w:t>
      </w:r>
    </w:p>
    <w:p w14:paraId="2A11DF05" w14:textId="54E492E1" w:rsidR="004D16EA" w:rsidRDefault="004D16EA" w:rsidP="00A315D7">
      <w:pPr>
        <w:pStyle w:val="NoSpacing"/>
        <w:spacing w:line="360" w:lineRule="auto"/>
        <w:jc w:val="both"/>
        <w:rPr>
          <w:rFonts w:ascii="Arial" w:hAnsi="Arial" w:cs="Arial"/>
          <w:sz w:val="22"/>
          <w:szCs w:val="22"/>
        </w:rPr>
      </w:pPr>
    </w:p>
    <w:p w14:paraId="504AB68F" w14:textId="354AE549" w:rsidR="004D16EA" w:rsidRDefault="004D16EA" w:rsidP="00A315D7">
      <w:pPr>
        <w:pStyle w:val="NoSpacing"/>
        <w:spacing w:line="360" w:lineRule="auto"/>
        <w:jc w:val="both"/>
        <w:rPr>
          <w:rFonts w:ascii="Arial" w:hAnsi="Arial" w:cs="Arial"/>
          <w:sz w:val="22"/>
          <w:szCs w:val="22"/>
        </w:rPr>
      </w:pPr>
      <w:r w:rsidRPr="00A67996">
        <w:rPr>
          <w:rFonts w:ascii="Arial" w:hAnsi="Arial" w:cs="Arial"/>
          <w:b/>
          <w:bCs/>
          <w:sz w:val="22"/>
          <w:szCs w:val="22"/>
        </w:rPr>
        <w:t>4.</w:t>
      </w:r>
      <w:r w:rsidR="00EC1DD5" w:rsidRPr="00A67996">
        <w:rPr>
          <w:rFonts w:ascii="Arial" w:hAnsi="Arial" w:cs="Arial"/>
          <w:b/>
          <w:bCs/>
          <w:sz w:val="22"/>
          <w:szCs w:val="22"/>
        </w:rPr>
        <w:t xml:space="preserve">Noise(anything </w:t>
      </w:r>
      <w:r w:rsidR="00795046" w:rsidRPr="00A67996">
        <w:rPr>
          <w:rFonts w:ascii="Arial" w:hAnsi="Arial" w:cs="Arial"/>
          <w:b/>
          <w:bCs/>
          <w:sz w:val="22"/>
          <w:szCs w:val="22"/>
        </w:rPr>
        <w:t xml:space="preserve">that can </w:t>
      </w:r>
      <w:r w:rsidR="002555F3" w:rsidRPr="00A67996">
        <w:rPr>
          <w:rFonts w:ascii="Arial" w:hAnsi="Arial" w:cs="Arial"/>
          <w:b/>
          <w:bCs/>
          <w:sz w:val="22"/>
          <w:szCs w:val="22"/>
        </w:rPr>
        <w:t>cause misunderstanding</w:t>
      </w:r>
      <w:r w:rsidR="00795046">
        <w:rPr>
          <w:rFonts w:ascii="Arial" w:hAnsi="Arial" w:cs="Arial"/>
          <w:sz w:val="22"/>
          <w:szCs w:val="22"/>
        </w:rPr>
        <w:t>)</w:t>
      </w:r>
    </w:p>
    <w:p w14:paraId="779155FD" w14:textId="697CE068" w:rsidR="002555F3" w:rsidRDefault="002555F3" w:rsidP="00A315D7">
      <w:pPr>
        <w:pStyle w:val="NoSpacing"/>
        <w:spacing w:line="360" w:lineRule="auto"/>
        <w:jc w:val="both"/>
        <w:rPr>
          <w:rFonts w:ascii="Arial" w:hAnsi="Arial" w:cs="Arial"/>
          <w:sz w:val="22"/>
          <w:szCs w:val="22"/>
        </w:rPr>
      </w:pPr>
      <w:r>
        <w:rPr>
          <w:rFonts w:ascii="Arial" w:hAnsi="Arial" w:cs="Arial"/>
          <w:sz w:val="22"/>
          <w:szCs w:val="22"/>
        </w:rPr>
        <w:t xml:space="preserve">Noise can </w:t>
      </w:r>
      <w:r w:rsidR="00B318E8">
        <w:rPr>
          <w:rFonts w:ascii="Arial" w:hAnsi="Arial" w:cs="Arial"/>
          <w:sz w:val="22"/>
          <w:szCs w:val="22"/>
        </w:rPr>
        <w:t xml:space="preserve">interfere with the </w:t>
      </w:r>
      <w:r w:rsidR="0011172F">
        <w:rPr>
          <w:rFonts w:ascii="Arial" w:hAnsi="Arial" w:cs="Arial"/>
          <w:sz w:val="22"/>
          <w:szCs w:val="22"/>
        </w:rPr>
        <w:t xml:space="preserve">message. For </w:t>
      </w:r>
      <w:r w:rsidR="00BC5839">
        <w:rPr>
          <w:rFonts w:ascii="Arial" w:hAnsi="Arial" w:cs="Arial"/>
          <w:sz w:val="22"/>
          <w:szCs w:val="22"/>
        </w:rPr>
        <w:t>Mr. Ahmed</w:t>
      </w:r>
      <w:r w:rsidR="007C400B">
        <w:rPr>
          <w:rFonts w:ascii="Arial" w:hAnsi="Arial" w:cs="Arial"/>
          <w:sz w:val="22"/>
          <w:szCs w:val="22"/>
        </w:rPr>
        <w:t>,</w:t>
      </w:r>
      <w:r w:rsidR="00BC5839">
        <w:rPr>
          <w:rFonts w:ascii="Arial" w:hAnsi="Arial" w:cs="Arial"/>
          <w:sz w:val="22"/>
          <w:szCs w:val="22"/>
        </w:rPr>
        <w:t xml:space="preserve"> </w:t>
      </w:r>
      <w:r w:rsidR="007C400B">
        <w:rPr>
          <w:rFonts w:ascii="Arial" w:hAnsi="Arial" w:cs="Arial"/>
          <w:sz w:val="22"/>
          <w:szCs w:val="22"/>
        </w:rPr>
        <w:t>noise may include</w:t>
      </w:r>
      <w:r w:rsidR="00BC5839">
        <w:rPr>
          <w:rFonts w:ascii="Arial" w:hAnsi="Arial" w:cs="Arial"/>
          <w:sz w:val="22"/>
          <w:szCs w:val="22"/>
        </w:rPr>
        <w:t xml:space="preserve"> </w:t>
      </w:r>
    </w:p>
    <w:p w14:paraId="521C8FE6" w14:textId="709C7520" w:rsidR="00BC5839" w:rsidRDefault="002353C9" w:rsidP="00BC5839">
      <w:pPr>
        <w:pStyle w:val="NoSpacing"/>
        <w:numPr>
          <w:ilvl w:val="0"/>
          <w:numId w:val="2"/>
        </w:numPr>
        <w:spacing w:line="360" w:lineRule="auto"/>
        <w:jc w:val="both"/>
        <w:rPr>
          <w:rFonts w:ascii="Arial" w:hAnsi="Arial" w:cs="Arial"/>
          <w:sz w:val="22"/>
          <w:szCs w:val="22"/>
        </w:rPr>
      </w:pPr>
      <w:r>
        <w:rPr>
          <w:rFonts w:ascii="Arial" w:hAnsi="Arial" w:cs="Arial"/>
          <w:sz w:val="22"/>
          <w:szCs w:val="22"/>
        </w:rPr>
        <w:t>Language barriers</w:t>
      </w:r>
    </w:p>
    <w:p w14:paraId="4C013E25" w14:textId="1D4932CB" w:rsidR="002353C9" w:rsidRDefault="002353C9" w:rsidP="00BC5839">
      <w:pPr>
        <w:pStyle w:val="NoSpacing"/>
        <w:numPr>
          <w:ilvl w:val="0"/>
          <w:numId w:val="2"/>
        </w:numPr>
        <w:spacing w:line="360" w:lineRule="auto"/>
        <w:jc w:val="both"/>
        <w:rPr>
          <w:rFonts w:ascii="Arial" w:hAnsi="Arial" w:cs="Arial"/>
          <w:sz w:val="22"/>
          <w:szCs w:val="22"/>
        </w:rPr>
      </w:pPr>
      <w:r>
        <w:rPr>
          <w:rFonts w:ascii="Arial" w:hAnsi="Arial" w:cs="Arial"/>
          <w:sz w:val="22"/>
          <w:szCs w:val="22"/>
        </w:rPr>
        <w:t>Unclear translation</w:t>
      </w:r>
    </w:p>
    <w:p w14:paraId="3EA97E9A" w14:textId="41300F25" w:rsidR="004E3517" w:rsidRDefault="004E3517" w:rsidP="00BC5839">
      <w:pPr>
        <w:pStyle w:val="NoSpacing"/>
        <w:numPr>
          <w:ilvl w:val="0"/>
          <w:numId w:val="2"/>
        </w:numPr>
        <w:spacing w:line="360" w:lineRule="auto"/>
        <w:jc w:val="both"/>
        <w:rPr>
          <w:rFonts w:ascii="Arial" w:hAnsi="Arial" w:cs="Arial"/>
          <w:sz w:val="22"/>
          <w:szCs w:val="22"/>
        </w:rPr>
      </w:pPr>
      <w:r>
        <w:rPr>
          <w:rFonts w:ascii="Arial" w:hAnsi="Arial" w:cs="Arial"/>
          <w:sz w:val="22"/>
          <w:szCs w:val="22"/>
        </w:rPr>
        <w:t>Cultural differences</w:t>
      </w:r>
    </w:p>
    <w:p w14:paraId="066AD5A4" w14:textId="7B7C123F" w:rsidR="004E3517" w:rsidRDefault="004E3517" w:rsidP="00BC5839">
      <w:pPr>
        <w:pStyle w:val="NoSpacing"/>
        <w:numPr>
          <w:ilvl w:val="0"/>
          <w:numId w:val="2"/>
        </w:numPr>
        <w:spacing w:line="360" w:lineRule="auto"/>
        <w:jc w:val="both"/>
        <w:rPr>
          <w:rFonts w:ascii="Arial" w:hAnsi="Arial" w:cs="Arial"/>
          <w:sz w:val="22"/>
          <w:szCs w:val="22"/>
        </w:rPr>
      </w:pPr>
      <w:r>
        <w:rPr>
          <w:rFonts w:ascii="Arial" w:hAnsi="Arial" w:cs="Arial"/>
          <w:sz w:val="22"/>
          <w:szCs w:val="22"/>
        </w:rPr>
        <w:t xml:space="preserve">Background noise </w:t>
      </w:r>
      <w:r w:rsidR="00D0245F">
        <w:rPr>
          <w:rFonts w:ascii="Arial" w:hAnsi="Arial" w:cs="Arial"/>
          <w:sz w:val="22"/>
          <w:szCs w:val="22"/>
        </w:rPr>
        <w:t>in the room</w:t>
      </w:r>
    </w:p>
    <w:p w14:paraId="419D7F85" w14:textId="3821A2ED" w:rsidR="00D0245F" w:rsidRDefault="00D0245F" w:rsidP="00BC5839">
      <w:pPr>
        <w:pStyle w:val="NoSpacing"/>
        <w:numPr>
          <w:ilvl w:val="0"/>
          <w:numId w:val="2"/>
        </w:numPr>
        <w:spacing w:line="360" w:lineRule="auto"/>
        <w:jc w:val="both"/>
        <w:rPr>
          <w:rFonts w:ascii="Arial" w:hAnsi="Arial" w:cs="Arial"/>
          <w:sz w:val="22"/>
          <w:szCs w:val="22"/>
        </w:rPr>
      </w:pPr>
      <w:r>
        <w:rPr>
          <w:rFonts w:ascii="Arial" w:hAnsi="Arial" w:cs="Arial"/>
          <w:sz w:val="22"/>
          <w:szCs w:val="22"/>
        </w:rPr>
        <w:t>Emotional stressor confusion</w:t>
      </w:r>
    </w:p>
    <w:p w14:paraId="5F343AA6" w14:textId="77777777" w:rsidR="005F39FE" w:rsidRDefault="005F39FE" w:rsidP="005F39FE">
      <w:pPr>
        <w:pStyle w:val="NoSpacing"/>
        <w:spacing w:line="360" w:lineRule="auto"/>
        <w:ind w:left="360"/>
        <w:jc w:val="both"/>
        <w:rPr>
          <w:rFonts w:ascii="Arial" w:hAnsi="Arial" w:cs="Arial"/>
          <w:sz w:val="22"/>
          <w:szCs w:val="22"/>
        </w:rPr>
      </w:pPr>
    </w:p>
    <w:p w14:paraId="3D5F7BA4" w14:textId="77777777" w:rsidR="005F39FE" w:rsidRDefault="005F39FE" w:rsidP="005F39FE">
      <w:pPr>
        <w:pStyle w:val="NoSpacing"/>
        <w:spacing w:line="360" w:lineRule="auto"/>
        <w:ind w:left="360"/>
        <w:jc w:val="both"/>
        <w:rPr>
          <w:rFonts w:ascii="Arial" w:hAnsi="Arial" w:cs="Arial"/>
          <w:sz w:val="22"/>
          <w:szCs w:val="22"/>
        </w:rPr>
      </w:pPr>
    </w:p>
    <w:p w14:paraId="78484AF0" w14:textId="5A821FE2" w:rsidR="005F39FE" w:rsidRDefault="005F39FE" w:rsidP="005F39FE">
      <w:pPr>
        <w:pStyle w:val="NoSpacing"/>
        <w:spacing w:line="360" w:lineRule="auto"/>
        <w:ind w:left="360"/>
        <w:jc w:val="both"/>
        <w:rPr>
          <w:rFonts w:ascii="Arial" w:hAnsi="Arial" w:cs="Arial"/>
          <w:sz w:val="22"/>
          <w:szCs w:val="22"/>
        </w:rPr>
      </w:pPr>
      <w:r>
        <w:rPr>
          <w:rFonts w:ascii="Arial" w:hAnsi="Arial" w:cs="Arial"/>
          <w:sz w:val="22"/>
          <w:szCs w:val="22"/>
        </w:rPr>
        <w:t>5.</w:t>
      </w:r>
      <w:r w:rsidRPr="00487B86">
        <w:rPr>
          <w:rFonts w:ascii="Arial" w:hAnsi="Arial" w:cs="Arial"/>
          <w:b/>
          <w:bCs/>
          <w:sz w:val="22"/>
          <w:szCs w:val="22"/>
        </w:rPr>
        <w:t>Decoder</w:t>
      </w:r>
      <w:r w:rsidR="00A3476D" w:rsidRPr="00487B86">
        <w:rPr>
          <w:rFonts w:ascii="Arial" w:hAnsi="Arial" w:cs="Arial"/>
          <w:b/>
          <w:bCs/>
          <w:sz w:val="22"/>
          <w:szCs w:val="22"/>
        </w:rPr>
        <w:t xml:space="preserve">(how </w:t>
      </w:r>
      <w:r w:rsidR="009D3EE1" w:rsidRPr="00487B86">
        <w:rPr>
          <w:rFonts w:ascii="Arial" w:hAnsi="Arial" w:cs="Arial"/>
          <w:b/>
          <w:bCs/>
          <w:sz w:val="22"/>
          <w:szCs w:val="22"/>
        </w:rPr>
        <w:t>Mr. Ahmed</w:t>
      </w:r>
      <w:r w:rsidR="00A3476D" w:rsidRPr="00487B86">
        <w:rPr>
          <w:rFonts w:ascii="Arial" w:hAnsi="Arial" w:cs="Arial"/>
          <w:b/>
          <w:bCs/>
          <w:sz w:val="22"/>
          <w:szCs w:val="22"/>
        </w:rPr>
        <w:t xml:space="preserve"> interpret</w:t>
      </w:r>
      <w:r w:rsidR="009D3EE1" w:rsidRPr="00487B86">
        <w:rPr>
          <w:rFonts w:ascii="Arial" w:hAnsi="Arial" w:cs="Arial"/>
          <w:b/>
          <w:bCs/>
          <w:sz w:val="22"/>
          <w:szCs w:val="22"/>
        </w:rPr>
        <w:t>s the message</w:t>
      </w:r>
      <w:r w:rsidR="009D3EE1">
        <w:rPr>
          <w:rFonts w:ascii="Arial" w:hAnsi="Arial" w:cs="Arial"/>
          <w:sz w:val="22"/>
          <w:szCs w:val="22"/>
        </w:rPr>
        <w:t>)</w:t>
      </w:r>
    </w:p>
    <w:p w14:paraId="2DAE3DB0" w14:textId="77777777" w:rsidR="009D3EE1" w:rsidRDefault="009D3EE1" w:rsidP="005F39FE">
      <w:pPr>
        <w:pStyle w:val="NoSpacing"/>
        <w:spacing w:line="360" w:lineRule="auto"/>
        <w:ind w:left="360"/>
        <w:jc w:val="both"/>
        <w:rPr>
          <w:rFonts w:ascii="Arial" w:hAnsi="Arial" w:cs="Arial"/>
          <w:sz w:val="22"/>
          <w:szCs w:val="22"/>
        </w:rPr>
      </w:pPr>
    </w:p>
    <w:p w14:paraId="5E507881" w14:textId="10FD70F1" w:rsidR="00DE09EA" w:rsidRDefault="00DE09EA" w:rsidP="00DE09EA">
      <w:pPr>
        <w:pStyle w:val="NoSpacing"/>
        <w:spacing w:line="360" w:lineRule="auto"/>
        <w:jc w:val="both"/>
        <w:rPr>
          <w:rFonts w:ascii="Arial" w:hAnsi="Arial" w:cs="Arial"/>
          <w:sz w:val="22"/>
          <w:szCs w:val="22"/>
        </w:rPr>
      </w:pPr>
      <w:r>
        <w:rPr>
          <w:rFonts w:ascii="Arial" w:hAnsi="Arial" w:cs="Arial"/>
          <w:sz w:val="22"/>
          <w:szCs w:val="22"/>
        </w:rPr>
        <w:t>Mr Ahmed</w:t>
      </w:r>
      <w:r w:rsidR="007665C7">
        <w:rPr>
          <w:rFonts w:ascii="Arial" w:hAnsi="Arial" w:cs="Arial"/>
          <w:sz w:val="22"/>
          <w:szCs w:val="22"/>
        </w:rPr>
        <w:t xml:space="preserve"> receives the message and tries to understand </w:t>
      </w:r>
      <w:r w:rsidR="009B6E78">
        <w:rPr>
          <w:rFonts w:ascii="Arial" w:hAnsi="Arial" w:cs="Arial"/>
          <w:sz w:val="22"/>
          <w:szCs w:val="22"/>
        </w:rPr>
        <w:t>it</w:t>
      </w:r>
      <w:r w:rsidR="00A67996">
        <w:rPr>
          <w:rFonts w:ascii="Arial" w:hAnsi="Arial" w:cs="Arial"/>
          <w:sz w:val="22"/>
          <w:szCs w:val="22"/>
        </w:rPr>
        <w:t xml:space="preserve"> u</w:t>
      </w:r>
      <w:r w:rsidR="009B6E78">
        <w:rPr>
          <w:rFonts w:ascii="Arial" w:hAnsi="Arial" w:cs="Arial"/>
          <w:sz w:val="22"/>
          <w:szCs w:val="22"/>
        </w:rPr>
        <w:t xml:space="preserve">sing </w:t>
      </w:r>
      <w:r w:rsidR="004C4926">
        <w:rPr>
          <w:rFonts w:ascii="Arial" w:hAnsi="Arial" w:cs="Arial"/>
          <w:sz w:val="22"/>
          <w:szCs w:val="22"/>
        </w:rPr>
        <w:t>an interpreter or translat</w:t>
      </w:r>
      <w:r w:rsidR="00F768EC">
        <w:rPr>
          <w:rFonts w:ascii="Arial" w:hAnsi="Arial" w:cs="Arial"/>
          <w:sz w:val="22"/>
          <w:szCs w:val="22"/>
        </w:rPr>
        <w:t>ion supports accurate decoding</w:t>
      </w:r>
    </w:p>
    <w:p w14:paraId="51CD246D" w14:textId="77777777" w:rsidR="00F768EC" w:rsidRDefault="00F768EC" w:rsidP="00DE09EA">
      <w:pPr>
        <w:pStyle w:val="NoSpacing"/>
        <w:spacing w:line="360" w:lineRule="auto"/>
        <w:jc w:val="both"/>
        <w:rPr>
          <w:rFonts w:ascii="Arial" w:hAnsi="Arial" w:cs="Arial"/>
          <w:sz w:val="22"/>
          <w:szCs w:val="22"/>
        </w:rPr>
      </w:pPr>
    </w:p>
    <w:p w14:paraId="3963E203" w14:textId="55FC2E5E" w:rsidR="00B368C8" w:rsidRPr="00A67996" w:rsidRDefault="00B368C8" w:rsidP="00DE09EA">
      <w:pPr>
        <w:pStyle w:val="NoSpacing"/>
        <w:spacing w:line="360" w:lineRule="auto"/>
        <w:jc w:val="both"/>
        <w:rPr>
          <w:rFonts w:ascii="Arial" w:hAnsi="Arial" w:cs="Arial"/>
          <w:b/>
          <w:bCs/>
          <w:sz w:val="22"/>
          <w:szCs w:val="22"/>
        </w:rPr>
      </w:pPr>
      <w:r w:rsidRPr="00A67996">
        <w:rPr>
          <w:rFonts w:ascii="Arial" w:hAnsi="Arial" w:cs="Arial"/>
          <w:b/>
          <w:bCs/>
          <w:sz w:val="22"/>
          <w:szCs w:val="22"/>
        </w:rPr>
        <w:t>6.Receiver(Mr Ahmed)</w:t>
      </w:r>
    </w:p>
    <w:p w14:paraId="2F300429" w14:textId="27AE840F" w:rsidR="003B4AD5" w:rsidRDefault="00346F8D" w:rsidP="00DE09EA">
      <w:pPr>
        <w:pStyle w:val="NoSpacing"/>
        <w:spacing w:line="360" w:lineRule="auto"/>
        <w:jc w:val="both"/>
        <w:rPr>
          <w:rFonts w:ascii="Arial" w:hAnsi="Arial" w:cs="Arial"/>
          <w:sz w:val="22"/>
          <w:szCs w:val="22"/>
        </w:rPr>
      </w:pPr>
      <w:r>
        <w:rPr>
          <w:rFonts w:ascii="Arial" w:hAnsi="Arial" w:cs="Arial"/>
          <w:sz w:val="22"/>
          <w:szCs w:val="22"/>
        </w:rPr>
        <w:t xml:space="preserve">He is the receiver of the </w:t>
      </w:r>
      <w:r w:rsidR="003D7141">
        <w:rPr>
          <w:rFonts w:ascii="Arial" w:hAnsi="Arial" w:cs="Arial"/>
          <w:sz w:val="22"/>
          <w:szCs w:val="22"/>
        </w:rPr>
        <w:t xml:space="preserve">message .Ensuring that he understands gives </w:t>
      </w:r>
      <w:r w:rsidR="0075387D">
        <w:rPr>
          <w:rFonts w:ascii="Arial" w:hAnsi="Arial" w:cs="Arial"/>
          <w:sz w:val="22"/>
          <w:szCs w:val="22"/>
        </w:rPr>
        <w:t xml:space="preserve">him equal access to </w:t>
      </w:r>
      <w:r w:rsidR="007664F1">
        <w:rPr>
          <w:rFonts w:ascii="Arial" w:hAnsi="Arial" w:cs="Arial"/>
          <w:sz w:val="22"/>
          <w:szCs w:val="22"/>
        </w:rPr>
        <w:t>information, in line</w:t>
      </w:r>
      <w:r w:rsidR="00BB45A9">
        <w:rPr>
          <w:rFonts w:ascii="Arial" w:hAnsi="Arial" w:cs="Arial"/>
          <w:sz w:val="22"/>
          <w:szCs w:val="22"/>
        </w:rPr>
        <w:t xml:space="preserve"> with good practice and the equality act</w:t>
      </w:r>
    </w:p>
    <w:p w14:paraId="235A1FE4" w14:textId="77777777" w:rsidR="00BB45A9" w:rsidRDefault="00BB45A9" w:rsidP="00DE09EA">
      <w:pPr>
        <w:pStyle w:val="NoSpacing"/>
        <w:spacing w:line="360" w:lineRule="auto"/>
        <w:jc w:val="both"/>
        <w:rPr>
          <w:rFonts w:ascii="Arial" w:hAnsi="Arial" w:cs="Arial"/>
          <w:sz w:val="22"/>
          <w:szCs w:val="22"/>
        </w:rPr>
      </w:pPr>
    </w:p>
    <w:p w14:paraId="4149D8A6" w14:textId="1E31038E" w:rsidR="00F608BC" w:rsidRPr="00A67996" w:rsidRDefault="00F608BC" w:rsidP="00DE09EA">
      <w:pPr>
        <w:pStyle w:val="NoSpacing"/>
        <w:spacing w:line="360" w:lineRule="auto"/>
        <w:jc w:val="both"/>
        <w:rPr>
          <w:rFonts w:ascii="Arial" w:hAnsi="Arial" w:cs="Arial"/>
          <w:b/>
          <w:bCs/>
          <w:sz w:val="22"/>
          <w:szCs w:val="22"/>
        </w:rPr>
      </w:pPr>
      <w:r w:rsidRPr="00A67996">
        <w:rPr>
          <w:rFonts w:ascii="Arial" w:hAnsi="Arial" w:cs="Arial"/>
          <w:b/>
          <w:bCs/>
          <w:sz w:val="22"/>
          <w:szCs w:val="22"/>
        </w:rPr>
        <w:t>7.</w:t>
      </w:r>
      <w:r w:rsidR="00487B86" w:rsidRPr="00A67996">
        <w:rPr>
          <w:rFonts w:ascii="Arial" w:hAnsi="Arial" w:cs="Arial"/>
          <w:b/>
          <w:bCs/>
          <w:sz w:val="22"/>
          <w:szCs w:val="22"/>
        </w:rPr>
        <w:t xml:space="preserve"> </w:t>
      </w:r>
      <w:r w:rsidRPr="00A67996">
        <w:rPr>
          <w:rFonts w:ascii="Arial" w:hAnsi="Arial" w:cs="Arial"/>
          <w:b/>
          <w:bCs/>
          <w:sz w:val="22"/>
          <w:szCs w:val="22"/>
        </w:rPr>
        <w:t xml:space="preserve">Feedback(His </w:t>
      </w:r>
      <w:r w:rsidR="004A1CCD" w:rsidRPr="00A67996">
        <w:rPr>
          <w:rFonts w:ascii="Arial" w:hAnsi="Arial" w:cs="Arial"/>
          <w:b/>
          <w:bCs/>
          <w:sz w:val="22"/>
          <w:szCs w:val="22"/>
        </w:rPr>
        <w:t>response back to professional</w:t>
      </w:r>
      <w:r w:rsidR="00705DA4" w:rsidRPr="00A67996">
        <w:rPr>
          <w:rFonts w:ascii="Arial" w:hAnsi="Arial" w:cs="Arial"/>
          <w:b/>
          <w:bCs/>
          <w:sz w:val="22"/>
          <w:szCs w:val="22"/>
        </w:rPr>
        <w:t>)</w:t>
      </w:r>
    </w:p>
    <w:p w14:paraId="31346A28" w14:textId="77777777" w:rsidR="00705DA4" w:rsidRDefault="00705DA4" w:rsidP="00DE09EA">
      <w:pPr>
        <w:pStyle w:val="NoSpacing"/>
        <w:spacing w:line="360" w:lineRule="auto"/>
        <w:jc w:val="both"/>
        <w:rPr>
          <w:rFonts w:ascii="Arial" w:hAnsi="Arial" w:cs="Arial"/>
          <w:sz w:val="22"/>
          <w:szCs w:val="22"/>
        </w:rPr>
      </w:pPr>
    </w:p>
    <w:p w14:paraId="27DBD06F" w14:textId="0B6F3B5B" w:rsidR="00971DA6" w:rsidRDefault="00705DA4" w:rsidP="00DE09EA">
      <w:pPr>
        <w:pStyle w:val="NoSpacing"/>
        <w:spacing w:line="360" w:lineRule="auto"/>
        <w:jc w:val="both"/>
        <w:rPr>
          <w:rFonts w:ascii="Arial" w:hAnsi="Arial" w:cs="Arial"/>
          <w:sz w:val="22"/>
          <w:szCs w:val="22"/>
        </w:rPr>
      </w:pPr>
      <w:r>
        <w:rPr>
          <w:rFonts w:ascii="Arial" w:hAnsi="Arial" w:cs="Arial"/>
          <w:sz w:val="22"/>
          <w:szCs w:val="22"/>
        </w:rPr>
        <w:t xml:space="preserve">Asking him to </w:t>
      </w:r>
      <w:r w:rsidR="009759D1">
        <w:rPr>
          <w:rFonts w:ascii="Arial" w:hAnsi="Arial" w:cs="Arial"/>
          <w:sz w:val="22"/>
          <w:szCs w:val="22"/>
        </w:rPr>
        <w:t xml:space="preserve">repeat information in his </w:t>
      </w:r>
      <w:r w:rsidR="00971DA6">
        <w:rPr>
          <w:rFonts w:ascii="Arial" w:hAnsi="Arial" w:cs="Arial"/>
          <w:sz w:val="22"/>
          <w:szCs w:val="22"/>
        </w:rPr>
        <w:t>own words</w:t>
      </w:r>
    </w:p>
    <w:p w14:paraId="7C5A936B" w14:textId="5B4CBB97" w:rsidR="00971DA6" w:rsidRDefault="00971DA6" w:rsidP="00DE09EA">
      <w:pPr>
        <w:pStyle w:val="NoSpacing"/>
        <w:spacing w:line="360" w:lineRule="auto"/>
        <w:jc w:val="both"/>
        <w:rPr>
          <w:rFonts w:ascii="Arial" w:hAnsi="Arial" w:cs="Arial"/>
          <w:sz w:val="22"/>
          <w:szCs w:val="22"/>
        </w:rPr>
      </w:pPr>
      <w:r>
        <w:rPr>
          <w:rFonts w:ascii="Arial" w:hAnsi="Arial" w:cs="Arial"/>
          <w:sz w:val="22"/>
          <w:szCs w:val="22"/>
        </w:rPr>
        <w:t>Watching</w:t>
      </w:r>
      <w:r w:rsidR="004256EC">
        <w:rPr>
          <w:rFonts w:ascii="Arial" w:hAnsi="Arial" w:cs="Arial"/>
          <w:sz w:val="22"/>
          <w:szCs w:val="22"/>
        </w:rPr>
        <w:t xml:space="preserve"> him non-verbal cues</w:t>
      </w:r>
    </w:p>
    <w:p w14:paraId="7B425CFA" w14:textId="2D4EC9E3" w:rsidR="004256EC" w:rsidRDefault="004256EC" w:rsidP="00DE09EA">
      <w:pPr>
        <w:pStyle w:val="NoSpacing"/>
        <w:spacing w:line="360" w:lineRule="auto"/>
        <w:jc w:val="both"/>
        <w:rPr>
          <w:rFonts w:ascii="Arial" w:hAnsi="Arial" w:cs="Arial"/>
          <w:sz w:val="22"/>
          <w:szCs w:val="22"/>
        </w:rPr>
      </w:pPr>
      <w:r>
        <w:rPr>
          <w:rFonts w:ascii="Arial" w:hAnsi="Arial" w:cs="Arial"/>
          <w:sz w:val="22"/>
          <w:szCs w:val="22"/>
        </w:rPr>
        <w:t>Confirm</w:t>
      </w:r>
      <w:r w:rsidR="00CF51BD">
        <w:rPr>
          <w:rFonts w:ascii="Arial" w:hAnsi="Arial" w:cs="Arial"/>
          <w:sz w:val="22"/>
          <w:szCs w:val="22"/>
        </w:rPr>
        <w:t>ing with the interpreter</w:t>
      </w:r>
    </w:p>
    <w:p w14:paraId="01CF8ED4" w14:textId="77777777" w:rsidR="00D87B0E" w:rsidRDefault="00D87B0E" w:rsidP="00D87B0E">
      <w:pPr>
        <w:pStyle w:val="NoSpacing"/>
        <w:spacing w:line="360" w:lineRule="auto"/>
        <w:jc w:val="both"/>
        <w:rPr>
          <w:rFonts w:ascii="Arial" w:hAnsi="Arial" w:cs="Arial"/>
          <w:sz w:val="22"/>
          <w:szCs w:val="22"/>
        </w:rPr>
      </w:pPr>
    </w:p>
    <w:p w14:paraId="1648DC09" w14:textId="77777777" w:rsidR="00BD4CB6" w:rsidRDefault="00BD4CB6" w:rsidP="00266020">
      <w:pPr>
        <w:pStyle w:val="NoSpacing"/>
        <w:spacing w:line="360" w:lineRule="auto"/>
        <w:jc w:val="both"/>
        <w:rPr>
          <w:rFonts w:ascii="Arial" w:hAnsi="Arial" w:cs="Arial"/>
          <w:sz w:val="22"/>
          <w:szCs w:val="22"/>
        </w:rPr>
      </w:pPr>
    </w:p>
    <w:p w14:paraId="6B285AD1" w14:textId="07E6591F" w:rsidR="00E271D8"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 xml:space="preserve">Several communication models can support professionals involved in Mr Ahmed’s care. The SBAR (Situation, Background, Assessment, Recommendation) model provides a structured framework for communication between professionals such as GPs, district nurses, and family members, helping to reduce misunderstandings and improve patient safety (Müller et al., 2018). The “situation” identifies the immediate issue, such as missed medication due to a </w:t>
      </w:r>
      <w:r w:rsidRPr="00266020">
        <w:rPr>
          <w:rFonts w:ascii="Arial" w:hAnsi="Arial" w:cs="Arial"/>
          <w:sz w:val="22"/>
          <w:szCs w:val="22"/>
        </w:rPr>
        <w:lastRenderedPageBreak/>
        <w:t>delayed home visit. The “background” outlines relevant contextual factors, including language barriers, speech difficulties, and stroke history. This ensures that professionals unfamiliar with Mr Ahmed’s care history have appropriate information. The “assessment” stage allows professionals to provide clinical judgement and justify recommendations to address identified concerns (Müller et al., 2018).</w:t>
      </w:r>
    </w:p>
    <w:p w14:paraId="2AC01FBC" w14:textId="77777777" w:rsidR="002335AE" w:rsidRDefault="002335AE" w:rsidP="00266020">
      <w:pPr>
        <w:pStyle w:val="NoSpacing"/>
        <w:spacing w:line="360" w:lineRule="auto"/>
        <w:jc w:val="both"/>
        <w:rPr>
          <w:rFonts w:ascii="Arial" w:hAnsi="Arial" w:cs="Arial"/>
          <w:sz w:val="22"/>
          <w:szCs w:val="22"/>
        </w:rPr>
      </w:pPr>
    </w:p>
    <w:p w14:paraId="15655A3F" w14:textId="77777777" w:rsidR="002335AE" w:rsidRPr="00266020" w:rsidRDefault="002335AE" w:rsidP="00266020">
      <w:pPr>
        <w:pStyle w:val="NoSpacing"/>
        <w:spacing w:line="360" w:lineRule="auto"/>
        <w:jc w:val="both"/>
        <w:rPr>
          <w:rFonts w:ascii="Arial" w:hAnsi="Arial" w:cs="Arial"/>
          <w:sz w:val="22"/>
          <w:szCs w:val="22"/>
        </w:rPr>
      </w:pPr>
    </w:p>
    <w:p w14:paraId="7312E6FC" w14:textId="3FAE2B88" w:rsidR="001B08AA" w:rsidRPr="00FB26C5" w:rsidRDefault="00E271D8" w:rsidP="00266020">
      <w:pPr>
        <w:pStyle w:val="NoSpacing"/>
        <w:spacing w:line="360" w:lineRule="auto"/>
        <w:jc w:val="both"/>
        <w:rPr>
          <w:rFonts w:ascii="Arial" w:eastAsiaTheme="majorEastAsia" w:hAnsi="Arial" w:cs="Arial"/>
          <w:b/>
          <w:bCs/>
          <w:sz w:val="22"/>
          <w:szCs w:val="22"/>
        </w:rPr>
      </w:pPr>
      <w:r w:rsidRPr="00266020">
        <w:rPr>
          <w:rFonts w:ascii="Arial" w:eastAsiaTheme="majorEastAsia" w:hAnsi="Arial" w:cs="Arial"/>
          <w:b/>
          <w:bCs/>
          <w:sz w:val="22"/>
          <w:szCs w:val="22"/>
        </w:rPr>
        <w:t>The Importance of Good Administrative Skills within Professional Practice</w:t>
      </w:r>
      <w:r w:rsidR="001B08AA" w:rsidRPr="00266020">
        <w:rPr>
          <w:rFonts w:ascii="Arial" w:eastAsiaTheme="majorEastAsia" w:hAnsi="Arial" w:cs="Arial"/>
          <w:b/>
          <w:bCs/>
          <w:sz w:val="22"/>
          <w:szCs w:val="22"/>
        </w:rPr>
        <w:t>.</w:t>
      </w:r>
    </w:p>
    <w:p w14:paraId="751E4A7F"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Good administrative skills are essential in meeting Mr Ahmed’s complex care needs, particularly given his recovery from stroke, his Bengali language preference, and the ongoing investigation into a missed home visit.</w:t>
      </w:r>
    </w:p>
    <w:p w14:paraId="261CE64B"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The Nursing and Midwifery Council (NMC, 2018) states that records must be clear, accurate, and timely. In Mr Ahmed’s case, records should document his care needs, language preferences, cultural considerations, medication, physical condition, and the involvement of his wife and other professionals. These details should be clearly recorded in his care plan to ensure continuity of care across the multidisciplinary team and enable informed decision</w:t>
      </w:r>
      <w:r w:rsidRPr="00266020">
        <w:rPr>
          <w:rFonts w:ascii="Arial" w:hAnsi="Arial" w:cs="Arial"/>
          <w:sz w:val="22"/>
          <w:szCs w:val="22"/>
        </w:rPr>
        <w:noBreakHyphen/>
        <w:t>making.</w:t>
      </w:r>
    </w:p>
    <w:p w14:paraId="3DBBA456"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The Data Protection Act (2018) sets out principles relevant to Mr Ahmed’s care. The legislation provides a legal framework for processing personal data, including data relating to racial or ethnic origin. Information about Mr Ahmed’s health is classified as special category data and must be processed lawfully, fairly, and transparently (DPA, 2018). This means that healthcare professionals must have a lawful basis for accessing his information and must explain how it will be used. Confidentiality and consent are particularly important given the need for a translator.</w:t>
      </w:r>
    </w:p>
    <w:p w14:paraId="629C4FF5"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Another principle of the Data Protection Act (2018) is that only relevant information should be shared with professionals involved in care delivery. For example, the care agency should share only information necessary for investigating the missed visit and not unrelated personal data. This approach is reinforced by the Caldicott Principles (2020), which emphasise that personal information should be kept confidential, used appropriately, and not retained for longer than necessary.</w:t>
      </w:r>
    </w:p>
    <w:p w14:paraId="21B4463E"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 xml:space="preserve">The Nursing and Midwifery Council (2018) also emphasises accountability and the duty of candour. In the investigation of the missed appointment, organisations are expected to record missed visits, provide explanations, and identify learning outcomes to promote patient safety and safeguarding. The domiciliary care agency should maintain accurate rotas, visit logs, policies, and training records. In line with the Caldicott Principles, each agency should have access only to information relevant to its role. For example, the GP and district nurse may </w:t>
      </w:r>
      <w:r w:rsidRPr="00266020">
        <w:rPr>
          <w:rFonts w:ascii="Arial" w:hAnsi="Arial" w:cs="Arial"/>
          <w:sz w:val="22"/>
          <w:szCs w:val="22"/>
        </w:rPr>
        <w:lastRenderedPageBreak/>
        <w:t>require information about missed medication, while the speech and language therapist may only need details related to swallowing and communication needs.</w:t>
      </w:r>
    </w:p>
    <w:p w14:paraId="1BF78301"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Administratively, Mr Ahmed’s communication needs and challenges must be clearly documented so that reasonable adjustments can be made when professionals interact with him and his family.</w:t>
      </w:r>
    </w:p>
    <w:p w14:paraId="016985F9"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Good documentation as part of effective administrative practice ensures that all professionals involved in Mr Ahmed’s care are aware of potential risks, required adjustments, and outcomes of patient interactions. This supports appropriate information sharing and enhances the delivery of person</w:t>
      </w:r>
      <w:r w:rsidRPr="00266020">
        <w:rPr>
          <w:rFonts w:ascii="Arial" w:hAnsi="Arial" w:cs="Arial"/>
          <w:sz w:val="22"/>
          <w:szCs w:val="22"/>
        </w:rPr>
        <w:noBreakHyphen/>
        <w:t>centred care.</w:t>
      </w:r>
    </w:p>
    <w:p w14:paraId="4845554F" w14:textId="77777777" w:rsidR="00E271D8" w:rsidRPr="00266020" w:rsidRDefault="00E271D8" w:rsidP="00266020">
      <w:pPr>
        <w:pStyle w:val="NoSpacing"/>
        <w:spacing w:line="360" w:lineRule="auto"/>
        <w:jc w:val="both"/>
        <w:rPr>
          <w:rFonts w:ascii="Arial" w:hAnsi="Arial" w:cs="Arial"/>
          <w:b/>
          <w:bCs/>
          <w:sz w:val="22"/>
          <w:szCs w:val="22"/>
        </w:rPr>
      </w:pPr>
    </w:p>
    <w:p w14:paraId="74A9CC71" w14:textId="22CDFDFE" w:rsidR="00E271D8" w:rsidRPr="00FB26C5" w:rsidRDefault="00E271D8" w:rsidP="00266020">
      <w:pPr>
        <w:pStyle w:val="NoSpacing"/>
        <w:spacing w:line="360" w:lineRule="auto"/>
        <w:jc w:val="both"/>
        <w:rPr>
          <w:rFonts w:ascii="Arial" w:hAnsi="Arial" w:cs="Arial"/>
          <w:b/>
          <w:bCs/>
          <w:sz w:val="22"/>
          <w:szCs w:val="22"/>
        </w:rPr>
      </w:pPr>
      <w:r w:rsidRPr="00266020">
        <w:rPr>
          <w:rFonts w:ascii="Arial" w:eastAsiaTheme="majorEastAsia" w:hAnsi="Arial" w:cs="Arial"/>
          <w:b/>
          <w:bCs/>
          <w:sz w:val="22"/>
          <w:szCs w:val="22"/>
        </w:rPr>
        <w:t>The Importance of Working Collaboratively with Other Agencies in Mr Ahmed’s Care</w:t>
      </w:r>
    </w:p>
    <w:p w14:paraId="3114F97F"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To meet Mr Ahmed’s complex health and social care needs following his stroke, professionals must work collaboratively. A coordinated approach involving the GP, district nurse, speech and language therapist, and domiciliary care providers is essential. The current investigation into the missed visit and medication administration highlights a breakdown in communication within collaborative care delivery.</w:t>
      </w:r>
    </w:p>
    <w:p w14:paraId="0CB44D17" w14:textId="77777777" w:rsidR="00E271D8" w:rsidRPr="00266020" w:rsidRDefault="00E271D8" w:rsidP="00266020">
      <w:pPr>
        <w:pStyle w:val="NoSpacing"/>
        <w:spacing w:line="360" w:lineRule="auto"/>
        <w:jc w:val="both"/>
        <w:rPr>
          <w:rFonts w:ascii="Arial" w:hAnsi="Arial" w:cs="Arial"/>
          <w:sz w:val="22"/>
          <w:szCs w:val="22"/>
        </w:rPr>
      </w:pPr>
    </w:p>
    <w:p w14:paraId="7BFE178F"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A multidisciplinary team (MDT) refers to collaboration between professionals from different disciplines to meet patient care needs (Taberna et al., 2020). The key function of an MDT is to ensure continuity of care, reduce risks, and deliver person</w:t>
      </w:r>
      <w:r w:rsidRPr="00266020">
        <w:rPr>
          <w:rFonts w:ascii="Arial" w:hAnsi="Arial" w:cs="Arial"/>
          <w:sz w:val="22"/>
          <w:szCs w:val="22"/>
        </w:rPr>
        <w:noBreakHyphen/>
        <w:t>centred care that promotes patient safety (NMC, 2018). In Mr Ahmed’s case, each professional has a specific role, but these roles are interdependent and must work cohesively (Taberna et al., 2020).</w:t>
      </w:r>
    </w:p>
    <w:p w14:paraId="5DDACF98" w14:textId="77777777" w:rsidR="00E271D8" w:rsidRPr="00266020" w:rsidRDefault="00E271D8" w:rsidP="00266020">
      <w:pPr>
        <w:pStyle w:val="NoSpacing"/>
        <w:spacing w:line="360" w:lineRule="auto"/>
        <w:jc w:val="both"/>
        <w:rPr>
          <w:rFonts w:ascii="Arial" w:hAnsi="Arial" w:cs="Arial"/>
          <w:sz w:val="22"/>
          <w:szCs w:val="22"/>
        </w:rPr>
      </w:pPr>
    </w:p>
    <w:p w14:paraId="2E5AE3CB"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Although MDT working can improve efficiency and coordination, it may also present challenges. Common barriers include organisational silos and communication breakdowns between agencies. Organisational silos occur when departments or professionals fail to share information, leading to duplication of work, delayed decision</w:t>
      </w:r>
      <w:r w:rsidRPr="00266020">
        <w:rPr>
          <w:rFonts w:ascii="Arial" w:hAnsi="Arial" w:cs="Arial"/>
          <w:sz w:val="22"/>
          <w:szCs w:val="22"/>
        </w:rPr>
        <w:noBreakHyphen/>
        <w:t>making, and gaps in care delivery (Pedersen et al., 2024). For Mr Ahmed, this could involve the domiciliary care agency failing to inform the GP or district nurse about a missed visit. Such issues may be exacerbated when professionals work independently or lack cultural competence when caring for individuals from ethnic minority backgrounds (Joshi, 2020).</w:t>
      </w:r>
    </w:p>
    <w:p w14:paraId="6FE1B9F6" w14:textId="77777777" w:rsidR="00E271D8" w:rsidRPr="00266020" w:rsidRDefault="00E271D8" w:rsidP="00266020">
      <w:pPr>
        <w:pStyle w:val="NoSpacing"/>
        <w:spacing w:line="360" w:lineRule="auto"/>
        <w:jc w:val="both"/>
        <w:rPr>
          <w:rFonts w:ascii="Arial" w:hAnsi="Arial" w:cs="Arial"/>
          <w:sz w:val="22"/>
          <w:szCs w:val="22"/>
        </w:rPr>
      </w:pPr>
    </w:p>
    <w:p w14:paraId="41A7FCB1"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 xml:space="preserve">Several approaches can support collaborative working. Regular meetings and structured information sharing allow care plans to be reviewed and updated to reflect current risks and needs, reducing duplication and improving transparency (Taberna et al., 2020). Standardised communication tools such as SBAR can also promote consistent information exchange. </w:t>
      </w:r>
      <w:r w:rsidRPr="00266020">
        <w:rPr>
          <w:rFonts w:ascii="Arial" w:hAnsi="Arial" w:cs="Arial"/>
          <w:sz w:val="22"/>
          <w:szCs w:val="22"/>
        </w:rPr>
        <w:lastRenderedPageBreak/>
        <w:t>Additionally, online platforms such as Microsoft Teams can facilitate timely and transparent communication between professionals.</w:t>
      </w:r>
    </w:p>
    <w:p w14:paraId="6495E28C" w14:textId="77777777" w:rsidR="00E271D8" w:rsidRPr="00266020" w:rsidRDefault="00E271D8" w:rsidP="00266020">
      <w:pPr>
        <w:pStyle w:val="NoSpacing"/>
        <w:spacing w:line="360" w:lineRule="auto"/>
        <w:jc w:val="both"/>
        <w:rPr>
          <w:rFonts w:ascii="Arial" w:hAnsi="Arial" w:cs="Arial"/>
          <w:sz w:val="22"/>
          <w:szCs w:val="22"/>
        </w:rPr>
      </w:pPr>
    </w:p>
    <w:p w14:paraId="6521034D"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The NMC (2018) states that registered nurses should work collaboratively with others, including families. In Mr Ahmed’s case, this involves considering the views of both Mr Ahmed and his wife, sharing information in an accessible manner, and supporting their involvement in decision</w:t>
      </w:r>
      <w:r w:rsidRPr="00266020">
        <w:rPr>
          <w:rFonts w:ascii="Arial" w:hAnsi="Arial" w:cs="Arial"/>
          <w:sz w:val="22"/>
          <w:szCs w:val="22"/>
        </w:rPr>
        <w:noBreakHyphen/>
        <w:t>making.</w:t>
      </w:r>
    </w:p>
    <w:p w14:paraId="3E889723"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Finally, ensuring that information sharing complies with data protection principles can reduce professionals’ concerns about breaching legislation. Joint training sessions can also help professionals better understand each other’s roles, improving collaboration and care quality (NMC, 2018; Taberna et al., 2020).</w:t>
      </w:r>
    </w:p>
    <w:p w14:paraId="40B9BCAC" w14:textId="77777777" w:rsidR="00266020" w:rsidRPr="00266020" w:rsidRDefault="00266020" w:rsidP="00266020">
      <w:pPr>
        <w:pStyle w:val="NoSpacing"/>
        <w:spacing w:line="360" w:lineRule="auto"/>
        <w:jc w:val="both"/>
        <w:rPr>
          <w:rFonts w:ascii="Arial" w:hAnsi="Arial" w:cs="Arial"/>
          <w:sz w:val="22"/>
          <w:szCs w:val="22"/>
        </w:rPr>
      </w:pPr>
    </w:p>
    <w:p w14:paraId="191ADE5A" w14:textId="77777777" w:rsidR="00E271D8" w:rsidRPr="00266020" w:rsidRDefault="00E271D8" w:rsidP="00266020">
      <w:pPr>
        <w:pStyle w:val="NoSpacing"/>
        <w:spacing w:line="360" w:lineRule="auto"/>
        <w:jc w:val="both"/>
        <w:rPr>
          <w:rFonts w:ascii="Arial" w:hAnsi="Arial" w:cs="Arial"/>
          <w:b/>
          <w:bCs/>
          <w:sz w:val="22"/>
          <w:szCs w:val="22"/>
        </w:rPr>
      </w:pPr>
    </w:p>
    <w:p w14:paraId="36D0E4DC" w14:textId="77777777" w:rsidR="00E271D8" w:rsidRPr="00FB26C5" w:rsidRDefault="00E271D8" w:rsidP="00266020">
      <w:pPr>
        <w:pStyle w:val="NoSpacing"/>
        <w:spacing w:line="360" w:lineRule="auto"/>
        <w:jc w:val="both"/>
        <w:rPr>
          <w:rFonts w:ascii="Arial" w:hAnsi="Arial" w:cs="Arial"/>
          <w:b/>
          <w:bCs/>
          <w:sz w:val="22"/>
          <w:szCs w:val="22"/>
        </w:rPr>
      </w:pPr>
      <w:r w:rsidRPr="00FB26C5">
        <w:rPr>
          <w:rFonts w:ascii="Arial" w:eastAsiaTheme="majorEastAsia" w:hAnsi="Arial" w:cs="Arial"/>
          <w:b/>
          <w:bCs/>
          <w:sz w:val="22"/>
          <w:szCs w:val="22"/>
        </w:rPr>
        <w:t>Conclusion</w:t>
      </w:r>
    </w:p>
    <w:p w14:paraId="06E88E50"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This case study highlights that delivering care to a patient such as Mr Ahmed, who has complex needs, requires effective communication, good administrative practice, and collaborative teamwork. Mr Ahmed’s situation demonstrates that language barriers and recovery from physical health conditions require reasonable adjustments in accordance with the Equality Act 2010 and the Data Protection Act 2018. The report also shows that good record</w:t>
      </w:r>
      <w:r w:rsidRPr="00266020">
        <w:rPr>
          <w:rFonts w:ascii="Arial" w:hAnsi="Arial" w:cs="Arial"/>
          <w:sz w:val="22"/>
          <w:szCs w:val="22"/>
        </w:rPr>
        <w:noBreakHyphen/>
        <w:t>keeping is essential to ensure continuity of care, accountability, and compliance with professional and legislative frameworks. Furthermore, while collaborative working is beneficial, issues relating to professional boundaries can result in miscommunication and poor care delivery if not managed effectively. The findings indicate that clear communication, appropriate information sharing, and training around cultural awareness and the roles of different professionals can support the delivery of safe, effective, and person</w:t>
      </w:r>
      <w:r w:rsidRPr="00266020">
        <w:rPr>
          <w:rFonts w:ascii="Arial" w:hAnsi="Arial" w:cs="Arial"/>
          <w:sz w:val="22"/>
          <w:szCs w:val="22"/>
        </w:rPr>
        <w:noBreakHyphen/>
        <w:t>centred care for individuals such as Mr Ahmed.</w:t>
      </w:r>
    </w:p>
    <w:p w14:paraId="22A843FE" w14:textId="77777777" w:rsidR="00E271D8" w:rsidRPr="00266020" w:rsidRDefault="00E271D8" w:rsidP="00266020">
      <w:pPr>
        <w:pStyle w:val="NoSpacing"/>
        <w:spacing w:line="360" w:lineRule="auto"/>
        <w:jc w:val="both"/>
        <w:rPr>
          <w:rFonts w:ascii="Arial" w:hAnsi="Arial" w:cs="Arial"/>
          <w:sz w:val="22"/>
          <w:szCs w:val="22"/>
        </w:rPr>
      </w:pPr>
    </w:p>
    <w:p w14:paraId="569443EC" w14:textId="77777777" w:rsidR="00266020" w:rsidRPr="00266020" w:rsidRDefault="00266020" w:rsidP="00266020">
      <w:pPr>
        <w:pStyle w:val="NoSpacing"/>
        <w:spacing w:line="360" w:lineRule="auto"/>
        <w:jc w:val="both"/>
        <w:rPr>
          <w:rFonts w:ascii="Arial" w:hAnsi="Arial" w:cs="Arial"/>
          <w:sz w:val="22"/>
          <w:szCs w:val="22"/>
        </w:rPr>
      </w:pPr>
    </w:p>
    <w:p w14:paraId="115CE751" w14:textId="77777777" w:rsidR="00266020" w:rsidRPr="00266020" w:rsidRDefault="00266020" w:rsidP="00266020">
      <w:pPr>
        <w:pStyle w:val="NoSpacing"/>
        <w:spacing w:line="360" w:lineRule="auto"/>
        <w:jc w:val="both"/>
        <w:rPr>
          <w:rFonts w:ascii="Arial" w:hAnsi="Arial" w:cs="Arial"/>
          <w:sz w:val="22"/>
          <w:szCs w:val="22"/>
        </w:rPr>
      </w:pPr>
    </w:p>
    <w:p w14:paraId="3794A8A3" w14:textId="77777777" w:rsidR="00266020" w:rsidRPr="00266020" w:rsidRDefault="00266020" w:rsidP="00266020">
      <w:pPr>
        <w:pStyle w:val="NoSpacing"/>
        <w:spacing w:line="360" w:lineRule="auto"/>
        <w:jc w:val="both"/>
        <w:rPr>
          <w:rFonts w:ascii="Arial" w:hAnsi="Arial" w:cs="Arial"/>
          <w:sz w:val="22"/>
          <w:szCs w:val="22"/>
        </w:rPr>
      </w:pPr>
    </w:p>
    <w:p w14:paraId="3C9B957B" w14:textId="77777777" w:rsidR="00266020" w:rsidRPr="00266020" w:rsidRDefault="00266020" w:rsidP="00266020">
      <w:pPr>
        <w:pStyle w:val="NoSpacing"/>
        <w:spacing w:line="360" w:lineRule="auto"/>
        <w:jc w:val="both"/>
        <w:rPr>
          <w:rFonts w:ascii="Arial" w:hAnsi="Arial" w:cs="Arial"/>
          <w:sz w:val="22"/>
          <w:szCs w:val="22"/>
        </w:rPr>
      </w:pPr>
    </w:p>
    <w:p w14:paraId="38FDC3DA" w14:textId="77777777" w:rsidR="00266020" w:rsidRPr="00266020" w:rsidRDefault="00266020" w:rsidP="00266020">
      <w:pPr>
        <w:pStyle w:val="NoSpacing"/>
        <w:spacing w:line="360" w:lineRule="auto"/>
        <w:jc w:val="both"/>
        <w:rPr>
          <w:rFonts w:ascii="Arial" w:hAnsi="Arial" w:cs="Arial"/>
          <w:sz w:val="22"/>
          <w:szCs w:val="22"/>
        </w:rPr>
      </w:pPr>
    </w:p>
    <w:p w14:paraId="502626FA" w14:textId="77777777" w:rsidR="00266020" w:rsidRPr="00266020" w:rsidRDefault="00266020" w:rsidP="00266020">
      <w:pPr>
        <w:pStyle w:val="NoSpacing"/>
        <w:spacing w:line="360" w:lineRule="auto"/>
        <w:jc w:val="both"/>
        <w:rPr>
          <w:rFonts w:ascii="Arial" w:hAnsi="Arial" w:cs="Arial"/>
          <w:sz w:val="22"/>
          <w:szCs w:val="22"/>
        </w:rPr>
      </w:pPr>
    </w:p>
    <w:p w14:paraId="681AF65F" w14:textId="77777777" w:rsidR="00266020" w:rsidRPr="00266020" w:rsidRDefault="00266020" w:rsidP="00266020">
      <w:pPr>
        <w:pStyle w:val="NoSpacing"/>
        <w:spacing w:line="360" w:lineRule="auto"/>
        <w:jc w:val="both"/>
        <w:rPr>
          <w:rFonts w:ascii="Arial" w:hAnsi="Arial" w:cs="Arial"/>
          <w:sz w:val="22"/>
          <w:szCs w:val="22"/>
        </w:rPr>
      </w:pPr>
    </w:p>
    <w:p w14:paraId="2C98FD58" w14:textId="77777777" w:rsidR="00266020" w:rsidRPr="00266020" w:rsidRDefault="00266020" w:rsidP="00266020">
      <w:pPr>
        <w:pStyle w:val="NoSpacing"/>
        <w:spacing w:line="360" w:lineRule="auto"/>
        <w:jc w:val="both"/>
        <w:rPr>
          <w:rFonts w:ascii="Arial" w:hAnsi="Arial" w:cs="Arial"/>
          <w:sz w:val="22"/>
          <w:szCs w:val="22"/>
        </w:rPr>
      </w:pPr>
    </w:p>
    <w:p w14:paraId="0A8E447F" w14:textId="77777777" w:rsidR="00266020" w:rsidRPr="00266020" w:rsidRDefault="00266020" w:rsidP="00266020">
      <w:pPr>
        <w:pStyle w:val="NoSpacing"/>
        <w:spacing w:line="360" w:lineRule="auto"/>
        <w:jc w:val="both"/>
        <w:rPr>
          <w:rFonts w:ascii="Arial" w:hAnsi="Arial" w:cs="Arial"/>
          <w:sz w:val="22"/>
          <w:szCs w:val="22"/>
        </w:rPr>
      </w:pPr>
    </w:p>
    <w:p w14:paraId="75A3C0F1" w14:textId="77777777" w:rsidR="00E271D8" w:rsidRPr="00266020" w:rsidRDefault="00E271D8" w:rsidP="00266020">
      <w:pPr>
        <w:pStyle w:val="NoSpacing"/>
        <w:spacing w:line="360" w:lineRule="auto"/>
        <w:jc w:val="both"/>
        <w:rPr>
          <w:rFonts w:ascii="Arial" w:hAnsi="Arial" w:cs="Arial"/>
          <w:sz w:val="22"/>
          <w:szCs w:val="22"/>
        </w:rPr>
      </w:pPr>
    </w:p>
    <w:p w14:paraId="262DC567" w14:textId="77777777" w:rsidR="00E271D8" w:rsidRPr="00266020" w:rsidRDefault="00E271D8" w:rsidP="00266020">
      <w:pPr>
        <w:pStyle w:val="NoSpacing"/>
        <w:spacing w:line="360" w:lineRule="auto"/>
        <w:jc w:val="both"/>
        <w:rPr>
          <w:rFonts w:ascii="Arial" w:hAnsi="Arial" w:cs="Arial"/>
          <w:b/>
          <w:bCs/>
          <w:sz w:val="22"/>
          <w:szCs w:val="22"/>
          <w14:textOutline w14:w="9525" w14:cap="rnd" w14:cmpd="sng" w14:algn="ctr">
            <w14:noFill/>
            <w14:prstDash w14:val="solid"/>
            <w14:bevel/>
          </w14:textOutline>
        </w:rPr>
      </w:pPr>
      <w:r w:rsidRPr="00266020">
        <w:rPr>
          <w:rFonts w:ascii="Arial" w:hAnsi="Arial" w:cs="Arial"/>
          <w:b/>
          <w:bCs/>
          <w:sz w:val="22"/>
          <w:szCs w:val="22"/>
          <w14:textOutline w14:w="9525" w14:cap="rnd" w14:cmpd="sng" w14:algn="ctr">
            <w14:noFill/>
            <w14:prstDash w14:val="solid"/>
            <w14:bevel/>
          </w14:textOutline>
        </w:rPr>
        <w:lastRenderedPageBreak/>
        <w:t xml:space="preserve">Reference list </w:t>
      </w:r>
    </w:p>
    <w:p w14:paraId="652F77AF" w14:textId="77777777" w:rsidR="00E271D8" w:rsidRPr="00266020" w:rsidRDefault="00E271D8" w:rsidP="00266020">
      <w:pPr>
        <w:pStyle w:val="NoSpacing"/>
        <w:spacing w:line="360" w:lineRule="auto"/>
        <w:jc w:val="both"/>
        <w:rPr>
          <w:rFonts w:ascii="Arial" w:hAnsi="Arial" w:cs="Arial"/>
          <w:sz w:val="22"/>
          <w:szCs w:val="22"/>
          <w:shd w:val="clear" w:color="auto" w:fill="FFFFFF"/>
        </w:rPr>
      </w:pPr>
    </w:p>
    <w:p w14:paraId="690F5A40" w14:textId="4C969E34" w:rsidR="00E271D8" w:rsidRPr="00266020" w:rsidRDefault="00E271D8" w:rsidP="00266020">
      <w:pPr>
        <w:spacing w:line="360" w:lineRule="auto"/>
        <w:jc w:val="both"/>
        <w:rPr>
          <w:rFonts w:ascii="Arial" w:hAnsi="Arial" w:cs="Arial"/>
          <w:sz w:val="22"/>
          <w:szCs w:val="22"/>
          <w14:textOutline w14:w="9525" w14:cap="rnd" w14:cmpd="sng" w14:algn="ctr">
            <w14:noFill/>
            <w14:prstDash w14:val="solid"/>
            <w14:bevel/>
          </w14:textOutline>
        </w:rPr>
      </w:pPr>
      <w:r w:rsidRPr="00266020">
        <w:rPr>
          <w:rFonts w:ascii="Arial" w:hAnsi="Arial" w:cs="Arial"/>
          <w:sz w:val="22"/>
          <w:szCs w:val="22"/>
          <w14:textOutline w14:w="9525" w14:cap="rnd" w14:cmpd="sng" w14:algn="ctr">
            <w14:noFill/>
            <w14:prstDash w14:val="solid"/>
            <w14:bevel/>
          </w14:textOutline>
        </w:rPr>
        <w:t xml:space="preserve">Caldicot Principles(2020) Available at : </w:t>
      </w:r>
      <w:hyperlink r:id="rId11" w:history="1">
        <w:r w:rsidRPr="00266020">
          <w:rPr>
            <w:rStyle w:val="Hyperlink"/>
            <w:rFonts w:ascii="Arial" w:eastAsiaTheme="majorEastAsia" w:hAnsi="Arial" w:cs="Arial"/>
            <w:sz w:val="22"/>
            <w:szCs w:val="22"/>
            <w14:textOutline w14:w="9525" w14:cap="rnd" w14:cmpd="sng" w14:algn="ctr">
              <w14:noFill/>
              <w14:prstDash w14:val="solid"/>
              <w14:bevel/>
            </w14:textOutline>
          </w:rPr>
          <w:t>https://www.gov.uk/government/publications/the-caldicott-principles(Accessed</w:t>
        </w:r>
      </w:hyperlink>
      <w:r w:rsidRPr="00266020">
        <w:rPr>
          <w:rFonts w:ascii="Arial" w:hAnsi="Arial" w:cs="Arial"/>
          <w:sz w:val="22"/>
          <w:szCs w:val="22"/>
          <w14:textOutline w14:w="9525" w14:cap="rnd" w14:cmpd="sng" w14:algn="ctr">
            <w14:noFill/>
            <w14:prstDash w14:val="solid"/>
            <w14:bevel/>
          </w14:textOutline>
        </w:rPr>
        <w:t xml:space="preserve"> on 28 February 2026).</w:t>
      </w:r>
    </w:p>
    <w:p w14:paraId="0D0635C0" w14:textId="77777777" w:rsidR="00E271D8" w:rsidRPr="00266020" w:rsidRDefault="00E271D8" w:rsidP="00266020">
      <w:pPr>
        <w:spacing w:line="360" w:lineRule="auto"/>
        <w:jc w:val="both"/>
        <w:rPr>
          <w:rFonts w:ascii="Arial" w:hAnsi="Arial" w:cs="Arial"/>
          <w:sz w:val="22"/>
          <w:szCs w:val="22"/>
          <w14:textOutline w14:w="9525" w14:cap="rnd" w14:cmpd="sng" w14:algn="ctr">
            <w14:noFill/>
            <w14:prstDash w14:val="solid"/>
            <w14:bevel/>
          </w14:textOutline>
        </w:rPr>
      </w:pPr>
    </w:p>
    <w:p w14:paraId="4248BAD3"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 xml:space="preserve"> Equality Act (2010) Available at: </w:t>
      </w:r>
      <w:hyperlink r:id="rId12" w:history="1">
        <w:r w:rsidRPr="00266020">
          <w:rPr>
            <w:rStyle w:val="Hyperlink"/>
            <w:rFonts w:ascii="Arial" w:eastAsiaTheme="majorEastAsia" w:hAnsi="Arial" w:cs="Arial"/>
            <w:sz w:val="22"/>
            <w:szCs w:val="22"/>
          </w:rPr>
          <w:t>https://www.legislation.gov.uk/ukpga/2010/15/contents</w:t>
        </w:r>
      </w:hyperlink>
      <w:r w:rsidRPr="00266020">
        <w:rPr>
          <w:rFonts w:ascii="Arial" w:hAnsi="Arial" w:cs="Arial"/>
          <w:sz w:val="22"/>
          <w:szCs w:val="22"/>
        </w:rPr>
        <w:t xml:space="preserve">( Accessed on 1 March 2026). </w:t>
      </w:r>
    </w:p>
    <w:p w14:paraId="7B3413B4" w14:textId="77777777" w:rsidR="00E271D8" w:rsidRPr="00266020" w:rsidRDefault="00E271D8" w:rsidP="00266020">
      <w:pPr>
        <w:pStyle w:val="NoSpacing"/>
        <w:spacing w:line="360" w:lineRule="auto"/>
        <w:jc w:val="both"/>
        <w:rPr>
          <w:rFonts w:ascii="Arial" w:hAnsi="Arial" w:cs="Arial"/>
          <w:sz w:val="22"/>
          <w:szCs w:val="22"/>
        </w:rPr>
      </w:pPr>
    </w:p>
    <w:p w14:paraId="17E4E58A" w14:textId="77777777" w:rsidR="00E271D8" w:rsidRPr="00266020" w:rsidRDefault="00E271D8" w:rsidP="00266020">
      <w:pPr>
        <w:pStyle w:val="NoSpacing"/>
        <w:spacing w:line="360" w:lineRule="auto"/>
        <w:jc w:val="both"/>
        <w:rPr>
          <w:rFonts w:ascii="Arial" w:hAnsi="Arial" w:cs="Arial"/>
          <w:sz w:val="22"/>
          <w:szCs w:val="22"/>
          <w:shd w:val="clear" w:color="auto" w:fill="FFFFFF"/>
        </w:rPr>
      </w:pPr>
      <w:r w:rsidRPr="00266020">
        <w:rPr>
          <w:rFonts w:ascii="Arial" w:hAnsi="Arial" w:cs="Arial"/>
          <w:sz w:val="22"/>
          <w:szCs w:val="22"/>
          <w:shd w:val="clear" w:color="auto" w:fill="FFFFFF"/>
        </w:rPr>
        <w:t>Ghoorun, Mo, and Paul Henderson. "Barriers and challenges of people from ethnic minorities and ethnic groups accessing and using UK mental health services: a critical discussion." </w:t>
      </w:r>
      <w:r w:rsidRPr="00266020">
        <w:rPr>
          <w:rFonts w:ascii="Arial" w:hAnsi="Arial" w:cs="Arial"/>
          <w:i/>
          <w:iCs/>
          <w:sz w:val="22"/>
          <w:szCs w:val="22"/>
          <w:shd w:val="clear" w:color="auto" w:fill="FFFFFF"/>
        </w:rPr>
        <w:t>MENTAL HEALTH</w:t>
      </w:r>
      <w:r w:rsidRPr="00266020">
        <w:rPr>
          <w:rFonts w:ascii="Arial" w:hAnsi="Arial" w:cs="Arial"/>
          <w:sz w:val="22"/>
          <w:szCs w:val="22"/>
          <w:shd w:val="clear" w:color="auto" w:fill="FFFFFF"/>
        </w:rPr>
        <w:t> (2025).</w:t>
      </w:r>
    </w:p>
    <w:p w14:paraId="4346B06E" w14:textId="77777777" w:rsidR="00E271D8" w:rsidRPr="00266020" w:rsidRDefault="00E271D8" w:rsidP="00266020">
      <w:pPr>
        <w:pStyle w:val="NoSpacing"/>
        <w:spacing w:line="360" w:lineRule="auto"/>
        <w:jc w:val="both"/>
        <w:rPr>
          <w:rFonts w:ascii="Arial" w:hAnsi="Arial" w:cs="Arial"/>
          <w:sz w:val="22"/>
          <w:szCs w:val="22"/>
          <w:shd w:val="clear" w:color="auto" w:fill="FFFFFF"/>
        </w:rPr>
      </w:pPr>
    </w:p>
    <w:p w14:paraId="09EB48E0" w14:textId="77777777" w:rsidR="00E271D8" w:rsidRPr="00266020" w:rsidRDefault="00E271D8" w:rsidP="00266020">
      <w:pPr>
        <w:pStyle w:val="NoSpacing"/>
        <w:spacing w:line="360" w:lineRule="auto"/>
        <w:jc w:val="both"/>
        <w:rPr>
          <w:rFonts w:ascii="Arial" w:hAnsi="Arial" w:cs="Arial"/>
          <w:sz w:val="22"/>
          <w:szCs w:val="22"/>
          <w:shd w:val="clear" w:color="auto" w:fill="FFFFFF"/>
        </w:rPr>
      </w:pPr>
      <w:r w:rsidRPr="00266020">
        <w:rPr>
          <w:rFonts w:ascii="Arial" w:hAnsi="Arial" w:cs="Arial"/>
          <w:sz w:val="22"/>
          <w:szCs w:val="22"/>
          <w:shd w:val="clear" w:color="auto" w:fill="FFFFFF"/>
        </w:rPr>
        <w:t>Isik, O. and Birmek, Y., 2025. Silent Struggles: Understanding the Emotional Impact of Language Barriers on Middle Eastern Migrant Women in Inner-City London, UK. </w:t>
      </w:r>
      <w:r w:rsidRPr="00266020">
        <w:rPr>
          <w:rFonts w:ascii="Arial" w:hAnsi="Arial" w:cs="Arial"/>
          <w:i/>
          <w:iCs/>
          <w:sz w:val="22"/>
          <w:szCs w:val="22"/>
          <w:shd w:val="clear" w:color="auto" w:fill="FFFFFF"/>
        </w:rPr>
        <w:t>International Journal of Language, Literature and Culture</w:t>
      </w:r>
      <w:r w:rsidRPr="00266020">
        <w:rPr>
          <w:rFonts w:ascii="Arial" w:hAnsi="Arial" w:cs="Arial"/>
          <w:sz w:val="22"/>
          <w:szCs w:val="22"/>
          <w:shd w:val="clear" w:color="auto" w:fill="FFFFFF"/>
        </w:rPr>
        <w:t>, </w:t>
      </w:r>
      <w:r w:rsidRPr="00266020">
        <w:rPr>
          <w:rFonts w:ascii="Arial" w:hAnsi="Arial" w:cs="Arial"/>
          <w:i/>
          <w:iCs/>
          <w:sz w:val="22"/>
          <w:szCs w:val="22"/>
          <w:shd w:val="clear" w:color="auto" w:fill="FFFFFF"/>
        </w:rPr>
        <w:t>5</w:t>
      </w:r>
      <w:r w:rsidRPr="00266020">
        <w:rPr>
          <w:rFonts w:ascii="Arial" w:hAnsi="Arial" w:cs="Arial"/>
          <w:sz w:val="22"/>
          <w:szCs w:val="22"/>
          <w:shd w:val="clear" w:color="auto" w:fill="FFFFFF"/>
        </w:rPr>
        <w:t>(4), p.619388.</w:t>
      </w:r>
    </w:p>
    <w:p w14:paraId="225775D8" w14:textId="77777777" w:rsidR="00E271D8" w:rsidRPr="00266020" w:rsidRDefault="00E271D8" w:rsidP="00266020">
      <w:pPr>
        <w:pStyle w:val="NoSpacing"/>
        <w:spacing w:line="360" w:lineRule="auto"/>
        <w:jc w:val="both"/>
        <w:rPr>
          <w:rFonts w:ascii="Arial" w:hAnsi="Arial" w:cs="Arial"/>
          <w:sz w:val="22"/>
          <w:szCs w:val="22"/>
          <w:shd w:val="clear" w:color="auto" w:fill="FFFFFF"/>
        </w:rPr>
      </w:pPr>
    </w:p>
    <w:p w14:paraId="1050A95A" w14:textId="77777777" w:rsidR="00E271D8" w:rsidRPr="00266020" w:rsidRDefault="00E271D8" w:rsidP="00266020">
      <w:pPr>
        <w:spacing w:line="360" w:lineRule="auto"/>
        <w:jc w:val="both"/>
        <w:rPr>
          <w:rFonts w:ascii="Arial" w:hAnsi="Arial" w:cs="Arial"/>
          <w:color w:val="222222"/>
          <w:sz w:val="22"/>
          <w:szCs w:val="22"/>
          <w:shd w:val="clear" w:color="auto" w:fill="FFFFFF"/>
        </w:rPr>
      </w:pPr>
      <w:r w:rsidRPr="00266020">
        <w:rPr>
          <w:rFonts w:ascii="Arial" w:hAnsi="Arial" w:cs="Arial"/>
          <w:color w:val="222222"/>
          <w:sz w:val="22"/>
          <w:szCs w:val="22"/>
          <w:shd w:val="clear" w:color="auto" w:fill="FFFFFF"/>
        </w:rPr>
        <w:t>Joshi, M.S., 2020. Adherence in ethnic minorities: the case of South Asians in Britain. In </w:t>
      </w:r>
      <w:r w:rsidRPr="00266020">
        <w:rPr>
          <w:rFonts w:ascii="Arial" w:hAnsi="Arial" w:cs="Arial"/>
          <w:i/>
          <w:iCs/>
          <w:color w:val="222222"/>
          <w:sz w:val="22"/>
          <w:szCs w:val="22"/>
          <w:shd w:val="clear" w:color="auto" w:fill="FFFFFF"/>
        </w:rPr>
        <w:t>Adherence to treatment in medical conditions</w:t>
      </w:r>
      <w:r w:rsidRPr="00266020">
        <w:rPr>
          <w:rFonts w:ascii="Arial" w:hAnsi="Arial" w:cs="Arial"/>
          <w:color w:val="222222"/>
          <w:sz w:val="22"/>
          <w:szCs w:val="22"/>
          <w:shd w:val="clear" w:color="auto" w:fill="FFFFFF"/>
        </w:rPr>
        <w:t> (pp. 255-284). CRC Press.</w:t>
      </w:r>
    </w:p>
    <w:p w14:paraId="017D98EC" w14:textId="77777777" w:rsidR="00E271D8" w:rsidRPr="00266020" w:rsidRDefault="00E271D8" w:rsidP="00266020">
      <w:pPr>
        <w:spacing w:line="360" w:lineRule="auto"/>
        <w:jc w:val="both"/>
        <w:rPr>
          <w:rFonts w:ascii="Arial" w:hAnsi="Arial" w:cs="Arial"/>
          <w:color w:val="222222"/>
          <w:sz w:val="22"/>
          <w:szCs w:val="22"/>
          <w:shd w:val="clear" w:color="auto" w:fill="FFFFFF"/>
        </w:rPr>
      </w:pPr>
    </w:p>
    <w:p w14:paraId="4A604431"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Müller, M., Jürgens, J., Redaèlli, M., Klingberg, K., Hautz, W.E. and Stock, S., 2018. Impact of the communication and patient hand-off tool SBAR on patient safety: a systematic review. </w:t>
      </w:r>
      <w:r w:rsidRPr="00266020">
        <w:rPr>
          <w:rFonts w:ascii="Arial" w:hAnsi="Arial" w:cs="Arial"/>
          <w:i/>
          <w:iCs/>
          <w:sz w:val="22"/>
          <w:szCs w:val="22"/>
        </w:rPr>
        <w:t>BMJ open</w:t>
      </w:r>
      <w:r w:rsidRPr="00266020">
        <w:rPr>
          <w:rFonts w:ascii="Arial" w:hAnsi="Arial" w:cs="Arial"/>
          <w:sz w:val="22"/>
          <w:szCs w:val="22"/>
        </w:rPr>
        <w:t>, </w:t>
      </w:r>
      <w:r w:rsidRPr="00266020">
        <w:rPr>
          <w:rFonts w:ascii="Arial" w:hAnsi="Arial" w:cs="Arial"/>
          <w:i/>
          <w:iCs/>
          <w:sz w:val="22"/>
          <w:szCs w:val="22"/>
        </w:rPr>
        <w:t>8</w:t>
      </w:r>
      <w:r w:rsidRPr="00266020">
        <w:rPr>
          <w:rFonts w:ascii="Arial" w:hAnsi="Arial" w:cs="Arial"/>
          <w:sz w:val="22"/>
          <w:szCs w:val="22"/>
        </w:rPr>
        <w:t>(8), p.e022202.</w:t>
      </w:r>
    </w:p>
    <w:p w14:paraId="6A24D6F4" w14:textId="77777777" w:rsidR="00E271D8" w:rsidRPr="00266020" w:rsidRDefault="00E271D8" w:rsidP="00266020">
      <w:pPr>
        <w:pStyle w:val="NoSpacing"/>
        <w:spacing w:line="360" w:lineRule="auto"/>
        <w:jc w:val="both"/>
        <w:rPr>
          <w:rFonts w:ascii="Arial" w:hAnsi="Arial" w:cs="Arial"/>
          <w:sz w:val="22"/>
          <w:szCs w:val="22"/>
        </w:rPr>
      </w:pPr>
    </w:p>
    <w:p w14:paraId="22573B10" w14:textId="77777777" w:rsidR="00E271D8" w:rsidRPr="00266020" w:rsidRDefault="00E271D8" w:rsidP="00266020">
      <w:pPr>
        <w:pStyle w:val="NoSpacing"/>
        <w:spacing w:line="360" w:lineRule="auto"/>
        <w:jc w:val="both"/>
        <w:rPr>
          <w:rFonts w:ascii="Arial" w:hAnsi="Arial" w:cs="Arial"/>
          <w:sz w:val="22"/>
          <w:szCs w:val="22"/>
        </w:rPr>
      </w:pPr>
      <w:r w:rsidRPr="00266020">
        <w:rPr>
          <w:rFonts w:ascii="Arial" w:hAnsi="Arial" w:cs="Arial"/>
          <w:sz w:val="22"/>
          <w:szCs w:val="22"/>
        </w:rPr>
        <w:t>Nielsen, D.S., Abdulkadir, L.S., Lynnerup, C. and Sodemann, M., 2020. ‘I had to stifle my feelings’–Bilingual health professionals translating for family members in a healthcare setting. A qualitative study. </w:t>
      </w:r>
      <w:r w:rsidRPr="00266020">
        <w:rPr>
          <w:rFonts w:ascii="Arial" w:hAnsi="Arial" w:cs="Arial"/>
          <w:i/>
          <w:iCs/>
          <w:sz w:val="22"/>
          <w:szCs w:val="22"/>
        </w:rPr>
        <w:t>Scandinavian Journal of Caring Sciences</w:t>
      </w:r>
      <w:r w:rsidRPr="00266020">
        <w:rPr>
          <w:rFonts w:ascii="Arial" w:hAnsi="Arial" w:cs="Arial"/>
          <w:sz w:val="22"/>
          <w:szCs w:val="22"/>
        </w:rPr>
        <w:t>, </w:t>
      </w:r>
      <w:r w:rsidRPr="00266020">
        <w:rPr>
          <w:rFonts w:ascii="Arial" w:hAnsi="Arial" w:cs="Arial"/>
          <w:i/>
          <w:iCs/>
          <w:sz w:val="22"/>
          <w:szCs w:val="22"/>
        </w:rPr>
        <w:t>34</w:t>
      </w:r>
      <w:r w:rsidRPr="00266020">
        <w:rPr>
          <w:rFonts w:ascii="Arial" w:hAnsi="Arial" w:cs="Arial"/>
          <w:sz w:val="22"/>
          <w:szCs w:val="22"/>
        </w:rPr>
        <w:t>(4), pp.929-937.</w:t>
      </w:r>
    </w:p>
    <w:p w14:paraId="0781A849" w14:textId="77777777" w:rsidR="00E271D8" w:rsidRPr="00266020" w:rsidRDefault="00E271D8" w:rsidP="00266020">
      <w:pPr>
        <w:pStyle w:val="NoSpacing"/>
        <w:spacing w:line="360" w:lineRule="auto"/>
        <w:jc w:val="both"/>
        <w:rPr>
          <w:rFonts w:ascii="Arial" w:hAnsi="Arial" w:cs="Arial"/>
          <w:sz w:val="22"/>
          <w:szCs w:val="22"/>
        </w:rPr>
      </w:pPr>
    </w:p>
    <w:p w14:paraId="1421B956" w14:textId="77777777" w:rsidR="00E271D8" w:rsidRPr="00266020" w:rsidRDefault="00E271D8" w:rsidP="00266020">
      <w:pPr>
        <w:spacing w:line="360" w:lineRule="auto"/>
        <w:jc w:val="both"/>
        <w:rPr>
          <w:rFonts w:ascii="Arial" w:hAnsi="Arial" w:cs="Arial"/>
          <w:sz w:val="22"/>
          <w:szCs w:val="22"/>
        </w:rPr>
      </w:pPr>
      <w:r w:rsidRPr="00266020">
        <w:rPr>
          <w:rFonts w:ascii="Arial" w:hAnsi="Arial" w:cs="Arial"/>
          <w:sz w:val="22"/>
          <w:szCs w:val="22"/>
        </w:rPr>
        <w:t xml:space="preserve"> Nursing and Midwifery Council (NMC,2018) The Code. Available at:   </w:t>
      </w:r>
      <w:hyperlink r:id="rId13" w:history="1">
        <w:r w:rsidRPr="00266020">
          <w:rPr>
            <w:rStyle w:val="Hyperlink"/>
            <w:rFonts w:ascii="Arial" w:eastAsiaTheme="majorEastAsia" w:hAnsi="Arial" w:cs="Arial"/>
            <w:sz w:val="22"/>
            <w:szCs w:val="22"/>
          </w:rPr>
          <w:t>https://www.nmc.org.uk/standards/code/(Accessed</w:t>
        </w:r>
      </w:hyperlink>
      <w:r w:rsidRPr="00266020">
        <w:rPr>
          <w:rFonts w:ascii="Arial" w:hAnsi="Arial" w:cs="Arial"/>
          <w:sz w:val="22"/>
          <w:szCs w:val="22"/>
        </w:rPr>
        <w:t xml:space="preserve"> 01 March 2026).</w:t>
      </w:r>
    </w:p>
    <w:p w14:paraId="6CCFD049" w14:textId="77777777" w:rsidR="00E271D8" w:rsidRPr="00266020" w:rsidRDefault="00E271D8" w:rsidP="00266020">
      <w:pPr>
        <w:spacing w:line="360" w:lineRule="auto"/>
        <w:jc w:val="both"/>
        <w:rPr>
          <w:rFonts w:ascii="Arial" w:hAnsi="Arial" w:cs="Arial"/>
          <w:sz w:val="22"/>
          <w:szCs w:val="22"/>
        </w:rPr>
      </w:pPr>
    </w:p>
    <w:p w14:paraId="7B767BA0" w14:textId="77777777" w:rsidR="00E271D8" w:rsidRPr="00266020" w:rsidRDefault="00E271D8" w:rsidP="00266020">
      <w:pPr>
        <w:pStyle w:val="NoSpacing"/>
        <w:spacing w:line="360" w:lineRule="auto"/>
        <w:jc w:val="both"/>
        <w:rPr>
          <w:rFonts w:ascii="Arial" w:hAnsi="Arial" w:cs="Arial"/>
          <w:sz w:val="22"/>
          <w:szCs w:val="22"/>
          <w14:textOutline w14:w="9525" w14:cap="rnd" w14:cmpd="sng" w14:algn="ctr">
            <w14:noFill/>
            <w14:prstDash w14:val="solid"/>
            <w14:bevel/>
          </w14:textOutline>
        </w:rPr>
      </w:pPr>
      <w:r w:rsidRPr="00266020">
        <w:rPr>
          <w:rFonts w:ascii="Arial" w:hAnsi="Arial" w:cs="Arial"/>
          <w:sz w:val="22"/>
          <w:szCs w:val="22"/>
          <w14:textOutline w14:w="9525" w14:cap="rnd" w14:cmpd="sng" w14:algn="ctr">
            <w14:noFill/>
            <w14:prstDash w14:val="solid"/>
            <w14:bevel/>
          </w14:textOutline>
        </w:rPr>
        <w:t>Pedersen, E.R.G., Sudzina, F. and Rosati, F., 2024. A multi-dimensional study of organisational boundaries and silos in the healthcare sector. </w:t>
      </w:r>
      <w:r w:rsidRPr="00266020">
        <w:rPr>
          <w:rFonts w:ascii="Arial" w:hAnsi="Arial" w:cs="Arial"/>
          <w:i/>
          <w:iCs/>
          <w:sz w:val="22"/>
          <w:szCs w:val="22"/>
          <w14:textOutline w14:w="9525" w14:cap="rnd" w14:cmpd="sng" w14:algn="ctr">
            <w14:noFill/>
            <w14:prstDash w14:val="solid"/>
            <w14:bevel/>
          </w14:textOutline>
        </w:rPr>
        <w:t>Health Services Management Research</w:t>
      </w:r>
      <w:r w:rsidRPr="00266020">
        <w:rPr>
          <w:rFonts w:ascii="Arial" w:hAnsi="Arial" w:cs="Arial"/>
          <w:sz w:val="22"/>
          <w:szCs w:val="22"/>
          <w14:textOutline w14:w="9525" w14:cap="rnd" w14:cmpd="sng" w14:algn="ctr">
            <w14:noFill/>
            <w14:prstDash w14:val="solid"/>
            <w14:bevel/>
          </w14:textOutline>
        </w:rPr>
        <w:t>, </w:t>
      </w:r>
      <w:r w:rsidRPr="00266020">
        <w:rPr>
          <w:rFonts w:ascii="Arial" w:hAnsi="Arial" w:cs="Arial"/>
          <w:i/>
          <w:iCs/>
          <w:sz w:val="22"/>
          <w:szCs w:val="22"/>
          <w14:textOutline w14:w="9525" w14:cap="rnd" w14:cmpd="sng" w14:algn="ctr">
            <w14:noFill/>
            <w14:prstDash w14:val="solid"/>
            <w14:bevel/>
          </w14:textOutline>
        </w:rPr>
        <w:t>37</w:t>
      </w:r>
      <w:r w:rsidRPr="00266020">
        <w:rPr>
          <w:rFonts w:ascii="Arial" w:hAnsi="Arial" w:cs="Arial"/>
          <w:sz w:val="22"/>
          <w:szCs w:val="22"/>
          <w14:textOutline w14:w="9525" w14:cap="rnd" w14:cmpd="sng" w14:algn="ctr">
            <w14:noFill/>
            <w14:prstDash w14:val="solid"/>
            <w14:bevel/>
          </w14:textOutline>
        </w:rPr>
        <w:t>(4), pp.200-208.</w:t>
      </w:r>
    </w:p>
    <w:p w14:paraId="0B7193C0" w14:textId="77777777" w:rsidR="00E271D8" w:rsidRPr="00266020" w:rsidRDefault="00E271D8" w:rsidP="00266020">
      <w:pPr>
        <w:pStyle w:val="NoSpacing"/>
        <w:spacing w:line="360" w:lineRule="auto"/>
        <w:jc w:val="both"/>
        <w:rPr>
          <w:rFonts w:ascii="Arial" w:hAnsi="Arial" w:cs="Arial"/>
          <w:sz w:val="22"/>
          <w:szCs w:val="22"/>
          <w14:textOutline w14:w="9525" w14:cap="rnd" w14:cmpd="sng" w14:algn="ctr">
            <w14:noFill/>
            <w14:prstDash w14:val="solid"/>
            <w14:bevel/>
          </w14:textOutline>
        </w:rPr>
      </w:pPr>
    </w:p>
    <w:p w14:paraId="1F3DF283" w14:textId="13198D88" w:rsidR="00E271D8" w:rsidRPr="00266020" w:rsidRDefault="00E271D8" w:rsidP="00266020">
      <w:pPr>
        <w:pStyle w:val="NoSpacing"/>
        <w:spacing w:line="360" w:lineRule="auto"/>
        <w:rPr>
          <w:rFonts w:ascii="Arial" w:hAnsi="Arial" w:cs="Arial"/>
          <w:sz w:val="22"/>
          <w:szCs w:val="22"/>
        </w:rPr>
      </w:pPr>
      <w:r w:rsidRPr="00266020">
        <w:rPr>
          <w:rFonts w:ascii="Arial" w:hAnsi="Arial" w:cs="Arial"/>
          <w:sz w:val="22"/>
          <w:szCs w:val="22"/>
        </w:rPr>
        <w:t xml:space="preserve">Taberna, M., Gil Moncayo, F., </w:t>
      </w:r>
      <w:r w:rsidR="0022680F" w:rsidRPr="00266020">
        <w:rPr>
          <w:rFonts w:ascii="Arial" w:hAnsi="Arial" w:cs="Arial"/>
          <w:sz w:val="22"/>
          <w:szCs w:val="22"/>
        </w:rPr>
        <w:t>Jane</w:t>
      </w:r>
      <w:r w:rsidRPr="00266020">
        <w:rPr>
          <w:rFonts w:ascii="Arial" w:hAnsi="Arial" w:cs="Arial"/>
          <w:sz w:val="22"/>
          <w:szCs w:val="22"/>
        </w:rPr>
        <w:t>-Salas, E., Antonio, M., Arribas, L., Vilajosana, E., Peralvez Torres, E. and Mesía, R., 2020. The multidisciplinary team (MDT) approach and quality of care. </w:t>
      </w:r>
      <w:r w:rsidRPr="00266020">
        <w:rPr>
          <w:rFonts w:ascii="Arial" w:hAnsi="Arial" w:cs="Arial"/>
          <w:i/>
          <w:iCs/>
          <w:sz w:val="22"/>
          <w:szCs w:val="22"/>
        </w:rPr>
        <w:t>Frontiers in oncology</w:t>
      </w:r>
      <w:r w:rsidRPr="00266020">
        <w:rPr>
          <w:rFonts w:ascii="Arial" w:hAnsi="Arial" w:cs="Arial"/>
          <w:sz w:val="22"/>
          <w:szCs w:val="22"/>
        </w:rPr>
        <w:t>, </w:t>
      </w:r>
      <w:r w:rsidRPr="00266020">
        <w:rPr>
          <w:rFonts w:ascii="Arial" w:hAnsi="Arial" w:cs="Arial"/>
          <w:i/>
          <w:iCs/>
          <w:sz w:val="22"/>
          <w:szCs w:val="22"/>
        </w:rPr>
        <w:t>10</w:t>
      </w:r>
      <w:r w:rsidRPr="00266020">
        <w:rPr>
          <w:rFonts w:ascii="Arial" w:hAnsi="Arial" w:cs="Arial"/>
          <w:sz w:val="22"/>
          <w:szCs w:val="22"/>
        </w:rPr>
        <w:t>, p.85.</w:t>
      </w:r>
    </w:p>
    <w:p w14:paraId="268D4330" w14:textId="77777777" w:rsidR="00E271D8" w:rsidRPr="00266020" w:rsidRDefault="00E271D8" w:rsidP="00266020">
      <w:pPr>
        <w:spacing w:line="360" w:lineRule="auto"/>
        <w:rPr>
          <w:rFonts w:ascii="Arial" w:hAnsi="Arial" w:cs="Arial"/>
          <w:sz w:val="22"/>
          <w:szCs w:val="22"/>
          <w14:textOutline w14:w="9525" w14:cap="rnd" w14:cmpd="sng" w14:algn="ctr">
            <w14:noFill/>
            <w14:prstDash w14:val="solid"/>
            <w14:bevel/>
          </w14:textOutline>
        </w:rPr>
      </w:pPr>
      <w:r w:rsidRPr="00266020">
        <w:rPr>
          <w:rFonts w:ascii="Arial" w:hAnsi="Arial" w:cs="Arial"/>
          <w:sz w:val="22"/>
          <w:szCs w:val="22"/>
          <w14:textOutline w14:w="9525" w14:cap="rnd" w14:cmpd="sng" w14:algn="ctr">
            <w14:noFill/>
            <w14:prstDash w14:val="solid"/>
            <w14:bevel/>
          </w14:textOutline>
        </w:rPr>
        <w:lastRenderedPageBreak/>
        <w:t xml:space="preserve"> The Data Protection Act ( 2018) Available at : </w:t>
      </w:r>
      <w:hyperlink r:id="rId14" w:history="1">
        <w:r w:rsidRPr="00266020">
          <w:rPr>
            <w:rStyle w:val="Hyperlink"/>
            <w:rFonts w:ascii="Arial" w:eastAsiaTheme="majorEastAsia" w:hAnsi="Arial" w:cs="Arial"/>
            <w:sz w:val="22"/>
            <w:szCs w:val="22"/>
            <w14:textOutline w14:w="9525" w14:cap="rnd" w14:cmpd="sng" w14:algn="ctr">
              <w14:noFill/>
              <w14:prstDash w14:val="solid"/>
              <w14:bevel/>
            </w14:textOutline>
          </w:rPr>
          <w:t>https://www.legislation.gov.uk/ukpga/2018/12/contents/enacted(Accessed</w:t>
        </w:r>
      </w:hyperlink>
      <w:r w:rsidRPr="00266020">
        <w:rPr>
          <w:rFonts w:ascii="Arial" w:hAnsi="Arial" w:cs="Arial"/>
          <w:sz w:val="22"/>
          <w:szCs w:val="22"/>
          <w14:textOutline w14:w="9525" w14:cap="rnd" w14:cmpd="sng" w14:algn="ctr">
            <w14:noFill/>
            <w14:prstDash w14:val="solid"/>
            <w14:bevel/>
          </w14:textOutline>
        </w:rPr>
        <w:t xml:space="preserve"> on 01 March 2026).</w:t>
      </w:r>
    </w:p>
    <w:p w14:paraId="145759BD" w14:textId="77777777" w:rsidR="00E271D8" w:rsidRPr="00266020" w:rsidRDefault="00E271D8" w:rsidP="00266020">
      <w:pPr>
        <w:pStyle w:val="NoSpacing"/>
        <w:spacing w:line="360" w:lineRule="auto"/>
        <w:jc w:val="both"/>
        <w:rPr>
          <w:rFonts w:ascii="Arial" w:hAnsi="Arial" w:cs="Arial"/>
          <w:sz w:val="22"/>
          <w:szCs w:val="22"/>
          <w:shd w:val="clear" w:color="auto" w:fill="FFFFFF"/>
        </w:rPr>
      </w:pPr>
      <w:r w:rsidRPr="00266020">
        <w:rPr>
          <w:rFonts w:ascii="Arial" w:hAnsi="Arial" w:cs="Arial"/>
          <w:sz w:val="22"/>
          <w:szCs w:val="22"/>
          <w:shd w:val="clear" w:color="auto" w:fill="FFFFFF"/>
        </w:rPr>
        <w:t>Wray, F., Clarke, D. and Forster, A., 2019. How do stroke survivors with communication difficulties manage life after stroke in the first year? A qualitative study. </w:t>
      </w:r>
      <w:r w:rsidRPr="00266020">
        <w:rPr>
          <w:rFonts w:ascii="Arial" w:hAnsi="Arial" w:cs="Arial"/>
          <w:i/>
          <w:iCs/>
          <w:sz w:val="22"/>
          <w:szCs w:val="22"/>
          <w:shd w:val="clear" w:color="auto" w:fill="FFFFFF"/>
        </w:rPr>
        <w:t>International Journal of Language &amp; Communication Disorders</w:t>
      </w:r>
      <w:r w:rsidRPr="00266020">
        <w:rPr>
          <w:rFonts w:ascii="Arial" w:hAnsi="Arial" w:cs="Arial"/>
          <w:sz w:val="22"/>
          <w:szCs w:val="22"/>
          <w:shd w:val="clear" w:color="auto" w:fill="FFFFFF"/>
        </w:rPr>
        <w:t>, </w:t>
      </w:r>
      <w:r w:rsidRPr="00266020">
        <w:rPr>
          <w:rFonts w:ascii="Arial" w:hAnsi="Arial" w:cs="Arial"/>
          <w:i/>
          <w:iCs/>
          <w:sz w:val="22"/>
          <w:szCs w:val="22"/>
          <w:shd w:val="clear" w:color="auto" w:fill="FFFFFF"/>
        </w:rPr>
        <w:t>54</w:t>
      </w:r>
      <w:r w:rsidRPr="00266020">
        <w:rPr>
          <w:rFonts w:ascii="Arial" w:hAnsi="Arial" w:cs="Arial"/>
          <w:sz w:val="22"/>
          <w:szCs w:val="22"/>
          <w:shd w:val="clear" w:color="auto" w:fill="FFFFFF"/>
        </w:rPr>
        <w:t>(5), pp.814-827.</w:t>
      </w:r>
    </w:p>
    <w:p w14:paraId="761A5E34" w14:textId="77777777" w:rsidR="00E271D8" w:rsidRPr="00266020" w:rsidRDefault="00E271D8" w:rsidP="00266020">
      <w:pPr>
        <w:pStyle w:val="NoSpacing"/>
        <w:spacing w:line="360" w:lineRule="auto"/>
        <w:jc w:val="both"/>
        <w:rPr>
          <w:rFonts w:ascii="Arial" w:hAnsi="Arial" w:cs="Arial"/>
          <w:sz w:val="22"/>
          <w:szCs w:val="22"/>
          <w:shd w:val="clear" w:color="auto" w:fill="FFFFFF"/>
        </w:rPr>
      </w:pPr>
    </w:p>
    <w:p w14:paraId="6C9CFA15" w14:textId="77777777" w:rsidR="00E271D8" w:rsidRPr="00266020" w:rsidRDefault="00E271D8" w:rsidP="00266020">
      <w:pPr>
        <w:spacing w:line="360" w:lineRule="auto"/>
        <w:jc w:val="both"/>
        <w:rPr>
          <w:rFonts w:ascii="Arial" w:hAnsi="Arial" w:cs="Arial"/>
          <w:color w:val="222222"/>
          <w:sz w:val="22"/>
          <w:szCs w:val="22"/>
          <w:shd w:val="clear" w:color="auto" w:fill="FFFFFF"/>
        </w:rPr>
      </w:pPr>
      <w:r w:rsidRPr="00266020">
        <w:rPr>
          <w:rFonts w:ascii="Arial" w:hAnsi="Arial" w:cs="Arial"/>
          <w:color w:val="222222"/>
          <w:sz w:val="22"/>
          <w:szCs w:val="22"/>
          <w:shd w:val="clear" w:color="auto" w:fill="FFFFFF"/>
        </w:rPr>
        <w:t>Zakaria, M., Karim, R., Rahman, M., Cheng, F. and Xu, J., 2021. Disparity in physician-patient communication by ethnicity: evidence from Bangladesh. </w:t>
      </w:r>
      <w:r w:rsidRPr="00266020">
        <w:rPr>
          <w:rFonts w:ascii="Arial" w:hAnsi="Arial" w:cs="Arial"/>
          <w:i/>
          <w:iCs/>
          <w:color w:val="222222"/>
          <w:sz w:val="22"/>
          <w:szCs w:val="22"/>
          <w:shd w:val="clear" w:color="auto" w:fill="FFFFFF"/>
        </w:rPr>
        <w:t>International Journal for Equity in Health</w:t>
      </w:r>
      <w:r w:rsidRPr="00266020">
        <w:rPr>
          <w:rFonts w:ascii="Arial" w:hAnsi="Arial" w:cs="Arial"/>
          <w:color w:val="222222"/>
          <w:sz w:val="22"/>
          <w:szCs w:val="22"/>
          <w:shd w:val="clear" w:color="auto" w:fill="FFFFFF"/>
        </w:rPr>
        <w:t>, </w:t>
      </w:r>
      <w:r w:rsidRPr="00266020">
        <w:rPr>
          <w:rFonts w:ascii="Arial" w:hAnsi="Arial" w:cs="Arial"/>
          <w:i/>
          <w:iCs/>
          <w:color w:val="222222"/>
          <w:sz w:val="22"/>
          <w:szCs w:val="22"/>
          <w:shd w:val="clear" w:color="auto" w:fill="FFFFFF"/>
        </w:rPr>
        <w:t>20</w:t>
      </w:r>
      <w:r w:rsidRPr="00266020">
        <w:rPr>
          <w:rFonts w:ascii="Arial" w:hAnsi="Arial" w:cs="Arial"/>
          <w:color w:val="222222"/>
          <w:sz w:val="22"/>
          <w:szCs w:val="22"/>
          <w:shd w:val="clear" w:color="auto" w:fill="FFFFFF"/>
        </w:rPr>
        <w:t>(1), p.65.</w:t>
      </w:r>
    </w:p>
    <w:p w14:paraId="3C61AFB8" w14:textId="77777777" w:rsidR="00904F89" w:rsidRPr="00266020" w:rsidRDefault="00904F89" w:rsidP="00266020">
      <w:pPr>
        <w:spacing w:line="360" w:lineRule="auto"/>
        <w:rPr>
          <w:rFonts w:ascii="Arial" w:hAnsi="Arial" w:cs="Arial"/>
          <w:sz w:val="22"/>
          <w:szCs w:val="22"/>
        </w:rPr>
      </w:pPr>
    </w:p>
    <w:sectPr w:rsidR="00904F89" w:rsidRPr="0026602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1C01D" w14:textId="77777777" w:rsidR="00EE3B59" w:rsidRDefault="00EE3B59" w:rsidP="007D2F08">
      <w:r>
        <w:separator/>
      </w:r>
    </w:p>
  </w:endnote>
  <w:endnote w:type="continuationSeparator" w:id="0">
    <w:p w14:paraId="416607FE" w14:textId="77777777" w:rsidR="00EE3B59" w:rsidRDefault="00EE3B59" w:rsidP="007D2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8751077"/>
      <w:docPartObj>
        <w:docPartGallery w:val="Page Numbers (Bottom of Page)"/>
        <w:docPartUnique/>
      </w:docPartObj>
    </w:sdtPr>
    <w:sdtEndPr/>
    <w:sdtContent>
      <w:sdt>
        <w:sdtPr>
          <w:id w:val="-1705238520"/>
          <w:docPartObj>
            <w:docPartGallery w:val="Page Numbers (Top of Page)"/>
            <w:docPartUnique/>
          </w:docPartObj>
        </w:sdtPr>
        <w:sdtEndPr/>
        <w:sdtContent>
          <w:p w14:paraId="594677D1" w14:textId="709DD52C" w:rsidR="007D2F08" w:rsidRDefault="007D2F08">
            <w:pPr>
              <w:pStyle w:val="Foo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7E4E47E" w14:textId="77777777" w:rsidR="007D2F08" w:rsidRDefault="007D2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48AEA" w14:textId="77777777" w:rsidR="00EE3B59" w:rsidRDefault="00EE3B59" w:rsidP="007D2F08">
      <w:r>
        <w:separator/>
      </w:r>
    </w:p>
  </w:footnote>
  <w:footnote w:type="continuationSeparator" w:id="0">
    <w:p w14:paraId="4150D8C9" w14:textId="77777777" w:rsidR="00EE3B59" w:rsidRDefault="00EE3B59" w:rsidP="007D2F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D0ECA"/>
    <w:multiLevelType w:val="hybridMultilevel"/>
    <w:tmpl w:val="2E9C8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10EFA"/>
    <w:multiLevelType w:val="hybridMultilevel"/>
    <w:tmpl w:val="63D8C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5827867">
    <w:abstractNumId w:val="1"/>
  </w:num>
  <w:num w:numId="2" w16cid:durableId="828793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1D8"/>
    <w:rsid w:val="00054626"/>
    <w:rsid w:val="00074CA3"/>
    <w:rsid w:val="00085B47"/>
    <w:rsid w:val="000B4889"/>
    <w:rsid w:val="000E77F4"/>
    <w:rsid w:val="0011114B"/>
    <w:rsid w:val="0011172F"/>
    <w:rsid w:val="0019516B"/>
    <w:rsid w:val="001B08AA"/>
    <w:rsid w:val="001D228D"/>
    <w:rsid w:val="0022680F"/>
    <w:rsid w:val="002335AE"/>
    <w:rsid w:val="002353C9"/>
    <w:rsid w:val="002555F3"/>
    <w:rsid w:val="00261660"/>
    <w:rsid w:val="00266020"/>
    <w:rsid w:val="002B1195"/>
    <w:rsid w:val="00306744"/>
    <w:rsid w:val="00346F8D"/>
    <w:rsid w:val="00384783"/>
    <w:rsid w:val="003B4AD5"/>
    <w:rsid w:val="003D7141"/>
    <w:rsid w:val="003F321F"/>
    <w:rsid w:val="004256EC"/>
    <w:rsid w:val="00441FFB"/>
    <w:rsid w:val="004613F0"/>
    <w:rsid w:val="00487B86"/>
    <w:rsid w:val="004A1CCD"/>
    <w:rsid w:val="004C4926"/>
    <w:rsid w:val="004D16EA"/>
    <w:rsid w:val="004E3517"/>
    <w:rsid w:val="00522671"/>
    <w:rsid w:val="0057279A"/>
    <w:rsid w:val="005F39FE"/>
    <w:rsid w:val="00613455"/>
    <w:rsid w:val="006C490C"/>
    <w:rsid w:val="006D4A4F"/>
    <w:rsid w:val="006F4655"/>
    <w:rsid w:val="00705DA4"/>
    <w:rsid w:val="00716A09"/>
    <w:rsid w:val="0075387D"/>
    <w:rsid w:val="007635DE"/>
    <w:rsid w:val="007664F1"/>
    <w:rsid w:val="007665C7"/>
    <w:rsid w:val="00795046"/>
    <w:rsid w:val="007A00DC"/>
    <w:rsid w:val="007C400B"/>
    <w:rsid w:val="007D2F08"/>
    <w:rsid w:val="00807597"/>
    <w:rsid w:val="008F00CB"/>
    <w:rsid w:val="00904F89"/>
    <w:rsid w:val="00971DA6"/>
    <w:rsid w:val="009759D1"/>
    <w:rsid w:val="009B6E78"/>
    <w:rsid w:val="009D3EE1"/>
    <w:rsid w:val="00A16F72"/>
    <w:rsid w:val="00A315D7"/>
    <w:rsid w:val="00A3476D"/>
    <w:rsid w:val="00A67996"/>
    <w:rsid w:val="00B318E8"/>
    <w:rsid w:val="00B368C8"/>
    <w:rsid w:val="00B418D6"/>
    <w:rsid w:val="00B46BE8"/>
    <w:rsid w:val="00B55621"/>
    <w:rsid w:val="00B64C71"/>
    <w:rsid w:val="00BB45A9"/>
    <w:rsid w:val="00BC5839"/>
    <w:rsid w:val="00BD4CB6"/>
    <w:rsid w:val="00BE5CD3"/>
    <w:rsid w:val="00C85EDE"/>
    <w:rsid w:val="00CF51BD"/>
    <w:rsid w:val="00D0245F"/>
    <w:rsid w:val="00D032BA"/>
    <w:rsid w:val="00D13BBC"/>
    <w:rsid w:val="00D75E9C"/>
    <w:rsid w:val="00D87B0E"/>
    <w:rsid w:val="00DE0543"/>
    <w:rsid w:val="00DE09EA"/>
    <w:rsid w:val="00DF4309"/>
    <w:rsid w:val="00DF6EBB"/>
    <w:rsid w:val="00E065D5"/>
    <w:rsid w:val="00E271D8"/>
    <w:rsid w:val="00E92272"/>
    <w:rsid w:val="00E9634B"/>
    <w:rsid w:val="00EC1DD5"/>
    <w:rsid w:val="00ED64DC"/>
    <w:rsid w:val="00EE3B59"/>
    <w:rsid w:val="00F1701C"/>
    <w:rsid w:val="00F608BC"/>
    <w:rsid w:val="00F72510"/>
    <w:rsid w:val="00F768EC"/>
    <w:rsid w:val="00FB26C5"/>
    <w:rsid w:val="00FD6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1B123"/>
  <w15:chartTrackingRefBased/>
  <w15:docId w15:val="{66C71332-1DBF-4D2D-84B8-42F6261A5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1D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271D8"/>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271D8"/>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271D8"/>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271D8"/>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E271D8"/>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E271D8"/>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E271D8"/>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E271D8"/>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E271D8"/>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1D8"/>
    <w:rPr>
      <w:rFonts w:eastAsiaTheme="majorEastAsia" w:cstheme="majorBidi"/>
      <w:color w:val="272727" w:themeColor="text1" w:themeTint="D8"/>
    </w:rPr>
  </w:style>
  <w:style w:type="paragraph" w:styleId="Title">
    <w:name w:val="Title"/>
    <w:basedOn w:val="Normal"/>
    <w:next w:val="Normal"/>
    <w:link w:val="TitleChar"/>
    <w:uiPriority w:val="10"/>
    <w:qFormat/>
    <w:rsid w:val="00E271D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27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1D8"/>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27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1D8"/>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E271D8"/>
    <w:rPr>
      <w:i/>
      <w:iCs/>
      <w:color w:val="404040" w:themeColor="text1" w:themeTint="BF"/>
    </w:rPr>
  </w:style>
  <w:style w:type="paragraph" w:styleId="ListParagraph">
    <w:name w:val="List Paragraph"/>
    <w:basedOn w:val="Normal"/>
    <w:uiPriority w:val="34"/>
    <w:qFormat/>
    <w:rsid w:val="00E271D8"/>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E271D8"/>
    <w:rPr>
      <w:i/>
      <w:iCs/>
      <w:color w:val="0F4761" w:themeColor="accent1" w:themeShade="BF"/>
    </w:rPr>
  </w:style>
  <w:style w:type="paragraph" w:styleId="IntenseQuote">
    <w:name w:val="Intense Quote"/>
    <w:basedOn w:val="Normal"/>
    <w:next w:val="Normal"/>
    <w:link w:val="IntenseQuoteChar"/>
    <w:uiPriority w:val="30"/>
    <w:qFormat/>
    <w:rsid w:val="00E271D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E271D8"/>
    <w:rPr>
      <w:i/>
      <w:iCs/>
      <w:color w:val="0F4761" w:themeColor="accent1" w:themeShade="BF"/>
    </w:rPr>
  </w:style>
  <w:style w:type="character" w:styleId="IntenseReference">
    <w:name w:val="Intense Reference"/>
    <w:basedOn w:val="DefaultParagraphFont"/>
    <w:uiPriority w:val="32"/>
    <w:qFormat/>
    <w:rsid w:val="00E271D8"/>
    <w:rPr>
      <w:b/>
      <w:bCs/>
      <w:smallCaps/>
      <w:color w:val="0F4761" w:themeColor="accent1" w:themeShade="BF"/>
      <w:spacing w:val="5"/>
    </w:rPr>
  </w:style>
  <w:style w:type="character" w:styleId="Hyperlink">
    <w:name w:val="Hyperlink"/>
    <w:basedOn w:val="DefaultParagraphFont"/>
    <w:uiPriority w:val="99"/>
    <w:unhideWhenUsed/>
    <w:rsid w:val="00E271D8"/>
    <w:rPr>
      <w:strike w:val="0"/>
      <w:dstrike w:val="0"/>
      <w:color w:val="464FEB"/>
      <w:u w:val="none"/>
      <w:effect w:val="none"/>
    </w:rPr>
  </w:style>
  <w:style w:type="paragraph" w:styleId="NoSpacing">
    <w:name w:val="No Spacing"/>
    <w:uiPriority w:val="1"/>
    <w:qFormat/>
    <w:rsid w:val="00E271D8"/>
    <w:pPr>
      <w:spacing w:after="0" w:line="240" w:lineRule="auto"/>
    </w:pPr>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7D2F08"/>
    <w:pPr>
      <w:tabs>
        <w:tab w:val="center" w:pos="4513"/>
        <w:tab w:val="right" w:pos="9026"/>
      </w:tabs>
    </w:pPr>
  </w:style>
  <w:style w:type="character" w:customStyle="1" w:styleId="HeaderChar">
    <w:name w:val="Header Char"/>
    <w:basedOn w:val="DefaultParagraphFont"/>
    <w:link w:val="Header"/>
    <w:uiPriority w:val="99"/>
    <w:rsid w:val="007D2F0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D2F08"/>
    <w:pPr>
      <w:tabs>
        <w:tab w:val="center" w:pos="4513"/>
        <w:tab w:val="right" w:pos="9026"/>
      </w:tabs>
    </w:pPr>
  </w:style>
  <w:style w:type="character" w:customStyle="1" w:styleId="FooterChar">
    <w:name w:val="Footer Char"/>
    <w:basedOn w:val="DefaultParagraphFont"/>
    <w:link w:val="Footer"/>
    <w:uiPriority w:val="99"/>
    <w:rsid w:val="007D2F08"/>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mc.org.uk/standards/code/(Access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caldicott-principles(Accesse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communicationtheory.org/wp-content/uploads/2011/06/shannon_weaver_model.jpg" TargetMode="External"/><Relationship Id="rId14" Type="http://schemas.openxmlformats.org/officeDocument/2006/relationships/hyperlink" Target="https://www.legislation.gov.uk/ukpga/2018/12/contents/enacted(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2280</Words>
  <Characters>13002</Characters>
  <Application>Microsoft Office Word</Application>
  <DocSecurity>0</DocSecurity>
  <Lines>108</Lines>
  <Paragraphs>30</Paragraphs>
  <ScaleCrop>false</ScaleCrop>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Gerald Namwaza-Banda</dc:creator>
  <cp:keywords/>
  <dc:description/>
  <cp:lastModifiedBy>Esther Nwache</cp:lastModifiedBy>
  <cp:revision>2</cp:revision>
  <dcterms:created xsi:type="dcterms:W3CDTF">2026-03-22T14:20:00Z</dcterms:created>
  <dcterms:modified xsi:type="dcterms:W3CDTF">2026-03-22T14:20:00Z</dcterms:modified>
</cp:coreProperties>
</file>